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SCHEDULE 14A</w:t>
      </w:r>
    </w:p>
    <w:p>
      <w:pPr>
        <w:spacing w:after="0" w:line="25"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(Rule 14a-101)</w:t>
      </w:r>
    </w:p>
    <w:p>
      <w:pPr>
        <w:spacing w:after="0" w:line="93" w:lineRule="exact"/>
        <w:rPr>
          <w:sz w:val="24"/>
          <w:szCs w:val="24"/>
          <w:color w:val="auto"/>
        </w:rPr>
      </w:pPr>
    </w:p>
    <w:p>
      <w:pPr>
        <w:ind w:left="3780"/>
        <w:spacing w:after="0"/>
        <w:rPr>
          <w:sz w:val="20"/>
          <w:szCs w:val="20"/>
          <w:color w:val="auto"/>
        </w:rPr>
      </w:pPr>
      <w:r>
        <w:rPr>
          <w:rFonts w:ascii="Arial" w:cs="Arial" w:eastAsia="Arial" w:hAnsi="Arial"/>
          <w:sz w:val="16"/>
          <w:szCs w:val="16"/>
          <w:b w:val="1"/>
          <w:bCs w:val="1"/>
          <w:color w:val="auto"/>
        </w:rPr>
        <w:t>INFORMATION REQUIRED IN PROXY STATEMENT</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6"/>
          <w:szCs w:val="16"/>
          <w:b w:val="1"/>
          <w:bCs w:val="1"/>
          <w:color w:val="auto"/>
        </w:rPr>
        <w:t>SCHEDULE 14A INFORMATION</w:t>
      </w:r>
    </w:p>
    <w:p>
      <w:pPr>
        <w:spacing w:after="0" w:line="25"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Proxy Statement Pursuant to Section 14(a) of the Securities</w:t>
      </w:r>
    </w:p>
    <w:p>
      <w:pPr>
        <w:spacing w:after="0" w:line="5" w:lineRule="exact"/>
        <w:rPr>
          <w:sz w:val="24"/>
          <w:szCs w:val="24"/>
          <w:color w:val="auto"/>
        </w:rPr>
      </w:pPr>
    </w:p>
    <w:p>
      <w:pPr>
        <w:jc w:val="center"/>
        <w:ind w:right="-219"/>
        <w:spacing w:after="0"/>
        <w:tabs>
          <w:tab w:leader="none" w:pos="160" w:val="left"/>
        </w:tabs>
        <w:rPr>
          <w:sz w:val="20"/>
          <w:szCs w:val="20"/>
          <w:color w:val="auto"/>
        </w:rPr>
      </w:pPr>
      <w:r>
        <w:rPr>
          <w:rFonts w:ascii="Arial" w:cs="Arial" w:eastAsia="Arial" w:hAnsi="Arial"/>
          <w:sz w:val="16"/>
          <w:szCs w:val="16"/>
          <w:b w:val="1"/>
          <w:bCs w:val="1"/>
          <w:color w:val="auto"/>
        </w:rPr>
        <w:t>Exchange Act of 1934 (Amendment No.</w:t>
        <w:tab/>
        <w:t>)</w:t>
      </w:r>
    </w:p>
    <w:p>
      <w:pPr>
        <w:spacing w:after="0" w:line="71" w:lineRule="exact"/>
        <w:rPr>
          <w:sz w:val="24"/>
          <w:szCs w:val="24"/>
          <w:color w:val="auto"/>
        </w:rPr>
      </w:pPr>
    </w:p>
    <w:p>
      <w:pPr>
        <w:ind w:left="220"/>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126" w:lineRule="exact"/>
        <w:rPr>
          <w:sz w:val="24"/>
          <w:szCs w:val="24"/>
          <w:color w:val="auto"/>
        </w:rPr>
      </w:pPr>
    </w:p>
    <w:p>
      <w:pPr>
        <w:ind w:left="220"/>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68" w:lineRule="exact"/>
        <w:rPr>
          <w:sz w:val="24"/>
          <w:szCs w:val="24"/>
          <w:color w:val="auto"/>
        </w:rPr>
      </w:pPr>
    </w:p>
    <w:p>
      <w:pPr>
        <w:ind w:left="220"/>
        <w:spacing w:after="0"/>
        <w:rPr>
          <w:sz w:val="20"/>
          <w:szCs w:val="20"/>
          <w:color w:val="auto"/>
        </w:rPr>
      </w:pPr>
      <w:r>
        <w:rPr>
          <w:rFonts w:ascii="Arial" w:cs="Arial" w:eastAsia="Arial" w:hAnsi="Arial"/>
          <w:sz w:val="16"/>
          <w:szCs w:val="16"/>
          <w:color w:val="auto"/>
        </w:rPr>
        <w:t>Check the appropriate box:</w:t>
      </w:r>
    </w:p>
    <w:p>
      <w:pPr>
        <w:spacing w:after="0" w:line="140" w:lineRule="exact"/>
        <w:rPr>
          <w:sz w:val="24"/>
          <w:szCs w:val="24"/>
          <w:color w:val="auto"/>
        </w:rPr>
      </w:pPr>
    </w:p>
    <w:p>
      <w:pPr>
        <w:ind w:left="460" w:hanging="250"/>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8" w:lineRule="exact"/>
        <w:rPr>
          <w:rFonts w:ascii="MS PGothic" w:cs="MS PGothic" w:eastAsia="MS PGothic" w:hAnsi="MS PGothic"/>
          <w:sz w:val="16"/>
          <w:szCs w:val="16"/>
          <w:color w:val="auto"/>
        </w:rPr>
      </w:pPr>
    </w:p>
    <w:p>
      <w:pPr>
        <w:ind w:left="220" w:right="5040" w:hanging="10"/>
        <w:spacing w:after="0" w:line="201" w:lineRule="exact"/>
        <w:tabs>
          <w:tab w:leader="none" w:pos="463"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Confidential, for Use of the Commission Only (as permitted by Rule 14a-6(e)(2)) </w:t>
      </w:r>
      <w:r>
        <w:rPr>
          <w:rFonts w:ascii="MS PGothic" w:cs="MS PGothic" w:eastAsia="MS PGothic" w:hAnsi="MS PGothic"/>
          <w:sz w:val="16"/>
          <w:szCs w:val="16"/>
          <w:color w:val="auto"/>
        </w:rPr>
        <w:t>☒</w:t>
      </w:r>
      <w:r>
        <w:rPr>
          <w:rFonts w:ascii="Arial" w:cs="Arial" w:eastAsia="Arial" w:hAnsi="Arial"/>
          <w:sz w:val="16"/>
          <w:szCs w:val="16"/>
          <w:color w:val="auto"/>
        </w:rPr>
        <w:t xml:space="preserve"> Definitive Proxy Statement</w:t>
      </w:r>
    </w:p>
    <w:p>
      <w:pPr>
        <w:spacing w:after="0" w:line="4" w:lineRule="exact"/>
        <w:rPr>
          <w:rFonts w:ascii="MS PGothic" w:cs="MS PGothic" w:eastAsia="MS PGothic" w:hAnsi="MS PGothic"/>
          <w:sz w:val="16"/>
          <w:szCs w:val="16"/>
          <w:color w:val="auto"/>
        </w:rPr>
      </w:pPr>
    </w:p>
    <w:p>
      <w:pPr>
        <w:ind w:left="460" w:hanging="250"/>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8" w:lineRule="exact"/>
        <w:rPr>
          <w:rFonts w:ascii="MS PGothic" w:cs="MS PGothic" w:eastAsia="MS PGothic" w:hAnsi="MS PGothic"/>
          <w:sz w:val="16"/>
          <w:szCs w:val="16"/>
          <w:color w:val="auto"/>
        </w:rPr>
      </w:pPr>
    </w:p>
    <w:p>
      <w:pPr>
        <w:ind w:left="460" w:hanging="250"/>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w:t>
      </w:r>
    </w:p>
    <w:p>
      <w:pPr>
        <w:spacing w:after="0" w:line="106"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Martin Marietta Materials,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133350</wp:posOffset>
            </wp:positionH>
            <wp:positionV relativeFrom="paragraph">
              <wp:posOffset>14605</wp:posOffset>
            </wp:positionV>
            <wp:extent cx="69894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6" w:lineRule="exact"/>
        <w:rPr>
          <w:sz w:val="24"/>
          <w:szCs w:val="24"/>
          <w:color w:val="auto"/>
        </w:rPr>
      </w:pPr>
    </w:p>
    <w:p>
      <w:pPr>
        <w:jc w:val="center"/>
        <w:ind w:right="-219"/>
        <w:spacing w:after="0"/>
        <w:rPr>
          <w:sz w:val="20"/>
          <w:szCs w:val="20"/>
          <w:color w:val="auto"/>
        </w:rPr>
      </w:pPr>
      <w:r>
        <w:rPr>
          <w:rFonts w:ascii="Arial" w:cs="Arial" w:eastAsia="Arial" w:hAnsi="Arial"/>
          <w:sz w:val="13"/>
          <w:szCs w:val="13"/>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133350</wp:posOffset>
            </wp:positionH>
            <wp:positionV relativeFrom="paragraph">
              <wp:posOffset>196850</wp:posOffset>
            </wp:positionV>
            <wp:extent cx="69894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303" w:lineRule="exact"/>
        <w:rPr>
          <w:sz w:val="24"/>
          <w:szCs w:val="24"/>
          <w:color w:val="auto"/>
        </w:rPr>
      </w:pPr>
    </w:p>
    <w:p>
      <w:pPr>
        <w:ind w:left="3580"/>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136" w:lineRule="exact"/>
        <w:rPr>
          <w:sz w:val="24"/>
          <w:szCs w:val="24"/>
          <w:color w:val="auto"/>
        </w:rPr>
      </w:pPr>
    </w:p>
    <w:p>
      <w:pPr>
        <w:ind w:left="220"/>
        <w:spacing w:after="0"/>
        <w:rPr>
          <w:sz w:val="20"/>
          <w:szCs w:val="20"/>
          <w:color w:val="auto"/>
        </w:rPr>
      </w:pPr>
      <w:r>
        <w:rPr>
          <w:rFonts w:ascii="Arial" w:cs="Arial" w:eastAsia="Arial" w:hAnsi="Arial"/>
          <w:sz w:val="16"/>
          <w:szCs w:val="16"/>
          <w:color w:val="auto"/>
        </w:rPr>
        <w:t>Payment of Filing Fee (Check the appropriate box):</w:t>
      </w:r>
    </w:p>
    <w:p>
      <w:pPr>
        <w:spacing w:after="0" w:line="140" w:lineRule="exact"/>
        <w:rPr>
          <w:sz w:val="24"/>
          <w:szCs w:val="24"/>
          <w:color w:val="auto"/>
        </w:rPr>
      </w:pPr>
    </w:p>
    <w:p>
      <w:pPr>
        <w:ind w:left="460" w:hanging="250"/>
        <w:spacing w:after="0"/>
        <w:tabs>
          <w:tab w:leader="none" w:pos="4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40" w:lineRule="exact"/>
        <w:rPr>
          <w:sz w:val="24"/>
          <w:szCs w:val="24"/>
          <w:color w:val="auto"/>
        </w:rPr>
      </w:pPr>
    </w:p>
    <w:p>
      <w:pPr>
        <w:ind w:left="460" w:hanging="250"/>
        <w:spacing w:after="0"/>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139" w:lineRule="exact"/>
        <w:rPr>
          <w:rFonts w:ascii="MS PGothic" w:cs="MS PGothic" w:eastAsia="MS PGothic" w:hAnsi="MS PGothic"/>
          <w:sz w:val="16"/>
          <w:szCs w:val="16"/>
          <w:color w:val="auto"/>
        </w:rPr>
      </w:pPr>
    </w:p>
    <w:p>
      <w:pPr>
        <w:ind w:left="780" w:hanging="327"/>
        <w:spacing w:after="0"/>
        <w:tabs>
          <w:tab w:leader="none" w:pos="780" w:val="left"/>
        </w:tabs>
        <w:numPr>
          <w:ilvl w:val="1"/>
          <w:numId w:val="3"/>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20" w:lineRule="exact"/>
        <w:rPr>
          <w:rFonts w:ascii="Arial" w:cs="Arial" w:eastAsia="Arial" w:hAnsi="Arial"/>
          <w:sz w:val="16"/>
          <w:szCs w:val="16"/>
          <w:color w:val="auto"/>
        </w:rPr>
      </w:pPr>
    </w:p>
    <w:p>
      <w:pPr>
        <w:ind w:left="780" w:hanging="327"/>
        <w:spacing w:after="0"/>
        <w:tabs>
          <w:tab w:leader="none" w:pos="780" w:val="left"/>
        </w:tabs>
        <w:numPr>
          <w:ilvl w:val="1"/>
          <w:numId w:val="3"/>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20" w:lineRule="exact"/>
        <w:rPr>
          <w:rFonts w:ascii="Arial" w:cs="Arial" w:eastAsia="Arial" w:hAnsi="Arial"/>
          <w:sz w:val="16"/>
          <w:szCs w:val="16"/>
          <w:color w:val="auto"/>
        </w:rPr>
      </w:pPr>
    </w:p>
    <w:p>
      <w:pPr>
        <w:ind w:left="780" w:hanging="327"/>
        <w:spacing w:after="0" w:line="260" w:lineRule="auto"/>
        <w:tabs>
          <w:tab w:leader="none" w:pos="780" w:val="left"/>
        </w:tabs>
        <w:numPr>
          <w:ilvl w:val="1"/>
          <w:numId w:val="3"/>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94" w:lineRule="exact"/>
        <w:rPr>
          <w:rFonts w:ascii="Arial" w:cs="Arial" w:eastAsia="Arial" w:hAnsi="Arial"/>
          <w:sz w:val="16"/>
          <w:szCs w:val="16"/>
          <w:color w:val="auto"/>
        </w:rPr>
      </w:pPr>
    </w:p>
    <w:p>
      <w:pPr>
        <w:ind w:left="780" w:hanging="327"/>
        <w:spacing w:after="0"/>
        <w:tabs>
          <w:tab w:leader="none" w:pos="780" w:val="left"/>
        </w:tabs>
        <w:numPr>
          <w:ilvl w:val="1"/>
          <w:numId w:val="3"/>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20" w:lineRule="exact"/>
        <w:rPr>
          <w:rFonts w:ascii="Arial" w:cs="Arial" w:eastAsia="Arial" w:hAnsi="Arial"/>
          <w:sz w:val="16"/>
          <w:szCs w:val="16"/>
          <w:color w:val="auto"/>
        </w:rPr>
      </w:pPr>
    </w:p>
    <w:p>
      <w:pPr>
        <w:ind w:left="780" w:hanging="327"/>
        <w:spacing w:after="0"/>
        <w:tabs>
          <w:tab w:leader="none" w:pos="780" w:val="left"/>
        </w:tabs>
        <w:numPr>
          <w:ilvl w:val="1"/>
          <w:numId w:val="3"/>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342" w:lineRule="exact"/>
        <w:rPr>
          <w:rFonts w:ascii="Arial" w:cs="Arial" w:eastAsia="Arial" w:hAnsi="Arial"/>
          <w:sz w:val="16"/>
          <w:szCs w:val="16"/>
          <w:color w:val="auto"/>
        </w:rPr>
      </w:pPr>
    </w:p>
    <w:p>
      <w:pPr>
        <w:ind w:left="460" w:hanging="250"/>
        <w:spacing w:after="0"/>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20" w:lineRule="exact"/>
        <w:rPr>
          <w:rFonts w:ascii="MS PGothic" w:cs="MS PGothic" w:eastAsia="MS PGothic" w:hAnsi="MS PGothic"/>
          <w:sz w:val="16"/>
          <w:szCs w:val="16"/>
          <w:color w:val="auto"/>
        </w:rPr>
      </w:pPr>
    </w:p>
    <w:p>
      <w:pPr>
        <w:ind w:left="460" w:hanging="250"/>
        <w:spacing w:after="0" w:line="260"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3" w:lineRule="exact"/>
        <w:rPr>
          <w:rFonts w:ascii="MS PGothic" w:cs="MS PGothic" w:eastAsia="MS PGothic" w:hAnsi="MS PGothic"/>
          <w:sz w:val="16"/>
          <w:szCs w:val="16"/>
          <w:color w:val="auto"/>
        </w:rPr>
      </w:pPr>
    </w:p>
    <w:p>
      <w:pPr>
        <w:ind w:left="780" w:hanging="327"/>
        <w:spacing w:after="0"/>
        <w:tabs>
          <w:tab w:leader="none" w:pos="780" w:val="left"/>
        </w:tabs>
        <w:numPr>
          <w:ilvl w:val="1"/>
          <w:numId w:val="3"/>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20" w:lineRule="exact"/>
        <w:rPr>
          <w:rFonts w:ascii="Arial" w:cs="Arial" w:eastAsia="Arial" w:hAnsi="Arial"/>
          <w:sz w:val="16"/>
          <w:szCs w:val="16"/>
          <w:color w:val="auto"/>
        </w:rPr>
      </w:pPr>
    </w:p>
    <w:p>
      <w:pPr>
        <w:ind w:left="780" w:hanging="327"/>
        <w:spacing w:after="0"/>
        <w:tabs>
          <w:tab w:leader="none" w:pos="780" w:val="left"/>
        </w:tabs>
        <w:numPr>
          <w:ilvl w:val="1"/>
          <w:numId w:val="3"/>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20" w:lineRule="exact"/>
        <w:rPr>
          <w:rFonts w:ascii="Arial" w:cs="Arial" w:eastAsia="Arial" w:hAnsi="Arial"/>
          <w:sz w:val="16"/>
          <w:szCs w:val="16"/>
          <w:color w:val="auto"/>
        </w:rPr>
      </w:pPr>
    </w:p>
    <w:p>
      <w:pPr>
        <w:ind w:left="780" w:hanging="327"/>
        <w:spacing w:after="0"/>
        <w:tabs>
          <w:tab w:leader="none" w:pos="780" w:val="left"/>
        </w:tabs>
        <w:numPr>
          <w:ilvl w:val="1"/>
          <w:numId w:val="3"/>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20" w:lineRule="exact"/>
        <w:rPr>
          <w:rFonts w:ascii="Arial" w:cs="Arial" w:eastAsia="Arial" w:hAnsi="Arial"/>
          <w:sz w:val="16"/>
          <w:szCs w:val="16"/>
          <w:color w:val="auto"/>
        </w:rPr>
      </w:pPr>
    </w:p>
    <w:p>
      <w:pPr>
        <w:ind w:left="780" w:hanging="327"/>
        <w:spacing w:after="0"/>
        <w:tabs>
          <w:tab w:leader="none" w:pos="780" w:val="left"/>
        </w:tabs>
        <w:numPr>
          <w:ilvl w:val="1"/>
          <w:numId w:val="3"/>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493395</wp:posOffset>
            </wp:positionH>
            <wp:positionV relativeFrom="paragraph">
              <wp:posOffset>-2712720</wp:posOffset>
            </wp:positionV>
            <wp:extent cx="6630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3003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-2456180</wp:posOffset>
            </wp:positionV>
            <wp:extent cx="6630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3003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-2078990</wp:posOffset>
            </wp:positionV>
            <wp:extent cx="6630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3003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-1821815</wp:posOffset>
            </wp:positionV>
            <wp:extent cx="6630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3003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-1565275</wp:posOffset>
            </wp:positionV>
            <wp:extent cx="6630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30035" cy="825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-1231265</wp:posOffset>
            </wp:positionV>
            <wp:extent cx="683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577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-648335</wp:posOffset>
            </wp:positionV>
            <wp:extent cx="6630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3003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-391795</wp:posOffset>
            </wp:positionV>
            <wp:extent cx="66300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3003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-134620</wp:posOffset>
            </wp:positionV>
            <wp:extent cx="66300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3003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121920</wp:posOffset>
            </wp:positionV>
            <wp:extent cx="66300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30035" cy="8255"/>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219710</wp:posOffset>
            </wp:positionV>
            <wp:extent cx="6775450" cy="87115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75450" cy="87115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1113790" cy="3257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3790" cy="3257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left="8140"/>
        <w:spacing w:after="0"/>
        <w:rPr>
          <w:sz w:val="20"/>
          <w:szCs w:val="20"/>
          <w:color w:val="auto"/>
        </w:rPr>
      </w:pPr>
      <w:r>
        <w:rPr>
          <w:rFonts w:ascii="Arial" w:cs="Arial" w:eastAsia="Arial" w:hAnsi="Arial"/>
          <w:sz w:val="16"/>
          <w:szCs w:val="16"/>
          <w:color w:val="auto"/>
        </w:rPr>
        <w:t>April 10, 2019</w:t>
      </w:r>
    </w:p>
    <w:p>
      <w:pPr>
        <w:spacing w:after="0" w:line="30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Dear Fellow Shareholder:</w:t>
      </w:r>
    </w:p>
    <w:p>
      <w:pPr>
        <w:spacing w:after="0" w:line="248" w:lineRule="exact"/>
        <w:rPr>
          <w:sz w:val="20"/>
          <w:szCs w:val="20"/>
          <w:color w:val="auto"/>
        </w:rPr>
      </w:pPr>
    </w:p>
    <w:p>
      <w:pPr>
        <w:ind w:left="220" w:right="2740"/>
        <w:spacing w:after="0" w:line="260" w:lineRule="auto"/>
        <w:rPr>
          <w:sz w:val="20"/>
          <w:szCs w:val="20"/>
          <w:color w:val="auto"/>
        </w:rPr>
      </w:pPr>
      <w:r>
        <w:rPr>
          <w:rFonts w:ascii="Arial" w:cs="Arial" w:eastAsia="Arial" w:hAnsi="Arial"/>
          <w:sz w:val="16"/>
          <w:szCs w:val="16"/>
          <w:color w:val="auto"/>
        </w:rPr>
        <w:t>On behalf of the Martin Marietta Board of Directors and executive officers, it is my pleasure to invite you to our 2019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5452745</wp:posOffset>
            </wp:positionH>
            <wp:positionV relativeFrom="paragraph">
              <wp:posOffset>-185420</wp:posOffset>
            </wp:positionV>
            <wp:extent cx="1182370" cy="22269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82370" cy="2226945"/>
                    </a:xfrm>
                    <a:prstGeom prst="rect">
                      <a:avLst/>
                    </a:prstGeom>
                    <a:noFill/>
                  </pic:spPr>
                </pic:pic>
              </a:graphicData>
            </a:graphic>
          </wp:anchor>
        </w:drawing>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Continued to Deliver Strong Financial Results</w:t>
      </w:r>
    </w:p>
    <w:p>
      <w:pPr>
        <w:spacing w:after="0" w:line="21" w:lineRule="exact"/>
        <w:rPr>
          <w:sz w:val="20"/>
          <w:szCs w:val="20"/>
          <w:color w:val="auto"/>
        </w:rPr>
      </w:pPr>
    </w:p>
    <w:p>
      <w:pPr>
        <w:jc w:val="both"/>
        <w:ind w:left="220" w:right="2740"/>
        <w:spacing w:after="0" w:line="249" w:lineRule="auto"/>
        <w:rPr>
          <w:sz w:val="20"/>
          <w:szCs w:val="20"/>
          <w:color w:val="auto"/>
        </w:rPr>
      </w:pPr>
      <w:r>
        <w:rPr>
          <w:rFonts w:ascii="Arial" w:cs="Arial" w:eastAsia="Arial" w:hAnsi="Arial"/>
          <w:sz w:val="16"/>
          <w:szCs w:val="16"/>
          <w:color w:val="auto"/>
        </w:rPr>
        <w:t>2018 was another outstanding year of achievement at Martin Marietta. Our results benefitted from the successful acquisition and integration of Bluegrass Materials. We delivered top-line revenue growth and translated that growth into increased profitability. We outperformed our peers in 2018, and also outperformed the S&amp;P 500 and S&amp;P 500 Materials indices over the 3- and 5-year periods ended December 31, 2018. Our shareholders saw a total return of 29% and 81%, respectively, over these periods. We increased our dividend 9% in August 2018 and have returned $1.4 billion to shareholders since announcing a 20 million share repurchase authorization in February 2015.</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Shareholder Engagement, Enhanced Corporate Governance and Refreshed Board Membership</w:t>
      </w:r>
    </w:p>
    <w:p>
      <w:pPr>
        <w:spacing w:after="0" w:line="21" w:lineRule="exact"/>
        <w:rPr>
          <w:sz w:val="20"/>
          <w:szCs w:val="20"/>
          <w:color w:val="auto"/>
        </w:rPr>
      </w:pPr>
    </w:p>
    <w:p>
      <w:pPr>
        <w:jc w:val="both"/>
        <w:ind w:left="220" w:right="2740"/>
        <w:spacing w:after="0" w:line="248" w:lineRule="auto"/>
        <w:rPr>
          <w:sz w:val="20"/>
          <w:szCs w:val="20"/>
          <w:color w:val="auto"/>
        </w:rPr>
      </w:pPr>
      <w:r>
        <w:rPr>
          <w:rFonts w:ascii="Arial" w:cs="Arial" w:eastAsia="Arial" w:hAnsi="Arial"/>
          <w:sz w:val="16"/>
          <w:szCs w:val="16"/>
          <w:color w:val="auto"/>
        </w:rPr>
        <w:t>We stayed engaged with shareholders and other key stakeholders during 2018. In response to valuable feedback from shareholders and our 2018 Say On Pay vote of 78.9%, the Board eliminated the excise tax gross-up, walk-right and the value of perquisites in the severance calculation in the Employment Protection Agreements and eliminated the single-trigger vesting upon a change in control for equity grants beginning in 2019. Our investor outreach in 2018 extended to 111 meetings with 324 investor groups, and conversations with most of our top 30 shareholders. We visited with our shareholders across the United States and in Toronto, London, Edinburgh, Frankfurt, Geneva and Paris.</w:t>
      </w:r>
    </w:p>
    <w:p>
      <w:pPr>
        <w:spacing w:after="0" w:line="193"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Over the past three years, we have added four new independent directors, including Dorothy M. Ables who joined the Board in November 2018. We are delighted that Ms. Ables is on our Board, as she brings a strong background and adds a new and diverse perspective to our Board mix. We will continue to recruit directors who offer diverse perspectives, strong business and professional experience, and unique skills to the Board. We are grateful to Dennis L. Rediker who will retire from the Board upon the expiration of his term at the 2019 Annual Meeting. Dennis made many valuable contributions to the Board during his tenure.</w:t>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World-Class Safety Performance</w:t>
      </w:r>
    </w:p>
    <w:p>
      <w:pPr>
        <w:spacing w:after="0" w:line="21" w:lineRule="exact"/>
        <w:rPr>
          <w:sz w:val="20"/>
          <w:szCs w:val="20"/>
          <w:color w:val="auto"/>
        </w:rPr>
      </w:pPr>
    </w:p>
    <w:p>
      <w:pPr>
        <w:jc w:val="both"/>
        <w:ind w:left="220"/>
        <w:spacing w:after="0" w:line="253" w:lineRule="auto"/>
        <w:rPr>
          <w:sz w:val="20"/>
          <w:szCs w:val="20"/>
          <w:color w:val="auto"/>
        </w:rPr>
      </w:pPr>
      <w:r>
        <w:rPr>
          <w:rFonts w:ascii="Arial" w:cs="Arial" w:eastAsia="Arial" w:hAnsi="Arial"/>
          <w:sz w:val="16"/>
          <w:szCs w:val="16"/>
          <w:color w:val="auto"/>
        </w:rPr>
        <w:t>In 2018, we continued our impressive safety performance. Through the hard work and focus of our employees, safety awareness has been elevated across the Company, yielding impressive results. Our employees know world-class safety performance is possible; and, importantly, 2018’s results demonstrate this goal is attainable. Our company-wide Lost Time Incident Rate (LTIR) was 0.20, a world-class LTIR for the second year in a row.</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Sustainability</w:t>
      </w:r>
    </w:p>
    <w:p>
      <w:pPr>
        <w:spacing w:after="0" w:line="21"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We also issued our fourth Sustainability Report in 2018 in response to our shareholders’ request that we share our story on the efforts and improvements we are making in this important aspect. In addition, we have enhanced our reporting in this document and the 2018 Annual Report to further describe our world-class safety programs and performance, targeted and intentional support of education and health, and environmental programs that ensure operational excellence. We have also discussed more fully the risks associated with various sustainability matters.</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Your Vote Matters</w:t>
      </w:r>
    </w:p>
    <w:p>
      <w:pPr>
        <w:spacing w:after="0" w:line="21" w:lineRule="exact"/>
        <w:rPr>
          <w:sz w:val="20"/>
          <w:szCs w:val="20"/>
          <w:color w:val="auto"/>
        </w:rPr>
      </w:pPr>
    </w:p>
    <w:p>
      <w:pPr>
        <w:jc w:val="both"/>
        <w:ind w:left="220"/>
        <w:spacing w:after="0" w:line="260" w:lineRule="auto"/>
        <w:rPr>
          <w:sz w:val="20"/>
          <w:szCs w:val="20"/>
          <w:color w:val="auto"/>
        </w:rPr>
      </w:pPr>
      <w:r>
        <w:rPr>
          <w:rFonts w:ascii="Arial" w:cs="Arial" w:eastAsia="Arial" w:hAnsi="Arial"/>
          <w:sz w:val="16"/>
          <w:szCs w:val="16"/>
          <w:color w:val="auto"/>
        </w:rPr>
        <w:t>I urge you to cast your vote promptly—even if you plan to attend the Annual Meeting. We encourage you to vote so that your shares will be represented at the meeting.</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Thank you for your continued support of Martin Marietta.</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181610</wp:posOffset>
            </wp:positionV>
            <wp:extent cx="1190625" cy="3771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9062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 Howard Nye</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Chairman of the Board, President and Chief Executive Officer</w:t>
      </w:r>
    </w:p>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3780"/>
        <w:spacing w:after="0"/>
        <w:rPr>
          <w:sz w:val="20"/>
          <w:szCs w:val="20"/>
          <w:color w:val="auto"/>
        </w:rPr>
      </w:pPr>
      <w:r>
        <w:rPr>
          <w:rFonts w:ascii="Arial" w:cs="Arial" w:eastAsia="Arial" w:hAnsi="Arial"/>
          <w:sz w:val="22"/>
          <w:szCs w:val="22"/>
          <w:b w:val="1"/>
          <w:bCs w:val="1"/>
          <w:color w:val="007CBA"/>
        </w:rPr>
        <w:t>MARTIN MARIETTA MATERIALS, INC.</w:t>
      </w:r>
    </w:p>
    <w:p>
      <w:pPr>
        <w:spacing w:after="0" w:line="16" w:lineRule="exact"/>
        <w:rPr>
          <w:sz w:val="20"/>
          <w:szCs w:val="20"/>
          <w:color w:val="auto"/>
        </w:rPr>
      </w:pPr>
    </w:p>
    <w:p>
      <w:pPr>
        <w:ind w:left="3200"/>
        <w:spacing w:after="0"/>
        <w:rPr>
          <w:sz w:val="20"/>
          <w:szCs w:val="20"/>
          <w:color w:val="auto"/>
        </w:rPr>
      </w:pPr>
      <w:r>
        <w:rPr>
          <w:rFonts w:ascii="Arial" w:cs="Arial" w:eastAsia="Arial" w:hAnsi="Arial"/>
          <w:sz w:val="22"/>
          <w:szCs w:val="22"/>
          <w:b w:val="1"/>
          <w:bCs w:val="1"/>
          <w:color w:val="007CBA"/>
        </w:rPr>
        <w:t>2710 Wycliff Road, Raleigh, North Carolina 27607</w:t>
      </w:r>
    </w:p>
    <w:p>
      <w:pPr>
        <w:spacing w:after="0" w:line="187" w:lineRule="exact"/>
        <w:rPr>
          <w:sz w:val="20"/>
          <w:szCs w:val="20"/>
          <w:color w:val="auto"/>
        </w:rPr>
      </w:pPr>
    </w:p>
    <w:p>
      <w:pPr>
        <w:jc w:val="center"/>
        <w:ind w:right="-199"/>
        <w:spacing w:after="0"/>
        <w:rPr>
          <w:sz w:val="20"/>
          <w:szCs w:val="20"/>
          <w:color w:val="auto"/>
        </w:rPr>
      </w:pPr>
      <w:r>
        <w:rPr>
          <w:rFonts w:ascii="Arial" w:cs="Arial" w:eastAsia="Arial" w:hAnsi="Arial"/>
          <w:sz w:val="25"/>
          <w:szCs w:val="25"/>
          <w:color w:val="007CBA"/>
        </w:rPr>
        <w:t>Notice of Annual Meeting of Shareholders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25"/>
          <w:szCs w:val="25"/>
          <w:color w:val="007CBA"/>
        </w:rPr>
        <w:t>To Be Held May 9, 2019</w:t>
      </w:r>
    </w:p>
    <w:p>
      <w:pPr>
        <w:spacing w:after="0" w:line="23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To Our Shareholders:</w:t>
      </w:r>
    </w:p>
    <w:p>
      <w:pPr>
        <w:spacing w:after="0" w:line="214" w:lineRule="exact"/>
        <w:rPr>
          <w:sz w:val="20"/>
          <w:szCs w:val="20"/>
          <w:color w:val="auto"/>
        </w:rPr>
      </w:pPr>
    </w:p>
    <w:p>
      <w:pPr>
        <w:ind w:left="220" w:right="20"/>
        <w:spacing w:after="0" w:line="260" w:lineRule="auto"/>
        <w:rPr>
          <w:sz w:val="20"/>
          <w:szCs w:val="20"/>
          <w:color w:val="auto"/>
        </w:rPr>
      </w:pPr>
      <w:r>
        <w:rPr>
          <w:rFonts w:ascii="Arial" w:cs="Arial" w:eastAsia="Arial" w:hAnsi="Arial"/>
          <w:sz w:val="16"/>
          <w:szCs w:val="16"/>
          <w:color w:val="auto"/>
        </w:rPr>
        <w:t>The Annual Meeting of Shareholders of Martin Marietta Materials, Inc. will be held on Thursday, May 9, 2019, at 11:30 a.m. at our principal office located at 2710 Wycliff Road, Raleigh, North Carolina. At the meeting, the holders of our outstanding common stock will act on the following matters:</w:t>
      </w:r>
    </w:p>
    <w:p>
      <w:pPr>
        <w:sectPr>
          <w:pgSz w:w="11900" w:h="16838" w:orient="portrait"/>
          <w:cols w:equalWidth="0" w:num="1">
            <w:col w:w="11220"/>
          </w:cols>
          <w:pgMar w:left="240" w:top="459" w:right="439" w:bottom="1440" w:gutter="0" w:footer="0" w:header="0"/>
        </w:sectPr>
      </w:pPr>
    </w:p>
    <w:p>
      <w:pPr>
        <w:spacing w:after="0" w:line="199" w:lineRule="exact"/>
        <w:rPr>
          <w:sz w:val="20"/>
          <w:szCs w:val="20"/>
          <w:color w:val="auto"/>
        </w:rPr>
      </w:pPr>
    </w:p>
    <w:p>
      <w:pPr>
        <w:ind w:left="760"/>
        <w:spacing w:after="0"/>
        <w:rPr>
          <w:sz w:val="20"/>
          <w:szCs w:val="20"/>
          <w:color w:val="auto"/>
        </w:rPr>
      </w:pPr>
      <w:r>
        <w:rPr>
          <w:rFonts w:ascii="Arial" w:cs="Arial" w:eastAsia="Arial" w:hAnsi="Arial"/>
          <w:sz w:val="39"/>
          <w:szCs w:val="39"/>
          <w:color w:val="007CBA"/>
        </w:rPr>
        <w:t>1</w:t>
      </w:r>
    </w:p>
    <w:p>
      <w:pPr>
        <w:spacing w:after="0" w:line="199" w:lineRule="exact"/>
        <w:rPr>
          <w:sz w:val="20"/>
          <w:szCs w:val="20"/>
          <w:color w:val="auto"/>
        </w:rPr>
      </w:pPr>
    </w:p>
    <w:p>
      <w:pPr>
        <w:ind w:left="760"/>
        <w:spacing w:after="0"/>
        <w:rPr>
          <w:sz w:val="20"/>
          <w:szCs w:val="20"/>
          <w:color w:val="auto"/>
        </w:rPr>
      </w:pPr>
      <w:r>
        <w:rPr>
          <w:rFonts w:ascii="Arial" w:cs="Arial" w:eastAsia="Arial" w:hAnsi="Arial"/>
          <w:sz w:val="39"/>
          <w:szCs w:val="39"/>
          <w:color w:val="007CBA"/>
        </w:rPr>
        <w:t>2</w:t>
      </w:r>
    </w:p>
    <w:p>
      <w:pPr>
        <w:spacing w:after="0" w:line="213" w:lineRule="exact"/>
        <w:rPr>
          <w:sz w:val="20"/>
          <w:szCs w:val="20"/>
          <w:color w:val="auto"/>
        </w:rPr>
      </w:pPr>
    </w:p>
    <w:p>
      <w:pPr>
        <w:ind w:left="760"/>
        <w:spacing w:after="0"/>
        <w:rPr>
          <w:sz w:val="20"/>
          <w:szCs w:val="20"/>
          <w:color w:val="auto"/>
        </w:rPr>
      </w:pPr>
      <w:r>
        <w:rPr>
          <w:rFonts w:ascii="Arial" w:cs="Arial" w:eastAsia="Arial" w:hAnsi="Arial"/>
          <w:sz w:val="39"/>
          <w:szCs w:val="39"/>
          <w:color w:val="007CBA"/>
        </w:rPr>
        <w:t>3</w:t>
      </w:r>
    </w:p>
    <w:p>
      <w:pPr>
        <w:spacing w:after="0" w:line="199" w:lineRule="exact"/>
        <w:rPr>
          <w:sz w:val="20"/>
          <w:szCs w:val="20"/>
          <w:color w:val="auto"/>
        </w:rPr>
      </w:pPr>
    </w:p>
    <w:p>
      <w:pPr>
        <w:ind w:left="760"/>
        <w:spacing w:after="0"/>
        <w:rPr>
          <w:sz w:val="20"/>
          <w:szCs w:val="20"/>
          <w:color w:val="auto"/>
        </w:rPr>
      </w:pPr>
      <w:r>
        <w:rPr>
          <w:rFonts w:ascii="Arial" w:cs="Arial" w:eastAsia="Arial" w:hAnsi="Arial"/>
          <w:sz w:val="39"/>
          <w:szCs w:val="39"/>
          <w:color w:val="007CBA"/>
        </w:rPr>
        <w:t>4</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Election as Directors the nine (9) nominees named in the attached proxy statement, each to serve for a one-year term until 2020, and until their successors are duly elected and qualified;</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Ratification of the appointment of PricewaterhouseCoopers LLP as independent auditors for 2019;</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Advisory vote to approve the compensation of our named executive officers; and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Any other business that may properly come before the meeting.</w:t>
      </w:r>
    </w:p>
    <w:p>
      <w:pPr>
        <w:spacing w:after="0" w:line="314" w:lineRule="exact"/>
        <w:rPr>
          <w:sz w:val="20"/>
          <w:szCs w:val="20"/>
          <w:color w:val="auto"/>
        </w:rPr>
      </w:pPr>
    </w:p>
    <w:p>
      <w:pPr>
        <w:sectPr>
          <w:pgSz w:w="11900" w:h="16838" w:orient="portrait"/>
          <w:cols w:equalWidth="0" w:num="2">
            <w:col w:w="980" w:space="180"/>
            <w:col w:w="10060"/>
          </w:cols>
          <w:pgMar w:left="240" w:top="459" w:right="439" w:bottom="1440" w:gutter="0" w:footer="0" w:header="0"/>
          <w:type w:val="continuous"/>
        </w:sectPr>
      </w:pPr>
    </w:p>
    <w:p>
      <w:pPr>
        <w:ind w:left="220"/>
        <w:spacing w:after="0" w:line="260" w:lineRule="auto"/>
        <w:rPr>
          <w:sz w:val="20"/>
          <w:szCs w:val="20"/>
          <w:color w:val="auto"/>
        </w:rPr>
      </w:pPr>
      <w:r>
        <w:rPr>
          <w:rFonts w:ascii="Arial" w:cs="Arial" w:eastAsia="Arial" w:hAnsi="Arial"/>
          <w:sz w:val="16"/>
          <w:szCs w:val="16"/>
          <w:color w:val="auto"/>
        </w:rPr>
        <w:t>All holders of record of Martin Marietta common stock (NYSE: MLM) at the close of business on March 8, 2019 are entitled to notice of and to vote at the Annual Meeting and any adjournments or postponements of the meeting.</w:t>
      </w:r>
    </w:p>
    <w:p>
      <w:pPr>
        <w:spacing w:after="0" w:line="397" w:lineRule="exact"/>
        <w:rPr>
          <w:sz w:val="20"/>
          <w:szCs w:val="20"/>
          <w:color w:val="auto"/>
        </w:rPr>
      </w:pPr>
    </w:p>
    <w:p>
      <w:pPr>
        <w:ind w:left="2420" w:right="1740"/>
        <w:spacing w:after="0" w:line="261" w:lineRule="auto"/>
        <w:rPr>
          <w:sz w:val="20"/>
          <w:szCs w:val="20"/>
          <w:color w:val="auto"/>
        </w:rPr>
      </w:pPr>
      <w:r>
        <w:rPr>
          <w:rFonts w:ascii="Arial" w:cs="Arial" w:eastAsia="Arial" w:hAnsi="Arial"/>
          <w:sz w:val="25"/>
          <w:szCs w:val="25"/>
          <w:color w:val="007CBA"/>
        </w:rPr>
        <w:t xml:space="preserve">The Board of Directors unanimously recommends that you vote </w:t>
      </w:r>
      <w:r>
        <w:rPr>
          <w:rFonts w:ascii="Arial" w:cs="Arial" w:eastAsia="Arial" w:hAnsi="Arial"/>
          <w:sz w:val="25"/>
          <w:szCs w:val="25"/>
          <w:b w:val="1"/>
          <w:bCs w:val="1"/>
          <w:color w:val="007CBA"/>
        </w:rPr>
        <w:t xml:space="preserve">FOR </w:t>
      </w:r>
      <w:r>
        <w:rPr>
          <w:rFonts w:ascii="Arial" w:cs="Arial" w:eastAsia="Arial" w:hAnsi="Arial"/>
          <w:sz w:val="25"/>
          <w:szCs w:val="25"/>
          <w:color w:val="007CBA"/>
        </w:rPr>
        <w:t>proposals 1, 2, and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1007110</wp:posOffset>
            </wp:positionH>
            <wp:positionV relativeFrom="paragraph">
              <wp:posOffset>-363220</wp:posOffset>
            </wp:positionV>
            <wp:extent cx="308610"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8610" cy="308610"/>
                    </a:xfrm>
                    <a:prstGeom prst="rect">
                      <a:avLst/>
                    </a:prstGeom>
                    <a:noFill/>
                  </pic:spPr>
                </pic:pic>
              </a:graphicData>
            </a:graphic>
          </wp:anchor>
        </w:drawing>
      </w:r>
    </w:p>
    <w:p>
      <w:pPr>
        <w:spacing w:after="0" w:line="326" w:lineRule="exact"/>
        <w:rPr>
          <w:sz w:val="20"/>
          <w:szCs w:val="20"/>
          <w:color w:val="auto"/>
        </w:rPr>
      </w:pPr>
    </w:p>
    <w:p>
      <w:pPr>
        <w:ind w:left="220"/>
        <w:spacing w:after="0" w:line="260" w:lineRule="auto"/>
        <w:rPr>
          <w:sz w:val="20"/>
          <w:szCs w:val="20"/>
          <w:color w:val="auto"/>
        </w:rPr>
      </w:pPr>
      <w:r>
        <w:rPr>
          <w:rFonts w:ascii="Arial" w:cs="Arial" w:eastAsia="Arial" w:hAnsi="Arial"/>
          <w:sz w:val="16"/>
          <w:szCs w:val="16"/>
          <w:color w:val="auto"/>
        </w:rPr>
        <w:t>This notice and the accompanying proxy statement are being first mailed to shareholders on or about April 10, 2019. We have enclosed our 2018 Annual Report to Shareholders. The report is not part of the proxy soliciting materials for the Annual Meeting.</w:t>
      </w:r>
    </w:p>
    <w:p>
      <w:pPr>
        <w:spacing w:after="0" w:line="134" w:lineRule="exact"/>
        <w:rPr>
          <w:sz w:val="20"/>
          <w:szCs w:val="20"/>
          <w:color w:val="auto"/>
        </w:rPr>
      </w:pPr>
    </w:p>
    <w:p>
      <w:pPr>
        <w:ind w:left="220" w:right="20"/>
        <w:spacing w:after="0" w:line="286" w:lineRule="auto"/>
        <w:rPr>
          <w:sz w:val="20"/>
          <w:szCs w:val="20"/>
          <w:color w:val="auto"/>
        </w:rPr>
      </w:pPr>
      <w:r>
        <w:rPr>
          <w:rFonts w:ascii="Arial" w:cs="Arial" w:eastAsia="Arial" w:hAnsi="Arial"/>
          <w:sz w:val="16"/>
          <w:szCs w:val="16"/>
          <w:color w:val="auto"/>
        </w:rPr>
        <w:t xml:space="preserve">Whether or not you expect to attend the meeting, we hope you will </w:t>
      </w:r>
      <w:r>
        <w:rPr>
          <w:rFonts w:ascii="Arial" w:cs="Arial" w:eastAsia="Arial" w:hAnsi="Arial"/>
          <w:sz w:val="16"/>
          <w:szCs w:val="16"/>
          <w:b w:val="1"/>
          <w:bCs w:val="1"/>
          <w:color w:val="auto"/>
        </w:rPr>
        <w:t>date and sign the enclosed proxy card</w:t>
      </w:r>
      <w:r>
        <w:rPr>
          <w:rFonts w:ascii="Arial" w:cs="Arial" w:eastAsia="Arial" w:hAnsi="Arial"/>
          <w:sz w:val="16"/>
          <w:szCs w:val="16"/>
          <w:color w:val="auto"/>
        </w:rPr>
        <w:t xml:space="preserve"> and mail it promptly in the enclosed stamped envelope. Submitting your proxy now will not prevent you from voting your shares at the meeting, as your proxy is revocable at your option.</w:t>
      </w:r>
    </w:p>
    <w:p>
      <w:pPr>
        <w:spacing w:after="0" w:line="28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156210</wp:posOffset>
            </wp:positionV>
            <wp:extent cx="1233170" cy="4794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33170" cy="47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Roselyn R. Bar</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Executive Vice President, General Counsel and Secretary</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Raleigh, North Carolina</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April 10, 2019</w:t>
      </w:r>
    </w:p>
    <w:p>
      <w:pPr>
        <w:spacing w:after="0" w:line="166"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IMPORTANT NOTICE REGARDING THE AVAILABILITY OF PROXY MATERIALS FOR THE</w:t>
      </w:r>
    </w:p>
    <w:p>
      <w:pPr>
        <w:spacing w:after="0" w:line="13"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ANNUAL SHAREHOLDER MEETING TO BE HELD ON MAY 9, 2019:</w:t>
      </w:r>
    </w:p>
    <w:p>
      <w:pPr>
        <w:spacing w:after="0" w:line="161" w:lineRule="exact"/>
        <w:rPr>
          <w:sz w:val="20"/>
          <w:szCs w:val="20"/>
          <w:color w:val="auto"/>
        </w:rPr>
      </w:pPr>
    </w:p>
    <w:p>
      <w:pPr>
        <w:jc w:val="center"/>
        <w:ind w:left="220"/>
        <w:spacing w:after="0" w:line="280" w:lineRule="auto"/>
        <w:rPr>
          <w:sz w:val="20"/>
          <w:szCs w:val="20"/>
          <w:color w:val="auto"/>
        </w:rPr>
      </w:pPr>
      <w:r>
        <w:rPr>
          <w:rFonts w:ascii="Arial" w:cs="Arial" w:eastAsia="Arial" w:hAnsi="Arial"/>
          <w:sz w:val="16"/>
          <w:szCs w:val="16"/>
          <w:color w:val="auto"/>
        </w:rPr>
        <w:t xml:space="preserve">Martin Marietta’s proxy statement, form of proxy card and 2018 Annual Report to Shareholders are also available at </w:t>
      </w:r>
      <w:r>
        <w:rPr>
          <w:rFonts w:ascii="Arial" w:cs="Arial" w:eastAsia="Arial" w:hAnsi="Arial"/>
          <w:sz w:val="16"/>
          <w:szCs w:val="16"/>
          <w:i w:val="1"/>
          <w:iCs w:val="1"/>
          <w:color w:val="auto"/>
        </w:rPr>
        <w:t>ir.martinmarietta.com/investor-relations/reports-filings</w:t>
      </w:r>
      <w:r>
        <w:rPr>
          <w:rFonts w:ascii="Arial" w:cs="Arial" w:eastAsia="Arial" w:hAnsi="Arial"/>
          <w:sz w:val="16"/>
          <w:szCs w:val="16"/>
          <w:color w:val="auto"/>
        </w:rPr>
        <w:t>.</w:t>
      </w:r>
    </w:p>
    <w:p>
      <w:pPr>
        <w:sectPr>
          <w:pgSz w:w="11900" w:h="16838" w:orient="portrait"/>
          <w:cols w:equalWidth="0" w:num="1">
            <w:col w:w="11220"/>
          </w:cols>
          <w:pgMar w:left="240" w:top="459" w:right="4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299"/>
        <w:spacing w:after="0"/>
        <w:rPr>
          <w:sz w:val="20"/>
          <w:szCs w:val="20"/>
          <w:color w:val="auto"/>
        </w:rPr>
      </w:pPr>
      <w:r>
        <w:rPr>
          <w:rFonts w:ascii="Arial" w:cs="Arial" w:eastAsia="Arial" w:hAnsi="Arial"/>
          <w:sz w:val="42"/>
          <w:szCs w:val="42"/>
          <w:color w:val="auto"/>
        </w:rPr>
        <w:t>Table of Contents</w:t>
      </w:r>
    </w:p>
    <w:p>
      <w:pPr>
        <w:sectPr>
          <w:pgSz w:w="11900" w:h="16838" w:orient="portrait"/>
          <w:cols w:equalWidth="0" w:num="1">
            <w:col w:w="11140"/>
          </w:cols>
          <w:pgMar w:left="240" w:top="459" w:right="519" w:bottom="1440" w:gutter="0" w:footer="0" w:header="0"/>
        </w:sectPr>
      </w:pPr>
    </w:p>
    <w:p>
      <w:pPr>
        <w:spacing w:after="0" w:line="273"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4820" w:type="dxa"/>
            <w:vAlign w:val="bottom"/>
            <w:gridSpan w:val="16"/>
          </w:tcPr>
          <w:p>
            <w:pPr>
              <w:spacing w:after="0"/>
              <w:rPr>
                <w:rFonts w:ascii="Arial" w:cs="Arial" w:eastAsia="Arial" w:hAnsi="Arial"/>
                <w:sz w:val="20"/>
                <w:szCs w:val="20"/>
                <w:color w:val="0000EE"/>
              </w:rPr>
            </w:pPr>
            <w:hyperlink w:anchor="page6">
              <w:r>
                <w:rPr>
                  <w:rFonts w:ascii="Arial" w:cs="Arial" w:eastAsia="Arial" w:hAnsi="Arial"/>
                  <w:sz w:val="20"/>
                  <w:szCs w:val="20"/>
                  <w:color w:val="0000EE"/>
                </w:rPr>
                <w:t>Proxy Summary</w:t>
              </w:r>
            </w:hyperlink>
          </w:p>
        </w:tc>
        <w:tc>
          <w:tcPr>
            <w:tcW w:w="380" w:type="dxa"/>
            <w:vAlign w:val="bottom"/>
          </w:tcPr>
          <w:p>
            <w:pPr>
              <w:jc w:val="right"/>
              <w:spacing w:after="0"/>
              <w:rPr>
                <w:sz w:val="20"/>
                <w:szCs w:val="20"/>
                <w:color w:val="auto"/>
              </w:rPr>
            </w:pPr>
            <w:r>
              <w:rPr>
                <w:rFonts w:ascii="Arial" w:cs="Arial" w:eastAsia="Arial" w:hAnsi="Arial"/>
                <w:sz w:val="20"/>
                <w:szCs w:val="20"/>
                <w:color w:val="007CBA"/>
              </w:rPr>
              <w:t>1</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00" w:type="dxa"/>
            <w:vAlign w:val="bottom"/>
            <w:tcBorders>
              <w:bottom w:val="single" w:sz="8" w:color="0000EE"/>
            </w:tcBorders>
            <w:gridSpan w:val="7"/>
          </w:tcPr>
          <w:p>
            <w:pPr>
              <w:spacing w:after="0"/>
              <w:rPr>
                <w:rFonts w:ascii="Arial" w:cs="Arial" w:eastAsia="Arial" w:hAnsi="Arial"/>
                <w:sz w:val="20"/>
                <w:szCs w:val="20"/>
                <w:color w:val="0000EE"/>
                <w:w w:val="98"/>
              </w:rPr>
            </w:pPr>
            <w:hyperlink w:anchor="page12">
              <w:r>
                <w:rPr>
                  <w:rFonts w:ascii="Arial" w:cs="Arial" w:eastAsia="Arial" w:hAnsi="Arial"/>
                  <w:sz w:val="20"/>
                  <w:szCs w:val="20"/>
                  <w:color w:val="0000EE"/>
                  <w:w w:val="98"/>
                </w:rPr>
                <w:t>The Board of Directors</w:t>
              </w:r>
            </w:hyperlink>
          </w:p>
        </w:tc>
        <w:tc>
          <w:tcPr>
            <w:tcW w:w="2820" w:type="dxa"/>
            <w:vAlign w:val="bottom"/>
            <w:gridSpan w:val="9"/>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007CBA"/>
              </w:rPr>
              <w:t>7</w:t>
            </w:r>
          </w:p>
        </w:tc>
        <w:tc>
          <w:tcPr>
            <w:tcW w:w="0" w:type="dxa"/>
            <w:vAlign w:val="bottom"/>
          </w:tcPr>
          <w:p>
            <w:pPr>
              <w:spacing w:after="0"/>
              <w:rPr>
                <w:sz w:val="1"/>
                <w:szCs w:val="1"/>
                <w:color w:val="auto"/>
              </w:rPr>
            </w:pPr>
          </w:p>
        </w:tc>
      </w:tr>
      <w:tr>
        <w:trPr>
          <w:trHeight w:val="236"/>
        </w:trPr>
        <w:tc>
          <w:tcPr>
            <w:tcW w:w="320" w:type="dxa"/>
            <w:vAlign w:val="bottom"/>
          </w:tcPr>
          <w:p>
            <w:pPr>
              <w:spacing w:after="0"/>
              <w:rPr>
                <w:sz w:val="20"/>
                <w:szCs w:val="20"/>
                <w:color w:val="auto"/>
              </w:rPr>
            </w:pPr>
          </w:p>
        </w:tc>
        <w:tc>
          <w:tcPr>
            <w:tcW w:w="1340" w:type="dxa"/>
            <w:vAlign w:val="bottom"/>
            <w:tcBorders>
              <w:bottom w:val="single" w:sz="8" w:color="0000EE"/>
            </w:tcBorders>
            <w:gridSpan w:val="4"/>
          </w:tcPr>
          <w:p>
            <w:pPr>
              <w:spacing w:after="0"/>
              <w:rPr>
                <w:rFonts w:ascii="Arial" w:cs="Arial" w:eastAsia="Arial" w:hAnsi="Arial"/>
                <w:sz w:val="16"/>
                <w:szCs w:val="16"/>
                <w:color w:val="0000EE"/>
                <w:w w:val="99"/>
              </w:rPr>
            </w:pPr>
            <w:hyperlink w:anchor="page16">
              <w:r>
                <w:rPr>
                  <w:rFonts w:ascii="Arial" w:cs="Arial" w:eastAsia="Arial" w:hAnsi="Arial"/>
                  <w:sz w:val="16"/>
                  <w:szCs w:val="16"/>
                  <w:color w:val="0000EE"/>
                  <w:w w:val="99"/>
                </w:rPr>
                <w:t>Board Committees</w:t>
              </w:r>
            </w:hyperlink>
          </w:p>
        </w:tc>
        <w:tc>
          <w:tcPr>
            <w:tcW w:w="3160" w:type="dxa"/>
            <w:vAlign w:val="bottom"/>
            <w:gridSpan w:val="11"/>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58"/>
        </w:trPr>
        <w:tc>
          <w:tcPr>
            <w:tcW w:w="4820" w:type="dxa"/>
            <w:vAlign w:val="bottom"/>
            <w:gridSpan w:val="16"/>
          </w:tcPr>
          <w:p>
            <w:pPr>
              <w:spacing w:after="0"/>
              <w:rPr>
                <w:rFonts w:ascii="Arial" w:cs="Arial" w:eastAsia="Arial" w:hAnsi="Arial"/>
                <w:sz w:val="20"/>
                <w:szCs w:val="20"/>
                <w:color w:val="0000EE"/>
              </w:rPr>
            </w:pPr>
            <w:hyperlink w:anchor="page20">
              <w:r>
                <w:rPr>
                  <w:rFonts w:ascii="Arial" w:cs="Arial" w:eastAsia="Arial" w:hAnsi="Arial"/>
                  <w:sz w:val="20"/>
                  <w:szCs w:val="20"/>
                  <w:color w:val="0000EE"/>
                </w:rPr>
                <w:t>Proposal 1 – Election of Directors</w:t>
              </w:r>
            </w:hyperlink>
          </w:p>
        </w:tc>
        <w:tc>
          <w:tcPr>
            <w:tcW w:w="380" w:type="dxa"/>
            <w:vAlign w:val="bottom"/>
          </w:tcPr>
          <w:p>
            <w:pPr>
              <w:jc w:val="right"/>
              <w:spacing w:after="0"/>
              <w:rPr>
                <w:sz w:val="20"/>
                <w:szCs w:val="20"/>
                <w:color w:val="auto"/>
              </w:rPr>
            </w:pPr>
            <w:r>
              <w:rPr>
                <w:rFonts w:ascii="Arial" w:cs="Arial" w:eastAsia="Arial" w:hAnsi="Arial"/>
                <w:sz w:val="20"/>
                <w:szCs w:val="20"/>
                <w:color w:val="007CBA"/>
              </w:rPr>
              <w:t>15</w:t>
            </w:r>
          </w:p>
        </w:tc>
        <w:tc>
          <w:tcPr>
            <w:tcW w:w="0" w:type="dxa"/>
            <w:vAlign w:val="bottom"/>
          </w:tcPr>
          <w:p>
            <w:pPr>
              <w:spacing w:after="0"/>
              <w:rPr>
                <w:sz w:val="1"/>
                <w:szCs w:val="1"/>
                <w:color w:val="auto"/>
              </w:rPr>
            </w:pPr>
          </w:p>
        </w:tc>
      </w:tr>
      <w:tr>
        <w:trPr>
          <w:trHeight w:val="236"/>
        </w:trPr>
        <w:tc>
          <w:tcPr>
            <w:tcW w:w="320" w:type="dxa"/>
            <w:vAlign w:val="bottom"/>
            <w:tcBorders>
              <w:top w:val="single" w:sz="8" w:color="0000EE"/>
            </w:tcBorders>
          </w:tcPr>
          <w:p>
            <w:pPr>
              <w:spacing w:after="0"/>
              <w:rPr>
                <w:sz w:val="20"/>
                <w:szCs w:val="20"/>
                <w:color w:val="auto"/>
              </w:rPr>
            </w:pPr>
          </w:p>
        </w:tc>
        <w:tc>
          <w:tcPr>
            <w:tcW w:w="1660" w:type="dxa"/>
            <w:vAlign w:val="bottom"/>
            <w:tcBorders>
              <w:top w:val="single" w:sz="8" w:color="0000EE"/>
              <w:bottom w:val="single" w:sz="8" w:color="0000EE"/>
            </w:tcBorders>
            <w:gridSpan w:val="5"/>
          </w:tcPr>
          <w:p>
            <w:pPr>
              <w:spacing w:after="0"/>
              <w:rPr>
                <w:rFonts w:ascii="Arial" w:cs="Arial" w:eastAsia="Arial" w:hAnsi="Arial"/>
                <w:sz w:val="16"/>
                <w:szCs w:val="16"/>
                <w:color w:val="0000EE"/>
              </w:rPr>
            </w:pPr>
            <w:hyperlink w:anchor="page25">
              <w:r>
                <w:rPr>
                  <w:rFonts w:ascii="Arial" w:cs="Arial" w:eastAsia="Arial" w:hAnsi="Arial"/>
                  <w:sz w:val="16"/>
                  <w:szCs w:val="16"/>
                  <w:color w:val="0000EE"/>
                </w:rPr>
                <w:t>Director Compensation</w:t>
              </w:r>
            </w:hyperlink>
          </w:p>
        </w:tc>
        <w:tc>
          <w:tcPr>
            <w:tcW w:w="940" w:type="dxa"/>
            <w:vAlign w:val="bottom"/>
            <w:tcBorders>
              <w:top w:val="single" w:sz="8" w:color="0000EE"/>
            </w:tcBorders>
            <w:gridSpan w:val="5"/>
          </w:tcPr>
          <w:p>
            <w:pPr>
              <w:spacing w:after="0"/>
              <w:rPr>
                <w:sz w:val="20"/>
                <w:szCs w:val="20"/>
                <w:color w:val="auto"/>
              </w:rPr>
            </w:pPr>
          </w:p>
        </w:tc>
        <w:tc>
          <w:tcPr>
            <w:tcW w:w="1900" w:type="dxa"/>
            <w:vAlign w:val="bottom"/>
            <w:gridSpan w:val="5"/>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58"/>
        </w:trPr>
        <w:tc>
          <w:tcPr>
            <w:tcW w:w="4660" w:type="dxa"/>
            <w:vAlign w:val="bottom"/>
            <w:tcBorders>
              <w:bottom w:val="single" w:sz="8" w:color="0000EE"/>
            </w:tcBorders>
            <w:gridSpan w:val="15"/>
          </w:tcPr>
          <w:p>
            <w:pPr>
              <w:spacing w:after="0"/>
              <w:rPr>
                <w:rFonts w:ascii="Arial" w:cs="Arial" w:eastAsia="Arial" w:hAnsi="Arial"/>
                <w:sz w:val="20"/>
                <w:szCs w:val="20"/>
                <w:color w:val="0000EE"/>
                <w:w w:val="98"/>
              </w:rPr>
            </w:pPr>
            <w:hyperlink w:anchor="page27">
              <w:r>
                <w:rPr>
                  <w:rFonts w:ascii="Arial" w:cs="Arial" w:eastAsia="Arial" w:hAnsi="Arial"/>
                  <w:sz w:val="20"/>
                  <w:szCs w:val="20"/>
                  <w:color w:val="0000EE"/>
                  <w:w w:val="98"/>
                </w:rPr>
                <w:t>Security Ownership of Certain Beneficial Owners and</w:t>
              </w:r>
            </w:hyperlink>
          </w:p>
        </w:tc>
        <w:tc>
          <w:tcPr>
            <w:tcW w:w="160" w:type="dxa"/>
            <w:vAlign w:val="bottom"/>
          </w:tcPr>
          <w:p>
            <w:pPr>
              <w:spacing w:after="0"/>
              <w:rPr>
                <w:sz w:val="24"/>
                <w:szCs w:val="24"/>
                <w:color w:val="auto"/>
              </w:rPr>
            </w:pPr>
          </w:p>
        </w:tc>
        <w:tc>
          <w:tcPr>
            <w:tcW w:w="380" w:type="dxa"/>
            <w:vAlign w:val="bottom"/>
            <w:vMerge w:val="restart"/>
          </w:tcPr>
          <w:p>
            <w:pPr>
              <w:jc w:val="right"/>
              <w:spacing w:after="0"/>
              <w:rPr>
                <w:sz w:val="20"/>
                <w:szCs w:val="20"/>
                <w:color w:val="auto"/>
              </w:rPr>
            </w:pPr>
            <w:r>
              <w:rPr>
                <w:rFonts w:ascii="Arial" w:cs="Arial" w:eastAsia="Arial" w:hAnsi="Arial"/>
                <w:sz w:val="20"/>
                <w:szCs w:val="20"/>
                <w:color w:val="007CBA"/>
              </w:rPr>
              <w:t>22</w:t>
            </w:r>
          </w:p>
        </w:tc>
        <w:tc>
          <w:tcPr>
            <w:tcW w:w="0" w:type="dxa"/>
            <w:vAlign w:val="bottom"/>
          </w:tcPr>
          <w:p>
            <w:pPr>
              <w:spacing w:after="0"/>
              <w:rPr>
                <w:sz w:val="1"/>
                <w:szCs w:val="1"/>
                <w:color w:val="auto"/>
              </w:rPr>
            </w:pPr>
          </w:p>
        </w:tc>
      </w:tr>
      <w:tr>
        <w:trPr>
          <w:trHeight w:val="196"/>
        </w:trPr>
        <w:tc>
          <w:tcPr>
            <w:tcW w:w="4820" w:type="dxa"/>
            <w:vAlign w:val="bottom"/>
            <w:gridSpan w:val="16"/>
          </w:tcPr>
          <w:p>
            <w:pPr>
              <w:spacing w:after="0" w:line="196" w:lineRule="exact"/>
              <w:rPr>
                <w:rFonts w:ascii="Arial" w:cs="Arial" w:eastAsia="Arial" w:hAnsi="Arial"/>
                <w:sz w:val="20"/>
                <w:szCs w:val="20"/>
                <w:color w:val="0000EE"/>
              </w:rPr>
            </w:pPr>
            <w:hyperlink w:anchor="page27">
              <w:r>
                <w:rPr>
                  <w:rFonts w:ascii="Arial" w:cs="Arial" w:eastAsia="Arial" w:hAnsi="Arial"/>
                  <w:sz w:val="20"/>
                  <w:szCs w:val="20"/>
                  <w:color w:val="0000EE"/>
                </w:rPr>
                <w:t>Management</w:t>
              </w:r>
            </w:hyperlink>
          </w:p>
        </w:tc>
        <w:tc>
          <w:tcPr>
            <w:tcW w:w="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p>
        </w:tc>
        <w:tc>
          <w:tcPr>
            <w:tcW w:w="4180" w:type="dxa"/>
            <w:vAlign w:val="bottom"/>
            <w:tcBorders>
              <w:bottom w:val="single" w:sz="8" w:color="0000EE"/>
            </w:tcBorders>
            <w:gridSpan w:val="13"/>
          </w:tcPr>
          <w:p>
            <w:pPr>
              <w:spacing w:after="0"/>
              <w:rPr>
                <w:rFonts w:ascii="Arial" w:cs="Arial" w:eastAsia="Arial" w:hAnsi="Arial"/>
                <w:sz w:val="16"/>
                <w:szCs w:val="16"/>
                <w:color w:val="0000EE"/>
              </w:rPr>
            </w:pPr>
            <w:hyperlink w:anchor="page28">
              <w:r>
                <w:rPr>
                  <w:rFonts w:ascii="Arial" w:cs="Arial" w:eastAsia="Arial" w:hAnsi="Arial"/>
                  <w:sz w:val="16"/>
                  <w:szCs w:val="16"/>
                  <w:color w:val="0000EE"/>
                </w:rPr>
                <w:t>Section 16(a) Beneficial Ownership Reporting Compliance</w:t>
              </w:r>
            </w:hyperlink>
          </w:p>
        </w:tc>
        <w:tc>
          <w:tcPr>
            <w:tcW w:w="320" w:type="dxa"/>
            <w:vAlign w:val="bottom"/>
            <w:gridSpan w:val="2"/>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58"/>
        </w:trPr>
        <w:tc>
          <w:tcPr>
            <w:tcW w:w="2720" w:type="dxa"/>
            <w:vAlign w:val="bottom"/>
            <w:tcBorders>
              <w:bottom w:val="single" w:sz="8" w:color="0000EE"/>
            </w:tcBorders>
            <w:gridSpan w:val="9"/>
          </w:tcPr>
          <w:p>
            <w:pPr>
              <w:spacing w:after="0"/>
              <w:rPr>
                <w:rFonts w:ascii="Arial" w:cs="Arial" w:eastAsia="Arial" w:hAnsi="Arial"/>
                <w:sz w:val="20"/>
                <w:szCs w:val="20"/>
                <w:color w:val="0000EE"/>
                <w:w w:val="97"/>
              </w:rPr>
            </w:pPr>
            <w:hyperlink w:anchor="page29">
              <w:r>
                <w:rPr>
                  <w:rFonts w:ascii="Arial" w:cs="Arial" w:eastAsia="Arial" w:hAnsi="Arial"/>
                  <w:sz w:val="20"/>
                  <w:szCs w:val="20"/>
                  <w:color w:val="0000EE"/>
                  <w:w w:val="97"/>
                </w:rPr>
                <w:t>Corporate Governance Matters</w:t>
              </w:r>
            </w:hyperlink>
          </w:p>
        </w:tc>
        <w:tc>
          <w:tcPr>
            <w:tcW w:w="2100" w:type="dxa"/>
            <w:vAlign w:val="bottom"/>
            <w:gridSpan w:val="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007CBA"/>
              </w:rPr>
              <w:t>24</w:t>
            </w:r>
          </w:p>
        </w:tc>
        <w:tc>
          <w:tcPr>
            <w:tcW w:w="0" w:type="dxa"/>
            <w:vAlign w:val="bottom"/>
          </w:tcPr>
          <w:p>
            <w:pPr>
              <w:spacing w:after="0"/>
              <w:rPr>
                <w:sz w:val="1"/>
                <w:szCs w:val="1"/>
                <w:color w:val="auto"/>
              </w:rPr>
            </w:pPr>
          </w:p>
        </w:tc>
      </w:tr>
      <w:tr>
        <w:trPr>
          <w:trHeight w:val="236"/>
        </w:trPr>
        <w:tc>
          <w:tcPr>
            <w:tcW w:w="320" w:type="dxa"/>
            <w:vAlign w:val="bottom"/>
          </w:tcPr>
          <w:p>
            <w:pPr>
              <w:spacing w:after="0"/>
              <w:rPr>
                <w:sz w:val="20"/>
                <w:szCs w:val="20"/>
                <w:color w:val="auto"/>
              </w:rPr>
            </w:pPr>
          </w:p>
        </w:tc>
        <w:tc>
          <w:tcPr>
            <w:tcW w:w="4500" w:type="dxa"/>
            <w:vAlign w:val="bottom"/>
            <w:gridSpan w:val="15"/>
          </w:tcPr>
          <w:p>
            <w:pPr>
              <w:spacing w:after="0"/>
              <w:rPr>
                <w:rFonts w:ascii="Arial" w:cs="Arial" w:eastAsia="Arial" w:hAnsi="Arial"/>
                <w:sz w:val="16"/>
                <w:szCs w:val="16"/>
                <w:color w:val="0000EE"/>
              </w:rPr>
            </w:pPr>
            <w:hyperlink w:anchor="page29">
              <w:r>
                <w:rPr>
                  <w:rFonts w:ascii="Arial" w:cs="Arial" w:eastAsia="Arial" w:hAnsi="Arial"/>
                  <w:sz w:val="16"/>
                  <w:szCs w:val="16"/>
                  <w:color w:val="0000EE"/>
                </w:rPr>
                <w:t>Corporate Governance Philosophy</w:t>
              </w:r>
            </w:hyperlink>
          </w:p>
        </w:tc>
        <w:tc>
          <w:tcPr>
            <w:tcW w:w="38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040" w:type="dxa"/>
            <w:vAlign w:val="bottom"/>
            <w:tcBorders>
              <w:bottom w:val="single" w:sz="8" w:color="0000EE"/>
            </w:tcBorders>
            <w:gridSpan w:val="12"/>
          </w:tcPr>
          <w:p>
            <w:pPr>
              <w:spacing w:after="0"/>
              <w:rPr>
                <w:rFonts w:ascii="Arial" w:cs="Arial" w:eastAsia="Arial" w:hAnsi="Arial"/>
                <w:sz w:val="20"/>
                <w:szCs w:val="20"/>
                <w:color w:val="0000EE"/>
                <w:w w:val="98"/>
              </w:rPr>
            </w:pPr>
            <w:hyperlink w:anchor="page34">
              <w:r>
                <w:rPr>
                  <w:rFonts w:ascii="Arial" w:cs="Arial" w:eastAsia="Arial" w:hAnsi="Arial"/>
                  <w:sz w:val="20"/>
                  <w:szCs w:val="20"/>
                  <w:color w:val="0000EE"/>
                  <w:w w:val="98"/>
                </w:rPr>
                <w:t>Proposal 2 – Independent Auditors</w:t>
              </w:r>
            </w:hyperlink>
          </w:p>
        </w:tc>
        <w:tc>
          <w:tcPr>
            <w:tcW w:w="178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007CBA"/>
              </w:rPr>
              <w:t>29</w:t>
            </w:r>
          </w:p>
        </w:tc>
        <w:tc>
          <w:tcPr>
            <w:tcW w:w="0" w:type="dxa"/>
            <w:vAlign w:val="bottom"/>
          </w:tcPr>
          <w:p>
            <w:pPr>
              <w:spacing w:after="0"/>
              <w:rPr>
                <w:sz w:val="1"/>
                <w:szCs w:val="1"/>
                <w:color w:val="auto"/>
              </w:rPr>
            </w:pPr>
          </w:p>
        </w:tc>
      </w:tr>
      <w:tr>
        <w:trPr>
          <w:trHeight w:val="236"/>
        </w:trPr>
        <w:tc>
          <w:tcPr>
            <w:tcW w:w="320" w:type="dxa"/>
            <w:vAlign w:val="bottom"/>
          </w:tcPr>
          <w:p>
            <w:pPr>
              <w:spacing w:after="0"/>
              <w:rPr>
                <w:sz w:val="20"/>
                <w:szCs w:val="20"/>
                <w:color w:val="auto"/>
              </w:rPr>
            </w:pPr>
          </w:p>
        </w:tc>
        <w:tc>
          <w:tcPr>
            <w:tcW w:w="1280" w:type="dxa"/>
            <w:vAlign w:val="bottom"/>
            <w:tcBorders>
              <w:bottom w:val="single" w:sz="8" w:color="0000EE"/>
            </w:tcBorders>
            <w:gridSpan w:val="3"/>
          </w:tcPr>
          <w:p>
            <w:pPr>
              <w:spacing w:after="0"/>
              <w:rPr>
                <w:rFonts w:ascii="Arial" w:cs="Arial" w:eastAsia="Arial" w:hAnsi="Arial"/>
                <w:sz w:val="16"/>
                <w:szCs w:val="16"/>
                <w:color w:val="0000EE"/>
                <w:w w:val="99"/>
              </w:rPr>
            </w:pPr>
            <w:hyperlink w:anchor="page34">
              <w:r>
                <w:rPr>
                  <w:rFonts w:ascii="Arial" w:cs="Arial" w:eastAsia="Arial" w:hAnsi="Arial"/>
                  <w:sz w:val="16"/>
                  <w:szCs w:val="16"/>
                  <w:color w:val="0000EE"/>
                  <w:w w:val="99"/>
                </w:rPr>
                <w:t>Summary of Fees</w:t>
              </w:r>
            </w:hyperlink>
          </w:p>
        </w:tc>
        <w:tc>
          <w:tcPr>
            <w:tcW w:w="3220" w:type="dxa"/>
            <w:vAlign w:val="bottom"/>
            <w:gridSpan w:val="12"/>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36"/>
        </w:trPr>
        <w:tc>
          <w:tcPr>
            <w:tcW w:w="320" w:type="dxa"/>
            <w:vAlign w:val="bottom"/>
          </w:tcPr>
          <w:p>
            <w:pPr>
              <w:spacing w:after="0"/>
              <w:rPr>
                <w:sz w:val="20"/>
                <w:szCs w:val="20"/>
                <w:color w:val="auto"/>
              </w:rPr>
            </w:pPr>
          </w:p>
        </w:tc>
        <w:tc>
          <w:tcPr>
            <w:tcW w:w="2740" w:type="dxa"/>
            <w:vAlign w:val="bottom"/>
            <w:tcBorders>
              <w:bottom w:val="single" w:sz="8" w:color="0000EE"/>
            </w:tcBorders>
            <w:gridSpan w:val="12"/>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Pre-Approval Policies and Procedures</w:t>
              </w:r>
            </w:hyperlink>
          </w:p>
        </w:tc>
        <w:tc>
          <w:tcPr>
            <w:tcW w:w="1760" w:type="dxa"/>
            <w:vAlign w:val="bottom"/>
            <w:gridSpan w:val="3"/>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36"/>
        </w:trPr>
        <w:tc>
          <w:tcPr>
            <w:tcW w:w="320" w:type="dxa"/>
            <w:vAlign w:val="bottom"/>
          </w:tcPr>
          <w:p>
            <w:pPr>
              <w:spacing w:after="0"/>
              <w:rPr>
                <w:sz w:val="20"/>
                <w:szCs w:val="20"/>
                <w:color w:val="auto"/>
              </w:rPr>
            </w:pPr>
          </w:p>
        </w:tc>
        <w:tc>
          <w:tcPr>
            <w:tcW w:w="1780" w:type="dxa"/>
            <w:vAlign w:val="bottom"/>
            <w:tcBorders>
              <w:bottom w:val="single" w:sz="8" w:color="0000EE"/>
            </w:tcBorders>
            <w:gridSpan w:val="7"/>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Audit Committee Review</w:t>
              </w:r>
            </w:hyperlink>
          </w:p>
        </w:tc>
        <w:tc>
          <w:tcPr>
            <w:tcW w:w="2720" w:type="dxa"/>
            <w:vAlign w:val="bottom"/>
            <w:gridSpan w:val="8"/>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4220" w:type="dxa"/>
            <w:vAlign w:val="bottom"/>
            <w:gridSpan w:val="13"/>
          </w:tcPr>
          <w:p>
            <w:pPr>
              <w:spacing w:after="0"/>
              <w:rPr>
                <w:rFonts w:ascii="Arial" w:cs="Arial" w:eastAsia="Arial" w:hAnsi="Arial"/>
                <w:sz w:val="16"/>
                <w:szCs w:val="16"/>
                <w:color w:val="0000EE"/>
              </w:rPr>
            </w:pPr>
            <w:hyperlink w:anchor="page52">
              <w:r>
                <w:rPr>
                  <w:rFonts w:ascii="Arial" w:cs="Arial" w:eastAsia="Arial" w:hAnsi="Arial"/>
                  <w:sz w:val="16"/>
                  <w:szCs w:val="16"/>
                  <w:color w:val="0000EE"/>
                </w:rPr>
                <w:t>Performance-Based RSU Awards (45% of LTI Award)</w:t>
              </w:r>
            </w:hyperlink>
          </w:p>
        </w:tc>
        <w:tc>
          <w:tcPr>
            <w:tcW w:w="76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50"/>
        </w:trPr>
        <w:tc>
          <w:tcPr>
            <w:tcW w:w="2300" w:type="dxa"/>
            <w:vAlign w:val="bottom"/>
            <w:tcBorders>
              <w:top w:val="single" w:sz="8" w:color="0000EE"/>
              <w:bottom w:val="single" w:sz="8" w:color="0000EE"/>
            </w:tcBorders>
            <w:gridSpan w:val="6"/>
          </w:tcPr>
          <w:p>
            <w:pPr>
              <w:spacing w:after="0"/>
              <w:rPr>
                <w:rFonts w:ascii="Arial" w:cs="Arial" w:eastAsia="Arial" w:hAnsi="Arial"/>
                <w:sz w:val="16"/>
                <w:szCs w:val="16"/>
                <w:color w:val="0000EE"/>
                <w:w w:val="99"/>
              </w:rPr>
            </w:pPr>
            <w:hyperlink w:anchor="page52">
              <w:r>
                <w:rPr>
                  <w:rFonts w:ascii="Arial" w:cs="Arial" w:eastAsia="Arial" w:hAnsi="Arial"/>
                  <w:sz w:val="16"/>
                  <w:szCs w:val="16"/>
                  <w:color w:val="0000EE"/>
                  <w:w w:val="99"/>
                </w:rPr>
                <w:t>2018 LTI (PSU and RSU) Goals</w:t>
              </w:r>
            </w:hyperlink>
          </w:p>
        </w:tc>
        <w:tc>
          <w:tcPr>
            <w:tcW w:w="1520" w:type="dxa"/>
            <w:vAlign w:val="bottom"/>
            <w:tcBorders>
              <w:top w:val="single" w:sz="8" w:color="0000EE"/>
            </w:tcBorders>
            <w:gridSpan w:val="6"/>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36"/>
        </w:trPr>
        <w:tc>
          <w:tcPr>
            <w:tcW w:w="4220" w:type="dxa"/>
            <w:vAlign w:val="bottom"/>
            <w:gridSpan w:val="13"/>
          </w:tcPr>
          <w:p>
            <w:pPr>
              <w:spacing w:after="0"/>
              <w:rPr>
                <w:rFonts w:ascii="Arial" w:cs="Arial" w:eastAsia="Arial" w:hAnsi="Arial"/>
                <w:sz w:val="16"/>
                <w:szCs w:val="16"/>
                <w:color w:val="0000EE"/>
              </w:rPr>
            </w:pPr>
            <w:hyperlink w:anchor="page53">
              <w:r>
                <w:rPr>
                  <w:rFonts w:ascii="Arial" w:cs="Arial" w:eastAsia="Arial" w:hAnsi="Arial"/>
                  <w:sz w:val="16"/>
                  <w:szCs w:val="16"/>
                  <w:color w:val="0000EE"/>
                </w:rPr>
                <w:t>2018-2020 Performance Goals</w:t>
              </w:r>
            </w:hyperlink>
          </w:p>
        </w:tc>
        <w:tc>
          <w:tcPr>
            <w:tcW w:w="76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0"/>
        </w:trPr>
        <w:tc>
          <w:tcPr>
            <w:tcW w:w="8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6"/>
        </w:trPr>
        <w:tc>
          <w:tcPr>
            <w:tcW w:w="2300" w:type="dxa"/>
            <w:vAlign w:val="bottom"/>
            <w:tcBorders>
              <w:bottom w:val="single" w:sz="8" w:color="0000EE"/>
            </w:tcBorders>
            <w:gridSpan w:val="6"/>
          </w:tcPr>
          <w:p>
            <w:pPr>
              <w:spacing w:after="0"/>
              <w:rPr>
                <w:rFonts w:ascii="Arial" w:cs="Arial" w:eastAsia="Arial" w:hAnsi="Arial"/>
                <w:sz w:val="16"/>
                <w:szCs w:val="16"/>
                <w:color w:val="0000EE"/>
              </w:rPr>
            </w:pPr>
            <w:hyperlink w:anchor="page53">
              <w:r>
                <w:rPr>
                  <w:rFonts w:ascii="Arial" w:cs="Arial" w:eastAsia="Arial" w:hAnsi="Arial"/>
                  <w:sz w:val="16"/>
                  <w:szCs w:val="16"/>
                  <w:color w:val="0000EE"/>
                </w:rPr>
                <w:t>2016-2018 PSU Award Payouts</w:t>
              </w:r>
            </w:hyperlink>
          </w:p>
        </w:tc>
        <w:tc>
          <w:tcPr>
            <w:tcW w:w="1920" w:type="dxa"/>
            <w:vAlign w:val="bottom"/>
            <w:gridSpan w:val="7"/>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36"/>
        </w:trPr>
        <w:tc>
          <w:tcPr>
            <w:tcW w:w="2900" w:type="dxa"/>
            <w:vAlign w:val="bottom"/>
            <w:tcBorders>
              <w:bottom w:val="single" w:sz="8" w:color="0000EE"/>
            </w:tcBorders>
            <w:gridSpan w:val="8"/>
          </w:tcPr>
          <w:p>
            <w:pPr>
              <w:spacing w:after="0"/>
              <w:rPr>
                <w:rFonts w:ascii="Arial" w:cs="Arial" w:eastAsia="Arial" w:hAnsi="Arial"/>
                <w:sz w:val="16"/>
                <w:szCs w:val="16"/>
                <w:color w:val="0000EE"/>
              </w:rPr>
            </w:pPr>
            <w:hyperlink w:anchor="page54">
              <w:r>
                <w:rPr>
                  <w:rFonts w:ascii="Arial" w:cs="Arial" w:eastAsia="Arial" w:hAnsi="Arial"/>
                  <w:sz w:val="16"/>
                  <w:szCs w:val="16"/>
                  <w:color w:val="0000EE"/>
                </w:rPr>
                <w:t>Ongoing Corporate Governance Policies</w:t>
              </w:r>
            </w:hyperlink>
          </w:p>
        </w:tc>
        <w:tc>
          <w:tcPr>
            <w:tcW w:w="1320" w:type="dxa"/>
            <w:vAlign w:val="bottom"/>
            <w:gridSpan w:val="5"/>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36"/>
        </w:trPr>
        <w:tc>
          <w:tcPr>
            <w:tcW w:w="2340" w:type="dxa"/>
            <w:vAlign w:val="bottom"/>
            <w:tcBorders>
              <w:bottom w:val="single" w:sz="8" w:color="0000EE"/>
            </w:tcBorders>
            <w:gridSpan w:val="7"/>
          </w:tcPr>
          <w:p>
            <w:pPr>
              <w:spacing w:after="0"/>
              <w:rPr>
                <w:rFonts w:ascii="Arial" w:cs="Arial" w:eastAsia="Arial" w:hAnsi="Arial"/>
                <w:sz w:val="16"/>
                <w:szCs w:val="16"/>
                <w:color w:val="0000EE"/>
              </w:rPr>
            </w:pPr>
            <w:hyperlink w:anchor="page54">
              <w:r>
                <w:rPr>
                  <w:rFonts w:ascii="Arial" w:cs="Arial" w:eastAsia="Arial" w:hAnsi="Arial"/>
                  <w:sz w:val="16"/>
                  <w:szCs w:val="16"/>
                  <w:color w:val="0000EE"/>
                </w:rPr>
                <w:t>Compensation Decision Process</w:t>
              </w:r>
            </w:hyperlink>
          </w:p>
        </w:tc>
        <w:tc>
          <w:tcPr>
            <w:tcW w:w="1880" w:type="dxa"/>
            <w:vAlign w:val="bottom"/>
            <w:gridSpan w:val="6"/>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36"/>
        </w:trPr>
        <w:tc>
          <w:tcPr>
            <w:tcW w:w="4220" w:type="dxa"/>
            <w:vAlign w:val="bottom"/>
            <w:gridSpan w:val="13"/>
          </w:tcPr>
          <w:p>
            <w:pPr>
              <w:spacing w:after="0"/>
              <w:rPr>
                <w:rFonts w:ascii="Arial" w:cs="Arial" w:eastAsia="Arial" w:hAnsi="Arial"/>
                <w:sz w:val="16"/>
                <w:szCs w:val="16"/>
                <w:color w:val="0000EE"/>
              </w:rPr>
            </w:pPr>
            <w:hyperlink w:anchor="page55">
              <w:r>
                <w:rPr>
                  <w:rFonts w:ascii="Arial" w:cs="Arial" w:eastAsia="Arial" w:hAnsi="Arial"/>
                  <w:sz w:val="16"/>
                  <w:szCs w:val="16"/>
                  <w:color w:val="0000EE"/>
                </w:rPr>
                <w:t>Compensation Program Risk Assessment</w:t>
              </w:r>
            </w:hyperlink>
          </w:p>
        </w:tc>
        <w:tc>
          <w:tcPr>
            <w:tcW w:w="76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36"/>
        </w:trPr>
        <w:tc>
          <w:tcPr>
            <w:tcW w:w="2240" w:type="dxa"/>
            <w:vAlign w:val="bottom"/>
            <w:tcBorders>
              <w:top w:val="single" w:sz="8" w:color="0000EE"/>
              <w:bottom w:val="single" w:sz="8" w:color="0000EE"/>
            </w:tcBorders>
            <w:gridSpan w:val="4"/>
          </w:tcPr>
          <w:p>
            <w:pPr>
              <w:spacing w:after="0"/>
              <w:rPr>
                <w:rFonts w:ascii="Arial" w:cs="Arial" w:eastAsia="Arial" w:hAnsi="Arial"/>
                <w:sz w:val="16"/>
                <w:szCs w:val="16"/>
                <w:color w:val="0000EE"/>
              </w:rPr>
            </w:pPr>
            <w:hyperlink w:anchor="page56">
              <w:r>
                <w:rPr>
                  <w:rFonts w:ascii="Arial" w:cs="Arial" w:eastAsia="Arial" w:hAnsi="Arial"/>
                  <w:sz w:val="16"/>
                  <w:szCs w:val="16"/>
                  <w:color w:val="0000EE"/>
                </w:rPr>
                <w:t>Stock-Based Awards Generally</w:t>
              </w:r>
            </w:hyperlink>
          </w:p>
        </w:tc>
        <w:tc>
          <w:tcPr>
            <w:tcW w:w="740" w:type="dxa"/>
            <w:vAlign w:val="bottom"/>
            <w:tcBorders>
              <w:top w:val="single" w:sz="8" w:color="0000EE"/>
            </w:tcBorders>
            <w:gridSpan w:val="5"/>
          </w:tcPr>
          <w:p>
            <w:pPr>
              <w:spacing w:after="0"/>
              <w:rPr>
                <w:sz w:val="20"/>
                <w:szCs w:val="20"/>
                <w:color w:val="auto"/>
              </w:rPr>
            </w:pPr>
          </w:p>
        </w:tc>
        <w:tc>
          <w:tcPr>
            <w:tcW w:w="1240" w:type="dxa"/>
            <w:vAlign w:val="bottom"/>
            <w:gridSpan w:val="4"/>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36"/>
        </w:trPr>
        <w:tc>
          <w:tcPr>
            <w:tcW w:w="4220" w:type="dxa"/>
            <w:vAlign w:val="bottom"/>
            <w:gridSpan w:val="13"/>
          </w:tcPr>
          <w:p>
            <w:pPr>
              <w:spacing w:after="0"/>
              <w:rPr>
                <w:rFonts w:ascii="Arial" w:cs="Arial" w:eastAsia="Arial" w:hAnsi="Arial"/>
                <w:sz w:val="16"/>
                <w:szCs w:val="16"/>
                <w:color w:val="0000EE"/>
              </w:rPr>
            </w:pPr>
            <w:hyperlink w:anchor="page56">
              <w:r>
                <w:rPr>
                  <w:rFonts w:ascii="Arial" w:cs="Arial" w:eastAsia="Arial" w:hAnsi="Arial"/>
                  <w:sz w:val="16"/>
                  <w:szCs w:val="16"/>
                  <w:color w:val="0000EE"/>
                </w:rPr>
                <w:t>Stock Ownership Requirements</w:t>
              </w:r>
            </w:hyperlink>
          </w:p>
        </w:tc>
        <w:tc>
          <w:tcPr>
            <w:tcW w:w="76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36"/>
        </w:trPr>
        <w:tc>
          <w:tcPr>
            <w:tcW w:w="1180" w:type="dxa"/>
            <w:vAlign w:val="bottom"/>
            <w:tcBorders>
              <w:top w:val="single" w:sz="8" w:color="0000EE"/>
              <w:bottom w:val="single" w:sz="8" w:color="0000EE"/>
            </w:tcBorders>
            <w:gridSpan w:val="2"/>
          </w:tcPr>
          <w:p>
            <w:pPr>
              <w:spacing w:after="0"/>
              <w:rPr>
                <w:rFonts w:ascii="Arial" w:cs="Arial" w:eastAsia="Arial" w:hAnsi="Arial"/>
                <w:sz w:val="16"/>
                <w:szCs w:val="16"/>
                <w:color w:val="0000EE"/>
                <w:w w:val="99"/>
              </w:rPr>
            </w:pPr>
            <w:hyperlink w:anchor="page56">
              <w:r>
                <w:rPr>
                  <w:rFonts w:ascii="Arial" w:cs="Arial" w:eastAsia="Arial" w:hAnsi="Arial"/>
                  <w:sz w:val="16"/>
                  <w:szCs w:val="16"/>
                  <w:color w:val="0000EE"/>
                  <w:w w:val="99"/>
                </w:rPr>
                <w:t>Clawback Policy</w:t>
              </w:r>
            </w:hyperlink>
          </w:p>
        </w:tc>
        <w:tc>
          <w:tcPr>
            <w:tcW w:w="1080" w:type="dxa"/>
            <w:vAlign w:val="bottom"/>
            <w:tcBorders>
              <w:top w:val="single" w:sz="8" w:color="0000EE"/>
            </w:tcBorders>
            <w:gridSpan w:val="3"/>
          </w:tcPr>
          <w:p>
            <w:pPr>
              <w:spacing w:after="0"/>
              <w:rPr>
                <w:sz w:val="20"/>
                <w:szCs w:val="20"/>
                <w:color w:val="auto"/>
              </w:rPr>
            </w:pPr>
          </w:p>
        </w:tc>
        <w:tc>
          <w:tcPr>
            <w:tcW w:w="1960" w:type="dxa"/>
            <w:vAlign w:val="bottom"/>
            <w:gridSpan w:val="8"/>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36"/>
        </w:trPr>
        <w:tc>
          <w:tcPr>
            <w:tcW w:w="4220" w:type="dxa"/>
            <w:vAlign w:val="bottom"/>
            <w:gridSpan w:val="13"/>
          </w:tcPr>
          <w:p>
            <w:pPr>
              <w:spacing w:after="0"/>
              <w:rPr>
                <w:rFonts w:ascii="Arial" w:cs="Arial" w:eastAsia="Arial" w:hAnsi="Arial"/>
                <w:sz w:val="16"/>
                <w:szCs w:val="16"/>
                <w:color w:val="0000EE"/>
              </w:rPr>
            </w:pPr>
            <w:hyperlink w:anchor="page57">
              <w:r>
                <w:rPr>
                  <w:rFonts w:ascii="Arial" w:cs="Arial" w:eastAsia="Arial" w:hAnsi="Arial"/>
                  <w:sz w:val="16"/>
                  <w:szCs w:val="16"/>
                  <w:color w:val="0000EE"/>
                </w:rPr>
                <w:t>Our Use of Independent Compensation Consultants</w:t>
              </w:r>
            </w:hyperlink>
          </w:p>
        </w:tc>
        <w:tc>
          <w:tcPr>
            <w:tcW w:w="76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36"/>
        </w:trPr>
        <w:tc>
          <w:tcPr>
            <w:tcW w:w="3100" w:type="dxa"/>
            <w:vAlign w:val="bottom"/>
            <w:tcBorders>
              <w:top w:val="single" w:sz="8" w:color="0000EE"/>
              <w:bottom w:val="single" w:sz="8" w:color="0000EE"/>
            </w:tcBorders>
            <w:gridSpan w:val="10"/>
          </w:tcPr>
          <w:p>
            <w:pPr>
              <w:spacing w:after="0"/>
              <w:rPr>
                <w:rFonts w:ascii="Arial" w:cs="Arial" w:eastAsia="Arial" w:hAnsi="Arial"/>
                <w:sz w:val="16"/>
                <w:szCs w:val="16"/>
                <w:color w:val="0000EE"/>
              </w:rPr>
            </w:pPr>
            <w:hyperlink w:anchor="page57">
              <w:r>
                <w:rPr>
                  <w:rFonts w:ascii="Arial" w:cs="Arial" w:eastAsia="Arial" w:hAnsi="Arial"/>
                  <w:sz w:val="16"/>
                  <w:szCs w:val="16"/>
                  <w:color w:val="0000EE"/>
                </w:rPr>
                <w:t>Practice Regarding Timing of Equity Grants</w:t>
              </w:r>
            </w:hyperlink>
          </w:p>
        </w:tc>
        <w:tc>
          <w:tcPr>
            <w:tcW w:w="600" w:type="dxa"/>
            <w:vAlign w:val="bottom"/>
            <w:tcBorders>
              <w:top w:val="single" w:sz="8" w:color="0000EE"/>
            </w:tcBorders>
          </w:tcPr>
          <w:p>
            <w:pPr>
              <w:spacing w:after="0"/>
              <w:rPr>
                <w:sz w:val="20"/>
                <w:szCs w:val="20"/>
                <w:color w:val="auto"/>
              </w:rPr>
            </w:pPr>
          </w:p>
        </w:tc>
        <w:tc>
          <w:tcPr>
            <w:tcW w:w="520" w:type="dxa"/>
            <w:vAlign w:val="bottom"/>
            <w:gridSpan w:val="2"/>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36"/>
        </w:trPr>
        <w:tc>
          <w:tcPr>
            <w:tcW w:w="800" w:type="dxa"/>
            <w:vAlign w:val="bottom"/>
            <w:tcBorders>
              <w:bottom w:val="single" w:sz="8" w:color="0000EE"/>
            </w:tcBorders>
          </w:tcPr>
          <w:p>
            <w:pPr>
              <w:spacing w:after="0"/>
              <w:rPr>
                <w:rFonts w:ascii="Arial" w:cs="Arial" w:eastAsia="Arial" w:hAnsi="Arial"/>
                <w:sz w:val="16"/>
                <w:szCs w:val="16"/>
                <w:color w:val="0000EE"/>
                <w:w w:val="98"/>
              </w:rPr>
            </w:pPr>
            <w:hyperlink w:anchor="page58">
              <w:r>
                <w:rPr>
                  <w:rFonts w:ascii="Arial" w:cs="Arial" w:eastAsia="Arial" w:hAnsi="Arial"/>
                  <w:sz w:val="16"/>
                  <w:szCs w:val="16"/>
                  <w:color w:val="0000EE"/>
                  <w:w w:val="98"/>
                </w:rPr>
                <w:t>Perquisites</w:t>
              </w:r>
            </w:hyperlink>
          </w:p>
        </w:tc>
        <w:tc>
          <w:tcPr>
            <w:tcW w:w="3420" w:type="dxa"/>
            <w:vAlign w:val="bottom"/>
            <w:gridSpan w:val="12"/>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36"/>
        </w:trPr>
        <w:tc>
          <w:tcPr>
            <w:tcW w:w="2200" w:type="dxa"/>
            <w:vAlign w:val="bottom"/>
            <w:tcBorders>
              <w:bottom w:val="single" w:sz="8" w:color="0000EE"/>
            </w:tcBorders>
            <w:gridSpan w:val="3"/>
          </w:tcPr>
          <w:p>
            <w:pPr>
              <w:spacing w:after="0"/>
              <w:rPr>
                <w:rFonts w:ascii="Arial" w:cs="Arial" w:eastAsia="Arial" w:hAnsi="Arial"/>
                <w:sz w:val="16"/>
                <w:szCs w:val="16"/>
                <w:color w:val="0000EE"/>
                <w:w w:val="99"/>
              </w:rPr>
            </w:pPr>
            <w:hyperlink w:anchor="page58">
              <w:r>
                <w:rPr>
                  <w:rFonts w:ascii="Arial" w:cs="Arial" w:eastAsia="Arial" w:hAnsi="Arial"/>
                  <w:sz w:val="16"/>
                  <w:szCs w:val="16"/>
                  <w:color w:val="0000EE"/>
                  <w:w w:val="99"/>
                </w:rPr>
                <w:t>Retirement and Other Benefits</w:t>
              </w:r>
            </w:hyperlink>
          </w:p>
        </w:tc>
        <w:tc>
          <w:tcPr>
            <w:tcW w:w="2020" w:type="dxa"/>
            <w:vAlign w:val="bottom"/>
            <w:gridSpan w:val="10"/>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36"/>
        </w:trPr>
        <w:tc>
          <w:tcPr>
            <w:tcW w:w="4220" w:type="dxa"/>
            <w:vAlign w:val="bottom"/>
            <w:tcBorders>
              <w:bottom w:val="single" w:sz="8" w:color="0000EE"/>
            </w:tcBorders>
            <w:gridSpan w:val="13"/>
          </w:tcPr>
          <w:p>
            <w:pPr>
              <w:spacing w:after="0"/>
              <w:rPr>
                <w:rFonts w:ascii="Arial" w:cs="Arial" w:eastAsia="Arial" w:hAnsi="Arial"/>
                <w:sz w:val="16"/>
                <w:szCs w:val="16"/>
                <w:color w:val="0000EE"/>
              </w:rPr>
            </w:pPr>
            <w:hyperlink w:anchor="page58">
              <w:r>
                <w:rPr>
                  <w:rFonts w:ascii="Arial" w:cs="Arial" w:eastAsia="Arial" w:hAnsi="Arial"/>
                  <w:sz w:val="16"/>
                  <w:szCs w:val="16"/>
                  <w:color w:val="0000EE"/>
                </w:rPr>
                <w:t>Potential Payments upon Termination or Change of Control</w:t>
              </w:r>
            </w:hyperlink>
          </w:p>
        </w:tc>
        <w:tc>
          <w:tcPr>
            <w:tcW w:w="76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36"/>
        </w:trPr>
        <w:tc>
          <w:tcPr>
            <w:tcW w:w="4220" w:type="dxa"/>
            <w:vAlign w:val="bottom"/>
            <w:gridSpan w:val="13"/>
          </w:tcPr>
          <w:p>
            <w:pPr>
              <w:spacing w:after="0"/>
              <w:rPr>
                <w:rFonts w:ascii="Arial" w:cs="Arial" w:eastAsia="Arial" w:hAnsi="Arial"/>
                <w:sz w:val="16"/>
                <w:szCs w:val="16"/>
                <w:color w:val="0000EE"/>
              </w:rPr>
            </w:pPr>
            <w:hyperlink w:anchor="page58">
              <w:r>
                <w:rPr>
                  <w:rFonts w:ascii="Arial" w:cs="Arial" w:eastAsia="Arial" w:hAnsi="Arial"/>
                  <w:sz w:val="16"/>
                  <w:szCs w:val="16"/>
                  <w:color w:val="0000EE"/>
                </w:rPr>
                <w:t>Tax and Accounting Implications</w:t>
              </w:r>
            </w:hyperlink>
          </w:p>
        </w:tc>
        <w:tc>
          <w:tcPr>
            <w:tcW w:w="76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0"/>
        </w:trPr>
        <w:tc>
          <w:tcPr>
            <w:tcW w:w="8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134" w:lineRule="exact"/>
        <w:rPr>
          <w:sz w:val="20"/>
          <w:szCs w:val="20"/>
          <w:color w:val="auto"/>
        </w:rPr>
      </w:pPr>
    </w:p>
    <w:p>
      <w:pPr>
        <w:sectPr>
          <w:pgSz w:w="11900" w:h="16838" w:orient="portrait"/>
          <w:cols w:equalWidth="0" w:num="2">
            <w:col w:w="5440" w:space="720"/>
            <w:col w:w="4980"/>
          </w:cols>
          <w:pgMar w:left="240" w:top="459" w:right="519" w:bottom="1440" w:gutter="0" w:footer="0" w:header="0"/>
          <w:type w:val="continuous"/>
        </w:sectPr>
      </w:pPr>
    </w:p>
    <w:p>
      <w:pPr>
        <w:spacing w:after="0" w:line="38" w:lineRule="exact"/>
        <w:rPr>
          <w:sz w:val="20"/>
          <w:szCs w:val="20"/>
          <w:color w:val="auto"/>
        </w:rPr>
      </w:pPr>
    </w:p>
    <w:p>
      <w:pPr>
        <w:ind w:left="220"/>
        <w:spacing w:after="0"/>
        <w:rPr>
          <w:rFonts w:ascii="Arial" w:cs="Arial" w:eastAsia="Arial" w:hAnsi="Arial"/>
          <w:sz w:val="20"/>
          <w:szCs w:val="20"/>
          <w:u w:val="single" w:color="auto"/>
          <w:color w:val="0000EE"/>
        </w:rPr>
      </w:pPr>
      <w:hyperlink w:anchor="page35">
        <w:r>
          <w:rPr>
            <w:rFonts w:ascii="Arial" w:cs="Arial" w:eastAsia="Arial" w:hAnsi="Arial"/>
            <w:sz w:val="20"/>
            <w:szCs w:val="20"/>
            <w:u w:val="single" w:color="auto"/>
            <w:color w:val="0000EE"/>
          </w:rPr>
          <w:t>Audit Committee Report</w:t>
        </w:r>
      </w:hyperlink>
    </w:p>
    <w:p>
      <w:pPr>
        <w:spacing w:after="0" w:line="148" w:lineRule="exact"/>
        <w:rPr>
          <w:sz w:val="20"/>
          <w:szCs w:val="20"/>
          <w:color w:val="auto"/>
        </w:rPr>
      </w:pPr>
    </w:p>
    <w:p>
      <w:pPr>
        <w:ind w:left="220" w:right="460"/>
        <w:spacing w:after="0" w:line="236" w:lineRule="auto"/>
        <w:rPr>
          <w:rFonts w:ascii="Arial" w:cs="Arial" w:eastAsia="Arial" w:hAnsi="Arial"/>
          <w:sz w:val="20"/>
          <w:szCs w:val="20"/>
          <w:u w:val="single" w:color="auto"/>
          <w:color w:val="0000EE"/>
        </w:rPr>
      </w:pPr>
      <w:hyperlink w:anchor="page36">
        <w:r>
          <w:rPr>
            <w:rFonts w:ascii="Arial" w:cs="Arial" w:eastAsia="Arial" w:hAnsi="Arial"/>
            <w:sz w:val="20"/>
            <w:szCs w:val="20"/>
            <w:u w:val="single" w:color="auto"/>
            <w:color w:val="0000EE"/>
          </w:rPr>
          <w:t>Management Development and Compensation</w:t>
        </w:r>
      </w:hyperlink>
      <w:r>
        <w:rPr>
          <w:rFonts w:ascii="Arial" w:cs="Arial" w:eastAsia="Arial" w:hAnsi="Arial"/>
          <w:sz w:val="20"/>
          <w:szCs w:val="20"/>
          <w:u w:val="single" w:color="auto"/>
          <w:color w:val="0000EE"/>
        </w:rPr>
        <w:t xml:space="preserve"> </w:t>
      </w:r>
      <w:hyperlink w:anchor="page36">
        <w:r>
          <w:rPr>
            <w:rFonts w:ascii="Arial" w:cs="Arial" w:eastAsia="Arial" w:hAnsi="Arial"/>
            <w:sz w:val="20"/>
            <w:szCs w:val="20"/>
            <w:u w:val="single" w:color="auto"/>
            <w:color w:val="0000EE"/>
          </w:rPr>
          <w:t>Committee Report</w:t>
        </w:r>
      </w:hyperlink>
    </w:p>
    <w:p>
      <w:pPr>
        <w:spacing w:after="0" w:line="141" w:lineRule="exact"/>
        <w:rPr>
          <w:sz w:val="20"/>
          <w:szCs w:val="20"/>
          <w:color w:val="auto"/>
        </w:rPr>
      </w:pPr>
    </w:p>
    <w:p>
      <w:pPr>
        <w:ind w:left="220" w:right="320"/>
        <w:spacing w:after="0" w:line="257" w:lineRule="auto"/>
        <w:rPr>
          <w:rFonts w:ascii="Arial" w:cs="Arial" w:eastAsia="Arial" w:hAnsi="Arial"/>
          <w:sz w:val="19"/>
          <w:szCs w:val="19"/>
          <w:u w:val="single" w:color="auto"/>
          <w:color w:val="0000EE"/>
        </w:rPr>
      </w:pPr>
      <w:hyperlink w:anchor="page36">
        <w:r>
          <w:rPr>
            <w:rFonts w:ascii="Arial" w:cs="Arial" w:eastAsia="Arial" w:hAnsi="Arial"/>
            <w:sz w:val="19"/>
            <w:szCs w:val="19"/>
            <w:u w:val="single" w:color="auto"/>
            <w:color w:val="0000EE"/>
          </w:rPr>
          <w:t>Compensation Committee Interlocks and Insider</w:t>
        </w:r>
      </w:hyperlink>
      <w:r>
        <w:rPr>
          <w:rFonts w:ascii="Arial" w:cs="Arial" w:eastAsia="Arial" w:hAnsi="Arial"/>
          <w:sz w:val="19"/>
          <w:szCs w:val="19"/>
          <w:u w:val="single" w:color="auto"/>
          <w:color w:val="0000EE"/>
        </w:rPr>
        <w:t xml:space="preserve"> </w:t>
      </w:r>
      <w:hyperlink w:anchor="page36">
        <w:r>
          <w:rPr>
            <w:rFonts w:ascii="Arial" w:cs="Arial" w:eastAsia="Arial" w:hAnsi="Arial"/>
            <w:sz w:val="19"/>
            <w:szCs w:val="19"/>
            <w:u w:val="single" w:color="auto"/>
            <w:color w:val="0000EE"/>
          </w:rPr>
          <w:t>Participation in Compensation Decisions</w:t>
        </w:r>
      </w:hyperlink>
    </w:p>
    <w:p>
      <w:pPr>
        <w:spacing w:after="0" w:line="126" w:lineRule="exact"/>
        <w:rPr>
          <w:sz w:val="20"/>
          <w:szCs w:val="20"/>
          <w:color w:val="auto"/>
        </w:rPr>
      </w:pPr>
    </w:p>
    <w:p>
      <w:pPr>
        <w:ind w:left="220"/>
        <w:spacing w:after="0"/>
        <w:rPr>
          <w:rFonts w:ascii="Arial" w:cs="Arial" w:eastAsia="Arial" w:hAnsi="Arial"/>
          <w:sz w:val="20"/>
          <w:szCs w:val="20"/>
          <w:u w:val="single" w:color="auto"/>
          <w:color w:val="0000EE"/>
        </w:rPr>
      </w:pPr>
      <w:hyperlink w:anchor="page37">
        <w:r>
          <w:rPr>
            <w:rFonts w:ascii="Arial" w:cs="Arial" w:eastAsia="Arial" w:hAnsi="Arial"/>
            <w:sz w:val="20"/>
            <w:szCs w:val="20"/>
            <w:u w:val="single" w:color="auto"/>
            <w:color w:val="0000EE"/>
          </w:rPr>
          <w:t>Compensation Discussion and Analysis</w:t>
        </w:r>
      </w:hyperlink>
    </w:p>
    <w:p>
      <w:pPr>
        <w:spacing w:after="0" w:line="59" w:lineRule="exact"/>
        <w:rPr>
          <w:sz w:val="20"/>
          <w:szCs w:val="20"/>
          <w:color w:val="auto"/>
        </w:rPr>
      </w:pPr>
    </w:p>
    <w:p>
      <w:pPr>
        <w:ind w:left="540"/>
        <w:spacing w:after="0"/>
        <w:rPr>
          <w:rFonts w:ascii="Arial" w:cs="Arial" w:eastAsia="Arial" w:hAnsi="Arial"/>
          <w:sz w:val="16"/>
          <w:szCs w:val="16"/>
          <w:u w:val="single" w:color="auto"/>
          <w:color w:val="0000EE"/>
        </w:rPr>
      </w:pPr>
      <w:hyperlink w:anchor="page37">
        <w:r>
          <w:rPr>
            <w:rFonts w:ascii="Arial" w:cs="Arial" w:eastAsia="Arial" w:hAnsi="Arial"/>
            <w:sz w:val="16"/>
            <w:szCs w:val="16"/>
            <w:u w:val="single" w:color="auto"/>
            <w:color w:val="0000EE"/>
          </w:rPr>
          <w:t>Introduction</w:t>
        </w:r>
      </w:hyperlink>
    </w:p>
    <w:p>
      <w:pPr>
        <w:spacing w:after="0" w:line="86" w:lineRule="exact"/>
        <w:rPr>
          <w:sz w:val="20"/>
          <w:szCs w:val="20"/>
          <w:color w:val="auto"/>
        </w:rPr>
      </w:pPr>
    </w:p>
    <w:p>
      <w:pPr>
        <w:ind w:left="540"/>
        <w:spacing w:after="0"/>
        <w:rPr>
          <w:rFonts w:ascii="Arial" w:cs="Arial" w:eastAsia="Arial" w:hAnsi="Arial"/>
          <w:sz w:val="16"/>
          <w:szCs w:val="16"/>
          <w:u w:val="single" w:color="auto"/>
          <w:color w:val="0000EE"/>
        </w:rPr>
      </w:pPr>
      <w:hyperlink w:anchor="page38">
        <w:r>
          <w:rPr>
            <w:rFonts w:ascii="Arial" w:cs="Arial" w:eastAsia="Arial" w:hAnsi="Arial"/>
            <w:sz w:val="16"/>
            <w:szCs w:val="16"/>
            <w:u w:val="single" w:color="auto"/>
            <w:color w:val="0000EE"/>
          </w:rPr>
          <w:t>Executive Summary</w:t>
        </w:r>
      </w:hyperlink>
    </w:p>
    <w:p>
      <w:pPr>
        <w:spacing w:after="0" w:line="86" w:lineRule="exact"/>
        <w:rPr>
          <w:sz w:val="20"/>
          <w:szCs w:val="20"/>
          <w:color w:val="auto"/>
        </w:rPr>
      </w:pPr>
    </w:p>
    <w:p>
      <w:pPr>
        <w:ind w:left="540"/>
        <w:spacing w:after="0" w:line="260" w:lineRule="auto"/>
        <w:rPr>
          <w:rFonts w:ascii="Arial" w:cs="Arial" w:eastAsia="Arial" w:hAnsi="Arial"/>
          <w:sz w:val="16"/>
          <w:szCs w:val="16"/>
          <w:u w:val="single" w:color="auto"/>
          <w:color w:val="0000EE"/>
        </w:rPr>
      </w:pPr>
      <w:hyperlink w:anchor="page38">
        <w:r>
          <w:rPr>
            <w:rFonts w:ascii="Arial" w:cs="Arial" w:eastAsia="Arial" w:hAnsi="Arial"/>
            <w:sz w:val="16"/>
            <w:szCs w:val="16"/>
            <w:u w:val="single" w:color="auto"/>
            <w:color w:val="0000EE"/>
          </w:rPr>
          <w:t>Shareholder Outreach and Shareholder Feedback on 2018</w:t>
        </w:r>
      </w:hyperlink>
      <w:r>
        <w:rPr>
          <w:rFonts w:ascii="Arial" w:cs="Arial" w:eastAsia="Arial" w:hAnsi="Arial"/>
          <w:sz w:val="16"/>
          <w:szCs w:val="16"/>
          <w:u w:val="single" w:color="auto"/>
          <w:color w:val="0000EE"/>
        </w:rPr>
        <w:t xml:space="preserve"> </w:t>
      </w:r>
      <w:hyperlink w:anchor="page38">
        <w:r>
          <w:rPr>
            <w:rFonts w:ascii="Arial" w:cs="Arial" w:eastAsia="Arial" w:hAnsi="Arial"/>
            <w:sz w:val="16"/>
            <w:szCs w:val="16"/>
            <w:u w:val="single" w:color="auto"/>
            <w:color w:val="0000EE"/>
          </w:rPr>
          <w:t>Say On Pay</w:t>
        </w:r>
      </w:hyperlink>
    </w:p>
    <w:p>
      <w:pPr>
        <w:spacing w:after="0" w:line="60" w:lineRule="exact"/>
        <w:rPr>
          <w:sz w:val="20"/>
          <w:szCs w:val="20"/>
          <w:color w:val="auto"/>
        </w:rPr>
      </w:pPr>
    </w:p>
    <w:p>
      <w:pPr>
        <w:ind w:left="540"/>
        <w:spacing w:after="0"/>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Our 2018 Performance</w:t>
        </w:r>
      </w:hyperlink>
    </w:p>
    <w:p>
      <w:pPr>
        <w:spacing w:after="0" w:line="86" w:lineRule="exact"/>
        <w:rPr>
          <w:sz w:val="20"/>
          <w:szCs w:val="20"/>
          <w:color w:val="auto"/>
        </w:rPr>
      </w:pPr>
    </w:p>
    <w:p>
      <w:pPr>
        <w:ind w:left="540"/>
        <w:spacing w:after="0"/>
        <w:rPr>
          <w:rFonts w:ascii="Arial" w:cs="Arial" w:eastAsia="Arial" w:hAnsi="Arial"/>
          <w:sz w:val="16"/>
          <w:szCs w:val="16"/>
          <w:u w:val="single" w:color="auto"/>
          <w:color w:val="0000EE"/>
        </w:rPr>
      </w:pPr>
      <w:hyperlink w:anchor="page41">
        <w:r>
          <w:rPr>
            <w:rFonts w:ascii="Arial" w:cs="Arial" w:eastAsia="Arial" w:hAnsi="Arial"/>
            <w:sz w:val="16"/>
            <w:szCs w:val="16"/>
            <w:u w:val="single" w:color="auto"/>
            <w:color w:val="0000EE"/>
          </w:rPr>
          <w:t>Safety and Sustainability</w:t>
        </w:r>
      </w:hyperlink>
    </w:p>
    <w:p>
      <w:pPr>
        <w:spacing w:after="0" w:line="86" w:lineRule="exact"/>
        <w:rPr>
          <w:sz w:val="20"/>
          <w:szCs w:val="20"/>
          <w:color w:val="auto"/>
        </w:rPr>
      </w:pPr>
    </w:p>
    <w:p>
      <w:pPr>
        <w:ind w:left="540" w:right="160"/>
        <w:spacing w:after="0" w:line="260" w:lineRule="auto"/>
        <w:rPr>
          <w:rFonts w:ascii="Arial" w:cs="Arial" w:eastAsia="Arial" w:hAnsi="Arial"/>
          <w:sz w:val="16"/>
          <w:szCs w:val="16"/>
          <w:u w:val="single" w:color="auto"/>
          <w:color w:val="0000EE"/>
        </w:rPr>
      </w:pPr>
      <w:hyperlink w:anchor="page44">
        <w:r>
          <w:rPr>
            <w:rFonts w:ascii="Arial" w:cs="Arial" w:eastAsia="Arial" w:hAnsi="Arial"/>
            <w:sz w:val="16"/>
            <w:szCs w:val="16"/>
            <w:u w:val="single" w:color="auto"/>
            <w:color w:val="0000EE"/>
          </w:rPr>
          <w:t>Components of Executive Compensation - Performance-</w:t>
        </w:r>
      </w:hyperlink>
      <w:hyperlink w:anchor="page44">
        <w:r>
          <w:rPr>
            <w:rFonts w:ascii="Arial" w:cs="Arial" w:eastAsia="Arial" w:hAnsi="Arial"/>
            <w:sz w:val="16"/>
            <w:szCs w:val="16"/>
            <w:u w:val="single" w:color="auto"/>
            <w:color w:val="0000EE"/>
          </w:rPr>
          <w:t>Related Compensation</w:t>
        </w:r>
      </w:hyperlink>
    </w:p>
    <w:p>
      <w:pPr>
        <w:spacing w:after="0" w:line="60" w:lineRule="exact"/>
        <w:rPr>
          <w:sz w:val="20"/>
          <w:szCs w:val="20"/>
          <w:color w:val="auto"/>
        </w:rPr>
      </w:pPr>
    </w:p>
    <w:p>
      <w:pPr>
        <w:ind w:left="540"/>
        <w:spacing w:after="0"/>
        <w:rPr>
          <w:rFonts w:ascii="Arial" w:cs="Arial" w:eastAsia="Arial" w:hAnsi="Arial"/>
          <w:sz w:val="16"/>
          <w:szCs w:val="16"/>
          <w:u w:val="single" w:color="auto"/>
          <w:color w:val="0000EE"/>
        </w:rPr>
      </w:pPr>
      <w:hyperlink w:anchor="page44">
        <w:r>
          <w:rPr>
            <w:rFonts w:ascii="Arial" w:cs="Arial" w:eastAsia="Arial" w:hAnsi="Arial"/>
            <w:sz w:val="16"/>
            <w:szCs w:val="16"/>
            <w:u w:val="single" w:color="auto"/>
            <w:color w:val="0000EE"/>
          </w:rPr>
          <w:t>Pay Decisions and Compensation Governance Practices</w:t>
        </w:r>
      </w:hyperlink>
    </w:p>
    <w:p>
      <w:pPr>
        <w:spacing w:after="0" w:line="86" w:lineRule="exact"/>
        <w:rPr>
          <w:sz w:val="20"/>
          <w:szCs w:val="20"/>
          <w:color w:val="auto"/>
        </w:rPr>
      </w:pPr>
    </w:p>
    <w:p>
      <w:pPr>
        <w:ind w:left="540"/>
        <w:spacing w:after="0"/>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2018 Chairman, President and CEO</w:t>
        </w:r>
      </w:hyperlink>
    </w:p>
    <w:p>
      <w:pPr>
        <w:spacing w:after="0" w:line="5" w:lineRule="exact"/>
        <w:rPr>
          <w:sz w:val="20"/>
          <w:szCs w:val="20"/>
          <w:color w:val="auto"/>
        </w:rPr>
      </w:pPr>
    </w:p>
    <w:p>
      <w:pPr>
        <w:ind w:left="540"/>
        <w:spacing w:after="0"/>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Compensation</w:t>
        </w:r>
      </w:hyperlink>
    </w:p>
    <w:p>
      <w:pPr>
        <w:spacing w:after="0" w:line="86" w:lineRule="exact"/>
        <w:rPr>
          <w:sz w:val="20"/>
          <w:szCs w:val="20"/>
          <w:color w:val="auto"/>
        </w:rPr>
      </w:pPr>
    </w:p>
    <w:p>
      <w:pPr>
        <w:ind w:left="540" w:right="1540"/>
        <w:spacing w:after="0" w:line="351" w:lineRule="auto"/>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CEO Target Opportunity Mix</w:t>
        </w:r>
      </w:hyperlink>
      <w:r>
        <w:rPr>
          <w:rFonts w:ascii="Arial" w:cs="Arial" w:eastAsia="Arial" w:hAnsi="Arial"/>
          <w:sz w:val="16"/>
          <w:szCs w:val="16"/>
          <w:u w:val="single" w:color="auto"/>
          <w:color w:val="0000EE"/>
        </w:rPr>
        <w:t xml:space="preserve"> </w:t>
      </w:r>
      <w:hyperlink w:anchor="page45">
        <w:r>
          <w:rPr>
            <w:rFonts w:ascii="Arial" w:cs="Arial" w:eastAsia="Arial" w:hAnsi="Arial"/>
            <w:sz w:val="16"/>
            <w:szCs w:val="16"/>
            <w:u w:val="single" w:color="auto"/>
            <w:color w:val="0000EE"/>
          </w:rPr>
          <w:t>Determination of CEO Compensation</w:t>
        </w:r>
      </w:hyperlink>
    </w:p>
    <w:p>
      <w:pPr>
        <w:spacing w:after="0" w:line="1" w:lineRule="exact"/>
        <w:rPr>
          <w:sz w:val="20"/>
          <w:szCs w:val="20"/>
          <w:color w:val="auto"/>
        </w:rPr>
      </w:pPr>
    </w:p>
    <w:p>
      <w:pPr>
        <w:ind w:left="540" w:right="400"/>
        <w:spacing w:after="0" w:line="260" w:lineRule="auto"/>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2018 Named Executive Officers’ Compensation - Our</w:t>
        </w:r>
      </w:hyperlink>
      <w:r>
        <w:rPr>
          <w:rFonts w:ascii="Arial" w:cs="Arial" w:eastAsia="Arial" w:hAnsi="Arial"/>
          <w:sz w:val="16"/>
          <w:szCs w:val="16"/>
          <w:u w:val="single" w:color="auto"/>
          <w:color w:val="0000EE"/>
        </w:rPr>
        <w:t xml:space="preserve"> </w:t>
      </w:r>
      <w:hyperlink w:anchor="page46">
        <w:r>
          <w:rPr>
            <w:rFonts w:ascii="Arial" w:cs="Arial" w:eastAsia="Arial" w:hAnsi="Arial"/>
            <w:sz w:val="16"/>
            <w:szCs w:val="16"/>
            <w:u w:val="single" w:color="auto"/>
            <w:color w:val="0000EE"/>
          </w:rPr>
          <w:t>Compensation Strategy</w:t>
        </w:r>
      </w:hyperlink>
    </w:p>
    <w:p>
      <w:pPr>
        <w:spacing w:after="0" w:line="60" w:lineRule="exact"/>
        <w:rPr>
          <w:sz w:val="20"/>
          <w:szCs w:val="20"/>
          <w:color w:val="auto"/>
        </w:rPr>
      </w:pPr>
    </w:p>
    <w:p>
      <w:pPr>
        <w:ind w:left="540" w:right="860"/>
        <w:spacing w:after="0" w:line="351" w:lineRule="auto"/>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Considerations Regarding 2018 Compensation</w:t>
        </w:r>
      </w:hyperlink>
      <w:r>
        <w:rPr>
          <w:rFonts w:ascii="Arial" w:cs="Arial" w:eastAsia="Arial" w:hAnsi="Arial"/>
          <w:sz w:val="16"/>
          <w:szCs w:val="16"/>
          <w:u w:val="single" w:color="auto"/>
          <w:color w:val="0000EE"/>
        </w:rPr>
        <w:t xml:space="preserve"> </w:t>
      </w:r>
      <w:hyperlink w:anchor="page48">
        <w:r>
          <w:rPr>
            <w:rFonts w:ascii="Arial" w:cs="Arial" w:eastAsia="Arial" w:hAnsi="Arial"/>
            <w:sz w:val="16"/>
            <w:szCs w:val="16"/>
            <w:u w:val="single" w:color="auto"/>
            <w:color w:val="0000EE"/>
          </w:rPr>
          <w:t>2018 Base Salary</w:t>
        </w:r>
      </w:hyperlink>
    </w:p>
    <w:p>
      <w:pPr>
        <w:spacing w:after="0" w:line="1" w:lineRule="exact"/>
        <w:rPr>
          <w:sz w:val="20"/>
          <w:szCs w:val="20"/>
          <w:color w:val="auto"/>
        </w:rPr>
      </w:pPr>
    </w:p>
    <w:p>
      <w:pPr>
        <w:ind w:left="540"/>
        <w:spacing w:after="0"/>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2018 Annual Cash Incentive Goals and Results</w:t>
        </w:r>
      </w:hyperlink>
    </w:p>
    <w:p>
      <w:pPr>
        <w:spacing w:after="0" w:line="86" w:lineRule="exact"/>
        <w:rPr>
          <w:sz w:val="20"/>
          <w:szCs w:val="20"/>
          <w:color w:val="auto"/>
        </w:rPr>
      </w:pPr>
    </w:p>
    <w:p>
      <w:pPr>
        <w:ind w:left="540" w:right="1260"/>
        <w:spacing w:after="0" w:line="358" w:lineRule="auto"/>
        <w:rPr>
          <w:rFonts w:ascii="Arial" w:cs="Arial" w:eastAsia="Arial" w:hAnsi="Arial"/>
          <w:sz w:val="16"/>
          <w:szCs w:val="16"/>
          <w:u w:val="single" w:color="auto"/>
          <w:color w:val="0000EE"/>
        </w:rPr>
      </w:pPr>
      <w:hyperlink w:anchor="page51">
        <w:r>
          <w:rPr>
            <w:rFonts w:ascii="Arial" w:cs="Arial" w:eastAsia="Arial" w:hAnsi="Arial"/>
            <w:sz w:val="16"/>
            <w:szCs w:val="16"/>
            <w:u w:val="single" w:color="auto"/>
            <w:color w:val="0000EE"/>
          </w:rPr>
          <w:t>2018 Long-Term Incentive Compensation</w:t>
        </w:r>
      </w:hyperlink>
      <w:r>
        <w:rPr>
          <w:rFonts w:ascii="Arial" w:cs="Arial" w:eastAsia="Arial" w:hAnsi="Arial"/>
          <w:sz w:val="16"/>
          <w:szCs w:val="16"/>
          <w:u w:val="single" w:color="auto"/>
          <w:color w:val="0000EE"/>
        </w:rPr>
        <w:t xml:space="preserve"> </w:t>
      </w:r>
      <w:hyperlink w:anchor="page51">
        <w:r>
          <w:rPr>
            <w:rFonts w:ascii="Arial" w:cs="Arial" w:eastAsia="Arial" w:hAnsi="Arial"/>
            <w:sz w:val="16"/>
            <w:szCs w:val="16"/>
            <w:u w:val="single" w:color="auto"/>
            <w:color w:val="0000EE"/>
          </w:rPr>
          <w:t>PSU Awards (55% of LTI Award)</w:t>
        </w:r>
      </w:hyperlink>
      <w:r>
        <w:rPr>
          <w:rFonts w:ascii="Arial" w:cs="Arial" w:eastAsia="Arial" w:hAnsi="Arial"/>
          <w:sz w:val="16"/>
          <w:szCs w:val="16"/>
          <w:u w:val="single" w:color="auto"/>
          <w:color w:val="0000EE"/>
        </w:rPr>
        <w:t xml:space="preserve"> </w:t>
      </w:r>
      <w:hyperlink w:anchor="page52">
        <w:r>
          <w:rPr>
            <w:rFonts w:ascii="Arial" w:cs="Arial" w:eastAsia="Arial" w:hAnsi="Arial"/>
            <w:sz w:val="16"/>
            <w:szCs w:val="16"/>
            <w:u w:val="single" w:color="auto"/>
            <w:color w:val="0000EE"/>
          </w:rPr>
          <w:t>Selection of Relative TSR</w:t>
        </w:r>
      </w:hyperlink>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230"/>
        </w:trPr>
        <w:tc>
          <w:tcPr>
            <w:tcW w:w="620" w:type="dxa"/>
            <w:vAlign w:val="bottom"/>
          </w:tcPr>
          <w:p>
            <w:pPr>
              <w:jc w:val="right"/>
              <w:ind w:right="314"/>
              <w:spacing w:after="0"/>
              <w:rPr>
                <w:sz w:val="20"/>
                <w:szCs w:val="20"/>
                <w:color w:val="auto"/>
              </w:rPr>
            </w:pPr>
            <w:r>
              <w:rPr>
                <w:rFonts w:ascii="Arial" w:cs="Arial" w:eastAsia="Arial" w:hAnsi="Arial"/>
                <w:sz w:val="20"/>
                <w:szCs w:val="20"/>
                <w:color w:val="007CBA"/>
                <w:w w:val="89"/>
              </w:rPr>
              <w:t>30</w:t>
            </w:r>
          </w:p>
        </w:tc>
        <w:tc>
          <w:tcPr>
            <w:tcW w:w="2200" w:type="dxa"/>
            <w:vAlign w:val="bottom"/>
            <w:tcBorders>
              <w:bottom w:val="single" w:sz="8" w:color="0000EE"/>
            </w:tcBorders>
            <w:gridSpan w:val="4"/>
          </w:tcPr>
          <w:p>
            <w:pPr>
              <w:spacing w:after="0"/>
              <w:rPr>
                <w:rFonts w:ascii="Arial" w:cs="Arial" w:eastAsia="Arial" w:hAnsi="Arial"/>
                <w:sz w:val="20"/>
                <w:szCs w:val="20"/>
                <w:color w:val="0000EE"/>
                <w:w w:val="98"/>
              </w:rPr>
            </w:pPr>
            <w:hyperlink w:anchor="page59">
              <w:r>
                <w:rPr>
                  <w:rFonts w:ascii="Arial" w:cs="Arial" w:eastAsia="Arial" w:hAnsi="Arial"/>
                  <w:sz w:val="20"/>
                  <w:szCs w:val="20"/>
                  <w:color w:val="0000EE"/>
                  <w:w w:val="98"/>
                </w:rPr>
                <w:t>Executive Compensation</w:t>
              </w:r>
            </w:hyperlink>
          </w:p>
        </w:tc>
        <w:tc>
          <w:tcPr>
            <w:tcW w:w="2380" w:type="dxa"/>
            <w:vAlign w:val="bottom"/>
            <w:gridSpan w:val="14"/>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007CBA"/>
              </w:rPr>
              <w:t>54</w:t>
            </w:r>
          </w:p>
        </w:tc>
        <w:tc>
          <w:tcPr>
            <w:tcW w:w="0" w:type="dxa"/>
            <w:vAlign w:val="bottom"/>
          </w:tcPr>
          <w:p>
            <w:pPr>
              <w:spacing w:after="0"/>
              <w:rPr>
                <w:sz w:val="1"/>
                <w:szCs w:val="1"/>
                <w:color w:val="auto"/>
              </w:rPr>
            </w:pPr>
          </w:p>
        </w:tc>
      </w:tr>
      <w:tr>
        <w:trPr>
          <w:trHeight w:val="236"/>
        </w:trPr>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40" w:type="dxa"/>
            <w:vAlign w:val="bottom"/>
            <w:gridSpan w:val="17"/>
          </w:tcPr>
          <w:p>
            <w:pPr>
              <w:spacing w:after="0"/>
              <w:rPr>
                <w:rFonts w:ascii="Arial" w:cs="Arial" w:eastAsia="Arial" w:hAnsi="Arial"/>
                <w:sz w:val="16"/>
                <w:szCs w:val="16"/>
                <w:color w:val="0000EE"/>
              </w:rPr>
            </w:pPr>
            <w:hyperlink w:anchor="page59">
              <w:r>
                <w:rPr>
                  <w:rFonts w:ascii="Arial" w:cs="Arial" w:eastAsia="Arial" w:hAnsi="Arial"/>
                  <w:sz w:val="16"/>
                  <w:szCs w:val="16"/>
                  <w:color w:val="0000EE"/>
                </w:rPr>
                <w:t>Executive Officer Compensation</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36"/>
        </w:trPr>
        <w:tc>
          <w:tcPr>
            <w:tcW w:w="620" w:type="dxa"/>
            <w:vAlign w:val="bottom"/>
            <w:vMerge w:val="restart"/>
          </w:tcPr>
          <w:p>
            <w:pPr>
              <w:jc w:val="right"/>
              <w:ind w:right="314"/>
              <w:spacing w:after="0"/>
              <w:rPr>
                <w:sz w:val="20"/>
                <w:szCs w:val="20"/>
                <w:color w:val="auto"/>
              </w:rPr>
            </w:pPr>
            <w:r>
              <w:rPr>
                <w:rFonts w:ascii="Arial" w:cs="Arial" w:eastAsia="Arial" w:hAnsi="Arial"/>
                <w:sz w:val="20"/>
                <w:szCs w:val="20"/>
                <w:color w:val="007CBA"/>
                <w:w w:val="89"/>
              </w:rPr>
              <w:t>31</w:t>
            </w:r>
          </w:p>
        </w:tc>
        <w:tc>
          <w:tcPr>
            <w:tcW w:w="340" w:type="dxa"/>
            <w:vAlign w:val="bottom"/>
          </w:tcPr>
          <w:p>
            <w:pPr>
              <w:spacing w:after="0"/>
              <w:rPr>
                <w:sz w:val="20"/>
                <w:szCs w:val="20"/>
                <w:color w:val="auto"/>
              </w:rPr>
            </w:pPr>
          </w:p>
        </w:tc>
        <w:tc>
          <w:tcPr>
            <w:tcW w:w="2200" w:type="dxa"/>
            <w:vAlign w:val="bottom"/>
            <w:tcBorders>
              <w:top w:val="single" w:sz="8" w:color="0000EE"/>
              <w:bottom w:val="single" w:sz="8" w:color="0000EE"/>
            </w:tcBorders>
            <w:gridSpan w:val="6"/>
          </w:tcPr>
          <w:p>
            <w:pPr>
              <w:spacing w:after="0"/>
              <w:rPr>
                <w:rFonts w:ascii="Arial" w:cs="Arial" w:eastAsia="Arial" w:hAnsi="Arial"/>
                <w:sz w:val="16"/>
                <w:szCs w:val="16"/>
                <w:color w:val="0000EE"/>
                <w:w w:val="98"/>
              </w:rPr>
            </w:pPr>
            <w:hyperlink w:anchor="page59">
              <w:r>
                <w:rPr>
                  <w:rFonts w:ascii="Arial" w:cs="Arial" w:eastAsia="Arial" w:hAnsi="Arial"/>
                  <w:sz w:val="16"/>
                  <w:szCs w:val="16"/>
                  <w:color w:val="0000EE"/>
                  <w:w w:val="98"/>
                </w:rPr>
                <w:t>Summary Compensation Table</w:t>
              </w:r>
            </w:hyperlink>
          </w:p>
        </w:tc>
        <w:tc>
          <w:tcPr>
            <w:tcW w:w="100" w:type="dxa"/>
            <w:vAlign w:val="bottom"/>
            <w:tcBorders>
              <w:top w:val="single" w:sz="8" w:color="0000EE"/>
              <w:bottom w:val="single" w:sz="8" w:color="0000EE"/>
            </w:tcBorders>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14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560" w:type="dxa"/>
            <w:vAlign w:val="bottom"/>
            <w:vMerge w:val="restart"/>
          </w:tcPr>
          <w:p>
            <w:pPr>
              <w:spacing w:after="0"/>
              <w:rPr>
                <w:sz w:val="20"/>
                <w:szCs w:val="20"/>
                <w:color w:val="auto"/>
              </w:rPr>
            </w:pPr>
          </w:p>
        </w:tc>
        <w:tc>
          <w:tcPr>
            <w:tcW w:w="220" w:type="dxa"/>
            <w:vAlign w:val="bottom"/>
            <w:vMerge w:val="restart"/>
          </w:tcPr>
          <w:p>
            <w:pPr>
              <w:spacing w:after="0"/>
              <w:rPr>
                <w:sz w:val="20"/>
                <w:szCs w:val="20"/>
                <w:color w:val="auto"/>
              </w:rPr>
            </w:pPr>
          </w:p>
        </w:tc>
        <w:tc>
          <w:tcPr>
            <w:tcW w:w="80" w:type="dxa"/>
            <w:vAlign w:val="bottom"/>
            <w:vMerge w:val="restart"/>
          </w:tcPr>
          <w:p>
            <w:pPr>
              <w:spacing w:after="0"/>
              <w:rPr>
                <w:sz w:val="20"/>
                <w:szCs w:val="20"/>
                <w:color w:val="auto"/>
              </w:rPr>
            </w:pPr>
          </w:p>
        </w:tc>
        <w:tc>
          <w:tcPr>
            <w:tcW w:w="480" w:type="dxa"/>
            <w:vAlign w:val="bottom"/>
            <w:vMerge w:val="restart"/>
          </w:tcPr>
          <w:p>
            <w:pPr>
              <w:spacing w:after="0"/>
              <w:rPr>
                <w:sz w:val="20"/>
                <w:szCs w:val="20"/>
                <w:color w:val="auto"/>
              </w:rPr>
            </w:pPr>
          </w:p>
        </w:tc>
        <w:tc>
          <w:tcPr>
            <w:tcW w:w="180" w:type="dxa"/>
            <w:vAlign w:val="bottom"/>
            <w:vMerge w:val="restart"/>
          </w:tcPr>
          <w:p>
            <w:pPr>
              <w:spacing w:after="0"/>
              <w:rPr>
                <w:sz w:val="20"/>
                <w:szCs w:val="20"/>
                <w:color w:val="auto"/>
              </w:rPr>
            </w:pPr>
          </w:p>
        </w:tc>
        <w:tc>
          <w:tcPr>
            <w:tcW w:w="16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76"/>
        </w:trPr>
        <w:tc>
          <w:tcPr>
            <w:tcW w:w="62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gridSpan w:val="2"/>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4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40" w:type="dxa"/>
            <w:vAlign w:val="bottom"/>
            <w:gridSpan w:val="17"/>
          </w:tcPr>
          <w:p>
            <w:pPr>
              <w:spacing w:after="0" w:line="160" w:lineRule="exact"/>
              <w:rPr>
                <w:rFonts w:ascii="Arial" w:cs="Arial" w:eastAsia="Arial" w:hAnsi="Arial"/>
                <w:sz w:val="16"/>
                <w:szCs w:val="16"/>
                <w:color w:val="0000EE"/>
              </w:rPr>
            </w:pPr>
            <w:hyperlink w:anchor="page61">
              <w:r>
                <w:rPr>
                  <w:rFonts w:ascii="Arial" w:cs="Arial" w:eastAsia="Arial" w:hAnsi="Arial"/>
                  <w:sz w:val="16"/>
                  <w:szCs w:val="16"/>
                  <w:color w:val="0000EE"/>
                </w:rPr>
                <w:t>Grants of Plan-Based Awards</w:t>
              </w:r>
            </w:hyperlink>
          </w:p>
        </w:tc>
        <w:tc>
          <w:tcPr>
            <w:tcW w:w="740" w:type="dxa"/>
            <w:vAlign w:val="bottom"/>
          </w:tcPr>
          <w:p>
            <w:pPr>
              <w:jc w:val="right"/>
              <w:spacing w:after="0" w:line="160" w:lineRule="exact"/>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20" w:type="dxa"/>
            <w:vAlign w:val="bottom"/>
            <w:vMerge w:val="restart"/>
          </w:tcPr>
          <w:p>
            <w:pPr>
              <w:jc w:val="right"/>
              <w:ind w:right="314"/>
              <w:spacing w:after="0"/>
              <w:rPr>
                <w:sz w:val="20"/>
                <w:szCs w:val="20"/>
                <w:color w:val="auto"/>
              </w:rPr>
            </w:pPr>
            <w:r>
              <w:rPr>
                <w:rFonts w:ascii="Arial" w:cs="Arial" w:eastAsia="Arial" w:hAnsi="Arial"/>
                <w:sz w:val="20"/>
                <w:szCs w:val="20"/>
                <w:color w:val="007CBA"/>
                <w:w w:val="89"/>
              </w:rPr>
              <w:t>31</w:t>
            </w:r>
          </w:p>
        </w:tc>
        <w:tc>
          <w:tcPr>
            <w:tcW w:w="340" w:type="dxa"/>
            <w:vAlign w:val="bottom"/>
          </w:tcPr>
          <w:p>
            <w:pPr>
              <w:spacing w:after="0"/>
              <w:rPr>
                <w:sz w:val="20"/>
                <w:szCs w:val="20"/>
                <w:color w:val="auto"/>
              </w:rPr>
            </w:pPr>
          </w:p>
        </w:tc>
        <w:tc>
          <w:tcPr>
            <w:tcW w:w="4240" w:type="dxa"/>
            <w:vAlign w:val="bottom"/>
            <w:gridSpan w:val="17"/>
          </w:tcPr>
          <w:p>
            <w:pPr>
              <w:spacing w:after="0"/>
              <w:rPr>
                <w:rFonts w:ascii="Arial" w:cs="Arial" w:eastAsia="Arial" w:hAnsi="Arial"/>
                <w:sz w:val="16"/>
                <w:szCs w:val="16"/>
                <w:color w:val="0000EE"/>
              </w:rPr>
            </w:pPr>
            <w:hyperlink w:anchor="page62">
              <w:r>
                <w:rPr>
                  <w:rFonts w:ascii="Arial" w:cs="Arial" w:eastAsia="Arial" w:hAnsi="Arial"/>
                  <w:sz w:val="16"/>
                  <w:szCs w:val="16"/>
                  <w:color w:val="0000EE"/>
                </w:rPr>
                <w:t>Outstanding Equity Awards at Fiscal Year-End</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86"/>
        </w:trPr>
        <w:tc>
          <w:tcPr>
            <w:tcW w:w="6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3300" w:type="dxa"/>
            <w:vAlign w:val="bottom"/>
            <w:tcBorders>
              <w:top w:val="single" w:sz="8" w:color="0000EE"/>
            </w:tcBorders>
            <w:gridSpan w:val="12"/>
            <w:vMerge w:val="restart"/>
          </w:tcPr>
          <w:p>
            <w:pPr>
              <w:spacing w:after="0"/>
              <w:rPr>
                <w:rFonts w:ascii="Arial" w:cs="Arial" w:eastAsia="Arial" w:hAnsi="Arial"/>
                <w:sz w:val="16"/>
                <w:szCs w:val="16"/>
                <w:color w:val="0000EE"/>
              </w:rPr>
            </w:pPr>
            <w:hyperlink w:anchor="page63">
              <w:r>
                <w:rPr>
                  <w:rFonts w:ascii="Arial" w:cs="Arial" w:eastAsia="Arial" w:hAnsi="Arial"/>
                  <w:sz w:val="16"/>
                  <w:szCs w:val="16"/>
                  <w:color w:val="0000EE"/>
                </w:rPr>
                <w:t>Option Exercises and Stock Vested</w:t>
              </w:r>
            </w:hyperlink>
          </w:p>
        </w:tc>
        <w:tc>
          <w:tcPr>
            <w:tcW w:w="940" w:type="dxa"/>
            <w:vAlign w:val="bottom"/>
            <w:gridSpan w:val="5"/>
            <w:vMerge w:val="restart"/>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50"/>
        </w:trPr>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300" w:type="dxa"/>
            <w:vAlign w:val="bottom"/>
            <w:gridSpan w:val="12"/>
            <w:vMerge w:val="continue"/>
          </w:tcPr>
          <w:p>
            <w:pPr>
              <w:spacing w:after="0"/>
              <w:rPr>
                <w:sz w:val="4"/>
                <w:szCs w:val="4"/>
                <w:color w:val="auto"/>
              </w:rPr>
            </w:pPr>
          </w:p>
        </w:tc>
        <w:tc>
          <w:tcPr>
            <w:tcW w:w="940" w:type="dxa"/>
            <w:vAlign w:val="bottom"/>
            <w:gridSpan w:val="5"/>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620" w:type="dxa"/>
            <w:vAlign w:val="bottom"/>
          </w:tcPr>
          <w:p>
            <w:pPr>
              <w:jc w:val="right"/>
              <w:ind w:right="314"/>
              <w:spacing w:after="0"/>
              <w:rPr>
                <w:sz w:val="20"/>
                <w:szCs w:val="20"/>
                <w:color w:val="auto"/>
              </w:rPr>
            </w:pPr>
            <w:r>
              <w:rPr>
                <w:rFonts w:ascii="Arial" w:cs="Arial" w:eastAsia="Arial" w:hAnsi="Arial"/>
                <w:sz w:val="20"/>
                <w:szCs w:val="20"/>
                <w:color w:val="007CBA"/>
                <w:w w:val="89"/>
              </w:rPr>
              <w:t>32</w:t>
            </w:r>
          </w:p>
        </w:tc>
        <w:tc>
          <w:tcPr>
            <w:tcW w:w="340" w:type="dxa"/>
            <w:vAlign w:val="bottom"/>
          </w:tcPr>
          <w:p>
            <w:pPr>
              <w:spacing w:after="0"/>
              <w:rPr>
                <w:sz w:val="20"/>
                <w:szCs w:val="20"/>
                <w:color w:val="auto"/>
              </w:rPr>
            </w:pPr>
          </w:p>
        </w:tc>
        <w:tc>
          <w:tcPr>
            <w:tcW w:w="1200" w:type="dxa"/>
            <w:vAlign w:val="bottom"/>
            <w:tcBorders>
              <w:top w:val="single" w:sz="8" w:color="0000EE"/>
              <w:bottom w:val="single" w:sz="8" w:color="0000EE"/>
            </w:tcBorders>
          </w:tcPr>
          <w:p>
            <w:pPr>
              <w:spacing w:after="0"/>
              <w:rPr>
                <w:rFonts w:ascii="Arial" w:cs="Arial" w:eastAsia="Arial" w:hAnsi="Arial"/>
                <w:sz w:val="16"/>
                <w:szCs w:val="16"/>
                <w:color w:val="0000EE"/>
                <w:w w:val="98"/>
              </w:rPr>
            </w:pPr>
            <w:hyperlink w:anchor="page65">
              <w:r>
                <w:rPr>
                  <w:rFonts w:ascii="Arial" w:cs="Arial" w:eastAsia="Arial" w:hAnsi="Arial"/>
                  <w:sz w:val="16"/>
                  <w:szCs w:val="16"/>
                  <w:color w:val="0000EE"/>
                  <w:w w:val="98"/>
                </w:rPr>
                <w:t>Pension Benefits</w:t>
              </w:r>
            </w:hyperlink>
          </w:p>
        </w:tc>
        <w:tc>
          <w:tcPr>
            <w:tcW w:w="300" w:type="dxa"/>
            <w:vAlign w:val="bottom"/>
            <w:tcBorders>
              <w:top w:val="single" w:sz="8" w:color="0000EE"/>
              <w:bottom w:val="single" w:sz="8" w:color="0000EE"/>
            </w:tcBorders>
          </w:tcPr>
          <w:p>
            <w:pPr>
              <w:spacing w:after="0"/>
              <w:rPr>
                <w:sz w:val="20"/>
                <w:szCs w:val="20"/>
                <w:color w:val="auto"/>
              </w:rPr>
            </w:pPr>
          </w:p>
        </w:tc>
        <w:tc>
          <w:tcPr>
            <w:tcW w:w="400" w:type="dxa"/>
            <w:vAlign w:val="bottom"/>
            <w:tcBorders>
              <w:top w:val="single" w:sz="8" w:color="0000EE"/>
              <w:bottom w:val="single" w:sz="8" w:color="0000EE"/>
            </w:tcBorders>
            <w:gridSpan w:val="2"/>
          </w:tcPr>
          <w:p>
            <w:pPr>
              <w:spacing w:after="0"/>
              <w:rPr>
                <w:sz w:val="20"/>
                <w:szCs w:val="20"/>
                <w:color w:val="auto"/>
              </w:rPr>
            </w:pPr>
          </w:p>
        </w:tc>
        <w:tc>
          <w:tcPr>
            <w:tcW w:w="220" w:type="dxa"/>
            <w:vAlign w:val="bottom"/>
            <w:tcBorders>
              <w:top w:val="single" w:sz="8" w:color="0000EE"/>
              <w:bottom w:val="single" w:sz="8" w:color="0000EE"/>
            </w:tcBorders>
          </w:tcPr>
          <w:p>
            <w:pPr>
              <w:spacing w:after="0"/>
              <w:rPr>
                <w:sz w:val="20"/>
                <w:szCs w:val="20"/>
                <w:color w:val="auto"/>
              </w:rPr>
            </w:pPr>
          </w:p>
        </w:tc>
        <w:tc>
          <w:tcPr>
            <w:tcW w:w="220" w:type="dxa"/>
            <w:vAlign w:val="bottom"/>
            <w:tcBorders>
              <w:top w:val="single" w:sz="8" w:color="0000EE"/>
              <w:bottom w:val="single" w:sz="8" w:color="0000EE"/>
            </w:tcBorders>
            <w:gridSpan w:val="3"/>
          </w:tcPr>
          <w:p>
            <w:pPr>
              <w:spacing w:after="0"/>
              <w:rPr>
                <w:sz w:val="20"/>
                <w:szCs w:val="20"/>
                <w:color w:val="auto"/>
              </w:rPr>
            </w:pPr>
          </w:p>
        </w:tc>
        <w:tc>
          <w:tcPr>
            <w:tcW w:w="140" w:type="dxa"/>
            <w:vAlign w:val="bottom"/>
            <w:tcBorders>
              <w:top w:val="single" w:sz="8" w:color="0000EE"/>
              <w:bottom w:val="single" w:sz="8" w:color="0000EE"/>
            </w:tcBorders>
          </w:tcPr>
          <w:p>
            <w:pPr>
              <w:spacing w:after="0"/>
              <w:rPr>
                <w:sz w:val="20"/>
                <w:szCs w:val="20"/>
                <w:color w:val="auto"/>
              </w:rPr>
            </w:pPr>
          </w:p>
        </w:tc>
        <w:tc>
          <w:tcPr>
            <w:tcW w:w="40" w:type="dxa"/>
            <w:vAlign w:val="bottom"/>
            <w:tcBorders>
              <w:top w:val="single" w:sz="8" w:color="0000EE"/>
              <w:bottom w:val="single" w:sz="8" w:color="0000EE"/>
            </w:tcBorders>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gridSpan w:val="2"/>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36"/>
        </w:trPr>
        <w:tc>
          <w:tcPr>
            <w:tcW w:w="620" w:type="dxa"/>
            <w:vAlign w:val="bottom"/>
            <w:vMerge w:val="restart"/>
          </w:tcPr>
          <w:p>
            <w:pPr>
              <w:jc w:val="right"/>
              <w:ind w:right="314"/>
              <w:spacing w:after="0"/>
              <w:rPr>
                <w:sz w:val="20"/>
                <w:szCs w:val="20"/>
                <w:color w:val="auto"/>
              </w:rPr>
            </w:pPr>
            <w:r>
              <w:rPr>
                <w:rFonts w:ascii="Arial" w:cs="Arial" w:eastAsia="Arial" w:hAnsi="Arial"/>
                <w:sz w:val="16"/>
                <w:szCs w:val="16"/>
                <w:color w:val="auto"/>
              </w:rPr>
              <w:t>32</w:t>
            </w:r>
          </w:p>
        </w:tc>
        <w:tc>
          <w:tcPr>
            <w:tcW w:w="340" w:type="dxa"/>
            <w:vAlign w:val="bottom"/>
          </w:tcPr>
          <w:p>
            <w:pPr>
              <w:spacing w:after="0"/>
              <w:rPr>
                <w:sz w:val="20"/>
                <w:szCs w:val="20"/>
                <w:color w:val="auto"/>
              </w:rPr>
            </w:pPr>
          </w:p>
        </w:tc>
        <w:tc>
          <w:tcPr>
            <w:tcW w:w="4240" w:type="dxa"/>
            <w:vAlign w:val="bottom"/>
            <w:tcBorders>
              <w:bottom w:val="single" w:sz="8" w:color="0000EE"/>
            </w:tcBorders>
            <w:gridSpan w:val="17"/>
          </w:tcPr>
          <w:p>
            <w:pPr>
              <w:spacing w:after="0"/>
              <w:rPr>
                <w:rFonts w:ascii="Arial" w:cs="Arial" w:eastAsia="Arial" w:hAnsi="Arial"/>
                <w:sz w:val="16"/>
                <w:szCs w:val="16"/>
                <w:color w:val="0000EE"/>
                <w:w w:val="99"/>
              </w:rPr>
            </w:pPr>
            <w:hyperlink w:anchor="page66">
              <w:r>
                <w:rPr>
                  <w:rFonts w:ascii="Arial" w:cs="Arial" w:eastAsia="Arial" w:hAnsi="Arial"/>
                  <w:sz w:val="16"/>
                  <w:szCs w:val="16"/>
                  <w:color w:val="0000EE"/>
                  <w:w w:val="99"/>
                </w:rPr>
                <w:t>Potential Payments Upon Termination or Change of Control</w:t>
              </w:r>
            </w:hyperlink>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55"/>
        </w:trPr>
        <w:tc>
          <w:tcPr>
            <w:tcW w:w="62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1500" w:type="dxa"/>
            <w:vAlign w:val="bottom"/>
            <w:gridSpan w:val="2"/>
          </w:tcPr>
          <w:p>
            <w:pPr>
              <w:spacing w:after="0"/>
              <w:rPr>
                <w:sz w:val="4"/>
                <w:szCs w:val="4"/>
                <w:color w:val="auto"/>
              </w:rPr>
            </w:pPr>
          </w:p>
        </w:tc>
        <w:tc>
          <w:tcPr>
            <w:tcW w:w="40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gridSpan w:val="3"/>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300" w:type="dxa"/>
            <w:vAlign w:val="bottom"/>
            <w:gridSpan w:val="2"/>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620" w:type="dxa"/>
            <w:vAlign w:val="bottom"/>
            <w:vMerge w:val="restart"/>
          </w:tcPr>
          <w:p>
            <w:pPr>
              <w:jc w:val="right"/>
              <w:ind w:right="314"/>
              <w:spacing w:after="0"/>
              <w:rPr>
                <w:sz w:val="20"/>
                <w:szCs w:val="20"/>
                <w:color w:val="auto"/>
              </w:rPr>
            </w:pPr>
            <w:r>
              <w:rPr>
                <w:rFonts w:ascii="Arial" w:cs="Arial" w:eastAsia="Arial" w:hAnsi="Arial"/>
                <w:sz w:val="16"/>
                <w:szCs w:val="16"/>
                <w:color w:val="auto"/>
              </w:rPr>
              <w:t>33</w:t>
            </w:r>
          </w:p>
        </w:tc>
        <w:tc>
          <w:tcPr>
            <w:tcW w:w="340" w:type="dxa"/>
            <w:vAlign w:val="bottom"/>
          </w:tcPr>
          <w:p>
            <w:pPr>
              <w:spacing w:after="0"/>
              <w:rPr>
                <w:sz w:val="15"/>
                <w:szCs w:val="15"/>
                <w:color w:val="auto"/>
              </w:rPr>
            </w:pPr>
          </w:p>
        </w:tc>
        <w:tc>
          <w:tcPr>
            <w:tcW w:w="1900" w:type="dxa"/>
            <w:vAlign w:val="bottom"/>
            <w:tcBorders>
              <w:bottom w:val="single" w:sz="8" w:color="0000EE"/>
            </w:tcBorders>
            <w:gridSpan w:val="4"/>
          </w:tcPr>
          <w:p>
            <w:pPr>
              <w:spacing w:after="0" w:line="181" w:lineRule="exact"/>
              <w:rPr>
                <w:rFonts w:ascii="Arial" w:cs="Arial" w:eastAsia="Arial" w:hAnsi="Arial"/>
                <w:sz w:val="16"/>
                <w:szCs w:val="16"/>
                <w:color w:val="0000EE"/>
              </w:rPr>
            </w:pPr>
            <w:hyperlink w:anchor="page69">
              <w:r>
                <w:rPr>
                  <w:rFonts w:ascii="Arial" w:cs="Arial" w:eastAsia="Arial" w:hAnsi="Arial"/>
                  <w:sz w:val="16"/>
                  <w:szCs w:val="16"/>
                  <w:color w:val="0000EE"/>
                </w:rPr>
                <w:t>CEO Pay Ratio Disclosure</w:t>
              </w:r>
            </w:hyperlink>
          </w:p>
        </w:tc>
        <w:tc>
          <w:tcPr>
            <w:tcW w:w="2340" w:type="dxa"/>
            <w:vAlign w:val="bottom"/>
            <w:gridSpan w:val="13"/>
          </w:tcPr>
          <w:p>
            <w:pPr>
              <w:spacing w:after="0"/>
              <w:rPr>
                <w:sz w:val="15"/>
                <w:szCs w:val="15"/>
                <w:color w:val="auto"/>
              </w:rPr>
            </w:pPr>
          </w:p>
        </w:tc>
        <w:tc>
          <w:tcPr>
            <w:tcW w:w="740" w:type="dxa"/>
            <w:vAlign w:val="bottom"/>
          </w:tcPr>
          <w:p>
            <w:pPr>
              <w:jc w:val="right"/>
              <w:spacing w:after="0" w:line="181" w:lineRule="exact"/>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68"/>
        </w:trPr>
        <w:tc>
          <w:tcPr>
            <w:tcW w:w="620" w:type="dxa"/>
            <w:vAlign w:val="bottom"/>
            <w:vMerge w:val="continue"/>
          </w:tcPr>
          <w:p>
            <w:pPr>
              <w:spacing w:after="0"/>
              <w:rPr>
                <w:sz w:val="5"/>
                <w:szCs w:val="5"/>
                <w:color w:val="auto"/>
              </w:rPr>
            </w:pPr>
          </w:p>
        </w:tc>
        <w:tc>
          <w:tcPr>
            <w:tcW w:w="4540" w:type="dxa"/>
            <w:vAlign w:val="bottom"/>
            <w:gridSpan w:val="17"/>
            <w:vMerge w:val="restart"/>
          </w:tcPr>
          <w:p>
            <w:pPr>
              <w:spacing w:after="0"/>
              <w:rPr>
                <w:rFonts w:ascii="Arial" w:cs="Arial" w:eastAsia="Arial" w:hAnsi="Arial"/>
                <w:sz w:val="20"/>
                <w:szCs w:val="20"/>
                <w:color w:val="0000EE"/>
                <w:w w:val="98"/>
              </w:rPr>
            </w:pPr>
            <w:hyperlink w:anchor="page70">
              <w:r>
                <w:rPr>
                  <w:rFonts w:ascii="Arial" w:cs="Arial" w:eastAsia="Arial" w:hAnsi="Arial"/>
                  <w:sz w:val="20"/>
                  <w:szCs w:val="20"/>
                  <w:color w:val="0000EE"/>
                  <w:w w:val="98"/>
                </w:rPr>
                <w:t>Proposal 3 – Advisory Vote on the Compensation of</w:t>
              </w:r>
            </w:hyperlink>
          </w:p>
        </w:tc>
        <w:tc>
          <w:tcPr>
            <w:tcW w:w="40" w:type="dxa"/>
            <w:vAlign w:val="bottom"/>
            <w:vMerge w:val="restart"/>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4"/>
        </w:trPr>
        <w:tc>
          <w:tcPr>
            <w:tcW w:w="620" w:type="dxa"/>
            <w:vAlign w:val="bottom"/>
            <w:vMerge w:val="restart"/>
          </w:tcPr>
          <w:p>
            <w:pPr>
              <w:jc w:val="right"/>
              <w:ind w:right="314"/>
              <w:spacing w:after="0"/>
              <w:rPr>
                <w:sz w:val="20"/>
                <w:szCs w:val="20"/>
                <w:color w:val="auto"/>
              </w:rPr>
            </w:pPr>
            <w:r>
              <w:rPr>
                <w:rFonts w:ascii="Arial" w:cs="Arial" w:eastAsia="Arial" w:hAnsi="Arial"/>
                <w:sz w:val="16"/>
                <w:szCs w:val="16"/>
                <w:color w:val="auto"/>
              </w:rPr>
              <w:t>33</w:t>
            </w:r>
          </w:p>
        </w:tc>
        <w:tc>
          <w:tcPr>
            <w:tcW w:w="4540" w:type="dxa"/>
            <w:vAlign w:val="bottom"/>
            <w:tcBorders>
              <w:bottom w:val="single" w:sz="8" w:color="0000EE"/>
            </w:tcBorders>
            <w:gridSpan w:val="17"/>
            <w:vMerge w:val="continue"/>
          </w:tcPr>
          <w:p>
            <w:pPr>
              <w:spacing w:after="0"/>
              <w:rPr>
                <w:sz w:val="24"/>
                <w:szCs w:val="24"/>
                <w:color w:val="auto"/>
              </w:rPr>
            </w:pPr>
          </w:p>
        </w:tc>
        <w:tc>
          <w:tcPr>
            <w:tcW w:w="40" w:type="dxa"/>
            <w:vAlign w:val="bottom"/>
            <w:vMerge w:val="continue"/>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007CBA"/>
              </w:rPr>
              <w:t>65</w:t>
            </w:r>
          </w:p>
        </w:tc>
        <w:tc>
          <w:tcPr>
            <w:tcW w:w="0" w:type="dxa"/>
            <w:vAlign w:val="bottom"/>
          </w:tcPr>
          <w:p>
            <w:pPr>
              <w:spacing w:after="0"/>
              <w:rPr>
                <w:sz w:val="1"/>
                <w:szCs w:val="1"/>
                <w:color w:val="auto"/>
              </w:rPr>
            </w:pPr>
          </w:p>
        </w:tc>
      </w:tr>
      <w:tr>
        <w:trPr>
          <w:trHeight w:val="196"/>
        </w:trPr>
        <w:tc>
          <w:tcPr>
            <w:tcW w:w="620" w:type="dxa"/>
            <w:vAlign w:val="bottom"/>
            <w:vMerge w:val="continue"/>
          </w:tcPr>
          <w:p>
            <w:pPr>
              <w:spacing w:after="0"/>
              <w:rPr>
                <w:sz w:val="17"/>
                <w:szCs w:val="17"/>
                <w:color w:val="auto"/>
              </w:rPr>
            </w:pPr>
          </w:p>
        </w:tc>
        <w:tc>
          <w:tcPr>
            <w:tcW w:w="2680" w:type="dxa"/>
            <w:vAlign w:val="bottom"/>
            <w:tcBorders>
              <w:bottom w:val="single" w:sz="8" w:color="0000EE"/>
            </w:tcBorders>
            <w:gridSpan w:val="9"/>
          </w:tcPr>
          <w:p>
            <w:pPr>
              <w:spacing w:after="0" w:line="196" w:lineRule="exact"/>
              <w:rPr>
                <w:rFonts w:ascii="Arial" w:cs="Arial" w:eastAsia="Arial" w:hAnsi="Arial"/>
                <w:sz w:val="20"/>
                <w:szCs w:val="20"/>
                <w:color w:val="0000EE"/>
                <w:w w:val="98"/>
              </w:rPr>
            </w:pPr>
            <w:hyperlink w:anchor="page70">
              <w:r>
                <w:rPr>
                  <w:rFonts w:ascii="Arial" w:cs="Arial" w:eastAsia="Arial" w:hAnsi="Arial"/>
                  <w:sz w:val="20"/>
                  <w:szCs w:val="20"/>
                  <w:color w:val="0000EE"/>
                  <w:w w:val="98"/>
                </w:rPr>
                <w:t>Our Named Executive Officers</w:t>
              </w:r>
            </w:hyperlink>
          </w:p>
        </w:tc>
        <w:tc>
          <w:tcPr>
            <w:tcW w:w="1900" w:type="dxa"/>
            <w:vAlign w:val="bottom"/>
            <w:gridSpan w:val="9"/>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 w:type="dxa"/>
            <w:vAlign w:val="bottom"/>
          </w:tcPr>
          <w:p>
            <w:pPr>
              <w:jc w:val="right"/>
              <w:ind w:right="314"/>
              <w:spacing w:after="0"/>
              <w:rPr>
                <w:sz w:val="20"/>
                <w:szCs w:val="20"/>
                <w:color w:val="auto"/>
              </w:rPr>
            </w:pPr>
            <w:r>
              <w:rPr>
                <w:rFonts w:ascii="Arial" w:cs="Arial" w:eastAsia="Arial" w:hAnsi="Arial"/>
                <w:sz w:val="16"/>
                <w:szCs w:val="16"/>
                <w:color w:val="auto"/>
              </w:rPr>
              <w:t>34</w:t>
            </w:r>
          </w:p>
        </w:tc>
        <w:tc>
          <w:tcPr>
            <w:tcW w:w="4580" w:type="dxa"/>
            <w:vAlign w:val="bottom"/>
            <w:gridSpan w:val="18"/>
            <w:vMerge w:val="restart"/>
          </w:tcPr>
          <w:p>
            <w:pPr>
              <w:spacing w:after="0"/>
              <w:rPr>
                <w:rFonts w:ascii="Arial" w:cs="Arial" w:eastAsia="Arial" w:hAnsi="Arial"/>
                <w:sz w:val="20"/>
                <w:szCs w:val="20"/>
                <w:color w:val="0000EE"/>
              </w:rPr>
            </w:pPr>
            <w:hyperlink w:anchor="page71">
              <w:r>
                <w:rPr>
                  <w:rFonts w:ascii="Arial" w:cs="Arial" w:eastAsia="Arial" w:hAnsi="Arial"/>
                  <w:sz w:val="20"/>
                  <w:szCs w:val="20"/>
                  <w:color w:val="0000EE"/>
                </w:rPr>
                <w:t>Securities Authorized for Issuance Under Equity</w:t>
              </w:r>
            </w:hyperlink>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620" w:type="dxa"/>
            <w:vAlign w:val="bottom"/>
            <w:vMerge w:val="restart"/>
          </w:tcPr>
          <w:p>
            <w:pPr>
              <w:jc w:val="right"/>
              <w:ind w:right="314"/>
              <w:spacing w:after="0"/>
              <w:rPr>
                <w:sz w:val="20"/>
                <w:szCs w:val="20"/>
                <w:color w:val="auto"/>
              </w:rPr>
            </w:pPr>
            <w:r>
              <w:rPr>
                <w:rFonts w:ascii="Arial" w:cs="Arial" w:eastAsia="Arial" w:hAnsi="Arial"/>
                <w:sz w:val="16"/>
                <w:szCs w:val="16"/>
                <w:color w:val="auto"/>
              </w:rPr>
              <w:t>36</w:t>
            </w:r>
          </w:p>
        </w:tc>
        <w:tc>
          <w:tcPr>
            <w:tcW w:w="4580" w:type="dxa"/>
            <w:vAlign w:val="bottom"/>
            <w:gridSpan w:val="18"/>
            <w:vMerge w:val="continue"/>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620" w:type="dxa"/>
            <w:vAlign w:val="bottom"/>
            <w:vMerge w:val="continue"/>
          </w:tcPr>
          <w:p>
            <w:pPr>
              <w:spacing w:after="0"/>
              <w:rPr>
                <w:sz w:val="8"/>
                <w:szCs w:val="8"/>
                <w:color w:val="auto"/>
              </w:rPr>
            </w:pPr>
          </w:p>
        </w:tc>
        <w:tc>
          <w:tcPr>
            <w:tcW w:w="1840" w:type="dxa"/>
            <w:vAlign w:val="bottom"/>
            <w:tcBorders>
              <w:top w:val="single" w:sz="8" w:color="0000EE"/>
            </w:tcBorders>
            <w:gridSpan w:val="3"/>
            <w:vMerge w:val="restart"/>
          </w:tcPr>
          <w:p>
            <w:pPr>
              <w:spacing w:after="0" w:line="196" w:lineRule="exact"/>
              <w:rPr>
                <w:rFonts w:ascii="Arial" w:cs="Arial" w:eastAsia="Arial" w:hAnsi="Arial"/>
                <w:sz w:val="20"/>
                <w:szCs w:val="20"/>
                <w:color w:val="0000EE"/>
                <w:w w:val="98"/>
              </w:rPr>
            </w:pPr>
            <w:hyperlink w:anchor="page71">
              <w:r>
                <w:rPr>
                  <w:rFonts w:ascii="Arial" w:cs="Arial" w:eastAsia="Arial" w:hAnsi="Arial"/>
                  <w:sz w:val="20"/>
                  <w:szCs w:val="20"/>
                  <w:color w:val="0000EE"/>
                  <w:w w:val="98"/>
                </w:rPr>
                <w:t>Compensation Plans</w:t>
              </w:r>
            </w:hyperlink>
          </w:p>
        </w:tc>
        <w:tc>
          <w:tcPr>
            <w:tcW w:w="2360" w:type="dxa"/>
            <w:vAlign w:val="bottom"/>
            <w:tcBorders>
              <w:top w:val="single" w:sz="8" w:color="0000EE"/>
            </w:tcBorders>
            <w:gridSpan w:val="12"/>
            <w:vMerge w:val="restart"/>
          </w:tcPr>
          <w:p>
            <w:pPr>
              <w:spacing w:after="0"/>
              <w:rPr>
                <w:sz w:val="8"/>
                <w:szCs w:val="8"/>
                <w:color w:val="auto"/>
              </w:rPr>
            </w:pPr>
          </w:p>
        </w:tc>
        <w:tc>
          <w:tcPr>
            <w:tcW w:w="380" w:type="dxa"/>
            <w:vAlign w:val="bottom"/>
            <w:gridSpan w:val="3"/>
            <w:vMerge w:val="restart"/>
          </w:tcPr>
          <w:p>
            <w:pPr>
              <w:spacing w:after="0"/>
              <w:rPr>
                <w:sz w:val="8"/>
                <w:szCs w:val="8"/>
                <w:color w:val="auto"/>
              </w:rPr>
            </w:pPr>
          </w:p>
        </w:tc>
        <w:tc>
          <w:tcPr>
            <w:tcW w:w="740" w:type="dxa"/>
            <w:vAlign w:val="bottom"/>
            <w:vMerge w:val="restart"/>
          </w:tcPr>
          <w:p>
            <w:pPr>
              <w:jc w:val="right"/>
              <w:spacing w:after="0" w:line="196" w:lineRule="exact"/>
              <w:rPr>
                <w:sz w:val="20"/>
                <w:szCs w:val="20"/>
                <w:color w:val="auto"/>
              </w:rPr>
            </w:pPr>
            <w:r>
              <w:rPr>
                <w:rFonts w:ascii="Arial" w:cs="Arial" w:eastAsia="Arial" w:hAnsi="Arial"/>
                <w:sz w:val="20"/>
                <w:szCs w:val="20"/>
                <w:color w:val="007CBA"/>
              </w:rPr>
              <w:t>66</w:t>
            </w:r>
          </w:p>
        </w:tc>
        <w:tc>
          <w:tcPr>
            <w:tcW w:w="0" w:type="dxa"/>
            <w:vAlign w:val="bottom"/>
          </w:tcPr>
          <w:p>
            <w:pPr>
              <w:spacing w:after="0"/>
              <w:rPr>
                <w:sz w:val="1"/>
                <w:szCs w:val="1"/>
                <w:color w:val="auto"/>
              </w:rPr>
            </w:pPr>
          </w:p>
        </w:tc>
      </w:tr>
      <w:tr>
        <w:trPr>
          <w:trHeight w:val="105"/>
        </w:trPr>
        <w:tc>
          <w:tcPr>
            <w:tcW w:w="620" w:type="dxa"/>
            <w:vAlign w:val="bottom"/>
          </w:tcPr>
          <w:p>
            <w:pPr>
              <w:spacing w:after="0"/>
              <w:rPr>
                <w:sz w:val="8"/>
                <w:szCs w:val="8"/>
                <w:color w:val="auto"/>
              </w:rPr>
            </w:pPr>
          </w:p>
        </w:tc>
        <w:tc>
          <w:tcPr>
            <w:tcW w:w="1840" w:type="dxa"/>
            <w:vAlign w:val="bottom"/>
            <w:tcBorders>
              <w:bottom w:val="single" w:sz="8" w:color="0000EE"/>
            </w:tcBorders>
            <w:gridSpan w:val="3"/>
            <w:vMerge w:val="continue"/>
          </w:tcPr>
          <w:p>
            <w:pPr>
              <w:spacing w:after="0"/>
              <w:rPr>
                <w:sz w:val="8"/>
                <w:szCs w:val="8"/>
                <w:color w:val="auto"/>
              </w:rPr>
            </w:pPr>
          </w:p>
        </w:tc>
        <w:tc>
          <w:tcPr>
            <w:tcW w:w="2360" w:type="dxa"/>
            <w:vAlign w:val="bottom"/>
            <w:gridSpan w:val="12"/>
            <w:vMerge w:val="continue"/>
          </w:tcPr>
          <w:p>
            <w:pPr>
              <w:spacing w:after="0"/>
              <w:rPr>
                <w:sz w:val="8"/>
                <w:szCs w:val="8"/>
                <w:color w:val="auto"/>
              </w:rPr>
            </w:pPr>
          </w:p>
        </w:tc>
        <w:tc>
          <w:tcPr>
            <w:tcW w:w="380" w:type="dxa"/>
            <w:vAlign w:val="bottom"/>
            <w:gridSpan w:val="3"/>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620" w:type="dxa"/>
            <w:vAlign w:val="bottom"/>
            <w:vMerge w:val="restart"/>
          </w:tcPr>
          <w:p>
            <w:pPr>
              <w:jc w:val="right"/>
              <w:ind w:right="314"/>
              <w:spacing w:after="0"/>
              <w:rPr>
                <w:sz w:val="20"/>
                <w:szCs w:val="20"/>
                <w:color w:val="auto"/>
              </w:rPr>
            </w:pPr>
            <w:r>
              <w:rPr>
                <w:rFonts w:ascii="Arial" w:cs="Arial" w:eastAsia="Arial" w:hAnsi="Arial"/>
                <w:sz w:val="16"/>
                <w:szCs w:val="16"/>
                <w:color w:val="auto"/>
              </w:rPr>
              <w:t>39</w:t>
            </w:r>
          </w:p>
        </w:tc>
        <w:tc>
          <w:tcPr>
            <w:tcW w:w="340" w:type="dxa"/>
            <w:vAlign w:val="bottom"/>
          </w:tcPr>
          <w:p>
            <w:pPr>
              <w:spacing w:after="0"/>
              <w:rPr>
                <w:sz w:val="20"/>
                <w:szCs w:val="20"/>
                <w:color w:val="auto"/>
              </w:rPr>
            </w:pPr>
          </w:p>
        </w:tc>
        <w:tc>
          <w:tcPr>
            <w:tcW w:w="4240" w:type="dxa"/>
            <w:vAlign w:val="bottom"/>
            <w:gridSpan w:val="17"/>
          </w:tcPr>
          <w:p>
            <w:pPr>
              <w:spacing w:after="0"/>
              <w:rPr>
                <w:rFonts w:ascii="Arial" w:cs="Arial" w:eastAsia="Arial" w:hAnsi="Arial"/>
                <w:sz w:val="16"/>
                <w:szCs w:val="16"/>
                <w:color w:val="0000EE"/>
              </w:rPr>
            </w:pPr>
            <w:hyperlink w:anchor="page71">
              <w:r>
                <w:rPr>
                  <w:rFonts w:ascii="Arial" w:cs="Arial" w:eastAsia="Arial" w:hAnsi="Arial"/>
                  <w:sz w:val="16"/>
                  <w:szCs w:val="16"/>
                  <w:color w:val="0000EE"/>
                </w:rPr>
                <w:t>Description of the TXI Legacy Plan</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
        </w:trPr>
        <w:tc>
          <w:tcPr>
            <w:tcW w:w="62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6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4240" w:type="dxa"/>
            <w:vAlign w:val="bottom"/>
            <w:gridSpan w:val="17"/>
            <w:vMerge w:val="restart"/>
          </w:tcPr>
          <w:p>
            <w:pPr>
              <w:spacing w:after="0"/>
              <w:rPr>
                <w:rFonts w:ascii="Arial" w:cs="Arial" w:eastAsia="Arial" w:hAnsi="Arial"/>
                <w:sz w:val="16"/>
                <w:szCs w:val="16"/>
                <w:color w:val="0000EE"/>
              </w:rPr>
            </w:pPr>
            <w:hyperlink w:anchor="page72">
              <w:r>
                <w:rPr>
                  <w:rFonts w:ascii="Arial" w:cs="Arial" w:eastAsia="Arial" w:hAnsi="Arial"/>
                  <w:sz w:val="16"/>
                  <w:szCs w:val="16"/>
                  <w:color w:val="0000EE"/>
                </w:rPr>
                <w:t>Description of the Deferred Compensation Plan</w:t>
              </w:r>
            </w:hyperlink>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54"/>
        </w:trPr>
        <w:tc>
          <w:tcPr>
            <w:tcW w:w="620" w:type="dxa"/>
            <w:vAlign w:val="bottom"/>
            <w:vMerge w:val="restart"/>
          </w:tcPr>
          <w:p>
            <w:pPr>
              <w:jc w:val="right"/>
              <w:ind w:right="314"/>
              <w:spacing w:after="0"/>
              <w:rPr>
                <w:sz w:val="20"/>
                <w:szCs w:val="20"/>
                <w:color w:val="auto"/>
              </w:rPr>
            </w:pPr>
            <w:r>
              <w:rPr>
                <w:rFonts w:ascii="Arial" w:cs="Arial" w:eastAsia="Arial" w:hAnsi="Arial"/>
                <w:sz w:val="16"/>
                <w:szCs w:val="16"/>
                <w:color w:val="auto"/>
              </w:rPr>
              <w:t>39</w:t>
            </w:r>
          </w:p>
        </w:tc>
        <w:tc>
          <w:tcPr>
            <w:tcW w:w="340" w:type="dxa"/>
            <w:vAlign w:val="bottom"/>
          </w:tcPr>
          <w:p>
            <w:pPr>
              <w:spacing w:after="0"/>
              <w:rPr>
                <w:sz w:val="13"/>
                <w:szCs w:val="13"/>
                <w:color w:val="auto"/>
              </w:rPr>
            </w:pPr>
          </w:p>
        </w:tc>
        <w:tc>
          <w:tcPr>
            <w:tcW w:w="4240" w:type="dxa"/>
            <w:vAlign w:val="bottom"/>
            <w:gridSpan w:val="17"/>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0" w:type="dxa"/>
            <w:vAlign w:val="bottom"/>
            <w:vMerge w:val="continue"/>
          </w:tcPr>
          <w:p>
            <w:pPr>
              <w:spacing w:after="0"/>
              <w:rPr>
                <w:sz w:val="8"/>
                <w:szCs w:val="8"/>
                <w:color w:val="auto"/>
              </w:rPr>
            </w:pPr>
          </w:p>
        </w:tc>
        <w:tc>
          <w:tcPr>
            <w:tcW w:w="4580" w:type="dxa"/>
            <w:vAlign w:val="bottom"/>
            <w:gridSpan w:val="18"/>
            <w:vMerge w:val="restart"/>
          </w:tcPr>
          <w:p>
            <w:pPr>
              <w:spacing w:after="0"/>
              <w:rPr>
                <w:rFonts w:ascii="Arial" w:cs="Arial" w:eastAsia="Arial" w:hAnsi="Arial"/>
                <w:sz w:val="20"/>
                <w:szCs w:val="20"/>
                <w:color w:val="0000EE"/>
              </w:rPr>
            </w:pPr>
            <w:hyperlink w:anchor="page73">
              <w:r>
                <w:rPr>
                  <w:rFonts w:ascii="Arial" w:cs="Arial" w:eastAsia="Arial" w:hAnsi="Arial"/>
                  <w:sz w:val="20"/>
                  <w:szCs w:val="20"/>
                  <w:color w:val="0000EE"/>
                </w:rPr>
                <w:t>Annual Meeting and Voting Information</w:t>
              </w:r>
            </w:hyperlink>
          </w:p>
        </w:tc>
        <w:tc>
          <w:tcPr>
            <w:tcW w:w="740" w:type="dxa"/>
            <w:vAlign w:val="bottom"/>
            <w:vMerge w:val="restart"/>
          </w:tcPr>
          <w:p>
            <w:pPr>
              <w:jc w:val="right"/>
              <w:spacing w:after="0"/>
              <w:rPr>
                <w:sz w:val="20"/>
                <w:szCs w:val="20"/>
                <w:color w:val="auto"/>
              </w:rPr>
            </w:pPr>
            <w:r>
              <w:rPr>
                <w:rFonts w:ascii="Arial" w:cs="Arial" w:eastAsia="Arial" w:hAnsi="Arial"/>
                <w:sz w:val="20"/>
                <w:szCs w:val="20"/>
                <w:color w:val="007CBA"/>
              </w:rPr>
              <w:t>68</w:t>
            </w:r>
          </w:p>
        </w:tc>
        <w:tc>
          <w:tcPr>
            <w:tcW w:w="0" w:type="dxa"/>
            <w:vAlign w:val="bottom"/>
          </w:tcPr>
          <w:p>
            <w:pPr>
              <w:spacing w:after="0"/>
              <w:rPr>
                <w:sz w:val="1"/>
                <w:szCs w:val="1"/>
                <w:color w:val="auto"/>
              </w:rPr>
            </w:pPr>
          </w:p>
        </w:tc>
      </w:tr>
      <w:tr>
        <w:trPr>
          <w:trHeight w:val="262"/>
        </w:trPr>
        <w:tc>
          <w:tcPr>
            <w:tcW w:w="620" w:type="dxa"/>
            <w:vAlign w:val="bottom"/>
            <w:vMerge w:val="restart"/>
          </w:tcPr>
          <w:p>
            <w:pPr>
              <w:jc w:val="right"/>
              <w:ind w:right="314"/>
              <w:spacing w:after="0"/>
              <w:rPr>
                <w:sz w:val="20"/>
                <w:szCs w:val="20"/>
                <w:color w:val="auto"/>
              </w:rPr>
            </w:pPr>
            <w:r>
              <w:rPr>
                <w:rFonts w:ascii="Arial" w:cs="Arial" w:eastAsia="Arial" w:hAnsi="Arial"/>
                <w:sz w:val="16"/>
                <w:szCs w:val="16"/>
                <w:color w:val="auto"/>
              </w:rPr>
              <w:t>40</w:t>
            </w:r>
          </w:p>
        </w:tc>
        <w:tc>
          <w:tcPr>
            <w:tcW w:w="4580" w:type="dxa"/>
            <w:vAlign w:val="bottom"/>
            <w:gridSpan w:val="18"/>
            <w:vMerge w:val="continue"/>
          </w:tcPr>
          <w:p>
            <w:pPr>
              <w:spacing w:after="0"/>
              <w:rPr>
                <w:sz w:val="22"/>
                <w:szCs w:val="22"/>
                <w:color w:val="auto"/>
              </w:rPr>
            </w:pP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620" w:type="dxa"/>
            <w:vAlign w:val="bottom"/>
            <w:vMerge w:val="continue"/>
          </w:tcPr>
          <w:p>
            <w:pPr>
              <w:spacing w:after="0"/>
              <w:rPr>
                <w:sz w:val="15"/>
                <w:szCs w:val="15"/>
                <w:color w:val="auto"/>
              </w:rPr>
            </w:pPr>
          </w:p>
        </w:tc>
        <w:tc>
          <w:tcPr>
            <w:tcW w:w="2460" w:type="dxa"/>
            <w:vAlign w:val="bottom"/>
            <w:tcBorders>
              <w:top w:val="single" w:sz="8" w:color="0000EE"/>
            </w:tcBorders>
            <w:gridSpan w:val="6"/>
            <w:vMerge w:val="restart"/>
          </w:tcPr>
          <w:p>
            <w:pPr>
              <w:spacing w:after="0"/>
              <w:rPr>
                <w:rFonts w:ascii="Arial" w:cs="Arial" w:eastAsia="Arial" w:hAnsi="Arial"/>
                <w:sz w:val="20"/>
                <w:szCs w:val="20"/>
                <w:color w:val="0000EE"/>
              </w:rPr>
            </w:pPr>
            <w:hyperlink w:anchor="page75">
              <w:r>
                <w:rPr>
                  <w:rFonts w:ascii="Arial" w:cs="Arial" w:eastAsia="Arial" w:hAnsi="Arial"/>
                  <w:sz w:val="20"/>
                  <w:szCs w:val="20"/>
                  <w:color w:val="0000EE"/>
                </w:rPr>
                <w:t>Incorporation by Reference</w:t>
              </w:r>
            </w:hyperlink>
          </w:p>
        </w:tc>
        <w:tc>
          <w:tcPr>
            <w:tcW w:w="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007CBA"/>
              </w:rPr>
              <w:t>70</w:t>
            </w:r>
          </w:p>
        </w:tc>
        <w:tc>
          <w:tcPr>
            <w:tcW w:w="0" w:type="dxa"/>
            <w:vAlign w:val="bottom"/>
          </w:tcPr>
          <w:p>
            <w:pPr>
              <w:spacing w:after="0"/>
              <w:rPr>
                <w:sz w:val="1"/>
                <w:szCs w:val="1"/>
                <w:color w:val="auto"/>
              </w:rPr>
            </w:pPr>
          </w:p>
        </w:tc>
      </w:tr>
      <w:tr>
        <w:trPr>
          <w:trHeight w:val="186"/>
        </w:trPr>
        <w:tc>
          <w:tcPr>
            <w:tcW w:w="620" w:type="dxa"/>
            <w:vAlign w:val="bottom"/>
            <w:vMerge w:val="restart"/>
          </w:tcPr>
          <w:p>
            <w:pPr>
              <w:jc w:val="right"/>
              <w:ind w:right="314"/>
              <w:spacing w:after="0"/>
              <w:rPr>
                <w:sz w:val="20"/>
                <w:szCs w:val="20"/>
                <w:color w:val="auto"/>
              </w:rPr>
            </w:pPr>
            <w:r>
              <w:rPr>
                <w:rFonts w:ascii="Arial" w:cs="Arial" w:eastAsia="Arial" w:hAnsi="Arial"/>
                <w:sz w:val="16"/>
                <w:szCs w:val="16"/>
                <w:color w:val="auto"/>
              </w:rPr>
              <w:t>40</w:t>
            </w:r>
          </w:p>
        </w:tc>
        <w:tc>
          <w:tcPr>
            <w:tcW w:w="2460" w:type="dxa"/>
            <w:vAlign w:val="bottom"/>
            <w:tcBorders>
              <w:bottom w:val="single" w:sz="8" w:color="0000EE"/>
            </w:tcBorders>
            <w:gridSpan w:val="6"/>
            <w:vMerge w:val="continue"/>
          </w:tcPr>
          <w:p>
            <w:pPr>
              <w:spacing w:after="0"/>
              <w:rPr>
                <w:sz w:val="15"/>
                <w:szCs w:val="15"/>
                <w:color w:val="auto"/>
              </w:rPr>
            </w:pPr>
          </w:p>
        </w:tc>
        <w:tc>
          <w:tcPr>
            <w:tcW w:w="1920" w:type="dxa"/>
            <w:vAlign w:val="bottom"/>
            <w:gridSpan w:val="10"/>
            <w:vMerge w:val="restart"/>
          </w:tcPr>
          <w:p>
            <w:pPr>
              <w:spacing w:after="0"/>
              <w:rPr>
                <w:sz w:val="15"/>
                <w:szCs w:val="15"/>
                <w:color w:val="auto"/>
              </w:rPr>
            </w:pPr>
          </w:p>
        </w:tc>
        <w:tc>
          <w:tcPr>
            <w:tcW w:w="200" w:type="dxa"/>
            <w:vAlign w:val="bottom"/>
            <w:gridSpan w:val="2"/>
            <w:vMerge w:val="restart"/>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620" w:type="dxa"/>
            <w:vAlign w:val="bottom"/>
            <w:vMerge w:val="continue"/>
          </w:tcPr>
          <w:p>
            <w:pPr>
              <w:spacing w:after="0"/>
              <w:rPr>
                <w:sz w:val="5"/>
                <w:szCs w:val="5"/>
                <w:color w:val="auto"/>
              </w:rPr>
            </w:pPr>
          </w:p>
        </w:tc>
        <w:tc>
          <w:tcPr>
            <w:tcW w:w="2460" w:type="dxa"/>
            <w:vAlign w:val="bottom"/>
            <w:gridSpan w:val="6"/>
          </w:tcPr>
          <w:p>
            <w:pPr>
              <w:spacing w:after="0"/>
              <w:rPr>
                <w:sz w:val="5"/>
                <w:szCs w:val="5"/>
                <w:color w:val="auto"/>
              </w:rPr>
            </w:pPr>
          </w:p>
        </w:tc>
        <w:tc>
          <w:tcPr>
            <w:tcW w:w="1920" w:type="dxa"/>
            <w:vAlign w:val="bottom"/>
            <w:gridSpan w:val="10"/>
            <w:vMerge w:val="continue"/>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9"/>
        </w:trPr>
        <w:tc>
          <w:tcPr>
            <w:tcW w:w="620" w:type="dxa"/>
            <w:vAlign w:val="bottom"/>
          </w:tcPr>
          <w:p>
            <w:pPr>
              <w:jc w:val="right"/>
              <w:ind w:right="314"/>
              <w:spacing w:after="0"/>
              <w:rPr>
                <w:sz w:val="20"/>
                <w:szCs w:val="20"/>
                <w:color w:val="auto"/>
              </w:rPr>
            </w:pPr>
            <w:r>
              <w:rPr>
                <w:rFonts w:ascii="Arial" w:cs="Arial" w:eastAsia="Arial" w:hAnsi="Arial"/>
                <w:sz w:val="16"/>
                <w:szCs w:val="16"/>
                <w:color w:val="auto"/>
              </w:rPr>
              <w:t>40</w:t>
            </w:r>
          </w:p>
        </w:tc>
        <w:tc>
          <w:tcPr>
            <w:tcW w:w="4380" w:type="dxa"/>
            <w:vAlign w:val="bottom"/>
            <w:tcBorders>
              <w:bottom w:val="single" w:sz="8" w:color="0000EE"/>
            </w:tcBorders>
            <w:gridSpan w:val="16"/>
          </w:tcPr>
          <w:p>
            <w:pPr>
              <w:spacing w:after="0"/>
              <w:rPr>
                <w:rFonts w:ascii="Arial" w:cs="Arial" w:eastAsia="Arial" w:hAnsi="Arial"/>
                <w:sz w:val="20"/>
                <w:szCs w:val="20"/>
                <w:color w:val="0000EE"/>
                <w:w w:val="98"/>
              </w:rPr>
            </w:pPr>
            <w:hyperlink w:anchor="page75">
              <w:r>
                <w:rPr>
                  <w:rFonts w:ascii="Arial" w:cs="Arial" w:eastAsia="Arial" w:hAnsi="Arial"/>
                  <w:sz w:val="20"/>
                  <w:szCs w:val="20"/>
                  <w:color w:val="0000EE"/>
                  <w:w w:val="98"/>
                </w:rPr>
                <w:t>Shareholders’ Proposals for 2020 Annual Meeting</w:t>
              </w:r>
            </w:hyperlink>
          </w:p>
        </w:tc>
        <w:tc>
          <w:tcPr>
            <w:tcW w:w="200" w:type="dxa"/>
            <w:vAlign w:val="bottom"/>
            <w:gridSpan w:val="2"/>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007CBA"/>
              </w:rPr>
              <w:t>70</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620" w:hanging="578"/>
        <w:spacing w:after="0"/>
        <w:tabs>
          <w:tab w:leader="none" w:pos="620" w:val="left"/>
        </w:tabs>
        <w:numPr>
          <w:ilvl w:val="0"/>
          <w:numId w:val="4"/>
        </w:numPr>
        <w:rPr>
          <w:rFonts w:ascii="Arial" w:cs="Arial" w:eastAsia="Arial" w:hAnsi="Arial"/>
          <w:sz w:val="20"/>
          <w:szCs w:val="20"/>
          <w:u w:val="single" w:color="auto"/>
          <w:color w:val="0000EE"/>
        </w:rPr>
      </w:pPr>
      <w:hyperlink w:anchor="page76">
        <w:r>
          <w:rPr>
            <w:rFonts w:ascii="Arial" w:cs="Arial" w:eastAsia="Arial" w:hAnsi="Arial"/>
            <w:sz w:val="20"/>
            <w:szCs w:val="20"/>
            <w:u w:val="single" w:color="auto"/>
            <w:color w:val="0000EE"/>
          </w:rPr>
          <w:t>Appendix A – Martin Marietta Guidelines for Potential</w:t>
        </w:r>
      </w:hyperlink>
    </w:p>
    <w:tbl>
      <w:tblPr>
        <w:tblLayout w:type="fixed"/>
        <w:tblInd w:w="40" w:type="dxa"/>
        <w:tblCellMar>
          <w:top w:w="0" w:type="dxa"/>
          <w:left w:w="0" w:type="dxa"/>
          <w:bottom w:w="0" w:type="dxa"/>
          <w:right w:w="0" w:type="dxa"/>
        </w:tblCellMar>
      </w:tblPr>
      <w:tr>
        <w:trPr>
          <w:trHeight w:val="192"/>
        </w:trPr>
        <w:tc>
          <w:tcPr>
            <w:tcW w:w="580" w:type="dxa"/>
            <w:vAlign w:val="bottom"/>
            <w:vMerge w:val="restart"/>
          </w:tcPr>
          <w:p>
            <w:pPr>
              <w:jc w:val="right"/>
              <w:ind w:right="319"/>
              <w:spacing w:after="0"/>
              <w:rPr>
                <w:sz w:val="20"/>
                <w:szCs w:val="20"/>
                <w:color w:val="auto"/>
              </w:rPr>
            </w:pPr>
            <w:r>
              <w:rPr>
                <w:rFonts w:ascii="Arial" w:cs="Arial" w:eastAsia="Arial" w:hAnsi="Arial"/>
                <w:sz w:val="16"/>
                <w:szCs w:val="16"/>
                <w:color w:val="auto"/>
                <w:w w:val="89"/>
              </w:rPr>
              <w:t>43</w:t>
            </w:r>
          </w:p>
        </w:tc>
        <w:tc>
          <w:tcPr>
            <w:tcW w:w="3140" w:type="dxa"/>
            <w:vAlign w:val="bottom"/>
            <w:gridSpan w:val="2"/>
          </w:tcPr>
          <w:p>
            <w:pPr>
              <w:spacing w:after="0" w:line="192" w:lineRule="exact"/>
              <w:rPr>
                <w:rFonts w:ascii="Arial" w:cs="Arial" w:eastAsia="Arial" w:hAnsi="Arial"/>
                <w:sz w:val="20"/>
                <w:szCs w:val="20"/>
                <w:color w:val="0000EE"/>
              </w:rPr>
            </w:pPr>
            <w:hyperlink w:anchor="page76">
              <w:r>
                <w:rPr>
                  <w:rFonts w:ascii="Arial" w:cs="Arial" w:eastAsia="Arial" w:hAnsi="Arial"/>
                  <w:sz w:val="20"/>
                  <w:szCs w:val="20"/>
                  <w:color w:val="0000EE"/>
                </w:rPr>
                <w:t>New Board Members</w:t>
              </w:r>
            </w:hyperlink>
          </w:p>
        </w:tc>
        <w:tc>
          <w:tcPr>
            <w:tcW w:w="2180" w:type="dxa"/>
            <w:vAlign w:val="bottom"/>
          </w:tcPr>
          <w:p>
            <w:pPr>
              <w:ind w:left="1880"/>
              <w:spacing w:after="0" w:line="192" w:lineRule="exact"/>
              <w:rPr>
                <w:sz w:val="20"/>
                <w:szCs w:val="20"/>
                <w:color w:val="auto"/>
              </w:rPr>
            </w:pPr>
            <w:r>
              <w:rPr>
                <w:rFonts w:ascii="Arial" w:cs="Arial" w:eastAsia="Arial" w:hAnsi="Arial"/>
                <w:sz w:val="20"/>
                <w:szCs w:val="20"/>
                <w:color w:val="007CBA"/>
                <w:w w:val="89"/>
              </w:rPr>
              <w:t>A-1</w:t>
            </w:r>
          </w:p>
        </w:tc>
        <w:tc>
          <w:tcPr>
            <w:tcW w:w="0" w:type="dxa"/>
            <w:vAlign w:val="bottom"/>
          </w:tcPr>
          <w:p>
            <w:pPr>
              <w:spacing w:after="0"/>
              <w:rPr>
                <w:sz w:val="1"/>
                <w:szCs w:val="1"/>
                <w:color w:val="auto"/>
              </w:rPr>
            </w:pPr>
          </w:p>
        </w:tc>
      </w:tr>
      <w:tr>
        <w:trPr>
          <w:trHeight w:val="20"/>
        </w:trPr>
        <w:tc>
          <w:tcPr>
            <w:tcW w:w="580" w:type="dxa"/>
            <w:vAlign w:val="bottom"/>
            <w:vMerge w:val="continu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580" w:type="dxa"/>
            <w:vAlign w:val="bottom"/>
            <w:vMerge w:val="continue"/>
          </w:tcPr>
          <w:p>
            <w:pPr>
              <w:spacing w:after="0"/>
              <w:rPr>
                <w:sz w:val="8"/>
                <w:szCs w:val="8"/>
                <w:color w:val="auto"/>
              </w:rPr>
            </w:pPr>
          </w:p>
        </w:tc>
        <w:tc>
          <w:tcPr>
            <w:tcW w:w="3140" w:type="dxa"/>
            <w:vAlign w:val="bottom"/>
            <w:gridSpan w:val="2"/>
            <w:vMerge w:val="restart"/>
          </w:tcPr>
          <w:p>
            <w:pPr>
              <w:spacing w:after="0"/>
              <w:rPr>
                <w:rFonts w:ascii="Arial" w:cs="Arial" w:eastAsia="Arial" w:hAnsi="Arial"/>
                <w:sz w:val="20"/>
                <w:szCs w:val="20"/>
                <w:color w:val="0000EE"/>
                <w:w w:val="98"/>
              </w:rPr>
            </w:pPr>
            <w:hyperlink w:anchor="page77">
              <w:r>
                <w:rPr>
                  <w:rFonts w:ascii="Arial" w:cs="Arial" w:eastAsia="Arial" w:hAnsi="Arial"/>
                  <w:sz w:val="20"/>
                  <w:szCs w:val="20"/>
                  <w:color w:val="0000EE"/>
                  <w:w w:val="98"/>
                </w:rPr>
                <w:t>Appendix B – Non-GAAP Measures</w:t>
              </w:r>
            </w:hyperlink>
          </w:p>
        </w:tc>
        <w:tc>
          <w:tcPr>
            <w:tcW w:w="2180" w:type="dxa"/>
            <w:vAlign w:val="bottom"/>
            <w:vMerge w:val="restart"/>
          </w:tcPr>
          <w:p>
            <w:pPr>
              <w:ind w:left="1880"/>
              <w:spacing w:after="0"/>
              <w:rPr>
                <w:sz w:val="20"/>
                <w:szCs w:val="20"/>
                <w:color w:val="auto"/>
              </w:rPr>
            </w:pPr>
            <w:r>
              <w:rPr>
                <w:rFonts w:ascii="Arial" w:cs="Arial" w:eastAsia="Arial" w:hAnsi="Arial"/>
                <w:sz w:val="20"/>
                <w:szCs w:val="20"/>
                <w:color w:val="007CBA"/>
                <w:w w:val="89"/>
              </w:rPr>
              <w:t>B-1</w:t>
            </w:r>
          </w:p>
        </w:tc>
        <w:tc>
          <w:tcPr>
            <w:tcW w:w="0" w:type="dxa"/>
            <w:vAlign w:val="bottom"/>
          </w:tcPr>
          <w:p>
            <w:pPr>
              <w:spacing w:after="0"/>
              <w:rPr>
                <w:sz w:val="1"/>
                <w:szCs w:val="1"/>
                <w:color w:val="auto"/>
              </w:rPr>
            </w:pPr>
          </w:p>
        </w:tc>
      </w:tr>
      <w:tr>
        <w:trPr>
          <w:trHeight w:val="267"/>
        </w:trPr>
        <w:tc>
          <w:tcPr>
            <w:tcW w:w="580" w:type="dxa"/>
            <w:vAlign w:val="bottom"/>
          </w:tcPr>
          <w:p>
            <w:pPr>
              <w:jc w:val="right"/>
              <w:ind w:right="319"/>
              <w:spacing w:after="0"/>
              <w:rPr>
                <w:sz w:val="20"/>
                <w:szCs w:val="20"/>
                <w:color w:val="auto"/>
              </w:rPr>
            </w:pPr>
            <w:r>
              <w:rPr>
                <w:rFonts w:ascii="Arial" w:cs="Arial" w:eastAsia="Arial" w:hAnsi="Arial"/>
                <w:sz w:val="16"/>
                <w:szCs w:val="16"/>
                <w:color w:val="auto"/>
                <w:w w:val="89"/>
              </w:rPr>
              <w:t>43</w:t>
            </w:r>
          </w:p>
        </w:tc>
        <w:tc>
          <w:tcPr>
            <w:tcW w:w="3140" w:type="dxa"/>
            <w:vAlign w:val="bottom"/>
            <w:tcBorders>
              <w:bottom w:val="single" w:sz="8" w:color="0000EE"/>
            </w:tcBorders>
            <w:gridSpan w:val="2"/>
            <w:vMerge w:val="continue"/>
          </w:tcPr>
          <w:p>
            <w:pPr>
              <w:spacing w:after="0"/>
              <w:rPr>
                <w:sz w:val="22"/>
                <w:szCs w:val="22"/>
                <w:color w:val="auto"/>
              </w:rPr>
            </w:pPr>
          </w:p>
        </w:tc>
        <w:tc>
          <w:tcPr>
            <w:tcW w:w="21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6"/>
          <w:szCs w:val="16"/>
          <w:color w:val="auto"/>
        </w:rPr>
        <w:t>44</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46</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46</w:t>
      </w:r>
    </w:p>
    <w:p>
      <w:pPr>
        <w:spacing w:after="0" w:line="72" w:lineRule="exact"/>
        <w:rPr>
          <w:sz w:val="20"/>
          <w:szCs w:val="20"/>
          <w:color w:val="auto"/>
        </w:rPr>
      </w:pPr>
    </w:p>
    <w:p>
      <w:pPr>
        <w:ind w:left="40"/>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284480</wp:posOffset>
            </wp:positionV>
            <wp:extent cx="410845" cy="2482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299" w:lineRule="exact"/>
        <w:rPr>
          <w:sz w:val="20"/>
          <w:szCs w:val="20"/>
          <w:color w:val="auto"/>
        </w:rPr>
      </w:pPr>
    </w:p>
    <w:p>
      <w:pPr>
        <w:sectPr>
          <w:pgSz w:w="11900" w:h="16838" w:orient="portrait"/>
          <w:cols w:equalWidth="0" w:num="2">
            <w:col w:w="4760" w:space="440"/>
            <w:col w:w="5940"/>
          </w:cols>
          <w:pgMar w:left="240" w:top="459" w:right="519" w:bottom="1440" w:gutter="0" w:footer="0" w:header="0"/>
          <w:type w:val="continuous"/>
        </w:sectPr>
      </w:pPr>
    </w:p>
    <w:p>
      <w:pPr>
        <w:spacing w:after="0" w:line="183" w:lineRule="exact"/>
        <w:rPr>
          <w:sz w:val="20"/>
          <w:szCs w:val="20"/>
          <w:color w:val="auto"/>
        </w:rPr>
      </w:pPr>
    </w:p>
    <w:p>
      <w:pPr>
        <w:ind w:left="660"/>
        <w:spacing w:after="0"/>
        <w:rPr>
          <w:sz w:val="20"/>
          <w:szCs w:val="20"/>
          <w:color w:val="auto"/>
        </w:rPr>
      </w:pPr>
      <w:r>
        <w:rPr>
          <w:rFonts w:ascii="Arial" w:cs="Arial" w:eastAsia="Arial" w:hAnsi="Arial"/>
          <w:sz w:val="12"/>
          <w:szCs w:val="12"/>
          <w:color w:val="007CBA"/>
        </w:rPr>
        <w:t>2019 PROXY STATEMENT</w:t>
      </w:r>
    </w:p>
    <w:p>
      <w:pPr>
        <w:sectPr>
          <w:pgSz w:w="11900" w:h="16838" w:orient="portrait"/>
          <w:cols w:equalWidth="0" w:num="1">
            <w:col w:w="11140"/>
          </w:cols>
          <w:pgMar w:left="240" w:top="459" w:right="51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6989445" cy="76923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89445" cy="76923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center"/>
        <w:ind w:right="-199"/>
        <w:spacing w:after="0"/>
        <w:rPr>
          <w:sz w:val="20"/>
          <w:szCs w:val="20"/>
          <w:color w:val="auto"/>
        </w:rPr>
      </w:pPr>
      <w:r>
        <w:rPr>
          <w:rFonts w:ascii="Arial" w:cs="Arial" w:eastAsia="Arial" w:hAnsi="Arial"/>
          <w:sz w:val="43"/>
          <w:szCs w:val="43"/>
          <w:color w:val="auto"/>
        </w:rPr>
        <w:t>Proxy Summary</w:t>
      </w:r>
    </w:p>
    <w:p>
      <w:pPr>
        <w:spacing w:after="0" w:line="332" w:lineRule="exact"/>
        <w:rPr>
          <w:sz w:val="20"/>
          <w:szCs w:val="20"/>
          <w:color w:val="auto"/>
        </w:rPr>
      </w:pPr>
    </w:p>
    <w:p>
      <w:pPr>
        <w:jc w:val="both"/>
        <w:ind w:left="540" w:right="340"/>
        <w:spacing w:after="0" w:line="250" w:lineRule="auto"/>
        <w:rPr>
          <w:sz w:val="20"/>
          <w:szCs w:val="20"/>
          <w:color w:val="auto"/>
        </w:rPr>
      </w:pPr>
      <w:r>
        <w:rPr>
          <w:rFonts w:ascii="Arial" w:cs="Arial" w:eastAsia="Arial" w:hAnsi="Arial"/>
          <w:sz w:val="16"/>
          <w:szCs w:val="16"/>
          <w:color w:val="auto"/>
        </w:rPr>
        <w:t>This Proxy Summary highlights information about Martin Marietta Materials, Inc. (“Martin Marietta” or the “Company”) that can be found elsewhere in this proxy statement. It does not contain all of the information you should consider in voting your shares. We encourage you to read the entire proxy statement for more detailed information on each topic prior to casting your vote. This proxy statement, the proxy card, and the notice of meeting are being sent commencing on approximately April 10, 2019 to shareholders of record on March 8, 2019.</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25"/>
          <w:szCs w:val="25"/>
          <w:b w:val="1"/>
          <w:bCs w:val="1"/>
          <w:color w:val="007CBA"/>
        </w:rPr>
        <w:t>2019 Annual Meeting of Shareholders</w:t>
      </w:r>
    </w:p>
    <w:p>
      <w:pPr>
        <w:spacing w:after="0" w:line="202" w:lineRule="exact"/>
        <w:rPr>
          <w:sz w:val="20"/>
          <w:szCs w:val="20"/>
          <w:color w:val="auto"/>
        </w:rPr>
      </w:pPr>
    </w:p>
    <w:p>
      <w:pPr>
        <w:ind w:left="700"/>
        <w:spacing w:after="0"/>
        <w:tabs>
          <w:tab w:leader="none" w:pos="2120" w:val="left"/>
          <w:tab w:leader="none" w:pos="4680" w:val="left"/>
          <w:tab w:leader="none" w:pos="5900" w:val="left"/>
        </w:tabs>
        <w:rPr>
          <w:sz w:val="20"/>
          <w:szCs w:val="20"/>
          <w:color w:val="auto"/>
        </w:rPr>
      </w:pPr>
      <w:r>
        <w:rPr>
          <w:rFonts w:ascii="Arial" w:cs="Arial" w:eastAsia="Arial" w:hAnsi="Arial"/>
          <w:sz w:val="17"/>
          <w:szCs w:val="17"/>
          <w:b w:val="1"/>
          <w:bCs w:val="1"/>
          <w:color w:val="007CBA"/>
        </w:rPr>
        <w:t>Meeting Date:</w:t>
      </w:r>
      <w:r>
        <w:rPr>
          <w:sz w:val="20"/>
          <w:szCs w:val="20"/>
          <w:color w:val="auto"/>
        </w:rPr>
        <w:tab/>
      </w:r>
      <w:r>
        <w:rPr>
          <w:rFonts w:ascii="Arial" w:cs="Arial" w:eastAsia="Arial" w:hAnsi="Arial"/>
          <w:sz w:val="16"/>
          <w:szCs w:val="16"/>
          <w:color w:val="auto"/>
        </w:rPr>
        <w:t>May 9, 2019</w:t>
      </w:r>
      <w:r>
        <w:rPr>
          <w:sz w:val="20"/>
          <w:szCs w:val="20"/>
          <w:color w:val="auto"/>
        </w:rPr>
        <w:tab/>
      </w:r>
      <w:r>
        <w:rPr>
          <w:rFonts w:ascii="Arial" w:cs="Arial" w:eastAsia="Arial" w:hAnsi="Arial"/>
          <w:sz w:val="17"/>
          <w:szCs w:val="17"/>
          <w:b w:val="1"/>
          <w:bCs w:val="1"/>
          <w:color w:val="007CBA"/>
        </w:rPr>
        <w:t>Place:</w:t>
      </w:r>
      <w:r>
        <w:rPr>
          <w:sz w:val="20"/>
          <w:szCs w:val="20"/>
          <w:color w:val="auto"/>
        </w:rPr>
        <w:tab/>
      </w:r>
      <w:r>
        <w:rPr>
          <w:rFonts w:ascii="Arial" w:cs="Arial" w:eastAsia="Arial" w:hAnsi="Arial"/>
          <w:sz w:val="16"/>
          <w:szCs w:val="16"/>
          <w:color w:val="auto"/>
        </w:rPr>
        <w:t>2710 Wycliff Road, Raleigh, NC</w:t>
      </w:r>
    </w:p>
    <w:p>
      <w:pPr>
        <w:spacing w:after="0" w:line="141" w:lineRule="exact"/>
        <w:rPr>
          <w:sz w:val="20"/>
          <w:szCs w:val="20"/>
          <w:color w:val="auto"/>
        </w:rPr>
      </w:pPr>
    </w:p>
    <w:p>
      <w:pPr>
        <w:ind w:left="700"/>
        <w:spacing w:after="0"/>
        <w:tabs>
          <w:tab w:leader="none" w:pos="2120" w:val="left"/>
          <w:tab w:leader="none" w:pos="4680" w:val="left"/>
          <w:tab w:leader="none" w:pos="5900" w:val="left"/>
        </w:tabs>
        <w:rPr>
          <w:sz w:val="20"/>
          <w:szCs w:val="20"/>
          <w:color w:val="auto"/>
        </w:rPr>
      </w:pPr>
      <w:r>
        <w:rPr>
          <w:rFonts w:ascii="Arial" w:cs="Arial" w:eastAsia="Arial" w:hAnsi="Arial"/>
          <w:sz w:val="17"/>
          <w:szCs w:val="17"/>
          <w:b w:val="1"/>
          <w:bCs w:val="1"/>
          <w:color w:val="007CBA"/>
        </w:rPr>
        <w:t>Time:</w:t>
      </w:r>
      <w:r>
        <w:rPr>
          <w:sz w:val="20"/>
          <w:szCs w:val="20"/>
          <w:color w:val="auto"/>
        </w:rPr>
        <w:tab/>
      </w:r>
      <w:r>
        <w:rPr>
          <w:rFonts w:ascii="Arial" w:cs="Arial" w:eastAsia="Arial" w:hAnsi="Arial"/>
          <w:sz w:val="16"/>
          <w:szCs w:val="16"/>
          <w:color w:val="auto"/>
        </w:rPr>
        <w:t>11:30 am ET</w:t>
      </w:r>
      <w:r>
        <w:rPr>
          <w:sz w:val="20"/>
          <w:szCs w:val="20"/>
          <w:color w:val="auto"/>
        </w:rPr>
        <w:tab/>
      </w:r>
      <w:r>
        <w:rPr>
          <w:rFonts w:ascii="Arial" w:cs="Arial" w:eastAsia="Arial" w:hAnsi="Arial"/>
          <w:sz w:val="16"/>
          <w:szCs w:val="16"/>
          <w:b w:val="1"/>
          <w:bCs w:val="1"/>
          <w:color w:val="007CBA"/>
        </w:rPr>
        <w:t>Record Date:</w:t>
      </w:r>
      <w:r>
        <w:rPr>
          <w:sz w:val="20"/>
          <w:szCs w:val="20"/>
          <w:color w:val="auto"/>
        </w:rPr>
        <w:tab/>
      </w:r>
      <w:r>
        <w:rPr>
          <w:rFonts w:ascii="Arial" w:cs="Arial" w:eastAsia="Arial" w:hAnsi="Arial"/>
          <w:sz w:val="16"/>
          <w:szCs w:val="16"/>
          <w:color w:val="auto"/>
        </w:rPr>
        <w:t>March 8, 2019</w:t>
      </w:r>
    </w:p>
    <w:p>
      <w:pPr>
        <w:spacing w:after="0" w:line="184" w:lineRule="exact"/>
        <w:rPr>
          <w:sz w:val="20"/>
          <w:szCs w:val="20"/>
          <w:color w:val="auto"/>
        </w:rPr>
      </w:pPr>
    </w:p>
    <w:p>
      <w:pPr>
        <w:jc w:val="both"/>
        <w:ind w:left="540" w:right="340"/>
        <w:spacing w:after="0" w:line="260" w:lineRule="auto"/>
        <w:rPr>
          <w:sz w:val="20"/>
          <w:szCs w:val="20"/>
          <w:color w:val="auto"/>
        </w:rPr>
      </w:pPr>
      <w:r>
        <w:rPr>
          <w:rFonts w:ascii="Arial" w:cs="Arial" w:eastAsia="Arial" w:hAnsi="Arial"/>
          <w:sz w:val="16"/>
          <w:szCs w:val="16"/>
          <w:color w:val="auto"/>
        </w:rPr>
        <w:t>Your vote is important. You may vote in person at the Annual Meeting or submit a proxy over the internet. If you have received a paper copy of the proxy card (or if you request a paper copy of the materials), you may submit a proxy by telephone or by mail.</w:t>
      </w:r>
    </w:p>
    <w:p>
      <w:pPr>
        <w:sectPr>
          <w:pgSz w:w="11900" w:h="16838" w:orient="portrait"/>
          <w:cols w:equalWidth="0" w:num="1">
            <w:col w:w="11220"/>
          </w:cols>
          <w:pgMar w:left="240" w:top="459" w:right="439" w:bottom="1440" w:gutter="0" w:footer="0" w:header="0"/>
        </w:sectPr>
      </w:pPr>
    </w:p>
    <w:p>
      <w:pPr>
        <w:spacing w:after="0" w:line="202" w:lineRule="exact"/>
        <w:rPr>
          <w:sz w:val="20"/>
          <w:szCs w:val="20"/>
          <w:color w:val="auto"/>
        </w:rPr>
      </w:pPr>
    </w:p>
    <w:p>
      <w:pPr>
        <w:ind w:left="1520"/>
        <w:spacing w:after="0"/>
        <w:rPr>
          <w:sz w:val="20"/>
          <w:szCs w:val="20"/>
          <w:color w:val="auto"/>
        </w:rPr>
      </w:pPr>
      <w:r>
        <w:rPr>
          <w:rFonts w:ascii="Arial" w:cs="Arial" w:eastAsia="Arial" w:hAnsi="Arial"/>
          <w:sz w:val="16"/>
          <w:szCs w:val="16"/>
          <w:b w:val="1"/>
          <w:bCs w:val="1"/>
          <w:color w:val="007CBA"/>
        </w:rPr>
        <w:t>Via the Internet</w:t>
      </w:r>
    </w:p>
    <w:p>
      <w:pPr>
        <w:spacing w:after="0" w:line="146"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www.voteproxy.com.</w:t>
      </w:r>
    </w:p>
    <w:p>
      <w:pPr>
        <w:spacing w:after="0" w:line="200" w:lineRule="exact"/>
        <w:rPr>
          <w:sz w:val="20"/>
          <w:szCs w:val="20"/>
          <w:color w:val="auto"/>
        </w:rPr>
      </w:pPr>
    </w:p>
    <w:p>
      <w:pPr>
        <w:spacing w:after="0" w:line="203" w:lineRule="exact"/>
        <w:rPr>
          <w:sz w:val="20"/>
          <w:szCs w:val="20"/>
          <w:color w:val="auto"/>
        </w:rPr>
      </w:pPr>
    </w:p>
    <w:p>
      <w:pPr>
        <w:ind w:left="1520"/>
        <w:spacing w:after="0"/>
        <w:rPr>
          <w:sz w:val="20"/>
          <w:szCs w:val="20"/>
          <w:color w:val="auto"/>
        </w:rPr>
      </w:pPr>
      <w:r>
        <w:rPr>
          <w:rFonts w:ascii="Arial" w:cs="Arial" w:eastAsia="Arial" w:hAnsi="Arial"/>
          <w:sz w:val="16"/>
          <w:szCs w:val="16"/>
          <w:b w:val="1"/>
          <w:bCs w:val="1"/>
          <w:color w:val="007CBA"/>
        </w:rPr>
        <w:t>By Telephone</w:t>
      </w:r>
    </w:p>
    <w:p>
      <w:pPr>
        <w:spacing w:after="0" w:line="146"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1-800-PROXIES (1-800-776-9437)</w:t>
      </w:r>
    </w:p>
    <w:p>
      <w:pPr>
        <w:spacing w:after="0" w:line="5" w:lineRule="exact"/>
        <w:rPr>
          <w:sz w:val="20"/>
          <w:szCs w:val="20"/>
          <w:color w:val="auto"/>
        </w:rPr>
      </w:pPr>
    </w:p>
    <w:p>
      <w:pPr>
        <w:ind w:left="1520" w:right="1060"/>
        <w:spacing w:after="0" w:line="260" w:lineRule="auto"/>
        <w:rPr>
          <w:sz w:val="20"/>
          <w:szCs w:val="20"/>
          <w:color w:val="auto"/>
        </w:rPr>
      </w:pPr>
      <w:r>
        <w:rPr>
          <w:rFonts w:ascii="Arial" w:cs="Arial" w:eastAsia="Arial" w:hAnsi="Arial"/>
          <w:sz w:val="16"/>
          <w:szCs w:val="16"/>
          <w:color w:val="auto"/>
        </w:rPr>
        <w:t>in the United States or 1-718-921-8500 from outside the United States.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007CBA"/>
        </w:rPr>
        <w:t>In Person</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Attend the Annual Meeting and vote by ballot.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007CBA"/>
        </w:rPr>
        <w:t>By Mail</w:t>
      </w:r>
    </w:p>
    <w:p>
      <w:pPr>
        <w:spacing w:after="0" w:line="146"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Sign, date and mail your proxy card in the envelope provided.</w:t>
      </w:r>
    </w:p>
    <w:p>
      <w:pPr>
        <w:spacing w:after="0" w:line="388" w:lineRule="exact"/>
        <w:rPr>
          <w:sz w:val="20"/>
          <w:szCs w:val="20"/>
          <w:color w:val="auto"/>
        </w:rPr>
      </w:pPr>
    </w:p>
    <w:p>
      <w:pPr>
        <w:sectPr>
          <w:pgSz w:w="11900" w:h="16838" w:orient="portrait"/>
          <w:cols w:equalWidth="0" w:num="2">
            <w:col w:w="6320" w:space="720"/>
            <w:col w:w="4180"/>
          </w:cols>
          <w:pgMar w:left="240" w:top="459" w:right="439" w:bottom="1440" w:gutter="0" w:footer="0" w:header="0"/>
          <w:type w:val="continuous"/>
        </w:sectPr>
      </w:pPr>
    </w:p>
    <w:p>
      <w:pPr>
        <w:spacing w:after="0" w:line="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If you submit your proxy by telephone or over the internet, you do not need to return your proxy card by mail.</w:t>
      </w:r>
    </w:p>
    <w:p>
      <w:pPr>
        <w:spacing w:after="0" w:line="301"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PROPOSALS AND VOTING RECOMMENDATIONS</w:t>
      </w:r>
    </w:p>
    <w:p>
      <w:pPr>
        <w:spacing w:after="0" w:line="114" w:lineRule="exact"/>
        <w:rPr>
          <w:sz w:val="20"/>
          <w:szCs w:val="20"/>
          <w:color w:val="auto"/>
        </w:rPr>
      </w:pPr>
    </w:p>
    <w:tbl>
      <w:tblPr>
        <w:tblLayout w:type="fixed"/>
        <w:tblInd w:w="800" w:type="dxa"/>
        <w:tblCellMar>
          <w:top w:w="0" w:type="dxa"/>
          <w:left w:w="0" w:type="dxa"/>
          <w:bottom w:w="0" w:type="dxa"/>
          <w:right w:w="0" w:type="dxa"/>
        </w:tblCellMar>
      </w:tblPr>
      <w:tr>
        <w:trPr>
          <w:trHeight w:val="216"/>
        </w:trPr>
        <w:tc>
          <w:tcPr>
            <w:tcW w:w="980" w:type="dxa"/>
            <w:vAlign w:val="bottom"/>
            <w:shd w:val="clear" w:color="auto" w:fill="007CBA"/>
          </w:tcPr>
          <w:p>
            <w:pPr>
              <w:ind w:left="100"/>
              <w:spacing w:after="0"/>
              <w:rPr>
                <w:sz w:val="20"/>
                <w:szCs w:val="20"/>
                <w:color w:val="auto"/>
              </w:rPr>
            </w:pPr>
            <w:r>
              <w:rPr>
                <w:rFonts w:ascii="Arial" w:cs="Arial" w:eastAsia="Arial" w:hAnsi="Arial"/>
                <w:sz w:val="16"/>
                <w:szCs w:val="16"/>
                <w:b w:val="1"/>
                <w:bCs w:val="1"/>
                <w:color w:val="FFFFFF"/>
              </w:rPr>
              <w:t>Proposal</w:t>
            </w:r>
          </w:p>
        </w:tc>
        <w:tc>
          <w:tcPr>
            <w:tcW w:w="4760" w:type="dxa"/>
            <w:vAlign w:val="bottom"/>
            <w:shd w:val="clear" w:color="auto" w:fill="007CBA"/>
          </w:tcPr>
          <w:p>
            <w:pPr>
              <w:ind w:left="80"/>
              <w:spacing w:after="0"/>
              <w:rPr>
                <w:sz w:val="20"/>
                <w:szCs w:val="20"/>
                <w:color w:val="auto"/>
              </w:rPr>
            </w:pPr>
            <w:r>
              <w:rPr>
                <w:rFonts w:ascii="Arial" w:cs="Arial" w:eastAsia="Arial" w:hAnsi="Arial"/>
                <w:sz w:val="16"/>
                <w:szCs w:val="16"/>
                <w:b w:val="1"/>
                <w:bCs w:val="1"/>
                <w:color w:val="FFFFFF"/>
              </w:rPr>
              <w:t>Description</w:t>
            </w:r>
          </w:p>
        </w:tc>
        <w:tc>
          <w:tcPr>
            <w:tcW w:w="3400" w:type="dxa"/>
            <w:vAlign w:val="bottom"/>
            <w:shd w:val="clear" w:color="auto" w:fill="007CBA"/>
          </w:tcPr>
          <w:p>
            <w:pPr>
              <w:ind w:left="520"/>
              <w:spacing w:after="0"/>
              <w:rPr>
                <w:sz w:val="20"/>
                <w:szCs w:val="20"/>
                <w:color w:val="auto"/>
              </w:rPr>
            </w:pPr>
            <w:r>
              <w:rPr>
                <w:rFonts w:ascii="Arial" w:cs="Arial" w:eastAsia="Arial" w:hAnsi="Arial"/>
                <w:sz w:val="16"/>
                <w:szCs w:val="16"/>
                <w:b w:val="1"/>
                <w:bCs w:val="1"/>
                <w:color w:val="FFFFFF"/>
              </w:rPr>
              <w:t>Board Voting Recommendation</w:t>
            </w:r>
          </w:p>
        </w:tc>
        <w:tc>
          <w:tcPr>
            <w:tcW w:w="680" w:type="dxa"/>
            <w:vAlign w:val="bottom"/>
            <w:shd w:val="clear" w:color="auto" w:fill="007CBA"/>
          </w:tcPr>
          <w:p>
            <w:pPr>
              <w:jc w:val="right"/>
              <w:ind w:right="59"/>
              <w:spacing w:after="0"/>
              <w:rPr>
                <w:sz w:val="20"/>
                <w:szCs w:val="20"/>
                <w:color w:val="auto"/>
              </w:rPr>
            </w:pPr>
            <w:r>
              <w:rPr>
                <w:rFonts w:ascii="Arial" w:cs="Arial" w:eastAsia="Arial" w:hAnsi="Arial"/>
                <w:sz w:val="16"/>
                <w:szCs w:val="16"/>
                <w:b w:val="1"/>
                <w:bCs w:val="1"/>
                <w:color w:val="FFFFFF"/>
              </w:rPr>
              <w:t>Page</w:t>
            </w:r>
          </w:p>
        </w:tc>
        <w:tc>
          <w:tcPr>
            <w:tcW w:w="0" w:type="dxa"/>
            <w:vAlign w:val="bottom"/>
          </w:tcPr>
          <w:p>
            <w:pPr>
              <w:spacing w:after="0"/>
              <w:rPr>
                <w:sz w:val="1"/>
                <w:szCs w:val="1"/>
                <w:color w:val="auto"/>
              </w:rPr>
            </w:pPr>
          </w:p>
        </w:tc>
      </w:tr>
      <w:tr>
        <w:trPr>
          <w:trHeight w:val="243"/>
        </w:trPr>
        <w:tc>
          <w:tcPr>
            <w:tcW w:w="980" w:type="dxa"/>
            <w:vAlign w:val="bottom"/>
            <w:tcBorders>
              <w:bottom w:val="single" w:sz="8" w:color="007CBA"/>
            </w:tcBorders>
          </w:tcPr>
          <w:p>
            <w:pPr>
              <w:ind w:left="80"/>
              <w:spacing w:after="0"/>
              <w:rPr>
                <w:sz w:val="20"/>
                <w:szCs w:val="20"/>
                <w:color w:val="auto"/>
              </w:rPr>
            </w:pPr>
            <w:r>
              <w:rPr>
                <w:rFonts w:ascii="Arial" w:cs="Arial" w:eastAsia="Arial" w:hAnsi="Arial"/>
                <w:sz w:val="16"/>
                <w:szCs w:val="16"/>
                <w:color w:val="auto"/>
              </w:rPr>
              <w:t>1</w:t>
            </w:r>
          </w:p>
        </w:tc>
        <w:tc>
          <w:tcPr>
            <w:tcW w:w="4760" w:type="dxa"/>
            <w:vAlign w:val="bottom"/>
            <w:tcBorders>
              <w:bottom w:val="single" w:sz="8" w:color="007CBA"/>
            </w:tcBorders>
          </w:tcPr>
          <w:p>
            <w:pPr>
              <w:ind w:left="80"/>
              <w:spacing w:after="0"/>
              <w:rPr>
                <w:sz w:val="20"/>
                <w:szCs w:val="20"/>
                <w:color w:val="auto"/>
              </w:rPr>
            </w:pPr>
            <w:r>
              <w:rPr>
                <w:rFonts w:ascii="Arial" w:cs="Arial" w:eastAsia="Arial" w:hAnsi="Arial"/>
                <w:sz w:val="16"/>
                <w:szCs w:val="16"/>
                <w:color w:val="auto"/>
              </w:rPr>
              <w:t>Election of Nine Director Nominees</w:t>
            </w:r>
          </w:p>
        </w:tc>
        <w:tc>
          <w:tcPr>
            <w:tcW w:w="3400" w:type="dxa"/>
            <w:vAlign w:val="bottom"/>
            <w:tcBorders>
              <w:bottom w:val="single" w:sz="8" w:color="007CBA"/>
            </w:tcBorders>
          </w:tcPr>
          <w:p>
            <w:pPr>
              <w:ind w:left="780"/>
              <w:spacing w:after="0"/>
              <w:rPr>
                <w:sz w:val="20"/>
                <w:szCs w:val="20"/>
                <w:color w:val="auto"/>
              </w:rPr>
            </w:pPr>
            <w:r>
              <w:rPr>
                <w:rFonts w:ascii="Arial" w:cs="Arial" w:eastAsia="Arial" w:hAnsi="Arial"/>
                <w:sz w:val="16"/>
                <w:szCs w:val="16"/>
                <w:color w:val="auto"/>
              </w:rPr>
              <w:t>FOR ALL DIRECTOR NOMINEES</w:t>
            </w:r>
          </w:p>
        </w:tc>
        <w:tc>
          <w:tcPr>
            <w:tcW w:w="680" w:type="dxa"/>
            <w:vAlign w:val="bottom"/>
            <w:tcBorders>
              <w:bottom w:val="single" w:sz="8" w:color="007CBA"/>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84"/>
        </w:trPr>
        <w:tc>
          <w:tcPr>
            <w:tcW w:w="980" w:type="dxa"/>
            <w:vAlign w:val="bottom"/>
            <w:vMerge w:val="restart"/>
          </w:tcPr>
          <w:p>
            <w:pPr>
              <w:ind w:left="80"/>
              <w:spacing w:after="0"/>
              <w:rPr>
                <w:sz w:val="20"/>
                <w:szCs w:val="20"/>
                <w:color w:val="auto"/>
              </w:rPr>
            </w:pPr>
            <w:r>
              <w:rPr>
                <w:rFonts w:ascii="Arial" w:cs="Arial" w:eastAsia="Arial" w:hAnsi="Arial"/>
                <w:sz w:val="16"/>
                <w:szCs w:val="16"/>
                <w:color w:val="auto"/>
              </w:rPr>
              <w:t>2</w:t>
            </w:r>
          </w:p>
        </w:tc>
        <w:tc>
          <w:tcPr>
            <w:tcW w:w="4760" w:type="dxa"/>
            <w:vAlign w:val="bottom"/>
          </w:tcPr>
          <w:p>
            <w:pPr>
              <w:ind w:left="80"/>
              <w:spacing w:after="0"/>
              <w:rPr>
                <w:sz w:val="20"/>
                <w:szCs w:val="20"/>
                <w:color w:val="auto"/>
              </w:rPr>
            </w:pPr>
            <w:r>
              <w:rPr>
                <w:rFonts w:ascii="Arial" w:cs="Arial" w:eastAsia="Arial" w:hAnsi="Arial"/>
                <w:sz w:val="16"/>
                <w:szCs w:val="16"/>
                <w:color w:val="auto"/>
              </w:rPr>
              <w:t>Ratification of the appointment of</w:t>
            </w:r>
          </w:p>
        </w:tc>
        <w:tc>
          <w:tcPr>
            <w:tcW w:w="3400" w:type="dxa"/>
            <w:vAlign w:val="bottom"/>
            <w:vMerge w:val="restart"/>
          </w:tcPr>
          <w:p>
            <w:pPr>
              <w:ind w:left="780"/>
              <w:spacing w:after="0"/>
              <w:rPr>
                <w:sz w:val="20"/>
                <w:szCs w:val="20"/>
                <w:color w:val="auto"/>
              </w:rPr>
            </w:pPr>
            <w:r>
              <w:rPr>
                <w:rFonts w:ascii="Arial" w:cs="Arial" w:eastAsia="Arial" w:hAnsi="Arial"/>
                <w:sz w:val="16"/>
                <w:szCs w:val="16"/>
                <w:color w:val="auto"/>
              </w:rPr>
              <w:t>FOR</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14"/>
        </w:trPr>
        <w:tc>
          <w:tcPr>
            <w:tcW w:w="980" w:type="dxa"/>
            <w:vAlign w:val="bottom"/>
            <w:vMerge w:val="continue"/>
          </w:tcPr>
          <w:p>
            <w:pPr>
              <w:spacing w:after="0"/>
              <w:rPr>
                <w:sz w:val="9"/>
                <w:szCs w:val="9"/>
                <w:color w:val="auto"/>
              </w:rPr>
            </w:pPr>
          </w:p>
        </w:tc>
        <w:tc>
          <w:tcPr>
            <w:tcW w:w="4760" w:type="dxa"/>
            <w:vAlign w:val="bottom"/>
            <w:vMerge w:val="restart"/>
          </w:tcPr>
          <w:p>
            <w:pPr>
              <w:ind w:left="80"/>
              <w:spacing w:after="0"/>
              <w:rPr>
                <w:sz w:val="20"/>
                <w:szCs w:val="20"/>
                <w:color w:val="auto"/>
              </w:rPr>
            </w:pPr>
            <w:r>
              <w:rPr>
                <w:rFonts w:ascii="Arial" w:cs="Arial" w:eastAsia="Arial" w:hAnsi="Arial"/>
                <w:sz w:val="16"/>
                <w:szCs w:val="16"/>
                <w:color w:val="auto"/>
              </w:rPr>
              <w:t>PricewaterhouseCoopers LLP as independent auditors</w:t>
            </w:r>
          </w:p>
        </w:tc>
        <w:tc>
          <w:tcPr>
            <w:tcW w:w="34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980" w:type="dxa"/>
            <w:vAlign w:val="bottom"/>
            <w:tcBorders>
              <w:bottom w:val="single" w:sz="8" w:color="007CBA"/>
            </w:tcBorders>
          </w:tcPr>
          <w:p>
            <w:pPr>
              <w:spacing w:after="0"/>
              <w:rPr>
                <w:sz w:val="6"/>
                <w:szCs w:val="6"/>
                <w:color w:val="auto"/>
              </w:rPr>
            </w:pPr>
          </w:p>
        </w:tc>
        <w:tc>
          <w:tcPr>
            <w:tcW w:w="4760" w:type="dxa"/>
            <w:vAlign w:val="bottom"/>
            <w:tcBorders>
              <w:bottom w:val="single" w:sz="8" w:color="007CBA"/>
            </w:tcBorders>
            <w:vMerge w:val="continue"/>
          </w:tcPr>
          <w:p>
            <w:pPr>
              <w:spacing w:after="0"/>
              <w:rPr>
                <w:sz w:val="6"/>
                <w:szCs w:val="6"/>
                <w:color w:val="auto"/>
              </w:rPr>
            </w:pPr>
          </w:p>
        </w:tc>
        <w:tc>
          <w:tcPr>
            <w:tcW w:w="3400" w:type="dxa"/>
            <w:vAlign w:val="bottom"/>
            <w:tcBorders>
              <w:bottom w:val="single" w:sz="8" w:color="007CBA"/>
            </w:tcBorders>
          </w:tcPr>
          <w:p>
            <w:pPr>
              <w:spacing w:after="0"/>
              <w:rPr>
                <w:sz w:val="6"/>
                <w:szCs w:val="6"/>
                <w:color w:val="auto"/>
              </w:rPr>
            </w:pPr>
          </w:p>
        </w:tc>
        <w:tc>
          <w:tcPr>
            <w:tcW w:w="680" w:type="dxa"/>
            <w:vAlign w:val="bottom"/>
            <w:tcBorders>
              <w:bottom w:val="single" w:sz="8" w:color="007CBA"/>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980" w:type="dxa"/>
            <w:vAlign w:val="bottom"/>
          </w:tcPr>
          <w:p>
            <w:pPr>
              <w:ind w:left="80"/>
              <w:spacing w:after="0"/>
              <w:rPr>
                <w:sz w:val="20"/>
                <w:szCs w:val="20"/>
                <w:color w:val="auto"/>
              </w:rPr>
            </w:pPr>
            <w:r>
              <w:rPr>
                <w:rFonts w:ascii="Arial" w:cs="Arial" w:eastAsia="Arial" w:hAnsi="Arial"/>
                <w:sz w:val="16"/>
                <w:szCs w:val="16"/>
                <w:color w:val="auto"/>
              </w:rPr>
              <w:t>3</w:t>
            </w:r>
          </w:p>
        </w:tc>
        <w:tc>
          <w:tcPr>
            <w:tcW w:w="4760" w:type="dxa"/>
            <w:vAlign w:val="bottom"/>
          </w:tcPr>
          <w:p>
            <w:pPr>
              <w:ind w:left="80"/>
              <w:spacing w:after="0"/>
              <w:rPr>
                <w:sz w:val="20"/>
                <w:szCs w:val="20"/>
                <w:color w:val="auto"/>
              </w:rPr>
            </w:pPr>
            <w:r>
              <w:rPr>
                <w:rFonts w:ascii="Arial" w:cs="Arial" w:eastAsia="Arial" w:hAnsi="Arial"/>
                <w:sz w:val="16"/>
                <w:szCs w:val="16"/>
                <w:color w:val="auto"/>
              </w:rPr>
              <w:t>Advisory Vote on the Company’s Named Executive Officer</w:t>
            </w:r>
          </w:p>
        </w:tc>
        <w:tc>
          <w:tcPr>
            <w:tcW w:w="3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80" w:type="dxa"/>
            <w:vAlign w:val="bottom"/>
            <w:tcBorders>
              <w:bottom w:val="single" w:sz="8" w:color="007CBA"/>
            </w:tcBorders>
          </w:tcPr>
          <w:p>
            <w:pPr>
              <w:spacing w:after="0"/>
              <w:rPr>
                <w:sz w:val="16"/>
                <w:szCs w:val="16"/>
                <w:color w:val="auto"/>
              </w:rPr>
            </w:pPr>
          </w:p>
        </w:tc>
        <w:tc>
          <w:tcPr>
            <w:tcW w:w="4760" w:type="dxa"/>
            <w:vAlign w:val="bottom"/>
            <w:tcBorders>
              <w:bottom w:val="single" w:sz="8" w:color="007CBA"/>
            </w:tcBorders>
          </w:tcPr>
          <w:p>
            <w:pPr>
              <w:ind w:left="80"/>
              <w:spacing w:after="0"/>
              <w:rPr>
                <w:sz w:val="20"/>
                <w:szCs w:val="20"/>
                <w:color w:val="auto"/>
              </w:rPr>
            </w:pPr>
            <w:r>
              <w:rPr>
                <w:rFonts w:ascii="Arial" w:cs="Arial" w:eastAsia="Arial" w:hAnsi="Arial"/>
                <w:sz w:val="16"/>
                <w:szCs w:val="16"/>
                <w:color w:val="auto"/>
              </w:rPr>
              <w:t>Compensation</w:t>
            </w:r>
          </w:p>
        </w:tc>
        <w:tc>
          <w:tcPr>
            <w:tcW w:w="3400" w:type="dxa"/>
            <w:vAlign w:val="bottom"/>
            <w:tcBorders>
              <w:bottom w:val="single" w:sz="8" w:color="007CBA"/>
            </w:tcBorders>
          </w:tcPr>
          <w:p>
            <w:pPr>
              <w:ind w:left="780"/>
              <w:spacing w:after="0"/>
              <w:rPr>
                <w:sz w:val="20"/>
                <w:szCs w:val="20"/>
                <w:color w:val="auto"/>
              </w:rPr>
            </w:pPr>
            <w:r>
              <w:rPr>
                <w:rFonts w:ascii="Arial" w:cs="Arial" w:eastAsia="Arial" w:hAnsi="Arial"/>
                <w:sz w:val="16"/>
                <w:szCs w:val="16"/>
                <w:color w:val="auto"/>
              </w:rPr>
              <w:t>FOR</w:t>
            </w:r>
          </w:p>
        </w:tc>
        <w:tc>
          <w:tcPr>
            <w:tcW w:w="680" w:type="dxa"/>
            <w:vAlign w:val="bottom"/>
            <w:tcBorders>
              <w:bottom w:val="single" w:sz="8" w:color="007CBA"/>
            </w:tcBorders>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3439795</wp:posOffset>
            </wp:positionH>
            <wp:positionV relativeFrom="paragraph">
              <wp:posOffset>2800985</wp:posOffset>
            </wp:positionV>
            <wp:extent cx="410845" cy="2482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9260" w:type="dxa"/>
        <w:tblCellMar>
          <w:top w:w="0" w:type="dxa"/>
          <w:left w:w="0" w:type="dxa"/>
          <w:bottom w:w="0" w:type="dxa"/>
          <w:right w:w="0" w:type="dxa"/>
        </w:tblCellMar>
      </w:tblPr>
      <w:tr>
        <w:trPr>
          <w:trHeight w:val="168"/>
        </w:trPr>
        <w:tc>
          <w:tcPr>
            <w:tcW w:w="1700" w:type="dxa"/>
            <w:vAlign w:val="bottom"/>
          </w:tcPr>
          <w:p>
            <w:pPr>
              <w:spacing w:after="0"/>
              <w:rPr>
                <w:sz w:val="20"/>
                <w:szCs w:val="20"/>
                <w:color w:val="auto"/>
              </w:rPr>
            </w:pPr>
            <w:r>
              <w:rPr>
                <w:rFonts w:ascii="Arial" w:cs="Arial" w:eastAsia="Arial" w:hAnsi="Arial"/>
                <w:sz w:val="13"/>
                <w:szCs w:val="13"/>
                <w:color w:val="007CBA"/>
              </w:rPr>
              <w:t>2019 PROXY STATEMENT</w:t>
            </w:r>
          </w:p>
        </w:tc>
        <w:tc>
          <w:tcPr>
            <w:tcW w:w="260" w:type="dxa"/>
            <w:vAlign w:val="bottom"/>
          </w:tcPr>
          <w:p>
            <w:pPr>
              <w:jc w:val="right"/>
              <w:spacing w:after="0"/>
              <w:rPr>
                <w:sz w:val="20"/>
                <w:szCs w:val="20"/>
                <w:color w:val="auto"/>
              </w:rPr>
            </w:pPr>
            <w:r>
              <w:rPr>
                <w:rFonts w:ascii="Arial" w:cs="Arial" w:eastAsia="Arial" w:hAnsi="Arial"/>
                <w:sz w:val="13"/>
                <w:szCs w:val="13"/>
                <w:b w:val="1"/>
                <w:bCs w:val="1"/>
                <w:color w:val="auto"/>
              </w:rPr>
              <w:t>1</w:t>
            </w:r>
          </w:p>
        </w:tc>
      </w:tr>
    </w:tbl>
    <w:p>
      <w:pPr>
        <w:sectPr>
          <w:pgSz w:w="11900" w:h="16838" w:orient="portrait"/>
          <w:cols w:equalWidth="0" w:num="1">
            <w:col w:w="11220"/>
          </w:cols>
          <w:pgMar w:left="240" w:top="459" w:right="4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6989445" cy="8274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89445" cy="8274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40"/>
        <w:spacing w:after="0"/>
        <w:rPr>
          <w:sz w:val="20"/>
          <w:szCs w:val="20"/>
          <w:color w:val="auto"/>
        </w:rPr>
      </w:pPr>
      <w:r>
        <w:rPr>
          <w:rFonts w:ascii="Arial" w:cs="Arial" w:eastAsia="Arial" w:hAnsi="Arial"/>
          <w:sz w:val="25"/>
          <w:szCs w:val="25"/>
          <w:b w:val="1"/>
          <w:bCs w:val="1"/>
          <w:color w:val="007CBA"/>
        </w:rPr>
        <w:t>Shareholders Benefit from Martin Marietta’s Record 2018 Performance</w:t>
      </w:r>
    </w:p>
    <w:p>
      <w:pPr>
        <w:spacing w:after="0" w:line="257" w:lineRule="exact"/>
        <w:rPr>
          <w:sz w:val="20"/>
          <w:szCs w:val="20"/>
          <w:color w:val="auto"/>
        </w:rPr>
      </w:pPr>
    </w:p>
    <w:p>
      <w:pPr>
        <w:jc w:val="both"/>
        <w:ind w:left="540" w:right="20"/>
        <w:spacing w:after="0" w:line="248" w:lineRule="auto"/>
        <w:rPr>
          <w:sz w:val="20"/>
          <w:szCs w:val="20"/>
          <w:color w:val="auto"/>
        </w:rPr>
      </w:pPr>
      <w:r>
        <w:rPr>
          <w:rFonts w:ascii="Arial" w:cs="Arial" w:eastAsia="Arial" w:hAnsi="Arial"/>
          <w:sz w:val="16"/>
          <w:szCs w:val="16"/>
          <w:color w:val="auto"/>
        </w:rPr>
        <w:t>The past year was one of improved key financial metrics and disciplined capital allocation. In addition, through asset and portfolio rationalization, we strengthened our foundation for long-term financial success, including through our purchase of Bluegrass Materials Company in 2018. Largely driven by acquisitions, our record 2018 financial performance is a continuation of the growth in total revenues, gross profit, adjusted earnings before interest, tax, depreciation and amortization (EBITDA) and adjusted earnings per diluted share (EPS) since 2011. These trends, along with our record financial results, validate both our strategic plan and our ability to logically and successfully execute against that plan. Disciplined execution against our capital allocation priorities extended beyond strategic acquisitions in 2018 as we resumed our share repurchase program and meaningfully increased our dividend.</w:t>
      </w:r>
    </w:p>
    <w:p>
      <w:pPr>
        <w:spacing w:after="0" w:line="92" w:lineRule="exact"/>
        <w:rPr>
          <w:sz w:val="20"/>
          <w:szCs w:val="20"/>
          <w:color w:val="auto"/>
        </w:rPr>
      </w:pPr>
    </w:p>
    <w:p>
      <w:pPr>
        <w:ind w:left="960" w:right="20" w:hanging="426"/>
        <w:spacing w:after="0" w:line="196" w:lineRule="auto"/>
        <w:tabs>
          <w:tab w:leader="none" w:pos="960" w:val="left"/>
        </w:tabs>
        <w:numPr>
          <w:ilvl w:val="0"/>
          <w:numId w:val="5"/>
        </w:numPr>
        <w:rPr>
          <w:rFonts w:ascii="MS PGothic" w:cs="MS PGothic" w:eastAsia="MS PGothic" w:hAnsi="MS PGothic"/>
          <w:sz w:val="16"/>
          <w:szCs w:val="16"/>
          <w:color w:val="auto"/>
        </w:rPr>
      </w:pPr>
      <w:r>
        <w:rPr>
          <w:rFonts w:ascii="Arial" w:cs="Arial" w:eastAsia="Arial" w:hAnsi="Arial"/>
          <w:sz w:val="16"/>
          <w:szCs w:val="16"/>
          <w:b w:val="1"/>
          <w:bCs w:val="1"/>
          <w:color w:val="auto"/>
        </w:rPr>
        <w:t>Adjusted operating earnings growth</w:t>
      </w:r>
      <w:r>
        <w:rPr>
          <w:rFonts w:ascii="Arial" w:cs="Arial" w:eastAsia="Arial" w:hAnsi="Arial"/>
          <w:sz w:val="27"/>
          <w:szCs w:val="27"/>
          <w:b w:val="1"/>
          <w:bCs w:val="1"/>
          <w:color w:val="auto"/>
          <w:vertAlign w:val="superscript"/>
        </w:rPr>
        <w:t>1</w:t>
      </w:r>
      <w:r>
        <w:rPr>
          <w:rFonts w:ascii="Arial" w:cs="Arial" w:eastAsia="Arial" w:hAnsi="Arial"/>
          <w:sz w:val="16"/>
          <w:szCs w:val="16"/>
          <w:b w:val="1"/>
          <w:bCs w:val="1"/>
          <w:color w:val="auto"/>
        </w:rPr>
        <w:t xml:space="preserve"> of $33 million, or 5%, </w:t>
      </w:r>
      <w:r>
        <w:rPr>
          <w:rFonts w:ascii="Arial" w:cs="Arial" w:eastAsia="Arial" w:hAnsi="Arial"/>
          <w:sz w:val="16"/>
          <w:szCs w:val="16"/>
          <w:color w:val="auto"/>
        </w:rPr>
        <w:t>over 2017; reported 2018 gross profit of $966.6 million and earnings from</w:t>
      </w:r>
      <w:r>
        <w:rPr>
          <w:rFonts w:ascii="Arial" w:cs="Arial" w:eastAsia="Arial" w:hAnsi="Arial"/>
          <w:sz w:val="16"/>
          <w:szCs w:val="16"/>
          <w:b w:val="1"/>
          <w:bCs w:val="1"/>
          <w:color w:val="auto"/>
        </w:rPr>
        <w:t xml:space="preserve"> </w:t>
      </w:r>
      <w:r>
        <w:rPr>
          <w:rFonts w:ascii="Arial" w:cs="Arial" w:eastAsia="Arial" w:hAnsi="Arial"/>
          <w:sz w:val="16"/>
          <w:szCs w:val="16"/>
          <w:color w:val="auto"/>
        </w:rPr>
        <w:t>operations of $690.7 million.</w:t>
      </w:r>
    </w:p>
    <w:p>
      <w:pPr>
        <w:spacing w:after="0" w:line="96" w:lineRule="exact"/>
        <w:rPr>
          <w:rFonts w:ascii="MS PGothic" w:cs="MS PGothic" w:eastAsia="MS PGothic" w:hAnsi="MS PGothic"/>
          <w:sz w:val="16"/>
          <w:szCs w:val="16"/>
          <w:color w:val="auto"/>
        </w:rPr>
      </w:pPr>
    </w:p>
    <w:p>
      <w:pPr>
        <w:jc w:val="both"/>
        <w:ind w:left="960" w:hanging="426"/>
        <w:spacing w:after="0" w:line="266" w:lineRule="auto"/>
        <w:tabs>
          <w:tab w:leader="none" w:pos="960" w:val="left"/>
        </w:tabs>
        <w:numPr>
          <w:ilvl w:val="0"/>
          <w:numId w:val="5"/>
        </w:numPr>
        <w:rPr>
          <w:rFonts w:ascii="MS PGothic" w:cs="MS PGothic" w:eastAsia="MS PGothic" w:hAnsi="MS PGothic"/>
          <w:sz w:val="16"/>
          <w:szCs w:val="16"/>
          <w:color w:val="auto"/>
        </w:rPr>
      </w:pPr>
      <w:r>
        <w:rPr>
          <w:rFonts w:ascii="Arial" w:cs="Arial" w:eastAsia="Arial" w:hAnsi="Arial"/>
          <w:sz w:val="16"/>
          <w:szCs w:val="16"/>
          <w:b w:val="1"/>
          <w:bCs w:val="1"/>
          <w:color w:val="auto"/>
        </w:rPr>
        <w:t>Net earnings attributable to Martin Marietta of $470 million</w:t>
      </w:r>
      <w:r>
        <w:rPr>
          <w:rFonts w:ascii="Arial" w:cs="Arial" w:eastAsia="Arial" w:hAnsi="Arial"/>
          <w:sz w:val="16"/>
          <w:szCs w:val="16"/>
          <w:color w:val="auto"/>
        </w:rPr>
        <w:t>, as compared with 2017 net earnings of $713.3 million, which was an</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 of 68% over 2016 and included a one-time, non-cash benefit of $258.1 million resulting from the Tax Cuts and Jobs Act of 2017 (2017 Tax Act).</w:t>
      </w:r>
    </w:p>
    <w:p>
      <w:pPr>
        <w:spacing w:after="0" w:line="76" w:lineRule="exact"/>
        <w:rPr>
          <w:rFonts w:ascii="MS PGothic" w:cs="MS PGothic" w:eastAsia="MS PGothic" w:hAnsi="MS PGothic"/>
          <w:sz w:val="16"/>
          <w:szCs w:val="16"/>
          <w:color w:val="auto"/>
        </w:rPr>
      </w:pPr>
    </w:p>
    <w:p>
      <w:pPr>
        <w:ind w:left="960" w:right="20" w:hanging="426"/>
        <w:spacing w:after="0" w:line="286" w:lineRule="auto"/>
        <w:tabs>
          <w:tab w:leader="none" w:pos="9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 xml:space="preserve">Record adjusted consolidated earnings before interest, taxes, depreciation and amortization </w:t>
      </w:r>
      <w:r>
        <w:rPr>
          <w:rFonts w:ascii="Arial" w:cs="Arial" w:eastAsia="Arial" w:hAnsi="Arial"/>
          <w:sz w:val="16"/>
          <w:szCs w:val="16"/>
          <w:b w:val="1"/>
          <w:bCs w:val="1"/>
          <w:color w:val="auto"/>
        </w:rPr>
        <w:t>(Adjusted EBITDA) of $1.104 billion,</w:t>
      </w:r>
      <w:r>
        <w:rPr>
          <w:rFonts w:ascii="Arial" w:cs="Arial" w:eastAsia="Arial" w:hAnsi="Arial"/>
          <w:sz w:val="16"/>
          <w:szCs w:val="16"/>
          <w:color w:val="auto"/>
        </w:rPr>
        <w:t xml:space="preserve"> </w:t>
      </w:r>
      <w:r>
        <w:rPr>
          <w:rFonts w:ascii="Arial" w:cs="Arial" w:eastAsia="Arial" w:hAnsi="Arial"/>
          <w:sz w:val="16"/>
          <w:szCs w:val="16"/>
          <w:b w:val="1"/>
          <w:bCs w:val="1"/>
          <w:color w:val="auto"/>
        </w:rPr>
        <w:t>resulting in a 26% Adjusted EBITDA margin</w:t>
      </w:r>
      <w:r>
        <w:rPr>
          <w:rFonts w:ascii="Arial" w:cs="Arial" w:eastAsia="Arial" w:hAnsi="Arial"/>
          <w:sz w:val="16"/>
          <w:szCs w:val="16"/>
          <w:color w:val="auto"/>
        </w:rPr>
        <w:t>.</w:t>
      </w:r>
      <w:r>
        <w:rPr>
          <w:rFonts w:ascii="Arial" w:cs="Arial" w:eastAsia="Arial" w:hAnsi="Arial"/>
          <w:sz w:val="10"/>
          <w:szCs w:val="10"/>
          <w:b w:val="1"/>
          <w:bCs w:val="1"/>
          <w:color w:val="auto"/>
        </w:rPr>
        <w:t>2</w:t>
      </w:r>
    </w:p>
    <w:p>
      <w:pPr>
        <w:spacing w:after="0" w:line="80" w:lineRule="exact"/>
        <w:rPr>
          <w:rFonts w:ascii="MS PGothic" w:cs="MS PGothic" w:eastAsia="MS PGothic" w:hAnsi="MS PGothic"/>
          <w:sz w:val="16"/>
          <w:szCs w:val="16"/>
          <w:color w:val="auto"/>
        </w:rPr>
      </w:pPr>
    </w:p>
    <w:p>
      <w:pPr>
        <w:ind w:left="960" w:hanging="426"/>
        <w:spacing w:after="0"/>
        <w:tabs>
          <w:tab w:leader="none" w:pos="9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$150 million contribution to the qualified defined benefit pension plan, which is fully funded.</w:t>
      </w:r>
    </w:p>
    <w:p>
      <w:pPr>
        <w:spacing w:after="0" w:line="119" w:lineRule="exact"/>
        <w:rPr>
          <w:rFonts w:ascii="MS PGothic" w:cs="MS PGothic" w:eastAsia="MS PGothic" w:hAnsi="MS PGothic"/>
          <w:sz w:val="16"/>
          <w:szCs w:val="16"/>
          <w:color w:val="auto"/>
        </w:rPr>
      </w:pPr>
    </w:p>
    <w:p>
      <w:pPr>
        <w:ind w:left="960" w:right="20" w:hanging="426"/>
        <w:spacing w:after="0" w:line="286" w:lineRule="auto"/>
        <w:tabs>
          <w:tab w:leader="none" w:pos="960" w:val="left"/>
        </w:tabs>
        <w:numPr>
          <w:ilvl w:val="0"/>
          <w:numId w:val="5"/>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Repurchase of 521,000 shares for $100.4 million. </w:t>
      </w:r>
      <w:r>
        <w:rPr>
          <w:rFonts w:ascii="Arial" w:cs="Arial" w:eastAsia="Arial" w:hAnsi="Arial"/>
          <w:sz w:val="16"/>
          <w:szCs w:val="16"/>
          <w:color w:val="auto"/>
        </w:rPr>
        <w:t>We have repurchased 5.9 million shares since announcing a 20 million share</w:t>
      </w:r>
      <w:r>
        <w:rPr>
          <w:rFonts w:ascii="Arial" w:cs="Arial" w:eastAsia="Arial" w:hAnsi="Arial"/>
          <w:sz w:val="16"/>
          <w:szCs w:val="16"/>
          <w:b w:val="1"/>
          <w:bCs w:val="1"/>
          <w:color w:val="auto"/>
        </w:rPr>
        <w:t xml:space="preserve"> </w:t>
      </w:r>
      <w:r>
        <w:rPr>
          <w:rFonts w:ascii="Arial" w:cs="Arial" w:eastAsia="Arial" w:hAnsi="Arial"/>
          <w:sz w:val="16"/>
          <w:szCs w:val="16"/>
          <w:color w:val="auto"/>
        </w:rPr>
        <w:t>repurchase authorization in February 2015.</w:t>
      </w:r>
    </w:p>
    <w:p>
      <w:pPr>
        <w:spacing w:after="0" w:line="60" w:lineRule="exact"/>
        <w:rPr>
          <w:rFonts w:ascii="MS PGothic" w:cs="MS PGothic" w:eastAsia="MS PGothic" w:hAnsi="MS PGothic"/>
          <w:sz w:val="16"/>
          <w:szCs w:val="16"/>
          <w:color w:val="auto"/>
        </w:rPr>
      </w:pPr>
    </w:p>
    <w:p>
      <w:pPr>
        <w:ind w:left="960" w:hanging="426"/>
        <w:spacing w:after="0"/>
        <w:tabs>
          <w:tab w:leader="none" w:pos="960" w:val="left"/>
        </w:tabs>
        <w:numPr>
          <w:ilvl w:val="0"/>
          <w:numId w:val="5"/>
        </w:numPr>
        <w:rPr>
          <w:rFonts w:ascii="MS PGothic" w:cs="MS PGothic" w:eastAsia="MS PGothic" w:hAnsi="MS PGothic"/>
          <w:sz w:val="16"/>
          <w:szCs w:val="16"/>
          <w:color w:val="auto"/>
        </w:rPr>
      </w:pPr>
      <w:r>
        <w:rPr>
          <w:rFonts w:ascii="Arial" w:cs="Arial" w:eastAsia="Arial" w:hAnsi="Arial"/>
          <w:sz w:val="16"/>
          <w:szCs w:val="16"/>
          <w:b w:val="1"/>
          <w:bCs w:val="1"/>
          <w:color w:val="auto"/>
        </w:rPr>
        <w:t>Dividend increase of 9% in August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740" w:hanging="206"/>
        <w:spacing w:after="0" w:line="199" w:lineRule="auto"/>
        <w:tabs>
          <w:tab w:leader="none" w:pos="740" w:val="left"/>
        </w:tabs>
        <w:numPr>
          <w:ilvl w:val="0"/>
          <w:numId w:val="6"/>
        </w:numPr>
        <w:rPr>
          <w:rFonts w:ascii="Arial" w:cs="Arial" w:eastAsia="Arial" w:hAnsi="Arial"/>
          <w:sz w:val="24"/>
          <w:szCs w:val="24"/>
          <w:color w:val="auto"/>
          <w:vertAlign w:val="superscript"/>
        </w:rPr>
      </w:pPr>
      <w:r>
        <w:rPr>
          <w:rFonts w:ascii="Arial" w:cs="Arial" w:eastAsia="Arial" w:hAnsi="Arial"/>
          <w:sz w:val="14"/>
          <w:szCs w:val="14"/>
          <w:color w:val="auto"/>
        </w:rPr>
        <w:t>2018 adjusted earnings from operations excludes an increase in cost of revenues from the impact of selling acquired inventory after its markup to fair value as part of acquisition accounting; asset and portfolio rationalization charges; and acquisition-related expenses, net. 2017 adjusted earnings from operations excludes acquisition-related expenses. See Appendix B for reconciliation to reported earnings from operations.</w:t>
      </w:r>
    </w:p>
    <w:p>
      <w:pPr>
        <w:spacing w:after="0" w:line="111" w:lineRule="exact"/>
        <w:rPr>
          <w:sz w:val="20"/>
          <w:szCs w:val="20"/>
          <w:color w:val="auto"/>
        </w:rPr>
      </w:pPr>
    </w:p>
    <w:p>
      <w:pPr>
        <w:ind w:left="740" w:right="20" w:hanging="206"/>
        <w:spacing w:after="0" w:line="183" w:lineRule="auto"/>
        <w:tabs>
          <w:tab w:leader="none" w:pos="740" w:val="left"/>
        </w:tabs>
        <w:numPr>
          <w:ilvl w:val="0"/>
          <w:numId w:val="7"/>
        </w:numPr>
        <w:rPr>
          <w:rFonts w:ascii="Arial" w:cs="Arial" w:eastAsia="Arial" w:hAnsi="Arial"/>
          <w:sz w:val="24"/>
          <w:szCs w:val="24"/>
          <w:color w:val="auto"/>
          <w:vertAlign w:val="superscript"/>
        </w:rPr>
      </w:pPr>
      <w:r>
        <w:rPr>
          <w:rFonts w:ascii="Arial" w:cs="Arial" w:eastAsia="Arial" w:hAnsi="Arial"/>
          <w:sz w:val="14"/>
          <w:szCs w:val="14"/>
          <w:color w:val="auto"/>
        </w:rPr>
        <w:t>2018 EBITDA has been adjusted to exclude the impacts of acquisition-related items and the charge related to asset and portfolio rationalization. See Appendix B for reconciliation to reported net earnings attributable to Martin Marietta.</w:t>
      </w:r>
    </w:p>
    <w:p>
      <w:pPr>
        <w:spacing w:after="0" w:line="112" w:lineRule="exact"/>
        <w:rPr>
          <w:sz w:val="20"/>
          <w:szCs w:val="20"/>
          <w:color w:val="auto"/>
        </w:rPr>
      </w:pPr>
    </w:p>
    <w:p>
      <w:pPr>
        <w:ind w:left="740" w:right="20" w:hanging="206"/>
        <w:spacing w:after="0" w:line="183" w:lineRule="auto"/>
        <w:tabs>
          <w:tab w:leader="none" w:pos="740" w:val="left"/>
        </w:tabs>
        <w:numPr>
          <w:ilvl w:val="0"/>
          <w:numId w:val="8"/>
        </w:numPr>
        <w:rPr>
          <w:rFonts w:ascii="Arial" w:cs="Arial" w:eastAsia="Arial" w:hAnsi="Arial"/>
          <w:sz w:val="24"/>
          <w:szCs w:val="24"/>
          <w:color w:val="auto"/>
          <w:vertAlign w:val="superscript"/>
        </w:rPr>
      </w:pPr>
      <w:r>
        <w:rPr>
          <w:rFonts w:ascii="Arial" w:cs="Arial" w:eastAsia="Arial" w:hAnsi="Arial"/>
          <w:sz w:val="14"/>
          <w:szCs w:val="14"/>
          <w:color w:val="auto"/>
        </w:rPr>
        <w:t>2018 adjusted gross profit excludes the $18.7 million impact of selling acquired inventory after its markup to fair value as part of acquisition accounting. See Appendix B for reconciliation to reported gross profit.</w:t>
      </w:r>
    </w:p>
    <w:p>
      <w:pPr>
        <w:spacing w:after="0" w:line="112" w:lineRule="exact"/>
        <w:rPr>
          <w:sz w:val="20"/>
          <w:szCs w:val="20"/>
          <w:color w:val="auto"/>
        </w:rPr>
      </w:pPr>
    </w:p>
    <w:p>
      <w:pPr>
        <w:ind w:left="740" w:right="20" w:hanging="206"/>
        <w:spacing w:after="0" w:line="183" w:lineRule="auto"/>
        <w:tabs>
          <w:tab w:leader="none" w:pos="740" w:val="left"/>
        </w:tabs>
        <w:numPr>
          <w:ilvl w:val="0"/>
          <w:numId w:val="9"/>
        </w:numPr>
        <w:rPr>
          <w:rFonts w:ascii="Arial" w:cs="Arial" w:eastAsia="Arial" w:hAnsi="Arial"/>
          <w:sz w:val="24"/>
          <w:szCs w:val="24"/>
          <w:color w:val="auto"/>
          <w:vertAlign w:val="superscript"/>
        </w:rPr>
      </w:pPr>
      <w:r>
        <w:rPr>
          <w:rFonts w:ascii="Arial" w:cs="Arial" w:eastAsia="Arial" w:hAnsi="Arial"/>
          <w:sz w:val="14"/>
          <w:szCs w:val="14"/>
          <w:color w:val="auto"/>
        </w:rPr>
        <w:t>The 2017 earnings per diluted share has been adjusted to exclude from the $11.25 2017 diluted earnings per share the one-time $4.07 per diluted share tax benefit of the 2017 Tax Act. See Appendix B for reconciliation to reported earnings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3517265</wp:posOffset>
            </wp:positionH>
            <wp:positionV relativeFrom="paragraph">
              <wp:posOffset>350520</wp:posOffset>
            </wp:positionV>
            <wp:extent cx="410845" cy="2482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ind w:left="640" w:hanging="430"/>
        <w:spacing w:after="0"/>
        <w:tabs>
          <w:tab w:leader="none" w:pos="640" w:val="left"/>
        </w:tabs>
        <w:numPr>
          <w:ilvl w:val="0"/>
          <w:numId w:val="10"/>
        </w:numPr>
        <w:rPr>
          <w:rFonts w:ascii="Arial" w:cs="Arial" w:eastAsia="Arial" w:hAnsi="Arial"/>
          <w:sz w:val="13"/>
          <w:szCs w:val="13"/>
          <w:b w:val="1"/>
          <w:bCs w:val="1"/>
          <w:color w:val="auto"/>
        </w:rPr>
      </w:pPr>
      <w:r>
        <w:rPr>
          <w:rFonts w:ascii="Arial" w:cs="Arial" w:eastAsia="Arial" w:hAnsi="Arial"/>
          <w:sz w:val="13"/>
          <w:szCs w:val="13"/>
          <w:color w:val="007CBA"/>
        </w:rPr>
        <w:t>2019 PROXY STATEMENT</w:t>
      </w:r>
    </w:p>
    <w:p>
      <w:pPr>
        <w:sectPr>
          <w:pgSz w:w="11900" w:h="16838" w:orient="portrait"/>
          <w:cols w:equalWidth="0" w:num="1">
            <w:col w:w="10900"/>
          </w:cols>
          <w:pgMar w:left="240" w:top="459" w:right="7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6989445" cy="81889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89445" cy="8188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40"/>
        <w:spacing w:after="0"/>
        <w:rPr>
          <w:sz w:val="20"/>
          <w:szCs w:val="20"/>
          <w:color w:val="auto"/>
        </w:rPr>
      </w:pPr>
      <w:r>
        <w:rPr>
          <w:rFonts w:ascii="Arial" w:cs="Arial" w:eastAsia="Arial" w:hAnsi="Arial"/>
          <w:sz w:val="25"/>
          <w:szCs w:val="25"/>
          <w:b w:val="1"/>
          <w:bCs w:val="1"/>
          <w:color w:val="007CBA"/>
        </w:rPr>
        <w:t>Corporate Governance Highlights:</w:t>
      </w:r>
    </w:p>
    <w:p>
      <w:pPr>
        <w:spacing w:after="0" w:line="41" w:lineRule="exact"/>
        <w:rPr>
          <w:sz w:val="20"/>
          <w:szCs w:val="20"/>
          <w:color w:val="auto"/>
        </w:rPr>
      </w:pPr>
    </w:p>
    <w:p>
      <w:pPr>
        <w:ind w:left="540"/>
        <w:spacing w:after="0"/>
        <w:rPr>
          <w:sz w:val="20"/>
          <w:szCs w:val="20"/>
          <w:color w:val="auto"/>
        </w:rPr>
      </w:pPr>
      <w:r>
        <w:rPr>
          <w:rFonts w:ascii="Arial" w:cs="Arial" w:eastAsia="Arial" w:hAnsi="Arial"/>
          <w:sz w:val="25"/>
          <w:szCs w:val="25"/>
          <w:b w:val="1"/>
          <w:bCs w:val="1"/>
          <w:color w:val="007CBA"/>
        </w:rPr>
        <w:t>Creating Sustainable Long-Term Shareholder Value</w:t>
      </w:r>
    </w:p>
    <w:p>
      <w:pPr>
        <w:spacing w:after="0" w:line="241"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FFFFFF"/>
        </w:rPr>
        <w:t>Recent Updates</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b w:val="1"/>
          <w:bCs w:val="1"/>
          <w:color w:val="000000"/>
        </w:rPr>
        <w:t>Directors elected annually</w:t>
      </w:r>
      <w:r>
        <w:rPr>
          <w:rFonts w:ascii="Arial" w:cs="Arial" w:eastAsia="Arial" w:hAnsi="Arial"/>
          <w:sz w:val="16"/>
          <w:szCs w:val="16"/>
          <w:color w:val="007CBA"/>
        </w:rPr>
        <w:t xml:space="preserve"> </w:t>
      </w:r>
      <w:r>
        <w:rPr>
          <w:rFonts w:ascii="Arial" w:cs="Arial" w:eastAsia="Arial" w:hAnsi="Arial"/>
          <w:sz w:val="16"/>
          <w:szCs w:val="16"/>
          <w:color w:val="000000"/>
        </w:rPr>
        <w:t>to serve one-year terms</w:t>
      </w:r>
    </w:p>
    <w:p>
      <w:pPr>
        <w:spacing w:after="0" w:line="113" w:lineRule="exact"/>
        <w:rPr>
          <w:sz w:val="20"/>
          <w:szCs w:val="20"/>
          <w:color w:val="auto"/>
        </w:rPr>
      </w:pPr>
    </w:p>
    <w:p>
      <w:pPr>
        <w:ind w:left="760" w:right="500" w:hanging="155"/>
        <w:spacing w:after="0" w:line="286" w:lineRule="auto"/>
        <w:tabs>
          <w:tab w:leader="none" w:pos="783" w:val="left"/>
        </w:tabs>
        <w:numPr>
          <w:ilvl w:val="0"/>
          <w:numId w:val="11"/>
        </w:numPr>
        <w:rPr>
          <w:rFonts w:ascii="Arial" w:cs="Arial" w:eastAsia="Arial" w:hAnsi="Arial"/>
          <w:sz w:val="16"/>
          <w:szCs w:val="16"/>
          <w:color w:val="007CBA"/>
        </w:rPr>
      </w:pPr>
      <w:r>
        <w:rPr>
          <w:rFonts w:ascii="Arial" w:cs="Arial" w:eastAsia="Arial" w:hAnsi="Arial"/>
          <w:sz w:val="16"/>
          <w:szCs w:val="16"/>
          <w:b w:val="1"/>
          <w:bCs w:val="1"/>
          <w:color w:val="auto"/>
        </w:rPr>
        <w:t>Elimination of excise tax gross-up, walk-right and value of perquisites in the severance calculation in Employment Protection Agreements</w:t>
      </w:r>
    </w:p>
    <w:p>
      <w:pPr>
        <w:spacing w:after="0" w:line="47"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007CBA"/>
        </w:rPr>
        <w:t xml:space="preserve">• </w:t>
      </w:r>
      <w:r>
        <w:rPr>
          <w:rFonts w:ascii="Arial" w:cs="Arial" w:eastAsia="Arial" w:hAnsi="Arial"/>
          <w:sz w:val="16"/>
          <w:szCs w:val="16"/>
          <w:b w:val="1"/>
          <w:bCs w:val="1"/>
          <w:color w:val="000000"/>
        </w:rPr>
        <w:t>Elimination of single-trigger vesting in equity award agreements for grants beginning in 2019</w:t>
      </w:r>
    </w:p>
    <w:p>
      <w:pPr>
        <w:spacing w:after="0" w:line="153" w:lineRule="exact"/>
        <w:rPr>
          <w:sz w:val="20"/>
          <w:szCs w:val="20"/>
          <w:color w:val="auto"/>
        </w:rPr>
      </w:pPr>
    </w:p>
    <w:p>
      <w:pPr>
        <w:ind w:left="760" w:hanging="155"/>
        <w:spacing w:after="0"/>
        <w:tabs>
          <w:tab w:leader="none" w:pos="760" w:val="left"/>
        </w:tabs>
        <w:numPr>
          <w:ilvl w:val="0"/>
          <w:numId w:val="12"/>
        </w:numPr>
        <w:rPr>
          <w:rFonts w:ascii="Arial" w:cs="Arial" w:eastAsia="Arial" w:hAnsi="Arial"/>
          <w:sz w:val="16"/>
          <w:szCs w:val="16"/>
          <w:color w:val="007CBA"/>
        </w:rPr>
      </w:pPr>
      <w:r>
        <w:rPr>
          <w:rFonts w:ascii="Arial" w:cs="Arial" w:eastAsia="Arial" w:hAnsi="Arial"/>
          <w:sz w:val="16"/>
          <w:szCs w:val="16"/>
          <w:color w:val="auto"/>
        </w:rPr>
        <w:t xml:space="preserve">Adoption of </w:t>
      </w:r>
      <w:r>
        <w:rPr>
          <w:rFonts w:ascii="Arial" w:cs="Arial" w:eastAsia="Arial" w:hAnsi="Arial"/>
          <w:sz w:val="16"/>
          <w:szCs w:val="16"/>
          <w:b w:val="1"/>
          <w:bCs w:val="1"/>
          <w:color w:val="auto"/>
        </w:rPr>
        <w:t>Stock Ownership Guidelines</w:t>
      </w:r>
    </w:p>
    <w:p>
      <w:pPr>
        <w:spacing w:after="0" w:line="113" w:lineRule="exact"/>
        <w:rPr>
          <w:sz w:val="20"/>
          <w:szCs w:val="20"/>
          <w:color w:val="auto"/>
        </w:rPr>
      </w:pPr>
    </w:p>
    <w:p>
      <w:pPr>
        <w:ind w:left="600"/>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Adoption of</w:t>
      </w:r>
      <w:r>
        <w:rPr>
          <w:rFonts w:ascii="Arial" w:cs="Arial" w:eastAsia="Arial" w:hAnsi="Arial"/>
          <w:sz w:val="16"/>
          <w:szCs w:val="16"/>
          <w:color w:val="007CBA"/>
        </w:rPr>
        <w:t xml:space="preserve"> </w:t>
      </w:r>
      <w:r>
        <w:rPr>
          <w:rFonts w:ascii="Arial" w:cs="Arial" w:eastAsia="Arial" w:hAnsi="Arial"/>
          <w:sz w:val="16"/>
          <w:szCs w:val="16"/>
          <w:b w:val="1"/>
          <w:bCs w:val="1"/>
          <w:color w:val="000000"/>
        </w:rPr>
        <w:t>Hedging and Pledging Policy</w:t>
      </w:r>
    </w:p>
    <w:p>
      <w:pPr>
        <w:spacing w:after="0" w:line="113" w:lineRule="exact"/>
        <w:rPr>
          <w:sz w:val="20"/>
          <w:szCs w:val="20"/>
          <w:color w:val="auto"/>
        </w:rPr>
      </w:pPr>
    </w:p>
    <w:p>
      <w:pPr>
        <w:ind w:left="780" w:hanging="175"/>
        <w:spacing w:after="0"/>
        <w:tabs>
          <w:tab w:leader="none" w:pos="780" w:val="left"/>
        </w:tabs>
        <w:numPr>
          <w:ilvl w:val="0"/>
          <w:numId w:val="13"/>
        </w:numPr>
        <w:rPr>
          <w:rFonts w:ascii="Arial" w:cs="Arial" w:eastAsia="Arial" w:hAnsi="Arial"/>
          <w:sz w:val="16"/>
          <w:szCs w:val="16"/>
          <w:color w:val="007CBA"/>
        </w:rPr>
      </w:pPr>
      <w:r>
        <w:rPr>
          <w:rFonts w:ascii="Arial" w:cs="Arial" w:eastAsia="Arial" w:hAnsi="Arial"/>
          <w:sz w:val="16"/>
          <w:szCs w:val="16"/>
          <w:color w:val="auto"/>
        </w:rPr>
        <w:t xml:space="preserve">Adoption of </w:t>
      </w:r>
      <w:r>
        <w:rPr>
          <w:rFonts w:ascii="Arial" w:cs="Arial" w:eastAsia="Arial" w:hAnsi="Arial"/>
          <w:sz w:val="16"/>
          <w:szCs w:val="16"/>
          <w:b w:val="1"/>
          <w:bCs w:val="1"/>
          <w:color w:val="auto"/>
        </w:rPr>
        <w:t>Clawback Policy</w:t>
      </w:r>
    </w:p>
    <w:p>
      <w:pPr>
        <w:spacing w:after="0" w:line="132" w:lineRule="exact"/>
        <w:rPr>
          <w:rFonts w:ascii="Arial" w:cs="Arial" w:eastAsia="Arial" w:hAnsi="Arial"/>
          <w:sz w:val="16"/>
          <w:szCs w:val="16"/>
          <w:color w:val="007CBA"/>
        </w:rPr>
      </w:pPr>
    </w:p>
    <w:p>
      <w:pPr>
        <w:ind w:left="760" w:right="480" w:hanging="155"/>
        <w:spacing w:after="0" w:line="260" w:lineRule="auto"/>
        <w:tabs>
          <w:tab w:leader="none" w:pos="780" w:val="left"/>
        </w:tabs>
        <w:numPr>
          <w:ilvl w:val="0"/>
          <w:numId w:val="13"/>
        </w:numPr>
        <w:rPr>
          <w:rFonts w:ascii="Arial" w:cs="Arial" w:eastAsia="Arial" w:hAnsi="Arial"/>
          <w:sz w:val="16"/>
          <w:szCs w:val="16"/>
          <w:color w:val="007CBA"/>
        </w:rPr>
      </w:pPr>
      <w:r>
        <w:rPr>
          <w:rFonts w:ascii="Arial" w:cs="Arial" w:eastAsia="Arial" w:hAnsi="Arial"/>
          <w:sz w:val="16"/>
          <w:szCs w:val="16"/>
          <w:color w:val="auto"/>
        </w:rPr>
        <w:t xml:space="preserve">Our shareholders have the ability to nominate director candidates and have those nominees included in our proxy statement, subject to meeting the requirements in our Bylaws, a shareholder right known as </w:t>
      </w:r>
      <w:r>
        <w:rPr>
          <w:rFonts w:ascii="Arial" w:cs="Arial" w:eastAsia="Arial" w:hAnsi="Arial"/>
          <w:sz w:val="16"/>
          <w:szCs w:val="16"/>
          <w:b w:val="1"/>
          <w:bCs w:val="1"/>
          <w:color w:val="auto"/>
        </w:rPr>
        <w:t>proxy access</w:t>
      </w:r>
    </w:p>
    <w:p>
      <w:pPr>
        <w:spacing w:after="0" w:line="157"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FFFFFF"/>
        </w:rPr>
        <w:t>Board of Directors</w:t>
      </w:r>
    </w:p>
    <w:p>
      <w:pPr>
        <w:spacing w:after="0" w:line="168" w:lineRule="exact"/>
        <w:rPr>
          <w:sz w:val="20"/>
          <w:szCs w:val="20"/>
          <w:color w:val="auto"/>
        </w:rPr>
      </w:pPr>
    </w:p>
    <w:p>
      <w:pPr>
        <w:ind w:left="780" w:hanging="175"/>
        <w:spacing w:after="0"/>
        <w:tabs>
          <w:tab w:leader="none" w:pos="780" w:val="left"/>
        </w:tabs>
        <w:numPr>
          <w:ilvl w:val="0"/>
          <w:numId w:val="14"/>
        </w:numPr>
        <w:rPr>
          <w:rFonts w:ascii="Arial" w:cs="Arial" w:eastAsia="Arial" w:hAnsi="Arial"/>
          <w:sz w:val="16"/>
          <w:szCs w:val="16"/>
          <w:color w:val="007CBA"/>
        </w:rPr>
      </w:pPr>
      <w:r>
        <w:rPr>
          <w:rFonts w:ascii="Arial" w:cs="Arial" w:eastAsia="Arial" w:hAnsi="Arial"/>
          <w:sz w:val="16"/>
          <w:szCs w:val="16"/>
          <w:color w:val="auto"/>
        </w:rPr>
        <w:t>Lead Independent Director who is a former public company CEO</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10 current Directors; 9 or 90% are independent</w:t>
      </w:r>
    </w:p>
    <w:p>
      <w:pPr>
        <w:spacing w:after="0" w:line="160" w:lineRule="exact"/>
        <w:rPr>
          <w:sz w:val="20"/>
          <w:szCs w:val="20"/>
          <w:color w:val="auto"/>
        </w:rPr>
      </w:pPr>
    </w:p>
    <w:p>
      <w:pPr>
        <w:ind w:left="760" w:right="480" w:hanging="155"/>
        <w:spacing w:after="0" w:line="286" w:lineRule="auto"/>
        <w:tabs>
          <w:tab w:leader="none" w:pos="786" w:val="left"/>
        </w:tabs>
        <w:numPr>
          <w:ilvl w:val="0"/>
          <w:numId w:val="15"/>
        </w:numPr>
        <w:rPr>
          <w:rFonts w:ascii="Arial" w:cs="Arial" w:eastAsia="Arial" w:hAnsi="Arial"/>
          <w:sz w:val="16"/>
          <w:szCs w:val="16"/>
          <w:b w:val="1"/>
          <w:bCs w:val="1"/>
          <w:color w:val="007CBA"/>
        </w:rPr>
      </w:pPr>
      <w:r>
        <w:rPr>
          <w:rFonts w:ascii="Arial" w:cs="Arial" w:eastAsia="Arial" w:hAnsi="Arial"/>
          <w:sz w:val="16"/>
          <w:szCs w:val="16"/>
          <w:b w:val="1"/>
          <w:bCs w:val="1"/>
          <w:color w:val="auto"/>
        </w:rPr>
        <w:t>Key Committee Chairs are independent, consisting of independent Chairs of the Audit Committee, Management Development and Compensation Committee, and Nominating and Corporate Governance Committee</w:t>
      </w:r>
    </w:p>
    <w:p>
      <w:pPr>
        <w:spacing w:after="0" w:line="135" w:lineRule="exact"/>
        <w:rPr>
          <w:sz w:val="20"/>
          <w:szCs w:val="20"/>
          <w:color w:val="auto"/>
        </w:rPr>
      </w:pPr>
    </w:p>
    <w:p>
      <w:pPr>
        <w:ind w:left="600"/>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Executive sessions of non-management Directors at each regularly-scheduled meeting</w:t>
      </w:r>
    </w:p>
    <w:p>
      <w:pPr>
        <w:spacing w:after="0" w:line="180" w:lineRule="exact"/>
        <w:rPr>
          <w:sz w:val="20"/>
          <w:szCs w:val="20"/>
          <w:color w:val="auto"/>
        </w:rPr>
      </w:pPr>
    </w:p>
    <w:p>
      <w:pPr>
        <w:ind w:left="760" w:hanging="155"/>
        <w:spacing w:after="0"/>
        <w:tabs>
          <w:tab w:leader="none" w:pos="760" w:val="left"/>
        </w:tabs>
        <w:numPr>
          <w:ilvl w:val="0"/>
          <w:numId w:val="16"/>
        </w:numPr>
        <w:rPr>
          <w:rFonts w:ascii="Arial" w:cs="Arial" w:eastAsia="Arial" w:hAnsi="Arial"/>
          <w:sz w:val="16"/>
          <w:szCs w:val="16"/>
          <w:color w:val="007CBA"/>
        </w:rPr>
      </w:pPr>
      <w:r>
        <w:rPr>
          <w:rFonts w:ascii="Arial" w:cs="Arial" w:eastAsia="Arial" w:hAnsi="Arial"/>
          <w:sz w:val="16"/>
          <w:szCs w:val="16"/>
          <w:color w:val="auto"/>
        </w:rPr>
        <w:t>All Directors attended 100% of all Board and Committee meetings during their term of service in 2018</w:t>
      </w:r>
    </w:p>
    <w:p>
      <w:pPr>
        <w:spacing w:after="0" w:line="160"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007CBA"/>
        </w:rPr>
        <w:t xml:space="preserve">• </w:t>
      </w:r>
      <w:r>
        <w:rPr>
          <w:rFonts w:ascii="Arial" w:cs="Arial" w:eastAsia="Arial" w:hAnsi="Arial"/>
          <w:sz w:val="16"/>
          <w:szCs w:val="16"/>
          <w:b w:val="1"/>
          <w:bCs w:val="1"/>
          <w:color w:val="000000"/>
        </w:rPr>
        <w:t>Two women, or 20%, of our Board serve in leadership roles</w:t>
      </w:r>
    </w:p>
    <w:p>
      <w:pPr>
        <w:spacing w:after="0" w:line="200" w:lineRule="exact"/>
        <w:rPr>
          <w:sz w:val="20"/>
          <w:szCs w:val="20"/>
          <w:color w:val="auto"/>
        </w:rPr>
      </w:pPr>
    </w:p>
    <w:p>
      <w:pPr>
        <w:ind w:left="780" w:hanging="175"/>
        <w:spacing w:after="0"/>
        <w:tabs>
          <w:tab w:leader="none" w:pos="780" w:val="left"/>
        </w:tabs>
        <w:numPr>
          <w:ilvl w:val="0"/>
          <w:numId w:val="17"/>
        </w:numPr>
        <w:rPr>
          <w:rFonts w:ascii="Arial" w:cs="Arial" w:eastAsia="Arial" w:hAnsi="Arial"/>
          <w:sz w:val="16"/>
          <w:szCs w:val="16"/>
          <w:color w:val="007CBA"/>
        </w:rPr>
      </w:pPr>
      <w:r>
        <w:rPr>
          <w:rFonts w:ascii="Arial" w:cs="Arial" w:eastAsia="Arial" w:hAnsi="Arial"/>
          <w:sz w:val="16"/>
          <w:szCs w:val="16"/>
          <w:color w:val="auto"/>
        </w:rPr>
        <w:t>90% of Board has experience on other public company boards and 60% are current or former public company CEOs</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Code of Ethical Business Conduct and ethics program that reports to a Board Committee</w:t>
      </w:r>
    </w:p>
    <w:p>
      <w:pPr>
        <w:spacing w:after="0" w:line="160" w:lineRule="exact"/>
        <w:rPr>
          <w:sz w:val="20"/>
          <w:szCs w:val="20"/>
          <w:color w:val="auto"/>
        </w:rPr>
      </w:pPr>
    </w:p>
    <w:p>
      <w:pPr>
        <w:ind w:left="760" w:hanging="155"/>
        <w:spacing w:after="0"/>
        <w:tabs>
          <w:tab w:leader="none" w:pos="760" w:val="left"/>
        </w:tabs>
        <w:numPr>
          <w:ilvl w:val="0"/>
          <w:numId w:val="18"/>
        </w:numPr>
        <w:rPr>
          <w:rFonts w:ascii="Arial" w:cs="Arial" w:eastAsia="Arial" w:hAnsi="Arial"/>
          <w:sz w:val="16"/>
          <w:szCs w:val="16"/>
          <w:b w:val="1"/>
          <w:bCs w:val="1"/>
          <w:color w:val="007CBA"/>
        </w:rPr>
      </w:pPr>
      <w:r>
        <w:rPr>
          <w:rFonts w:ascii="Arial" w:cs="Arial" w:eastAsia="Arial" w:hAnsi="Arial"/>
          <w:sz w:val="16"/>
          <w:szCs w:val="16"/>
          <w:b w:val="1"/>
          <w:bCs w:val="1"/>
          <w:color w:val="auto"/>
        </w:rPr>
        <w:t>Annual Board and individual performance evaluations are conducted, including Director peer review</w:t>
      </w:r>
    </w:p>
    <w:p>
      <w:pPr>
        <w:spacing w:after="0" w:line="200" w:lineRule="exact"/>
        <w:rPr>
          <w:sz w:val="20"/>
          <w:szCs w:val="20"/>
          <w:color w:val="auto"/>
        </w:rPr>
      </w:pPr>
    </w:p>
    <w:p>
      <w:pPr>
        <w:ind w:left="600"/>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Risk oversight by full Board and Committees</w:t>
      </w:r>
    </w:p>
    <w:p>
      <w:pPr>
        <w:spacing w:after="0" w:line="160" w:lineRule="exact"/>
        <w:rPr>
          <w:sz w:val="20"/>
          <w:szCs w:val="20"/>
          <w:color w:val="auto"/>
        </w:rPr>
      </w:pPr>
    </w:p>
    <w:p>
      <w:pPr>
        <w:ind w:left="780" w:hanging="175"/>
        <w:spacing w:after="0"/>
        <w:tabs>
          <w:tab w:leader="none" w:pos="780" w:val="left"/>
        </w:tabs>
        <w:numPr>
          <w:ilvl w:val="0"/>
          <w:numId w:val="19"/>
        </w:numPr>
        <w:rPr>
          <w:rFonts w:ascii="Arial" w:cs="Arial" w:eastAsia="Arial" w:hAnsi="Arial"/>
          <w:sz w:val="16"/>
          <w:szCs w:val="16"/>
          <w:b w:val="1"/>
          <w:bCs w:val="1"/>
          <w:color w:val="007CBA"/>
        </w:rPr>
      </w:pPr>
      <w:r>
        <w:rPr>
          <w:rFonts w:ascii="Arial" w:cs="Arial" w:eastAsia="Arial" w:hAnsi="Arial"/>
          <w:sz w:val="16"/>
          <w:szCs w:val="16"/>
          <w:b w:val="1"/>
          <w:bCs w:val="1"/>
          <w:color w:val="auto"/>
        </w:rPr>
        <w:t>Chair/CEO is the only Board member who is currently also management</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007CBA"/>
        </w:rPr>
        <w:t xml:space="preserve">• </w:t>
      </w:r>
      <w:r>
        <w:rPr>
          <w:rFonts w:ascii="Arial" w:cs="Arial" w:eastAsia="Arial" w:hAnsi="Arial"/>
          <w:sz w:val="16"/>
          <w:szCs w:val="16"/>
          <w:b w:val="1"/>
          <w:bCs w:val="1"/>
          <w:color w:val="000000"/>
        </w:rPr>
        <w:t>Only two members of our 10-member Board of Directors are currently or formerly management of the Company</w:t>
      </w:r>
    </w:p>
    <w:p>
      <w:pPr>
        <w:spacing w:after="0" w:line="270"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FFFFFF"/>
        </w:rPr>
        <w:t>Shareholder Interest</w:t>
      </w:r>
    </w:p>
    <w:p>
      <w:pPr>
        <w:spacing w:after="0" w:line="168" w:lineRule="exact"/>
        <w:rPr>
          <w:sz w:val="20"/>
          <w:szCs w:val="20"/>
          <w:color w:val="auto"/>
        </w:rPr>
      </w:pPr>
    </w:p>
    <w:p>
      <w:pPr>
        <w:ind w:left="780" w:hanging="175"/>
        <w:spacing w:after="0"/>
        <w:tabs>
          <w:tab w:leader="none" w:pos="780" w:val="left"/>
        </w:tabs>
        <w:numPr>
          <w:ilvl w:val="0"/>
          <w:numId w:val="20"/>
        </w:numPr>
        <w:rPr>
          <w:rFonts w:ascii="Arial" w:cs="Arial" w:eastAsia="Arial" w:hAnsi="Arial"/>
          <w:sz w:val="16"/>
          <w:szCs w:val="16"/>
          <w:color w:val="007CBA"/>
        </w:rPr>
      </w:pPr>
      <w:r>
        <w:rPr>
          <w:rFonts w:ascii="Arial" w:cs="Arial" w:eastAsia="Arial" w:hAnsi="Arial"/>
          <w:sz w:val="16"/>
          <w:szCs w:val="16"/>
          <w:color w:val="auto"/>
        </w:rPr>
        <w:t>Majority voting standard for uncontested Director elections</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No shareholder rights plan</w:t>
      </w:r>
    </w:p>
    <w:p>
      <w:pPr>
        <w:spacing w:after="0" w:line="180" w:lineRule="exact"/>
        <w:rPr>
          <w:sz w:val="20"/>
          <w:szCs w:val="20"/>
          <w:color w:val="auto"/>
        </w:rPr>
      </w:pPr>
    </w:p>
    <w:p>
      <w:pPr>
        <w:ind w:left="760" w:hanging="155"/>
        <w:spacing w:after="0"/>
        <w:tabs>
          <w:tab w:leader="none" w:pos="760" w:val="left"/>
        </w:tabs>
        <w:numPr>
          <w:ilvl w:val="0"/>
          <w:numId w:val="21"/>
        </w:numPr>
        <w:rPr>
          <w:rFonts w:ascii="Arial" w:cs="Arial" w:eastAsia="Arial" w:hAnsi="Arial"/>
          <w:sz w:val="16"/>
          <w:szCs w:val="16"/>
          <w:color w:val="007CBA"/>
        </w:rPr>
      </w:pPr>
      <w:r>
        <w:rPr>
          <w:rFonts w:ascii="Arial" w:cs="Arial" w:eastAsia="Arial" w:hAnsi="Arial"/>
          <w:sz w:val="16"/>
          <w:szCs w:val="16"/>
          <w:color w:val="auto"/>
        </w:rPr>
        <w:t>Annual advisory vote to ratify independent auditor</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Annual advisory vote to approve executive compensation</w:t>
      </w:r>
    </w:p>
    <w:p>
      <w:pPr>
        <w:spacing w:after="0" w:line="180" w:lineRule="exact"/>
        <w:rPr>
          <w:sz w:val="20"/>
          <w:szCs w:val="20"/>
          <w:color w:val="auto"/>
        </w:rPr>
      </w:pPr>
    </w:p>
    <w:p>
      <w:pPr>
        <w:ind w:left="780" w:hanging="175"/>
        <w:spacing w:after="0"/>
        <w:tabs>
          <w:tab w:leader="none" w:pos="780" w:val="left"/>
        </w:tabs>
        <w:numPr>
          <w:ilvl w:val="0"/>
          <w:numId w:val="22"/>
        </w:numPr>
        <w:rPr>
          <w:rFonts w:ascii="Arial" w:cs="Arial" w:eastAsia="Arial" w:hAnsi="Arial"/>
          <w:sz w:val="16"/>
          <w:szCs w:val="16"/>
          <w:color w:val="007CBA"/>
        </w:rPr>
      </w:pPr>
      <w:r>
        <w:rPr>
          <w:rFonts w:ascii="Arial" w:cs="Arial" w:eastAsia="Arial" w:hAnsi="Arial"/>
          <w:sz w:val="16"/>
          <w:szCs w:val="16"/>
          <w:color w:val="auto"/>
        </w:rPr>
        <w:t>Longstanding active shareholder engagement</w:t>
      </w:r>
    </w:p>
    <w:p>
      <w:pPr>
        <w:spacing w:after="0" w:line="160" w:lineRule="exact"/>
        <w:rPr>
          <w:rFonts w:ascii="Arial" w:cs="Arial" w:eastAsia="Arial" w:hAnsi="Arial"/>
          <w:sz w:val="16"/>
          <w:szCs w:val="16"/>
          <w:color w:val="007CBA"/>
        </w:rPr>
      </w:pPr>
    </w:p>
    <w:p>
      <w:pPr>
        <w:jc w:val="both"/>
        <w:ind w:left="760" w:right="480" w:hanging="155"/>
        <w:spacing w:after="0" w:line="266" w:lineRule="auto"/>
        <w:tabs>
          <w:tab w:leader="none" w:pos="764" w:val="left"/>
        </w:tabs>
        <w:numPr>
          <w:ilvl w:val="0"/>
          <w:numId w:val="22"/>
        </w:numPr>
        <w:rPr>
          <w:rFonts w:ascii="Arial" w:cs="Arial" w:eastAsia="Arial" w:hAnsi="Arial"/>
          <w:sz w:val="16"/>
          <w:szCs w:val="16"/>
          <w:color w:val="007CBA"/>
        </w:rPr>
      </w:pPr>
      <w:r>
        <w:rPr>
          <w:rFonts w:ascii="Arial" w:cs="Arial" w:eastAsia="Arial" w:hAnsi="Arial"/>
          <w:sz w:val="16"/>
          <w:szCs w:val="16"/>
          <w:b w:val="1"/>
          <w:bCs w:val="1"/>
          <w:color w:val="auto"/>
        </w:rPr>
        <w:t xml:space="preserve">We publish annually a Sustainability Report </w:t>
      </w:r>
      <w:r>
        <w:rPr>
          <w:rFonts w:ascii="Arial" w:cs="Arial" w:eastAsia="Arial" w:hAnsi="Arial"/>
          <w:sz w:val="16"/>
          <w:szCs w:val="16"/>
          <w:color w:val="auto"/>
        </w:rPr>
        <w:t>that discusses our commitment to our shareholders, employees and the communities that</w:t>
      </w:r>
      <w:r>
        <w:rPr>
          <w:rFonts w:ascii="Arial" w:cs="Arial" w:eastAsia="Arial" w:hAnsi="Arial"/>
          <w:sz w:val="16"/>
          <w:szCs w:val="16"/>
          <w:b w:val="1"/>
          <w:bCs w:val="1"/>
          <w:color w:val="auto"/>
        </w:rPr>
        <w:t xml:space="preserve"> </w:t>
      </w:r>
      <w:r>
        <w:rPr>
          <w:rFonts w:ascii="Arial" w:cs="Arial" w:eastAsia="Arial" w:hAnsi="Arial"/>
          <w:sz w:val="16"/>
          <w:szCs w:val="16"/>
          <w:color w:val="auto"/>
        </w:rPr>
        <w:t>we serve. We also created a new position to better focus on these important issues—Senior Vice President–Sustainability, Community Relations and Communications</w:t>
      </w:r>
    </w:p>
    <w:p>
      <w:pPr>
        <w:spacing w:after="0" w:line="150" w:lineRule="exact"/>
        <w:rPr>
          <w:rFonts w:ascii="Arial" w:cs="Arial" w:eastAsia="Arial" w:hAnsi="Arial"/>
          <w:sz w:val="16"/>
          <w:szCs w:val="16"/>
          <w:color w:val="007CBA"/>
        </w:rPr>
      </w:pPr>
    </w:p>
    <w:p>
      <w:pPr>
        <w:ind w:left="720" w:hanging="115"/>
        <w:spacing w:after="0"/>
        <w:tabs>
          <w:tab w:leader="none" w:pos="720" w:val="left"/>
        </w:tabs>
        <w:numPr>
          <w:ilvl w:val="0"/>
          <w:numId w:val="22"/>
        </w:numPr>
        <w:rPr>
          <w:rFonts w:ascii="Arial" w:cs="Arial" w:eastAsia="Arial" w:hAnsi="Arial"/>
          <w:sz w:val="16"/>
          <w:szCs w:val="16"/>
          <w:color w:val="007CBA"/>
        </w:rPr>
      </w:pPr>
      <w:r>
        <w:rPr>
          <w:rFonts w:ascii="Arial" w:cs="Arial" w:eastAsia="Arial" w:hAnsi="Arial"/>
          <w:sz w:val="16"/>
          <w:szCs w:val="16"/>
          <w:color w:val="auto"/>
        </w:rPr>
        <w:t>No shares with enhanced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3439795</wp:posOffset>
            </wp:positionH>
            <wp:positionV relativeFrom="paragraph">
              <wp:posOffset>421640</wp:posOffset>
            </wp:positionV>
            <wp:extent cx="410845" cy="2482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9260" w:type="dxa"/>
        <w:tblCellMar>
          <w:top w:w="0" w:type="dxa"/>
          <w:left w:w="0" w:type="dxa"/>
          <w:bottom w:w="0" w:type="dxa"/>
          <w:right w:w="0" w:type="dxa"/>
        </w:tblCellMar>
      </w:tblPr>
      <w:tr>
        <w:trPr>
          <w:trHeight w:val="168"/>
        </w:trPr>
        <w:tc>
          <w:tcPr>
            <w:tcW w:w="1700" w:type="dxa"/>
            <w:vAlign w:val="bottom"/>
          </w:tcPr>
          <w:p>
            <w:pPr>
              <w:spacing w:after="0"/>
              <w:rPr>
                <w:sz w:val="20"/>
                <w:szCs w:val="20"/>
                <w:color w:val="auto"/>
              </w:rPr>
            </w:pPr>
            <w:r>
              <w:rPr>
                <w:rFonts w:ascii="Arial" w:cs="Arial" w:eastAsia="Arial" w:hAnsi="Arial"/>
                <w:sz w:val="13"/>
                <w:szCs w:val="13"/>
                <w:color w:val="007CBA"/>
              </w:rPr>
              <w:t>2019 PROXY STATEMENT</w:t>
            </w:r>
          </w:p>
        </w:tc>
        <w:tc>
          <w:tcPr>
            <w:tcW w:w="260" w:type="dxa"/>
            <w:vAlign w:val="bottom"/>
          </w:tcPr>
          <w:p>
            <w:pPr>
              <w:jc w:val="right"/>
              <w:spacing w:after="0"/>
              <w:rPr>
                <w:sz w:val="20"/>
                <w:szCs w:val="20"/>
                <w:color w:val="auto"/>
              </w:rPr>
            </w:pPr>
            <w:r>
              <w:rPr>
                <w:rFonts w:ascii="Arial" w:cs="Arial" w:eastAsia="Arial" w:hAnsi="Arial"/>
                <w:sz w:val="13"/>
                <w:szCs w:val="13"/>
                <w:b w:val="1"/>
                <w:bCs w:val="1"/>
                <w:color w:val="auto"/>
              </w:rPr>
              <w:t>3</w:t>
            </w:r>
          </w:p>
        </w:tc>
      </w:tr>
    </w:tbl>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6989445" cy="81203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89445" cy="812038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FFFFFF"/>
        </w:rPr>
        <w:t>Board Composition</w:t>
      </w:r>
    </w:p>
    <w:p>
      <w:pPr>
        <w:spacing w:after="0" w:line="195" w:lineRule="exact"/>
        <w:rPr>
          <w:sz w:val="20"/>
          <w:szCs w:val="20"/>
          <w:color w:val="auto"/>
        </w:rPr>
      </w:pPr>
    </w:p>
    <w:p>
      <w:pPr>
        <w:jc w:val="both"/>
        <w:ind w:left="540" w:right="100"/>
        <w:spacing w:after="0" w:line="249" w:lineRule="auto"/>
        <w:rPr>
          <w:sz w:val="20"/>
          <w:szCs w:val="20"/>
          <w:color w:val="auto"/>
        </w:rPr>
      </w:pPr>
      <w:r>
        <w:rPr>
          <w:rFonts w:ascii="Arial" w:cs="Arial" w:eastAsia="Arial" w:hAnsi="Arial"/>
          <w:sz w:val="16"/>
          <w:szCs w:val="16"/>
          <w:color w:val="auto"/>
        </w:rPr>
        <w:t xml:space="preserve">We seek to include a diverse group of Directors on our Board to provide different perspectives to the Board’s oversight responsibilities. Our nominees for Board election demonstrate diversity in the form of experience, geography, gender, ethnicity, age and tenure. We were recognized in 2019, 2017 and 2015 at the </w:t>
      </w:r>
      <w:r>
        <w:rPr>
          <w:rFonts w:ascii="Arial" w:cs="Arial" w:eastAsia="Arial" w:hAnsi="Arial"/>
          <w:sz w:val="16"/>
          <w:szCs w:val="16"/>
          <w:b w:val="1"/>
          <w:bCs w:val="1"/>
          <w:i w:val="1"/>
          <w:iCs w:val="1"/>
          <w:color w:val="auto"/>
        </w:rPr>
        <w:t>Women’s Forum of New York</w:t>
      </w:r>
      <w:r>
        <w:rPr>
          <w:rFonts w:ascii="Arial" w:cs="Arial" w:eastAsia="Arial" w:hAnsi="Arial"/>
          <w:sz w:val="16"/>
          <w:szCs w:val="16"/>
          <w:color w:val="auto"/>
        </w:rPr>
        <w:t xml:space="preserve"> at its Biennial Breakfast of Corporate Champions for our Board diversity. We were also recognized by </w:t>
      </w:r>
      <w:r>
        <w:rPr>
          <w:rFonts w:ascii="Arial" w:cs="Arial" w:eastAsia="Arial" w:hAnsi="Arial"/>
          <w:sz w:val="16"/>
          <w:szCs w:val="16"/>
          <w:b w:val="1"/>
          <w:bCs w:val="1"/>
          <w:i w:val="1"/>
          <w:iCs w:val="1"/>
          <w:color w:val="auto"/>
        </w:rPr>
        <w:t>2020 Women on Boards</w:t>
      </w:r>
      <w:r>
        <w:rPr>
          <w:rFonts w:ascii="Arial" w:cs="Arial" w:eastAsia="Arial" w:hAnsi="Arial"/>
          <w:sz w:val="16"/>
          <w:szCs w:val="16"/>
          <w:color w:val="auto"/>
        </w:rPr>
        <w:t xml:space="preserve"> as a Winning ‘W’ Company for </w:t>
      </w:r>
      <w:r>
        <w:rPr>
          <w:rFonts w:ascii="Arial" w:cs="Arial" w:eastAsia="Arial" w:hAnsi="Arial"/>
          <w:sz w:val="16"/>
          <w:szCs w:val="16"/>
          <w:b w:val="1"/>
          <w:bCs w:val="1"/>
          <w:color w:val="auto"/>
        </w:rPr>
        <w:t>eight consecutive years</w:t>
      </w:r>
      <w:r>
        <w:rPr>
          <w:rFonts w:ascii="Arial" w:cs="Arial" w:eastAsia="Arial" w:hAnsi="Arial"/>
          <w:sz w:val="16"/>
          <w:szCs w:val="16"/>
          <w:color w:val="auto"/>
        </w:rPr>
        <w:t xml:space="preserve"> for championing board diversity. With the addition of Ms. Ables in 2018, our Board has strengthened an important element of diversity:</w:t>
      </w:r>
    </w:p>
    <w:p>
      <w:pPr>
        <w:spacing w:after="0" w:line="132" w:lineRule="exact"/>
        <w:rPr>
          <w:sz w:val="20"/>
          <w:szCs w:val="20"/>
          <w:color w:val="auto"/>
        </w:rPr>
      </w:pPr>
    </w:p>
    <w:p>
      <w:pPr>
        <w:ind w:left="780" w:hanging="175"/>
        <w:spacing w:after="0"/>
        <w:tabs>
          <w:tab w:leader="none" w:pos="780" w:val="left"/>
        </w:tabs>
        <w:numPr>
          <w:ilvl w:val="0"/>
          <w:numId w:val="23"/>
        </w:numPr>
        <w:rPr>
          <w:rFonts w:ascii="Arial" w:cs="Arial" w:eastAsia="Arial" w:hAnsi="Arial"/>
          <w:sz w:val="16"/>
          <w:szCs w:val="16"/>
          <w:color w:val="007CBA"/>
        </w:rPr>
      </w:pPr>
      <w:r>
        <w:rPr>
          <w:rFonts w:ascii="Arial" w:cs="Arial" w:eastAsia="Arial" w:hAnsi="Arial"/>
          <w:sz w:val="16"/>
          <w:szCs w:val="16"/>
          <w:b w:val="1"/>
          <w:bCs w:val="1"/>
          <w:color w:val="auto"/>
        </w:rPr>
        <w:t>33% of our Board nominees are women</w:t>
      </w:r>
    </w:p>
    <w:p>
      <w:pPr>
        <w:spacing w:after="0" w:line="112" w:lineRule="exact"/>
        <w:rPr>
          <w:rFonts w:ascii="Arial" w:cs="Arial" w:eastAsia="Arial" w:hAnsi="Arial"/>
          <w:sz w:val="16"/>
          <w:szCs w:val="16"/>
          <w:color w:val="007CBA"/>
        </w:rPr>
      </w:pPr>
    </w:p>
    <w:p>
      <w:pPr>
        <w:ind w:left="780" w:hanging="175"/>
        <w:spacing w:after="0"/>
        <w:tabs>
          <w:tab w:leader="none" w:pos="780" w:val="left"/>
        </w:tabs>
        <w:numPr>
          <w:ilvl w:val="0"/>
          <w:numId w:val="23"/>
        </w:numPr>
        <w:rPr>
          <w:rFonts w:ascii="Arial" w:cs="Arial" w:eastAsia="Arial" w:hAnsi="Arial"/>
          <w:sz w:val="16"/>
          <w:szCs w:val="16"/>
          <w:color w:val="007CBA"/>
        </w:rPr>
      </w:pPr>
      <w:r>
        <w:rPr>
          <w:rFonts w:ascii="Arial" w:cs="Arial" w:eastAsia="Arial" w:hAnsi="Arial"/>
          <w:sz w:val="16"/>
          <w:szCs w:val="16"/>
          <w:b w:val="1"/>
          <w:bCs w:val="1"/>
          <w:color w:val="auto"/>
        </w:rPr>
        <w:t>44% of our Board nominees bring diversity in gender or ethnicity to our Board</w:t>
      </w:r>
    </w:p>
    <w:p>
      <w:pPr>
        <w:spacing w:after="0" w:line="132" w:lineRule="exact"/>
        <w:rPr>
          <w:rFonts w:ascii="Arial" w:cs="Arial" w:eastAsia="Arial" w:hAnsi="Arial"/>
          <w:sz w:val="16"/>
          <w:szCs w:val="16"/>
          <w:color w:val="007CBA"/>
        </w:rPr>
      </w:pPr>
    </w:p>
    <w:p>
      <w:pPr>
        <w:ind w:left="760" w:hanging="155"/>
        <w:spacing w:after="0" w:line="260" w:lineRule="auto"/>
        <w:tabs>
          <w:tab w:leader="none" w:pos="780" w:val="left"/>
        </w:tabs>
        <w:numPr>
          <w:ilvl w:val="0"/>
          <w:numId w:val="23"/>
        </w:numPr>
        <w:rPr>
          <w:rFonts w:ascii="Arial" w:cs="Arial" w:eastAsia="Arial" w:hAnsi="Arial"/>
          <w:sz w:val="16"/>
          <w:szCs w:val="16"/>
          <w:color w:val="007CBA"/>
        </w:rPr>
      </w:pPr>
      <w:r>
        <w:rPr>
          <w:rFonts w:ascii="Arial" w:cs="Arial" w:eastAsia="Arial" w:hAnsi="Arial"/>
          <w:sz w:val="16"/>
          <w:szCs w:val="16"/>
          <w:color w:val="auto"/>
        </w:rPr>
        <w:t>Our Board refreshment has resulted in a decrease of the average tenure, with a greater mix of Directors with long-term knowledge of the Company, its strategy, opportunities and challenges and those with new perspectives</w:t>
      </w:r>
    </w:p>
    <w:p>
      <w:pPr>
        <w:spacing w:after="0" w:line="207"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DIRECTOR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FFFFFF"/>
        </w:rPr>
        <w:t>Board Attendance</w:t>
      </w:r>
    </w:p>
    <w:p>
      <w:pPr>
        <w:spacing w:after="0" w:line="290" w:lineRule="exact"/>
        <w:rPr>
          <w:sz w:val="20"/>
          <w:szCs w:val="20"/>
          <w:color w:val="auto"/>
        </w:rPr>
      </w:pPr>
    </w:p>
    <w:p>
      <w:pPr>
        <w:ind w:left="540"/>
        <w:spacing w:after="0" w:line="260" w:lineRule="auto"/>
        <w:rPr>
          <w:sz w:val="20"/>
          <w:szCs w:val="20"/>
          <w:color w:val="auto"/>
        </w:rPr>
      </w:pPr>
      <w:r>
        <w:rPr>
          <w:rFonts w:ascii="Arial" w:cs="Arial" w:eastAsia="Arial" w:hAnsi="Arial"/>
          <w:sz w:val="16"/>
          <w:szCs w:val="16"/>
          <w:color w:val="auto"/>
        </w:rPr>
        <w:t>In 2018, during their term of service, all directors attended 100% of the total Board and Committee meetings to which they were assigned. All directors then in office attended the May 2018 Annual Meeting and all directors expect to attend the May 2019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3517265</wp:posOffset>
            </wp:positionH>
            <wp:positionV relativeFrom="paragraph">
              <wp:posOffset>850900</wp:posOffset>
            </wp:positionV>
            <wp:extent cx="410845" cy="2482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40" w:hanging="430"/>
        <w:spacing w:after="0"/>
        <w:tabs>
          <w:tab w:leader="none" w:pos="640" w:val="left"/>
        </w:tabs>
        <w:numPr>
          <w:ilvl w:val="0"/>
          <w:numId w:val="24"/>
        </w:numPr>
        <w:rPr>
          <w:rFonts w:ascii="Arial" w:cs="Arial" w:eastAsia="Arial" w:hAnsi="Arial"/>
          <w:sz w:val="13"/>
          <w:szCs w:val="13"/>
          <w:b w:val="1"/>
          <w:bCs w:val="1"/>
          <w:color w:val="auto"/>
        </w:rPr>
      </w:pPr>
      <w:r>
        <w:rPr>
          <w:rFonts w:ascii="Arial" w:cs="Arial" w:eastAsia="Arial" w:hAnsi="Arial"/>
          <w:sz w:val="13"/>
          <w:szCs w:val="13"/>
          <w:color w:val="007CBA"/>
        </w:rPr>
        <w:t>2019 PROXY STATEMENT</w:t>
      </w:r>
    </w:p>
    <w:p>
      <w:pPr>
        <w:sectPr>
          <w:pgSz w:w="11900" w:h="16838" w:orient="portrait"/>
          <w:cols w:equalWidth="0" w:num="1">
            <w:col w:w="10880"/>
          </w:cols>
          <w:pgMar w:left="240" w:top="459" w:right="7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6989445" cy="81889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89445" cy="8188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007CBA"/>
        </w:rPr>
        <w:t>Effective Shareholder Engagement</w:t>
      </w:r>
    </w:p>
    <w:p>
      <w:pPr>
        <w:spacing w:after="0" w:line="152" w:lineRule="exact"/>
        <w:rPr>
          <w:sz w:val="20"/>
          <w:szCs w:val="20"/>
          <w:color w:val="auto"/>
        </w:rPr>
      </w:pPr>
    </w:p>
    <w:p>
      <w:pPr>
        <w:jc w:val="both"/>
        <w:ind w:left="540" w:right="5720"/>
        <w:spacing w:after="0" w:line="248" w:lineRule="auto"/>
        <w:rPr>
          <w:sz w:val="20"/>
          <w:szCs w:val="20"/>
          <w:color w:val="auto"/>
        </w:rPr>
      </w:pPr>
      <w:r>
        <w:rPr>
          <w:rFonts w:ascii="Arial" w:cs="Arial" w:eastAsia="Arial" w:hAnsi="Arial"/>
          <w:sz w:val="16"/>
          <w:szCs w:val="16"/>
          <w:color w:val="auto"/>
        </w:rPr>
        <w:t>Accountability to our shareholders is an important component of the Company’s success. We recognize the value of building informed relationships with our investors that promote further transparency and accountability. While proxy voting is one direct way to influence corporate behavior, proactive engagement with our investors can be effective and impactful. Investor views are communicated to the Board and are instrumental in the development of our governance, compensation and sustainability policies and inform our business strategy.</w:t>
      </w:r>
    </w:p>
    <w:p>
      <w:pPr>
        <w:spacing w:after="0" w:line="97" w:lineRule="exact"/>
        <w:rPr>
          <w:sz w:val="20"/>
          <w:szCs w:val="20"/>
          <w:color w:val="auto"/>
        </w:rPr>
      </w:pPr>
    </w:p>
    <w:p>
      <w:pPr>
        <w:jc w:val="both"/>
        <w:ind w:left="540" w:right="5720"/>
        <w:spacing w:after="0" w:line="250" w:lineRule="auto"/>
        <w:rPr>
          <w:sz w:val="20"/>
          <w:szCs w:val="20"/>
          <w:color w:val="auto"/>
        </w:rPr>
      </w:pPr>
      <w:r>
        <w:rPr>
          <w:rFonts w:ascii="Arial" w:cs="Arial" w:eastAsia="Arial" w:hAnsi="Arial"/>
          <w:sz w:val="16"/>
          <w:szCs w:val="16"/>
          <w:color w:val="auto"/>
        </w:rPr>
        <w:t>During 2018, we engaged in person, by telephone and/or written correspondence with our largest institutional investors and other significant shareholders on an array of governance topics, including our executive compensation programs.</w:t>
      </w:r>
    </w:p>
    <w:p>
      <w:pPr>
        <w:spacing w:after="0" w:line="97" w:lineRule="exact"/>
        <w:rPr>
          <w:sz w:val="20"/>
          <w:szCs w:val="20"/>
          <w:color w:val="auto"/>
        </w:rPr>
      </w:pPr>
    </w:p>
    <w:p>
      <w:pPr>
        <w:jc w:val="both"/>
        <w:ind w:left="540" w:right="5720"/>
        <w:spacing w:after="0" w:line="249" w:lineRule="auto"/>
        <w:rPr>
          <w:sz w:val="20"/>
          <w:szCs w:val="20"/>
          <w:color w:val="auto"/>
        </w:rPr>
      </w:pPr>
      <w:r>
        <w:rPr>
          <w:rFonts w:ascii="Arial" w:cs="Arial" w:eastAsia="Arial" w:hAnsi="Arial"/>
          <w:sz w:val="16"/>
          <w:szCs w:val="16"/>
          <w:color w:val="auto"/>
        </w:rPr>
        <w:t>At our 2018 Annual Meeting of Shareholders, 78.9% of the shares cast voted in favor of the advisory vote on executive compensation, or Say On Pay. In contrast, more than 96% of shares cast voted in favor of Say On Pay in 2017. We made meaningful changes in 2018 to our compensation program based on feedback from shareholders consisting of:</w:t>
      </w:r>
    </w:p>
    <w:p>
      <w:pPr>
        <w:spacing w:after="0" w:line="55" w:lineRule="exact"/>
        <w:rPr>
          <w:sz w:val="20"/>
          <w:szCs w:val="20"/>
          <w:color w:val="auto"/>
        </w:rPr>
      </w:pPr>
    </w:p>
    <w:p>
      <w:pPr>
        <w:ind w:left="820" w:right="5740" w:hanging="286"/>
        <w:spacing w:after="0" w:line="260" w:lineRule="auto"/>
        <w:tabs>
          <w:tab w:leader="none" w:pos="820" w:val="left"/>
        </w:tabs>
        <w:numPr>
          <w:ilvl w:val="0"/>
          <w:numId w:val="25"/>
        </w:numPr>
        <w:rPr>
          <w:rFonts w:ascii="Arial" w:cs="Arial" w:eastAsia="Arial" w:hAnsi="Arial"/>
          <w:sz w:val="16"/>
          <w:szCs w:val="16"/>
          <w:color w:val="007CBA"/>
        </w:rPr>
      </w:pPr>
      <w:r>
        <w:rPr>
          <w:rFonts w:ascii="Arial" w:cs="Arial" w:eastAsia="Arial" w:hAnsi="Arial"/>
          <w:sz w:val="16"/>
          <w:szCs w:val="16"/>
          <w:color w:val="auto"/>
        </w:rPr>
        <w:t>The elimination of the excise tax gross-up in executive officers’ Employment Protection Agreements</w:t>
      </w:r>
    </w:p>
    <w:p>
      <w:pPr>
        <w:spacing w:after="0" w:line="46" w:lineRule="exact"/>
        <w:rPr>
          <w:rFonts w:ascii="Arial" w:cs="Arial" w:eastAsia="Arial" w:hAnsi="Arial"/>
          <w:sz w:val="16"/>
          <w:szCs w:val="16"/>
          <w:color w:val="007CBA"/>
        </w:rPr>
      </w:pPr>
    </w:p>
    <w:p>
      <w:pPr>
        <w:jc w:val="both"/>
        <w:ind w:left="820" w:right="5740" w:hanging="286"/>
        <w:spacing w:after="0" w:line="253" w:lineRule="auto"/>
        <w:tabs>
          <w:tab w:leader="none" w:pos="820" w:val="left"/>
        </w:tabs>
        <w:numPr>
          <w:ilvl w:val="0"/>
          <w:numId w:val="25"/>
        </w:numPr>
        <w:rPr>
          <w:rFonts w:ascii="Arial" w:cs="Arial" w:eastAsia="Arial" w:hAnsi="Arial"/>
          <w:sz w:val="16"/>
          <w:szCs w:val="16"/>
          <w:color w:val="007CBA"/>
        </w:rPr>
      </w:pPr>
      <w:r>
        <w:rPr>
          <w:rFonts w:ascii="Arial" w:cs="Arial" w:eastAsia="Arial" w:hAnsi="Arial"/>
          <w:sz w:val="16"/>
          <w:szCs w:val="16"/>
          <w:color w:val="auto"/>
        </w:rPr>
        <w:t>The elimination of the walk-right and value of perks in the severance calculation in executive officers’ Employment Protection Agreements</w:t>
      </w:r>
    </w:p>
    <w:p>
      <w:pPr>
        <w:spacing w:after="0" w:line="52" w:lineRule="exact"/>
        <w:rPr>
          <w:rFonts w:ascii="Arial" w:cs="Arial" w:eastAsia="Arial" w:hAnsi="Arial"/>
          <w:sz w:val="16"/>
          <w:szCs w:val="16"/>
          <w:color w:val="007CBA"/>
        </w:rPr>
      </w:pPr>
    </w:p>
    <w:p>
      <w:pPr>
        <w:ind w:left="820" w:right="5740" w:hanging="286"/>
        <w:spacing w:after="0" w:line="260" w:lineRule="auto"/>
        <w:tabs>
          <w:tab w:leader="none" w:pos="820" w:val="left"/>
        </w:tabs>
        <w:numPr>
          <w:ilvl w:val="0"/>
          <w:numId w:val="25"/>
        </w:numPr>
        <w:rPr>
          <w:rFonts w:ascii="Arial" w:cs="Arial" w:eastAsia="Arial" w:hAnsi="Arial"/>
          <w:sz w:val="16"/>
          <w:szCs w:val="16"/>
          <w:color w:val="007CBA"/>
        </w:rPr>
      </w:pPr>
      <w:r>
        <w:rPr>
          <w:rFonts w:ascii="Arial" w:cs="Arial" w:eastAsia="Arial" w:hAnsi="Arial"/>
          <w:sz w:val="16"/>
          <w:szCs w:val="16"/>
          <w:color w:val="auto"/>
        </w:rPr>
        <w:t>The decision to not include these provisions in future Employment Protection Agreements</w:t>
      </w:r>
    </w:p>
    <w:p>
      <w:pPr>
        <w:spacing w:after="0" w:line="46" w:lineRule="exact"/>
        <w:rPr>
          <w:rFonts w:ascii="Arial" w:cs="Arial" w:eastAsia="Arial" w:hAnsi="Arial"/>
          <w:sz w:val="16"/>
          <w:szCs w:val="16"/>
          <w:color w:val="007CBA"/>
        </w:rPr>
      </w:pPr>
    </w:p>
    <w:p>
      <w:pPr>
        <w:ind w:left="820" w:right="5740" w:hanging="286"/>
        <w:spacing w:after="0" w:line="260" w:lineRule="auto"/>
        <w:tabs>
          <w:tab w:leader="none" w:pos="820" w:val="left"/>
        </w:tabs>
        <w:numPr>
          <w:ilvl w:val="0"/>
          <w:numId w:val="25"/>
        </w:numPr>
        <w:rPr>
          <w:rFonts w:ascii="Arial" w:cs="Arial" w:eastAsia="Arial" w:hAnsi="Arial"/>
          <w:sz w:val="16"/>
          <w:szCs w:val="16"/>
          <w:color w:val="007CBA"/>
        </w:rPr>
      </w:pPr>
      <w:r>
        <w:rPr>
          <w:rFonts w:ascii="Arial" w:cs="Arial" w:eastAsia="Arial" w:hAnsi="Arial"/>
          <w:sz w:val="16"/>
          <w:szCs w:val="16"/>
          <w:color w:val="auto"/>
        </w:rPr>
        <w:t>The elimination of the single-trigger vesting for equity award beginning in 2019</w:t>
      </w:r>
    </w:p>
    <w:p>
      <w:pPr>
        <w:spacing w:after="0" w:line="399"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007CBA"/>
        </w:rPr>
        <w:t>Proactively Engaging and Responding to Shareholders</w:t>
      </w:r>
    </w:p>
    <w:p>
      <w:pPr>
        <w:spacing w:after="0" w:line="200" w:lineRule="exact"/>
        <w:rPr>
          <w:sz w:val="20"/>
          <w:szCs w:val="20"/>
          <w:color w:val="auto"/>
        </w:rPr>
      </w:pPr>
    </w:p>
    <w:p>
      <w:pPr>
        <w:spacing w:after="0" w:line="224"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007CBA"/>
        </w:rPr>
        <w:t>CORPORATE GOVERNANCE HIGHLIGHTS</w:t>
      </w:r>
    </w:p>
    <w:p>
      <w:pPr>
        <w:spacing w:after="0" w:line="100" w:lineRule="exact"/>
        <w:rPr>
          <w:sz w:val="20"/>
          <w:szCs w:val="20"/>
          <w:color w:val="auto"/>
        </w:rPr>
      </w:pPr>
    </w:p>
    <w:p>
      <w:pPr>
        <w:ind w:left="6140" w:right="920" w:hanging="242"/>
        <w:spacing w:after="0" w:line="220"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Eliminated staggered board—Directors </w:t>
      </w:r>
      <w:r>
        <w:rPr>
          <w:rFonts w:ascii="Arial" w:cs="Arial" w:eastAsia="Arial" w:hAnsi="Arial"/>
          <w:sz w:val="16"/>
          <w:szCs w:val="16"/>
          <w:b w:val="1"/>
          <w:bCs w:val="1"/>
          <w:color w:val="007CBA"/>
        </w:rPr>
        <w:t>elected for 1-year</w:t>
      </w:r>
      <w:r>
        <w:rPr>
          <w:rFonts w:ascii="Arial" w:cs="Arial" w:eastAsia="Arial" w:hAnsi="Arial"/>
          <w:sz w:val="16"/>
          <w:szCs w:val="16"/>
          <w:color w:val="auto"/>
        </w:rPr>
        <w:t xml:space="preserve"> </w:t>
      </w:r>
      <w:r>
        <w:rPr>
          <w:rFonts w:ascii="Arial" w:cs="Arial" w:eastAsia="Arial" w:hAnsi="Arial"/>
          <w:sz w:val="16"/>
          <w:szCs w:val="16"/>
          <w:b w:val="1"/>
          <w:bCs w:val="1"/>
          <w:color w:val="007CBA"/>
        </w:rPr>
        <w:t>terms</w:t>
      </w:r>
    </w:p>
    <w:p>
      <w:pPr>
        <w:spacing w:after="0" w:line="74" w:lineRule="exact"/>
        <w:rPr>
          <w:sz w:val="20"/>
          <w:szCs w:val="20"/>
          <w:color w:val="auto"/>
        </w:rPr>
      </w:pPr>
    </w:p>
    <w:p>
      <w:pPr>
        <w:ind w:left="5900"/>
        <w:spacing w:after="0" w:line="184" w:lineRule="exact"/>
        <w:rPr>
          <w:sz w:val="20"/>
          <w:szCs w:val="20"/>
          <w:color w:val="auto"/>
        </w:rPr>
      </w:pPr>
      <w:r>
        <w:rPr>
          <w:rFonts w:ascii="MS PGothic" w:cs="MS PGothic" w:eastAsia="MS PGothic" w:hAnsi="MS PGothic"/>
          <w:sz w:val="16"/>
          <w:szCs w:val="16"/>
          <w:color w:val="000000"/>
        </w:rPr>
        <w:t>✓</w:t>
      </w:r>
      <w:r>
        <w:rPr>
          <w:rFonts w:ascii="Arial" w:cs="Arial" w:eastAsia="Arial" w:hAnsi="Arial"/>
          <w:sz w:val="16"/>
          <w:szCs w:val="16"/>
          <w:b w:val="1"/>
          <w:bCs w:val="1"/>
          <w:color w:val="007CBA"/>
        </w:rPr>
        <w:t xml:space="preserve"> Eliminated gross-up, walk-right on Change of Control</w:t>
      </w:r>
    </w:p>
    <w:p>
      <w:pPr>
        <w:spacing w:after="0" w:line="140" w:lineRule="exact"/>
        <w:rPr>
          <w:sz w:val="20"/>
          <w:szCs w:val="20"/>
          <w:color w:val="auto"/>
        </w:rPr>
      </w:pPr>
    </w:p>
    <w:p>
      <w:pPr>
        <w:ind w:left="6140" w:right="560" w:hanging="242"/>
        <w:spacing w:after="0" w:line="220" w:lineRule="exact"/>
        <w:rPr>
          <w:sz w:val="20"/>
          <w:szCs w:val="20"/>
          <w:color w:val="auto"/>
        </w:rPr>
      </w:pPr>
      <w:r>
        <w:rPr>
          <w:rFonts w:ascii="MS PGothic" w:cs="MS PGothic" w:eastAsia="MS PGothic" w:hAnsi="MS PGothic"/>
          <w:sz w:val="16"/>
          <w:szCs w:val="16"/>
          <w:color w:val="000000"/>
        </w:rPr>
        <w:t>✓</w:t>
      </w:r>
      <w:r>
        <w:rPr>
          <w:rFonts w:ascii="Arial" w:cs="Arial" w:eastAsia="Arial" w:hAnsi="Arial"/>
          <w:sz w:val="16"/>
          <w:szCs w:val="16"/>
          <w:b w:val="1"/>
          <w:bCs w:val="1"/>
          <w:color w:val="007CBA"/>
        </w:rPr>
        <w:t xml:space="preserve"> Eliminated single-trigger vesting </w:t>
      </w:r>
      <w:r>
        <w:rPr>
          <w:rFonts w:ascii="Arial" w:cs="Arial" w:eastAsia="Arial" w:hAnsi="Arial"/>
          <w:sz w:val="16"/>
          <w:szCs w:val="16"/>
          <w:color w:val="000000"/>
        </w:rPr>
        <w:t>for equity awards beginning</w:t>
      </w:r>
      <w:r>
        <w:rPr>
          <w:rFonts w:ascii="Arial" w:cs="Arial" w:eastAsia="Arial" w:hAnsi="Arial"/>
          <w:sz w:val="16"/>
          <w:szCs w:val="16"/>
          <w:b w:val="1"/>
          <w:bCs w:val="1"/>
          <w:color w:val="007CBA"/>
        </w:rPr>
        <w:t xml:space="preserve"> </w:t>
      </w:r>
      <w:r>
        <w:rPr>
          <w:rFonts w:ascii="Arial" w:cs="Arial" w:eastAsia="Arial" w:hAnsi="Arial"/>
          <w:sz w:val="16"/>
          <w:szCs w:val="16"/>
          <w:color w:val="000000"/>
        </w:rPr>
        <w:t>in 2019</w:t>
      </w:r>
    </w:p>
    <w:p>
      <w:pPr>
        <w:spacing w:after="0" w:line="74" w:lineRule="exact"/>
        <w:rPr>
          <w:sz w:val="20"/>
          <w:szCs w:val="20"/>
          <w:color w:val="auto"/>
        </w:rPr>
      </w:pPr>
    </w:p>
    <w:p>
      <w:pPr>
        <w:ind w:left="6140" w:right="540" w:hanging="242"/>
        <w:spacing w:after="0" w:line="220"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Established robust </w:t>
      </w:r>
      <w:r>
        <w:rPr>
          <w:rFonts w:ascii="Arial" w:cs="Arial" w:eastAsia="Arial" w:hAnsi="Arial"/>
          <w:sz w:val="16"/>
          <w:szCs w:val="16"/>
          <w:b w:val="1"/>
          <w:bCs w:val="1"/>
          <w:color w:val="007CBA"/>
        </w:rPr>
        <w:t>stock ownership guideline</w:t>
      </w:r>
      <w:r>
        <w:rPr>
          <w:rFonts w:ascii="Arial" w:cs="Arial" w:eastAsia="Arial" w:hAnsi="Arial"/>
          <w:sz w:val="16"/>
          <w:szCs w:val="16"/>
          <w:color w:val="auto"/>
        </w:rPr>
        <w:t xml:space="preserve"> for Officers and Directors</w:t>
      </w:r>
    </w:p>
    <w:p>
      <w:pPr>
        <w:spacing w:after="0" w:line="74" w:lineRule="exact"/>
        <w:rPr>
          <w:sz w:val="20"/>
          <w:szCs w:val="20"/>
          <w:color w:val="auto"/>
        </w:rPr>
      </w:pPr>
    </w:p>
    <w:p>
      <w:pPr>
        <w:ind w:left="5900" w:right="1920"/>
        <w:spacing w:after="0" w:line="289"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Implemented </w:t>
      </w:r>
      <w:r>
        <w:rPr>
          <w:rFonts w:ascii="Arial" w:cs="Arial" w:eastAsia="Arial" w:hAnsi="Arial"/>
          <w:sz w:val="16"/>
          <w:szCs w:val="16"/>
          <w:b w:val="1"/>
          <w:bCs w:val="1"/>
          <w:color w:val="007CBA"/>
        </w:rPr>
        <w:t>hedging and pledging policy</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 xml:space="preserve"> Adopted </w:t>
      </w:r>
      <w:r>
        <w:rPr>
          <w:rFonts w:ascii="Arial" w:cs="Arial" w:eastAsia="Arial" w:hAnsi="Arial"/>
          <w:sz w:val="16"/>
          <w:szCs w:val="16"/>
          <w:b w:val="1"/>
          <w:bCs w:val="1"/>
          <w:color w:val="007CBA"/>
        </w:rPr>
        <w:t>clawback policy</w:t>
      </w:r>
    </w:p>
    <w:p>
      <w:pPr>
        <w:spacing w:after="0" w:line="71" w:lineRule="exact"/>
        <w:rPr>
          <w:sz w:val="20"/>
          <w:szCs w:val="20"/>
          <w:color w:val="auto"/>
        </w:rPr>
      </w:pPr>
    </w:p>
    <w:p>
      <w:pPr>
        <w:ind w:left="5900" w:right="2240"/>
        <w:spacing w:after="0" w:line="301"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Implemented </w:t>
      </w:r>
      <w:r>
        <w:rPr>
          <w:rFonts w:ascii="Arial" w:cs="Arial" w:eastAsia="Arial" w:hAnsi="Arial"/>
          <w:sz w:val="16"/>
          <w:szCs w:val="16"/>
          <w:b w:val="1"/>
          <w:bCs w:val="1"/>
          <w:color w:val="007CBA"/>
        </w:rPr>
        <w:t>majority voting standard</w:t>
      </w:r>
      <w:r>
        <w:rPr>
          <w:rFonts w:ascii="Arial" w:cs="Arial" w:eastAsia="Arial" w:hAnsi="Arial"/>
          <w:sz w:val="16"/>
          <w:szCs w:val="16"/>
          <w:color w:val="auto"/>
        </w:rPr>
        <w:t xml:space="preserve"> </w:t>
      </w:r>
      <w:r>
        <w:rPr>
          <w:rFonts w:ascii="MS PGothic" w:cs="MS PGothic" w:eastAsia="MS PGothic" w:hAnsi="MS PGothic"/>
          <w:sz w:val="16"/>
          <w:szCs w:val="16"/>
          <w:color w:val="000000"/>
        </w:rPr>
        <w:t>✓</w:t>
      </w:r>
      <w:r>
        <w:rPr>
          <w:rFonts w:ascii="Arial" w:cs="Arial" w:eastAsia="Arial" w:hAnsi="Arial"/>
          <w:sz w:val="16"/>
          <w:szCs w:val="16"/>
          <w:b w:val="1"/>
          <w:bCs w:val="1"/>
          <w:color w:val="007CBA"/>
        </w:rPr>
        <w:t xml:space="preserve"> Eliminated shareholder rights plan </w:t>
      </w:r>
      <w:r>
        <w:rPr>
          <w:rFonts w:ascii="MS PGothic" w:cs="MS PGothic" w:eastAsia="MS PGothic" w:hAnsi="MS PGothic"/>
          <w:sz w:val="16"/>
          <w:szCs w:val="16"/>
          <w:color w:val="000000"/>
        </w:rPr>
        <w:t>✓</w:t>
      </w:r>
      <w:r>
        <w:rPr>
          <w:rFonts w:ascii="Arial" w:cs="Arial" w:eastAsia="Arial" w:hAnsi="Arial"/>
          <w:sz w:val="16"/>
          <w:szCs w:val="16"/>
          <w:color w:val="000000"/>
        </w:rPr>
        <w:t xml:space="preserve"> Adopted </w:t>
      </w:r>
      <w:r>
        <w:rPr>
          <w:rFonts w:ascii="Arial" w:cs="Arial" w:eastAsia="Arial" w:hAnsi="Arial"/>
          <w:sz w:val="16"/>
          <w:szCs w:val="16"/>
          <w:b w:val="1"/>
          <w:bCs w:val="1"/>
          <w:color w:val="007CBA"/>
        </w:rPr>
        <w:t>proxy access</w:t>
      </w:r>
    </w:p>
    <w:p>
      <w:pPr>
        <w:spacing w:after="0" w:line="70" w:lineRule="exact"/>
        <w:rPr>
          <w:sz w:val="20"/>
          <w:szCs w:val="20"/>
          <w:color w:val="auto"/>
        </w:rPr>
      </w:pPr>
    </w:p>
    <w:p>
      <w:pPr>
        <w:ind w:left="5900" w:right="2040"/>
        <w:spacing w:after="0" w:line="289"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Added </w:t>
      </w:r>
      <w:r>
        <w:rPr>
          <w:rFonts w:ascii="Arial" w:cs="Arial" w:eastAsia="Arial" w:hAnsi="Arial"/>
          <w:sz w:val="16"/>
          <w:szCs w:val="16"/>
          <w:b w:val="1"/>
          <w:bCs w:val="1"/>
          <w:color w:val="007CBA"/>
        </w:rPr>
        <w:t>4 new Board members</w:t>
      </w:r>
      <w:r>
        <w:rPr>
          <w:rFonts w:ascii="Arial" w:cs="Arial" w:eastAsia="Arial" w:hAnsi="Arial"/>
          <w:sz w:val="16"/>
          <w:szCs w:val="16"/>
          <w:color w:val="auto"/>
        </w:rPr>
        <w:t xml:space="preserve"> since 2016 </w:t>
      </w:r>
      <w:r>
        <w:rPr>
          <w:rFonts w:ascii="MS PGothic" w:cs="MS PGothic" w:eastAsia="MS PGothic" w:hAnsi="MS PGothic"/>
          <w:sz w:val="16"/>
          <w:szCs w:val="16"/>
          <w:color w:val="auto"/>
        </w:rPr>
        <w:t>✓</w:t>
      </w:r>
      <w:r>
        <w:rPr>
          <w:rFonts w:ascii="Arial" w:cs="Arial" w:eastAsia="Arial" w:hAnsi="Arial"/>
          <w:sz w:val="16"/>
          <w:szCs w:val="16"/>
          <w:color w:val="auto"/>
        </w:rPr>
        <w:t xml:space="preserve"> Published </w:t>
      </w:r>
      <w:r>
        <w:rPr>
          <w:rFonts w:ascii="Arial" w:cs="Arial" w:eastAsia="Arial" w:hAnsi="Arial"/>
          <w:sz w:val="16"/>
          <w:szCs w:val="16"/>
          <w:b w:val="1"/>
          <w:bCs w:val="1"/>
          <w:color w:val="007CBA"/>
        </w:rPr>
        <w:t>Annual Sustainability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3439795</wp:posOffset>
            </wp:positionH>
            <wp:positionV relativeFrom="paragraph">
              <wp:posOffset>507365</wp:posOffset>
            </wp:positionV>
            <wp:extent cx="410845" cy="2482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9260" w:type="dxa"/>
        <w:tblCellMar>
          <w:top w:w="0" w:type="dxa"/>
          <w:left w:w="0" w:type="dxa"/>
          <w:bottom w:w="0" w:type="dxa"/>
          <w:right w:w="0" w:type="dxa"/>
        </w:tblCellMar>
      </w:tblPr>
      <w:tr>
        <w:trPr>
          <w:trHeight w:val="168"/>
        </w:trPr>
        <w:tc>
          <w:tcPr>
            <w:tcW w:w="1700" w:type="dxa"/>
            <w:vAlign w:val="bottom"/>
          </w:tcPr>
          <w:p>
            <w:pPr>
              <w:spacing w:after="0"/>
              <w:rPr>
                <w:sz w:val="20"/>
                <w:szCs w:val="20"/>
                <w:color w:val="auto"/>
              </w:rPr>
            </w:pPr>
            <w:r>
              <w:rPr>
                <w:rFonts w:ascii="Arial" w:cs="Arial" w:eastAsia="Arial" w:hAnsi="Arial"/>
                <w:sz w:val="13"/>
                <w:szCs w:val="13"/>
                <w:color w:val="007CBA"/>
              </w:rPr>
              <w:t>2019 PROXY STATEMENT</w:t>
            </w:r>
          </w:p>
        </w:tc>
        <w:tc>
          <w:tcPr>
            <w:tcW w:w="260" w:type="dxa"/>
            <w:vAlign w:val="bottom"/>
          </w:tcPr>
          <w:p>
            <w:pPr>
              <w:jc w:val="right"/>
              <w:spacing w:after="0"/>
              <w:rPr>
                <w:sz w:val="20"/>
                <w:szCs w:val="20"/>
                <w:color w:val="auto"/>
              </w:rPr>
            </w:pPr>
            <w:r>
              <w:rPr>
                <w:rFonts w:ascii="Arial" w:cs="Arial" w:eastAsia="Arial" w:hAnsi="Arial"/>
                <w:sz w:val="13"/>
                <w:szCs w:val="13"/>
                <w:b w:val="1"/>
                <w:bCs w:val="1"/>
                <w:color w:val="auto"/>
              </w:rPr>
              <w:t>5</w:t>
            </w:r>
          </w:p>
        </w:tc>
      </w:tr>
    </w:tbl>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6989445" cy="76835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89445" cy="7683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40"/>
        <w:spacing w:after="0"/>
        <w:rPr>
          <w:sz w:val="20"/>
          <w:szCs w:val="20"/>
          <w:color w:val="auto"/>
        </w:rPr>
      </w:pPr>
      <w:r>
        <w:rPr>
          <w:rFonts w:ascii="Arial" w:cs="Arial" w:eastAsia="Arial" w:hAnsi="Arial"/>
          <w:sz w:val="25"/>
          <w:szCs w:val="25"/>
          <w:b w:val="1"/>
          <w:bCs w:val="1"/>
          <w:color w:val="007CBA"/>
        </w:rPr>
        <w:t>Our Compensation Approach</w:t>
      </w:r>
    </w:p>
    <w:p>
      <w:pPr>
        <w:spacing w:after="0" w:line="257" w:lineRule="exact"/>
        <w:rPr>
          <w:sz w:val="20"/>
          <w:szCs w:val="20"/>
          <w:color w:val="auto"/>
        </w:rPr>
      </w:pPr>
    </w:p>
    <w:p>
      <w:pPr>
        <w:jc w:val="both"/>
        <w:ind w:left="540" w:right="220"/>
        <w:spacing w:after="0" w:line="248" w:lineRule="auto"/>
        <w:rPr>
          <w:sz w:val="20"/>
          <w:szCs w:val="20"/>
          <w:color w:val="auto"/>
        </w:rPr>
      </w:pPr>
      <w:r>
        <w:rPr>
          <w:rFonts w:ascii="Arial" w:cs="Arial" w:eastAsia="Arial" w:hAnsi="Arial"/>
          <w:sz w:val="16"/>
          <w:szCs w:val="16"/>
          <w:color w:val="auto"/>
        </w:rPr>
        <w:t xml:space="preserve">A substantial portion of compensation paid to our named executive officers (NEOs) is variable and performance-based. We use the 50th percentile of our comparator group as a reference point when determining target compensation, but target pay is set based on a variety of factors and actual pay realized by our NEOs is dependent on our financial, operational and other related performance. Based on our record levels of performance in 2018, variable compensation payable under both our short-term and long-term incentive plans exceeded the target amounts established for each NEO, which is consistent with our pay-for-performance philosophy. </w:t>
      </w:r>
      <w:r>
        <w:rPr>
          <w:rFonts w:ascii="Arial" w:cs="Arial" w:eastAsia="Arial" w:hAnsi="Arial"/>
          <w:sz w:val="16"/>
          <w:szCs w:val="16"/>
          <w:b w:val="1"/>
          <w:bCs w:val="1"/>
          <w:color w:val="auto"/>
        </w:rPr>
        <w:t>All compensation paid to our CEO and</w:t>
      </w:r>
      <w:r>
        <w:rPr>
          <w:rFonts w:ascii="Arial" w:cs="Arial" w:eastAsia="Arial" w:hAnsi="Arial"/>
          <w:sz w:val="16"/>
          <w:szCs w:val="16"/>
          <w:color w:val="auto"/>
        </w:rPr>
        <w:t xml:space="preserve"> </w:t>
      </w:r>
      <w:r>
        <w:rPr>
          <w:rFonts w:ascii="Arial" w:cs="Arial" w:eastAsia="Arial" w:hAnsi="Arial"/>
          <w:sz w:val="16"/>
          <w:szCs w:val="16"/>
          <w:b w:val="1"/>
          <w:bCs w:val="1"/>
          <w:color w:val="auto"/>
        </w:rPr>
        <w:t>other NEOs in 2018 was performance-based other than base salary: 87% of our CEO’s compensation was performance-based and approximately 80% of our other NEOs’ compensation was performance based.</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60" w:hanging="326"/>
        <w:spacing w:after="0"/>
        <w:tabs>
          <w:tab w:leader="none" w:pos="8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grant date value of PSUs and RSUs.</w:t>
      </w:r>
    </w:p>
    <w:p>
      <w:pPr>
        <w:spacing w:after="0" w:line="296" w:lineRule="exact"/>
        <w:rPr>
          <w:sz w:val="20"/>
          <w:szCs w:val="20"/>
          <w:color w:val="auto"/>
        </w:rPr>
      </w:pPr>
    </w:p>
    <w:p>
      <w:pPr>
        <w:ind w:left="540"/>
        <w:spacing w:after="0"/>
        <w:rPr>
          <w:sz w:val="20"/>
          <w:szCs w:val="20"/>
          <w:color w:val="auto"/>
        </w:rPr>
      </w:pPr>
      <w:r>
        <w:rPr>
          <w:rFonts w:ascii="Arial" w:cs="Arial" w:eastAsia="Arial" w:hAnsi="Arial"/>
          <w:sz w:val="25"/>
          <w:szCs w:val="25"/>
          <w:b w:val="1"/>
          <w:bCs w:val="1"/>
          <w:color w:val="007CBA"/>
        </w:rPr>
        <w:t>Will any other matters be presented at the Annual Meeting?</w:t>
      </w:r>
    </w:p>
    <w:p>
      <w:pPr>
        <w:spacing w:after="0" w:line="231" w:lineRule="exact"/>
        <w:rPr>
          <w:sz w:val="20"/>
          <w:szCs w:val="20"/>
          <w:color w:val="auto"/>
        </w:rPr>
      </w:pPr>
    </w:p>
    <w:p>
      <w:pPr>
        <w:jc w:val="both"/>
        <w:ind w:left="540" w:right="220"/>
        <w:spacing w:after="0" w:line="249" w:lineRule="auto"/>
        <w:rPr>
          <w:sz w:val="20"/>
          <w:szCs w:val="20"/>
          <w:color w:val="auto"/>
        </w:rPr>
      </w:pPr>
      <w:r>
        <w:rPr>
          <w:rFonts w:ascii="Arial" w:cs="Arial" w:eastAsia="Arial" w:hAnsi="Arial"/>
          <w:sz w:val="16"/>
          <w:szCs w:val="16"/>
          <w:color w:val="auto"/>
        </w:rPr>
        <w:t>At the time this proxy statement was filed with the Securities and Exchange Commission, the Board of Directors was not aware that any matters not referred to herein would be presented for action at the Annual Meeting. If any other matters properly come before the meeting, it is intended that the persons named in the enclosed proxy will vote the shares represented by proxies on such matters in accordance with the recommendation of the Board of Directors, or, if no recommendation is given, in their own discretion. It is also intended that discretionary authority will be exercised with respect to the vote on any matters incident to the conduct of the meeting.</w:t>
      </w:r>
    </w:p>
    <w:p>
      <w:pPr>
        <w:spacing w:after="0" w:line="241" w:lineRule="exact"/>
        <w:rPr>
          <w:sz w:val="20"/>
          <w:szCs w:val="20"/>
          <w:color w:val="auto"/>
        </w:rPr>
      </w:pPr>
    </w:p>
    <w:p>
      <w:pPr>
        <w:ind w:left="540"/>
        <w:spacing w:after="0"/>
        <w:rPr>
          <w:sz w:val="20"/>
          <w:szCs w:val="20"/>
          <w:color w:val="auto"/>
        </w:rPr>
      </w:pPr>
      <w:r>
        <w:rPr>
          <w:rFonts w:ascii="Arial" w:cs="Arial" w:eastAsia="Arial" w:hAnsi="Arial"/>
          <w:sz w:val="25"/>
          <w:szCs w:val="25"/>
          <w:b w:val="1"/>
          <w:bCs w:val="1"/>
          <w:color w:val="007CBA"/>
        </w:rPr>
        <w:t>What are the Board’s recommendations?</w:t>
      </w:r>
    </w:p>
    <w:p>
      <w:pPr>
        <w:spacing w:after="0" w:line="217" w:lineRule="exact"/>
        <w:rPr>
          <w:sz w:val="20"/>
          <w:szCs w:val="20"/>
          <w:color w:val="auto"/>
        </w:rPr>
      </w:pPr>
    </w:p>
    <w:p>
      <w:pPr>
        <w:jc w:val="both"/>
        <w:ind w:left="540" w:right="220"/>
        <w:spacing w:after="0" w:line="253" w:lineRule="auto"/>
        <w:rPr>
          <w:sz w:val="20"/>
          <w:szCs w:val="20"/>
          <w:color w:val="auto"/>
        </w:rPr>
      </w:pPr>
      <w:r>
        <w:rPr>
          <w:rFonts w:ascii="Arial" w:cs="Arial" w:eastAsia="Arial" w:hAnsi="Arial"/>
          <w:sz w:val="16"/>
          <w:szCs w:val="16"/>
          <w:color w:val="auto"/>
        </w:rPr>
        <w:t>Unless you give other instructions on your proxy card, the persons named as proxy holders on the proxy card will vote in accordance with the recommendations of the Board of Directors. The Board’s recommendation, as well as a description of each proposal, is set forth in this proxy statement. The Board recommends a vote:</w:t>
      </w:r>
    </w:p>
    <w:p>
      <w:pPr>
        <w:spacing w:after="0" w:line="86" w:lineRule="exact"/>
        <w:rPr>
          <w:sz w:val="20"/>
          <w:szCs w:val="20"/>
          <w:color w:val="auto"/>
        </w:rPr>
      </w:pPr>
    </w:p>
    <w:p>
      <w:pPr>
        <w:ind w:left="960" w:hanging="318"/>
        <w:spacing w:after="0"/>
        <w:tabs>
          <w:tab w:leader="none" w:pos="960" w:val="left"/>
        </w:tabs>
        <w:numPr>
          <w:ilvl w:val="0"/>
          <w:numId w:val="27"/>
        </w:numPr>
        <w:rPr>
          <w:rFonts w:ascii="Arial" w:cs="Arial" w:eastAsia="Arial" w:hAnsi="Arial"/>
          <w:sz w:val="16"/>
          <w:szCs w:val="16"/>
          <w:color w:val="007CBA"/>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election of all Director Nominees;</w:t>
      </w:r>
    </w:p>
    <w:p>
      <w:pPr>
        <w:spacing w:after="0" w:line="126" w:lineRule="exact"/>
        <w:rPr>
          <w:rFonts w:ascii="Arial" w:cs="Arial" w:eastAsia="Arial" w:hAnsi="Arial"/>
          <w:sz w:val="16"/>
          <w:szCs w:val="16"/>
          <w:color w:val="007CBA"/>
        </w:rPr>
      </w:pPr>
    </w:p>
    <w:p>
      <w:pPr>
        <w:ind w:left="960" w:hanging="318"/>
        <w:spacing w:after="0"/>
        <w:tabs>
          <w:tab w:leader="none" w:pos="960" w:val="left"/>
        </w:tabs>
        <w:numPr>
          <w:ilvl w:val="0"/>
          <w:numId w:val="27"/>
        </w:numPr>
        <w:rPr>
          <w:rFonts w:ascii="Arial" w:cs="Arial" w:eastAsia="Arial" w:hAnsi="Arial"/>
          <w:sz w:val="16"/>
          <w:szCs w:val="16"/>
          <w:color w:val="007CBA"/>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selection of PricewaterhouseCoopers LLP as independent auditors; and</w:t>
      </w:r>
    </w:p>
    <w:p>
      <w:pPr>
        <w:spacing w:after="0" w:line="126" w:lineRule="exact"/>
        <w:rPr>
          <w:rFonts w:ascii="Arial" w:cs="Arial" w:eastAsia="Arial" w:hAnsi="Arial"/>
          <w:sz w:val="16"/>
          <w:szCs w:val="16"/>
          <w:color w:val="007CBA"/>
        </w:rPr>
      </w:pPr>
    </w:p>
    <w:p>
      <w:pPr>
        <w:ind w:left="960" w:hanging="318"/>
        <w:spacing w:after="0"/>
        <w:tabs>
          <w:tab w:leader="none" w:pos="960" w:val="left"/>
        </w:tabs>
        <w:numPr>
          <w:ilvl w:val="0"/>
          <w:numId w:val="27"/>
        </w:numPr>
        <w:rPr>
          <w:rFonts w:ascii="Arial" w:cs="Arial" w:eastAsia="Arial" w:hAnsi="Arial"/>
          <w:sz w:val="16"/>
          <w:szCs w:val="16"/>
          <w:color w:val="007CBA"/>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on a non-binding advisory basis, of the compensation of our NEOs as described in this proxy statement.</w:t>
      </w:r>
    </w:p>
    <w:p>
      <w:pPr>
        <w:spacing w:after="0" w:line="206" w:lineRule="exact"/>
        <w:rPr>
          <w:sz w:val="20"/>
          <w:szCs w:val="20"/>
          <w:color w:val="auto"/>
        </w:rPr>
      </w:pPr>
    </w:p>
    <w:p>
      <w:pPr>
        <w:ind w:left="2100"/>
        <w:spacing w:after="0"/>
        <w:rPr>
          <w:sz w:val="20"/>
          <w:szCs w:val="20"/>
          <w:color w:val="auto"/>
        </w:rPr>
      </w:pPr>
      <w:r>
        <w:rPr>
          <w:rFonts w:ascii="Arial" w:cs="Arial" w:eastAsia="Arial" w:hAnsi="Arial"/>
          <w:sz w:val="22"/>
          <w:szCs w:val="22"/>
          <w:b w:val="1"/>
          <w:bCs w:val="1"/>
          <w:color w:val="007CBA"/>
        </w:rPr>
        <w:t>CAUTIONARY NOTE REGARDING FORWARD-LOOKING STATEMENTS</w:t>
      </w:r>
    </w:p>
    <w:p>
      <w:pPr>
        <w:spacing w:after="0" w:line="229" w:lineRule="exact"/>
        <w:rPr>
          <w:sz w:val="20"/>
          <w:szCs w:val="20"/>
          <w:color w:val="auto"/>
        </w:rPr>
      </w:pPr>
    </w:p>
    <w:p>
      <w:pPr>
        <w:jc w:val="both"/>
        <w:ind w:left="320"/>
        <w:spacing w:after="0" w:line="248" w:lineRule="auto"/>
        <w:rPr>
          <w:sz w:val="20"/>
          <w:szCs w:val="20"/>
          <w:color w:val="auto"/>
        </w:rPr>
      </w:pPr>
      <w:r>
        <w:rPr>
          <w:rFonts w:ascii="Arial" w:cs="Arial" w:eastAsia="Arial" w:hAnsi="Arial"/>
          <w:sz w:val="14"/>
          <w:szCs w:val="14"/>
          <w:i w:val="1"/>
          <w:iCs w:val="1"/>
          <w:color w:val="auto"/>
        </w:rPr>
        <w:t>This proxy statement contains forward-looking statements as defined in the Securities Exchange Act of 1934 and is subject to the safe harbors created therein. The forward-looking statements contained herein are generally identified by the words “believe,” “project,” “expect,” “anticipate,” “estimate,” “intend,” “strategy,” “future,” “opportunity,” “plan,” “may,” “should,” “will,” “would,” “will be,” “will continue,” “will likely result,” and similar expressions. Forward-looking statements are based on the beliefs and assumptions of our management and on currently available information. A detailed discussion of risks and uncertainties that could cause actual results and events to differ materially from such forward-looking statements is included in our annual report on Form 10-K for the fiscal year ended December 31, 2018. We undertake no responsibility to publicly update or revise any forward-looking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3517265</wp:posOffset>
            </wp:positionH>
            <wp:positionV relativeFrom="paragraph">
              <wp:posOffset>528320</wp:posOffset>
            </wp:positionV>
            <wp:extent cx="410845" cy="2482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40" w:hanging="430"/>
        <w:spacing w:after="0"/>
        <w:tabs>
          <w:tab w:leader="none" w:pos="640" w:val="left"/>
        </w:tabs>
        <w:numPr>
          <w:ilvl w:val="0"/>
          <w:numId w:val="28"/>
        </w:numPr>
        <w:rPr>
          <w:rFonts w:ascii="Arial" w:cs="Arial" w:eastAsia="Arial" w:hAnsi="Arial"/>
          <w:sz w:val="13"/>
          <w:szCs w:val="13"/>
          <w:b w:val="1"/>
          <w:bCs w:val="1"/>
          <w:color w:val="auto"/>
        </w:rPr>
      </w:pPr>
      <w:r>
        <w:rPr>
          <w:rFonts w:ascii="Arial" w:cs="Arial" w:eastAsia="Arial" w:hAnsi="Arial"/>
          <w:sz w:val="13"/>
          <w:szCs w:val="13"/>
          <w:color w:val="007CBA"/>
        </w:rPr>
        <w:t>2019 PROXY STATEMENT</w:t>
      </w:r>
    </w:p>
    <w:p>
      <w:pPr>
        <w:sectPr>
          <w:pgSz w:w="11900" w:h="16838" w:orient="portrait"/>
          <w:cols w:equalWidth="0" w:num="1">
            <w:col w:w="11100"/>
          </w:cols>
          <w:pgMar w:left="240" w:top="459" w:right="5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199"/>
        <w:spacing w:after="0"/>
        <w:rPr>
          <w:sz w:val="20"/>
          <w:szCs w:val="20"/>
          <w:color w:val="auto"/>
        </w:rPr>
      </w:pPr>
      <w:r>
        <w:rPr>
          <w:rFonts w:ascii="Arial" w:cs="Arial" w:eastAsia="Arial" w:hAnsi="Arial"/>
          <w:sz w:val="43"/>
          <w:szCs w:val="43"/>
          <w:color w:val="auto"/>
        </w:rPr>
        <w:t>The Board of Directors</w:t>
      </w:r>
    </w:p>
    <w:p>
      <w:pPr>
        <w:spacing w:after="0" w:line="224" w:lineRule="exact"/>
        <w:rPr>
          <w:sz w:val="20"/>
          <w:szCs w:val="20"/>
          <w:color w:val="auto"/>
        </w:rPr>
      </w:pPr>
    </w:p>
    <w:p>
      <w:pPr>
        <w:jc w:val="both"/>
        <w:ind w:left="220" w:right="20"/>
        <w:spacing w:after="0" w:line="250" w:lineRule="auto"/>
        <w:rPr>
          <w:sz w:val="20"/>
          <w:szCs w:val="20"/>
          <w:color w:val="auto"/>
        </w:rPr>
      </w:pPr>
      <w:r>
        <w:rPr>
          <w:rFonts w:ascii="Arial" w:cs="Arial" w:eastAsia="Arial" w:hAnsi="Arial"/>
          <w:sz w:val="16"/>
          <w:szCs w:val="16"/>
          <w:color w:val="auto"/>
        </w:rPr>
        <w:t>The Board of Directors currently consists of ten members, nine of whom are non-employee Directors. At the 2016 Annual Meeting, shareholders approved the Board of Directors’ proposal to amend our Articles of Incorporation to phase out the classification of the terms of our Directors and to provide instead for the annual election of our Directors. Prior to the charter amendment, our Board of Directors was divided into three classes, with each class serving three-year terms. Commencing with the 2019 Annual Meeting of Shareholders, our Directors are elected to one-year terms of office.</w:t>
      </w:r>
    </w:p>
    <w:p>
      <w:pPr>
        <w:spacing w:after="0" w:line="205"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Under our Bylaws, nominations of persons for election to the Board of Directors may be made at an Annual Meeting of Shareholders by the Board of Directors and by any shareholder who complies with the notice procedures set forth in the Bylaws. As described in the proxy statement for our 2018 Annual Meeting, for a nomination to be properly made by a shareholder at the 2019 Annual Meeting, the shareholder’s notice must have been sent to, and received by, our Secretary at our principal executive offices between January 18, 2019 and February 17, 2019. No such notice was received during this period.</w:t>
      </w:r>
    </w:p>
    <w:p>
      <w:pPr>
        <w:spacing w:after="0" w:line="206"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The Bylaws of the Corporation provide that a Director will retire at the Annual Meeting of Shareholders following the Director’s 75th birthday. One of our current Directors, Dennis L. Rediker, reached this mandatory retirement age this year and is not eligible for election at the Annual Meeting for a new term. Mr. Rediker has stated that he intends to serve as a Director through the commencement of the 2019 Annual Meeting of Shareholders, after which he will retire from the Board. Mr. David Maffucci also retired from Board service in 2018. The Board extends its sincere appreciation to both Mr. Rediker and Mr. Maffucci for their years of service and thoughtful Board leadership. Mr. Rediker and Mr. Maffucci gave generously of their time and consistently provided the Board with independent insight and advice, which have been invaluable to the Board and to Martin Marietta. In light of the retirement of Mr. Rediker, the Board of Directors has set the size of the Board at nine effective upon the commencement of the 2019 Annual Meeting.</w:t>
      </w:r>
    </w:p>
    <w:p>
      <w:pPr>
        <w:spacing w:after="0" w:line="207"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The Board of Directors has nominated nine persons for election as Directors to serve a one-year term expiring in 2020. Unless otherwise directed, proxies will be voted in favor of these nominees. Each nominee has agreed to serve if elected. Each of the nominees is currently serving as a Director. Should any nominee become unable to serve as a Director, the persons named in the enclosed form of proxy will, unless otherwise directed, vote for the election of such other person for such position as the present Board of Directors may recommend in place of such nominee. Proxies cannot be voted for a greater number of persons than the number of nominees named. Should any of the following nominees be unavailable for election by reason of death or other unexpected occurrence, the proxy, to the extent permitted by applicable law, may be voted with discretionary authority in connection with the nomination by the Board of Directors and the election of any substitute nominee.</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007CBA"/>
        </w:rPr>
        <w:t>BOARD EFFECTIVENESS AND REFRESHMENT</w:t>
      </w:r>
    </w:p>
    <w:p>
      <w:pPr>
        <w:spacing w:after="0" w:line="237"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Board composition is one of the most critical areas of focus for the Board of Directors. Having the right mix of people who bring diverse perspectives, business and professional experiences, and skills provides a foundation for robust dialogue, informed advice and collaboration in the boardroom. The Nominating and Corporate Governance Committee develops criteria for open Board positions, taking into account a variety of factors, which may include current Board member skills, composition, age, tenure, other diversity factors, the range of talents and experience that would best complement those already represented on the Board, the need for specialized expertise, and anticipated retirements to define gaps that may need to be filled through the board refreshment process. The Board strives to ensure an environment that encourages diverse critical thinking and values innovative, strategic discussions to achieve a higher level of success for the Company.</w:t>
      </w:r>
    </w:p>
    <w:p>
      <w:pPr>
        <w:spacing w:after="0" w:line="207"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The Nominating and Corporate Governance Committee screens and recommends candidates for nomination by the full Board. It uses a variety of methods to help identify potential Board candidates with the desired skills and background needed for the Company’s business, including from time to time informal networks, third party search firms and other channels. When the Committee is assisted from time to time with its recruitment efforts by an outside search firm, the firm recommends candidates that satisfy the criteria defined by the Board. The search firm provides background research and pertinent information regarding prospective candidates.</w:t>
      </w:r>
    </w:p>
    <w:p>
      <w:pPr>
        <w:spacing w:after="0" w:line="206"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Once the Committee has identified a prospective nominee, it makes an initial determination as to whether to conduct a full evaluation. In making this determination, the Committee takes into account various information, including information provided at the time of the candidate recommendation, the Committee’s own knowledge, and information obtained through inquiries to third parties to the extent the Committee deems appropriate. The preliminary determination is based primarily on the need for additional Board members and the likelihood that the prospective nominee can satisfy the criteria that the Committee has established. If the Committee determines,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3439795</wp:posOffset>
            </wp:positionH>
            <wp:positionV relativeFrom="paragraph">
              <wp:posOffset>86360</wp:posOffset>
            </wp:positionV>
            <wp:extent cx="410845" cy="2482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135" w:lineRule="exact"/>
        <w:rPr>
          <w:sz w:val="20"/>
          <w:szCs w:val="20"/>
          <w:color w:val="auto"/>
        </w:rPr>
      </w:pPr>
    </w:p>
    <w:tbl>
      <w:tblPr>
        <w:tblLayout w:type="fixed"/>
        <w:tblInd w:w="9260" w:type="dxa"/>
        <w:tblCellMar>
          <w:top w:w="0" w:type="dxa"/>
          <w:left w:w="0" w:type="dxa"/>
          <w:bottom w:w="0" w:type="dxa"/>
          <w:right w:w="0" w:type="dxa"/>
        </w:tblCellMar>
      </w:tblPr>
      <w:tr>
        <w:trPr>
          <w:trHeight w:val="168"/>
        </w:trPr>
        <w:tc>
          <w:tcPr>
            <w:tcW w:w="1700" w:type="dxa"/>
            <w:vAlign w:val="bottom"/>
          </w:tcPr>
          <w:p>
            <w:pPr>
              <w:spacing w:after="0"/>
              <w:rPr>
                <w:sz w:val="20"/>
                <w:szCs w:val="20"/>
                <w:color w:val="auto"/>
              </w:rPr>
            </w:pPr>
            <w:r>
              <w:rPr>
                <w:rFonts w:ascii="Arial" w:cs="Arial" w:eastAsia="Arial" w:hAnsi="Arial"/>
                <w:sz w:val="13"/>
                <w:szCs w:val="13"/>
                <w:color w:val="007CBA"/>
              </w:rPr>
              <w:t>2019 PROXY STATEMENT</w:t>
            </w:r>
          </w:p>
        </w:tc>
        <w:tc>
          <w:tcPr>
            <w:tcW w:w="260" w:type="dxa"/>
            <w:vAlign w:val="bottom"/>
          </w:tcPr>
          <w:p>
            <w:pPr>
              <w:jc w:val="right"/>
              <w:spacing w:after="0"/>
              <w:rPr>
                <w:sz w:val="20"/>
                <w:szCs w:val="20"/>
                <w:color w:val="auto"/>
              </w:rPr>
            </w:pPr>
            <w:r>
              <w:rPr>
                <w:rFonts w:ascii="Arial" w:cs="Arial" w:eastAsia="Arial" w:hAnsi="Arial"/>
                <w:sz w:val="13"/>
                <w:szCs w:val="13"/>
                <w:b w:val="1"/>
                <w:bCs w:val="1"/>
                <w:color w:val="auto"/>
              </w:rPr>
              <w:t>7</w:t>
            </w:r>
          </w:p>
        </w:tc>
      </w:tr>
    </w:tbl>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560" w:hanging="275"/>
        <w:spacing w:after="0"/>
        <w:tabs>
          <w:tab w:leader="none" w:pos="560" w:val="left"/>
        </w:tabs>
        <w:numPr>
          <w:ilvl w:val="0"/>
          <w:numId w:val="29"/>
        </w:numPr>
        <w:rPr>
          <w:rFonts w:ascii="MS PGothic" w:cs="MS PGothic" w:eastAsia="MS PGothic" w:hAnsi="MS PGothic"/>
          <w:sz w:val="25"/>
          <w:szCs w:val="25"/>
          <w:color w:val="007CBA"/>
        </w:rPr>
      </w:pPr>
      <w:r>
        <w:rPr>
          <w:rFonts w:ascii="Arial" w:cs="Arial" w:eastAsia="Arial" w:hAnsi="Arial"/>
          <w:sz w:val="13"/>
          <w:szCs w:val="13"/>
          <w:color w:val="007CBA"/>
        </w:rPr>
        <w:t>The Board of Directors</w:t>
      </w:r>
    </w:p>
    <w:p>
      <w:pPr>
        <w:spacing w:after="0" w:line="394"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 xml:space="preserve">consultation with the Chairman, President and CEO and other Directors as appropriate, that additional consideration is warranted, it may request management or a third-party search firm to gather additional information about the prospective nominee’s background and experience and to report its findings to the Committee. The Committee then evaluates the prospective nominee against the specific criteria that it has established for the position, as well as the standards and qualifications set out in the Company’s </w:t>
      </w:r>
      <w:r>
        <w:rPr>
          <w:rFonts w:ascii="Arial" w:cs="Arial" w:eastAsia="Arial" w:hAnsi="Arial"/>
          <w:sz w:val="16"/>
          <w:szCs w:val="16"/>
          <w:i w:val="1"/>
          <w:iCs w:val="1"/>
          <w:color w:val="auto"/>
        </w:rPr>
        <w:t>Corporate Governance Guidelines</w:t>
      </w:r>
      <w:r>
        <w:rPr>
          <w:rFonts w:ascii="Arial" w:cs="Arial" w:eastAsia="Arial" w:hAnsi="Arial"/>
          <w:sz w:val="16"/>
          <w:szCs w:val="16"/>
          <w:color w:val="auto"/>
        </w:rPr>
        <w:t>, including:</w:t>
      </w:r>
    </w:p>
    <w:p>
      <w:pPr>
        <w:spacing w:after="0" w:line="110" w:lineRule="exact"/>
        <w:rPr>
          <w:sz w:val="20"/>
          <w:szCs w:val="20"/>
          <w:color w:val="auto"/>
        </w:rPr>
      </w:pPr>
    </w:p>
    <w:p>
      <w:pPr>
        <w:ind w:left="960" w:hanging="318"/>
        <w:spacing w:after="0"/>
        <w:tabs>
          <w:tab w:leader="none" w:pos="960" w:val="left"/>
        </w:tabs>
        <w:numPr>
          <w:ilvl w:val="0"/>
          <w:numId w:val="30"/>
        </w:numPr>
        <w:rPr>
          <w:rFonts w:ascii="Arial" w:cs="Arial" w:eastAsia="Arial" w:hAnsi="Arial"/>
          <w:sz w:val="16"/>
          <w:szCs w:val="16"/>
          <w:color w:val="007CBA"/>
        </w:rPr>
      </w:pPr>
      <w:r>
        <w:rPr>
          <w:rFonts w:ascii="Arial" w:cs="Arial" w:eastAsia="Arial" w:hAnsi="Arial"/>
          <w:sz w:val="16"/>
          <w:szCs w:val="16"/>
          <w:color w:val="auto"/>
        </w:rPr>
        <w:t>the ability of the prospective nominee to represent the interests of the shareholders of the Company;</w:t>
      </w:r>
    </w:p>
    <w:p>
      <w:pPr>
        <w:spacing w:after="0" w:line="126" w:lineRule="exact"/>
        <w:rPr>
          <w:rFonts w:ascii="Arial" w:cs="Arial" w:eastAsia="Arial" w:hAnsi="Arial"/>
          <w:sz w:val="16"/>
          <w:szCs w:val="16"/>
          <w:color w:val="007CBA"/>
        </w:rPr>
      </w:pPr>
    </w:p>
    <w:p>
      <w:pPr>
        <w:ind w:left="960" w:hanging="318"/>
        <w:spacing w:after="0"/>
        <w:tabs>
          <w:tab w:leader="none" w:pos="960" w:val="left"/>
        </w:tabs>
        <w:numPr>
          <w:ilvl w:val="0"/>
          <w:numId w:val="30"/>
        </w:numPr>
        <w:rPr>
          <w:rFonts w:ascii="Arial" w:cs="Arial" w:eastAsia="Arial" w:hAnsi="Arial"/>
          <w:sz w:val="16"/>
          <w:szCs w:val="16"/>
          <w:color w:val="007CBA"/>
        </w:rPr>
      </w:pPr>
      <w:r>
        <w:rPr>
          <w:rFonts w:ascii="Arial" w:cs="Arial" w:eastAsia="Arial" w:hAnsi="Arial"/>
          <w:sz w:val="16"/>
          <w:szCs w:val="16"/>
          <w:color w:val="auto"/>
        </w:rPr>
        <w:t>the prospective nominee’s standards of integrity, commitment and independence of thought and judgment;</w:t>
      </w:r>
    </w:p>
    <w:p>
      <w:pPr>
        <w:spacing w:after="0" w:line="126" w:lineRule="exact"/>
        <w:rPr>
          <w:rFonts w:ascii="Arial" w:cs="Arial" w:eastAsia="Arial" w:hAnsi="Arial"/>
          <w:sz w:val="16"/>
          <w:szCs w:val="16"/>
          <w:color w:val="007CBA"/>
        </w:rPr>
      </w:pPr>
    </w:p>
    <w:p>
      <w:pPr>
        <w:jc w:val="both"/>
        <w:ind w:left="960" w:right="320" w:hanging="318"/>
        <w:spacing w:after="0" w:line="253" w:lineRule="auto"/>
        <w:tabs>
          <w:tab w:leader="none" w:pos="960" w:val="left"/>
        </w:tabs>
        <w:numPr>
          <w:ilvl w:val="0"/>
          <w:numId w:val="30"/>
        </w:numPr>
        <w:rPr>
          <w:rFonts w:ascii="Arial" w:cs="Arial" w:eastAsia="Arial" w:hAnsi="Arial"/>
          <w:sz w:val="16"/>
          <w:szCs w:val="16"/>
          <w:color w:val="007CBA"/>
        </w:rPr>
      </w:pPr>
      <w:r>
        <w:rPr>
          <w:rFonts w:ascii="Arial" w:cs="Arial" w:eastAsia="Arial" w:hAnsi="Arial"/>
          <w:sz w:val="16"/>
          <w:szCs w:val="16"/>
          <w:color w:val="auto"/>
        </w:rPr>
        <w:t xml:space="preserve">the prospective nominee’s ability to dedicate sufficient time, energy and attention to the diligent performance of his or her duties, including the prospective nominee’s service on other public company boards, as specifically set out in the Company’s </w:t>
      </w:r>
      <w:r>
        <w:rPr>
          <w:rFonts w:ascii="Arial" w:cs="Arial" w:eastAsia="Arial" w:hAnsi="Arial"/>
          <w:sz w:val="16"/>
          <w:szCs w:val="16"/>
          <w:i w:val="1"/>
          <w:iCs w:val="1"/>
          <w:color w:val="auto"/>
        </w:rPr>
        <w:t>Corporate Governance</w:t>
      </w:r>
      <w:r>
        <w:rPr>
          <w:rFonts w:ascii="Arial" w:cs="Arial" w:eastAsia="Arial" w:hAnsi="Arial"/>
          <w:sz w:val="16"/>
          <w:szCs w:val="16"/>
          <w:color w:val="auto"/>
        </w:rPr>
        <w:t xml:space="preserve"> </w:t>
      </w:r>
      <w:r>
        <w:rPr>
          <w:rFonts w:ascii="Arial" w:cs="Arial" w:eastAsia="Arial" w:hAnsi="Arial"/>
          <w:sz w:val="16"/>
          <w:szCs w:val="16"/>
          <w:i w:val="1"/>
          <w:iCs w:val="1"/>
          <w:color w:val="auto"/>
        </w:rPr>
        <w:t>Guidelines</w:t>
      </w:r>
      <w:r>
        <w:rPr>
          <w:rFonts w:ascii="Arial" w:cs="Arial" w:eastAsia="Arial" w:hAnsi="Arial"/>
          <w:sz w:val="16"/>
          <w:szCs w:val="16"/>
          <w:color w:val="auto"/>
        </w:rPr>
        <w:t>;</w:t>
      </w:r>
    </w:p>
    <w:p>
      <w:pPr>
        <w:spacing w:after="0" w:line="106" w:lineRule="exact"/>
        <w:rPr>
          <w:rFonts w:ascii="Arial" w:cs="Arial" w:eastAsia="Arial" w:hAnsi="Arial"/>
          <w:sz w:val="16"/>
          <w:szCs w:val="16"/>
          <w:color w:val="007CBA"/>
        </w:rPr>
      </w:pPr>
    </w:p>
    <w:p>
      <w:pPr>
        <w:ind w:left="960" w:hanging="318"/>
        <w:spacing w:after="0"/>
        <w:tabs>
          <w:tab w:leader="none" w:pos="960" w:val="left"/>
        </w:tabs>
        <w:numPr>
          <w:ilvl w:val="0"/>
          <w:numId w:val="30"/>
        </w:numPr>
        <w:rPr>
          <w:rFonts w:ascii="Arial" w:cs="Arial" w:eastAsia="Arial" w:hAnsi="Arial"/>
          <w:sz w:val="16"/>
          <w:szCs w:val="16"/>
          <w:color w:val="007CBA"/>
        </w:rPr>
      </w:pPr>
      <w:r>
        <w:rPr>
          <w:rFonts w:ascii="Arial" w:cs="Arial" w:eastAsia="Arial" w:hAnsi="Arial"/>
          <w:sz w:val="16"/>
          <w:szCs w:val="16"/>
          <w:color w:val="auto"/>
        </w:rPr>
        <w:t>the extent to which the prospective nominee contributes to the range of talent, skill and expertise appropriate for the Board; and</w:t>
      </w:r>
    </w:p>
    <w:p>
      <w:pPr>
        <w:spacing w:after="0" w:line="126" w:lineRule="exact"/>
        <w:rPr>
          <w:rFonts w:ascii="Arial" w:cs="Arial" w:eastAsia="Arial" w:hAnsi="Arial"/>
          <w:sz w:val="16"/>
          <w:szCs w:val="16"/>
          <w:color w:val="007CBA"/>
        </w:rPr>
      </w:pPr>
    </w:p>
    <w:p>
      <w:pPr>
        <w:ind w:left="960" w:right="320" w:hanging="318"/>
        <w:spacing w:after="0" w:line="260" w:lineRule="auto"/>
        <w:tabs>
          <w:tab w:leader="none" w:pos="960" w:val="left"/>
        </w:tabs>
        <w:numPr>
          <w:ilvl w:val="0"/>
          <w:numId w:val="30"/>
        </w:numPr>
        <w:rPr>
          <w:rFonts w:ascii="Arial" w:cs="Arial" w:eastAsia="Arial" w:hAnsi="Arial"/>
          <w:sz w:val="16"/>
          <w:szCs w:val="16"/>
          <w:color w:val="007CBA"/>
        </w:rPr>
      </w:pPr>
      <w:r>
        <w:rPr>
          <w:rFonts w:ascii="Arial" w:cs="Arial" w:eastAsia="Arial" w:hAnsi="Arial"/>
          <w:sz w:val="16"/>
          <w:szCs w:val="16"/>
          <w:color w:val="auto"/>
        </w:rPr>
        <w:t>the extent to which the prospective nominee helps the Board reflect the diversity of the Company’s shareholders, employees, customers and the communities in which it operates.</w:t>
      </w:r>
    </w:p>
    <w:p>
      <w:pPr>
        <w:spacing w:after="0" w:line="195" w:lineRule="exact"/>
        <w:rPr>
          <w:sz w:val="20"/>
          <w:szCs w:val="20"/>
          <w:color w:val="auto"/>
        </w:rPr>
      </w:pPr>
    </w:p>
    <w:p>
      <w:pPr>
        <w:jc w:val="both"/>
        <w:ind w:left="220" w:right="20"/>
        <w:spacing w:after="0" w:line="250" w:lineRule="auto"/>
        <w:rPr>
          <w:sz w:val="20"/>
          <w:szCs w:val="20"/>
          <w:color w:val="auto"/>
        </w:rPr>
      </w:pPr>
      <w:r>
        <w:rPr>
          <w:rFonts w:ascii="Arial" w:cs="Arial" w:eastAsia="Arial" w:hAnsi="Arial"/>
          <w:sz w:val="16"/>
          <w:szCs w:val="16"/>
          <w:color w:val="auto"/>
        </w:rPr>
        <w:t>If the Committee decides, on the basis of its preliminary review, to proceed with further consideration, members of the Committee, the Chairman, President and CEO, as well as other members of the Board as appropriate, interview the nominee. After completing this evaluation and interview, the Committee makes a recommendation to the full Board, which makes the final determination whether to nominate or appoint the new Director after considering the Committee’s report. A background check is completed before a final recommendation is made to the Board to appoint a candidate to the Board.</w:t>
      </w:r>
    </w:p>
    <w:p>
      <w:pPr>
        <w:spacing w:after="0" w:line="393"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In selecting nominees for Director, the Board seeks to achieve a mix of members who together bring experience and personal backgrounds relevant to the Company’s strategic priorities and the scope and complexity of the Company’s business. The Board also seeks demonstrated ability to manage complex issues that involve a balance of risk and reward. The background information on current nominees beginning on page 15 and the skills matrix on page 9 set out how each of the current nominees contributes to the mix of experience and qualifications the Board seeks. In making its recommendations with respect to the nomination for re-election of existing Directors at the annual shareholders meeting, the Committee assesses the composition of the Board at the time and considers the extent to which the Board continues to reflect the criteria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3517265</wp:posOffset>
            </wp:positionH>
            <wp:positionV relativeFrom="paragraph">
              <wp:posOffset>85090</wp:posOffset>
            </wp:positionV>
            <wp:extent cx="410845" cy="2482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149" w:lineRule="exact"/>
        <w:rPr>
          <w:sz w:val="20"/>
          <w:szCs w:val="20"/>
          <w:color w:val="auto"/>
        </w:rPr>
      </w:pPr>
    </w:p>
    <w:p>
      <w:pPr>
        <w:ind w:left="640" w:hanging="430"/>
        <w:spacing w:after="0"/>
        <w:tabs>
          <w:tab w:leader="none" w:pos="640" w:val="left"/>
        </w:tabs>
        <w:numPr>
          <w:ilvl w:val="0"/>
          <w:numId w:val="31"/>
        </w:numPr>
        <w:rPr>
          <w:rFonts w:ascii="Arial" w:cs="Arial" w:eastAsia="Arial" w:hAnsi="Arial"/>
          <w:sz w:val="13"/>
          <w:szCs w:val="13"/>
          <w:b w:val="1"/>
          <w:bCs w:val="1"/>
          <w:color w:val="auto"/>
        </w:rPr>
      </w:pPr>
      <w:r>
        <w:rPr>
          <w:rFonts w:ascii="Arial" w:cs="Arial" w:eastAsia="Arial" w:hAnsi="Arial"/>
          <w:sz w:val="13"/>
          <w:szCs w:val="13"/>
          <w:color w:val="007CBA"/>
        </w:rPr>
        <w:t>2019 PROXY STATEMENT</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9" w:lineRule="exact"/>
        <w:rPr>
          <w:sz w:val="20"/>
          <w:szCs w:val="20"/>
          <w:color w:val="auto"/>
        </w:rPr>
      </w:pPr>
    </w:p>
    <w:p>
      <w:pPr>
        <w:ind w:left="9500"/>
        <w:spacing w:after="0" w:line="288" w:lineRule="exact"/>
        <w:rPr>
          <w:sz w:val="20"/>
          <w:szCs w:val="20"/>
          <w:color w:val="auto"/>
        </w:rPr>
      </w:pPr>
      <w:r>
        <w:rPr>
          <w:rFonts w:ascii="Arial" w:cs="Arial" w:eastAsia="Arial" w:hAnsi="Arial"/>
          <w:sz w:val="13"/>
          <w:szCs w:val="13"/>
          <w:color w:val="007CBA"/>
        </w:rPr>
        <w:t xml:space="preserve">The Board of Directors </w:t>
      </w:r>
      <w:r>
        <w:rPr>
          <w:rFonts w:ascii="MS PGothic" w:cs="MS PGothic" w:eastAsia="MS PGothic" w:hAnsi="MS PGothic"/>
          <w:sz w:val="25"/>
          <w:szCs w:val="25"/>
          <w:color w:val="007CBA"/>
        </w:rPr>
        <w:t>◆</w:t>
      </w:r>
    </w:p>
    <w:p>
      <w:pPr>
        <w:spacing w:after="0" w:line="200" w:lineRule="exact"/>
        <w:rPr>
          <w:sz w:val="20"/>
          <w:szCs w:val="20"/>
          <w:color w:val="auto"/>
        </w:rPr>
      </w:pPr>
    </w:p>
    <w:p>
      <w:pPr>
        <w:spacing w:after="0" w:line="240" w:lineRule="exact"/>
        <w:rPr>
          <w:sz w:val="20"/>
          <w:szCs w:val="20"/>
          <w:color w:val="auto"/>
        </w:rPr>
      </w:pPr>
    </w:p>
    <w:p>
      <w:pPr>
        <w:ind w:left="220"/>
        <w:spacing w:after="0" w:line="260" w:lineRule="auto"/>
        <w:rPr>
          <w:sz w:val="20"/>
          <w:szCs w:val="20"/>
          <w:color w:val="auto"/>
        </w:rPr>
      </w:pPr>
      <w:r>
        <w:rPr>
          <w:rFonts w:ascii="Arial" w:cs="Arial" w:eastAsia="Arial" w:hAnsi="Arial"/>
          <w:sz w:val="16"/>
          <w:szCs w:val="16"/>
          <w:color w:val="auto"/>
        </w:rPr>
        <w:t>The following sets forth certain information for each nominee for election regarding age, gender, diversity, tenure and skills that are important to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139700</wp:posOffset>
            </wp:positionV>
            <wp:extent cx="6989445" cy="3771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89445" cy="3771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FFFFFF"/>
        </w:rPr>
        <w:t>Demographics</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FFFFFF"/>
        </w:rPr>
        <w:t>and Background</w:t>
      </w:r>
    </w:p>
    <w:p>
      <w:pPr>
        <w:spacing w:after="0" w:line="31" w:lineRule="exact"/>
        <w:rPr>
          <w:sz w:val="20"/>
          <w:szCs w:val="20"/>
          <w:color w:val="auto"/>
        </w:rPr>
      </w:pPr>
    </w:p>
    <w:tbl>
      <w:tblPr>
        <w:tblLayout w:type="fixed"/>
        <w:tblInd w:w="220" w:type="dxa"/>
        <w:tblCellMar>
          <w:top w:w="0" w:type="dxa"/>
          <w:left w:w="0" w:type="dxa"/>
          <w:bottom w:w="0" w:type="dxa"/>
          <w:right w:w="0" w:type="dxa"/>
        </w:tblCellMar>
      </w:tblPr>
      <w:tr>
        <w:trPr>
          <w:trHeight w:val="221"/>
        </w:trPr>
        <w:tc>
          <w:tcPr>
            <w:tcW w:w="1360" w:type="dxa"/>
            <w:vAlign w:val="bottom"/>
            <w:shd w:val="clear" w:color="auto" w:fill="E5F1F8"/>
          </w:tcPr>
          <w:p>
            <w:pPr>
              <w:ind w:left="80"/>
              <w:spacing w:after="0"/>
              <w:rPr>
                <w:sz w:val="20"/>
                <w:szCs w:val="20"/>
                <w:color w:val="auto"/>
              </w:rPr>
            </w:pPr>
            <w:r>
              <w:rPr>
                <w:rFonts w:ascii="Arial" w:cs="Arial" w:eastAsia="Arial" w:hAnsi="Arial"/>
                <w:sz w:val="14"/>
                <w:szCs w:val="14"/>
                <w:color w:val="auto"/>
              </w:rPr>
              <w:t>Age</w:t>
            </w:r>
          </w:p>
        </w:tc>
        <w:tc>
          <w:tcPr>
            <w:tcW w:w="500" w:type="dxa"/>
            <w:vAlign w:val="bottom"/>
            <w:shd w:val="clear" w:color="auto" w:fill="E5F1F8"/>
          </w:tcPr>
          <w:p>
            <w:pPr>
              <w:spacing w:after="0"/>
              <w:rPr>
                <w:sz w:val="19"/>
                <w:szCs w:val="19"/>
                <w:color w:val="auto"/>
              </w:rPr>
            </w:pPr>
          </w:p>
        </w:tc>
        <w:tc>
          <w:tcPr>
            <w:tcW w:w="420" w:type="dxa"/>
            <w:vAlign w:val="bottom"/>
            <w:shd w:val="clear" w:color="auto" w:fill="E5F1F8"/>
          </w:tcPr>
          <w:p>
            <w:pPr>
              <w:spacing w:after="0"/>
              <w:rPr>
                <w:sz w:val="19"/>
                <w:szCs w:val="19"/>
                <w:color w:val="auto"/>
              </w:rPr>
            </w:pPr>
          </w:p>
        </w:tc>
        <w:tc>
          <w:tcPr>
            <w:tcW w:w="480" w:type="dxa"/>
            <w:vAlign w:val="bottom"/>
            <w:shd w:val="clear" w:color="auto" w:fill="E5F1F8"/>
          </w:tcPr>
          <w:p>
            <w:pPr>
              <w:spacing w:after="0"/>
              <w:rPr>
                <w:sz w:val="19"/>
                <w:szCs w:val="19"/>
                <w:color w:val="auto"/>
              </w:rPr>
            </w:pPr>
          </w:p>
        </w:tc>
        <w:tc>
          <w:tcPr>
            <w:tcW w:w="500" w:type="dxa"/>
            <w:vAlign w:val="bottom"/>
            <w:shd w:val="clear" w:color="auto" w:fill="E5F1F8"/>
          </w:tcPr>
          <w:p>
            <w:pPr>
              <w:spacing w:after="0"/>
              <w:rPr>
                <w:sz w:val="19"/>
                <w:szCs w:val="19"/>
                <w:color w:val="auto"/>
              </w:rPr>
            </w:pPr>
          </w:p>
        </w:tc>
        <w:tc>
          <w:tcPr>
            <w:tcW w:w="440" w:type="dxa"/>
            <w:vAlign w:val="bottom"/>
            <w:shd w:val="clear" w:color="auto" w:fill="E5F1F8"/>
          </w:tcPr>
          <w:p>
            <w:pPr>
              <w:spacing w:after="0"/>
              <w:rPr>
                <w:sz w:val="19"/>
                <w:szCs w:val="19"/>
                <w:color w:val="auto"/>
              </w:rPr>
            </w:pPr>
          </w:p>
        </w:tc>
        <w:tc>
          <w:tcPr>
            <w:tcW w:w="440" w:type="dxa"/>
            <w:vAlign w:val="bottom"/>
            <w:shd w:val="clear" w:color="auto" w:fill="E5F1F8"/>
          </w:tcPr>
          <w:p>
            <w:pPr>
              <w:spacing w:after="0"/>
              <w:rPr>
                <w:sz w:val="19"/>
                <w:szCs w:val="19"/>
                <w:color w:val="auto"/>
              </w:rPr>
            </w:pPr>
          </w:p>
        </w:tc>
        <w:tc>
          <w:tcPr>
            <w:tcW w:w="480" w:type="dxa"/>
            <w:vAlign w:val="bottom"/>
            <w:shd w:val="clear" w:color="auto" w:fill="E5F1F8"/>
          </w:tcPr>
          <w:p>
            <w:pPr>
              <w:spacing w:after="0"/>
              <w:rPr>
                <w:sz w:val="19"/>
                <w:szCs w:val="19"/>
                <w:color w:val="auto"/>
              </w:rPr>
            </w:pPr>
          </w:p>
        </w:tc>
        <w:tc>
          <w:tcPr>
            <w:tcW w:w="500" w:type="dxa"/>
            <w:vAlign w:val="bottom"/>
            <w:shd w:val="clear" w:color="auto" w:fill="E5F1F8"/>
          </w:tcPr>
          <w:p>
            <w:pPr>
              <w:spacing w:after="0"/>
              <w:rPr>
                <w:sz w:val="19"/>
                <w:szCs w:val="19"/>
                <w:color w:val="auto"/>
              </w:rPr>
            </w:pPr>
          </w:p>
        </w:tc>
        <w:tc>
          <w:tcPr>
            <w:tcW w:w="480" w:type="dxa"/>
            <w:vAlign w:val="bottom"/>
            <w:gridSpan w:val="2"/>
            <w:shd w:val="clear" w:color="auto" w:fill="E5F1F8"/>
          </w:tcPr>
          <w:p>
            <w:pPr>
              <w:ind w:left="300"/>
              <w:spacing w:after="0"/>
              <w:rPr>
                <w:sz w:val="20"/>
                <w:szCs w:val="20"/>
                <w:color w:val="auto"/>
              </w:rPr>
            </w:pPr>
            <w:r>
              <w:rPr>
                <w:rFonts w:ascii="Arial" w:cs="Arial" w:eastAsia="Arial" w:hAnsi="Arial"/>
                <w:sz w:val="14"/>
                <w:szCs w:val="14"/>
                <w:color w:val="auto"/>
              </w:rPr>
              <w:t>61</w:t>
            </w:r>
          </w:p>
        </w:tc>
        <w:tc>
          <w:tcPr>
            <w:tcW w:w="720" w:type="dxa"/>
            <w:vAlign w:val="bottom"/>
            <w:shd w:val="clear" w:color="auto" w:fill="E5F1F8"/>
          </w:tcPr>
          <w:p>
            <w:pPr>
              <w:ind w:left="460"/>
              <w:spacing w:after="0"/>
              <w:rPr>
                <w:sz w:val="20"/>
                <w:szCs w:val="20"/>
                <w:color w:val="auto"/>
              </w:rPr>
            </w:pPr>
            <w:r>
              <w:rPr>
                <w:rFonts w:ascii="Arial" w:cs="Arial" w:eastAsia="Arial" w:hAnsi="Arial"/>
                <w:sz w:val="14"/>
                <w:szCs w:val="14"/>
                <w:color w:val="auto"/>
              </w:rPr>
              <w:t>68</w:t>
            </w:r>
          </w:p>
        </w:tc>
        <w:tc>
          <w:tcPr>
            <w:tcW w:w="100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71</w:t>
            </w:r>
          </w:p>
        </w:tc>
        <w:tc>
          <w:tcPr>
            <w:tcW w:w="480" w:type="dxa"/>
            <w:vAlign w:val="bottom"/>
            <w:shd w:val="clear" w:color="auto" w:fill="E5F1F8"/>
          </w:tcPr>
          <w:p>
            <w:pPr>
              <w:jc w:val="right"/>
              <w:ind w:right="188"/>
              <w:spacing w:after="0"/>
              <w:rPr>
                <w:sz w:val="20"/>
                <w:szCs w:val="20"/>
                <w:color w:val="auto"/>
              </w:rPr>
            </w:pPr>
            <w:r>
              <w:rPr>
                <w:rFonts w:ascii="Arial" w:cs="Arial" w:eastAsia="Arial" w:hAnsi="Arial"/>
                <w:sz w:val="14"/>
                <w:szCs w:val="14"/>
                <w:color w:val="auto"/>
              </w:rPr>
              <w:t>68</w:t>
            </w:r>
          </w:p>
        </w:tc>
        <w:tc>
          <w:tcPr>
            <w:tcW w:w="860" w:type="dxa"/>
            <w:vAlign w:val="bottom"/>
            <w:shd w:val="clear" w:color="auto" w:fill="E5F1F8"/>
          </w:tcPr>
          <w:p>
            <w:pPr>
              <w:jc w:val="right"/>
              <w:ind w:right="388"/>
              <w:spacing w:after="0"/>
              <w:rPr>
                <w:sz w:val="20"/>
                <w:szCs w:val="20"/>
                <w:color w:val="auto"/>
              </w:rPr>
            </w:pPr>
            <w:r>
              <w:rPr>
                <w:rFonts w:ascii="Arial" w:cs="Arial" w:eastAsia="Arial" w:hAnsi="Arial"/>
                <w:sz w:val="14"/>
                <w:szCs w:val="14"/>
                <w:color w:val="auto"/>
              </w:rPr>
              <w:t>56</w:t>
            </w:r>
          </w:p>
        </w:tc>
        <w:tc>
          <w:tcPr>
            <w:tcW w:w="30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65</w:t>
            </w:r>
          </w:p>
        </w:tc>
        <w:tc>
          <w:tcPr>
            <w:tcW w:w="1000" w:type="dxa"/>
            <w:vAlign w:val="bottom"/>
            <w:shd w:val="clear" w:color="auto" w:fill="E5F1F8"/>
          </w:tcPr>
          <w:p>
            <w:pPr>
              <w:jc w:val="center"/>
              <w:ind w:right="8"/>
              <w:spacing w:after="0"/>
              <w:rPr>
                <w:sz w:val="20"/>
                <w:szCs w:val="20"/>
                <w:color w:val="auto"/>
              </w:rPr>
            </w:pPr>
            <w:r>
              <w:rPr>
                <w:rFonts w:ascii="Arial" w:cs="Arial" w:eastAsia="Arial" w:hAnsi="Arial"/>
                <w:sz w:val="14"/>
                <w:szCs w:val="14"/>
                <w:color w:val="auto"/>
              </w:rPr>
              <w:t>70</w:t>
            </w:r>
          </w:p>
        </w:tc>
        <w:tc>
          <w:tcPr>
            <w:tcW w:w="660" w:type="dxa"/>
            <w:vAlign w:val="bottom"/>
            <w:shd w:val="clear" w:color="auto" w:fill="E5F1F8"/>
          </w:tcPr>
          <w:p>
            <w:pPr>
              <w:jc w:val="right"/>
              <w:ind w:right="408"/>
              <w:spacing w:after="0"/>
              <w:rPr>
                <w:sz w:val="20"/>
                <w:szCs w:val="20"/>
                <w:color w:val="auto"/>
              </w:rPr>
            </w:pPr>
            <w:r>
              <w:rPr>
                <w:rFonts w:ascii="Arial" w:cs="Arial" w:eastAsia="Arial" w:hAnsi="Arial"/>
                <w:sz w:val="14"/>
                <w:szCs w:val="14"/>
                <w:color w:val="auto"/>
              </w:rPr>
              <w:t>57</w:t>
            </w:r>
          </w:p>
        </w:tc>
        <w:tc>
          <w:tcPr>
            <w:tcW w:w="380" w:type="dxa"/>
            <w:vAlign w:val="bottom"/>
            <w:shd w:val="clear" w:color="auto" w:fill="E5F1F8"/>
          </w:tcPr>
          <w:p>
            <w:pPr>
              <w:jc w:val="center"/>
              <w:ind w:right="108"/>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58"/>
        </w:trPr>
        <w:tc>
          <w:tcPr>
            <w:tcW w:w="1360" w:type="dxa"/>
            <w:vAlign w:val="bottom"/>
          </w:tcPr>
          <w:p>
            <w:pPr>
              <w:ind w:left="80"/>
              <w:spacing w:after="0"/>
              <w:rPr>
                <w:sz w:val="20"/>
                <w:szCs w:val="20"/>
                <w:color w:val="auto"/>
              </w:rPr>
            </w:pPr>
            <w:r>
              <w:rPr>
                <w:rFonts w:ascii="Arial" w:cs="Arial" w:eastAsia="Arial" w:hAnsi="Arial"/>
                <w:sz w:val="14"/>
                <w:szCs w:val="14"/>
                <w:color w:val="auto"/>
              </w:rPr>
              <w:t>Gender</w:t>
            </w: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gridSpan w:val="2"/>
          </w:tcPr>
          <w:p>
            <w:pPr>
              <w:ind w:left="340"/>
              <w:spacing w:after="0"/>
              <w:rPr>
                <w:sz w:val="20"/>
                <w:szCs w:val="20"/>
                <w:color w:val="auto"/>
              </w:rPr>
            </w:pPr>
            <w:r>
              <w:rPr>
                <w:rFonts w:ascii="Arial" w:cs="Arial" w:eastAsia="Arial" w:hAnsi="Arial"/>
                <w:sz w:val="14"/>
                <w:szCs w:val="14"/>
                <w:color w:val="auto"/>
              </w:rPr>
              <w:t>F</w:t>
            </w:r>
          </w:p>
        </w:tc>
        <w:tc>
          <w:tcPr>
            <w:tcW w:w="720" w:type="dxa"/>
            <w:vAlign w:val="bottom"/>
          </w:tcPr>
          <w:p>
            <w:pPr>
              <w:ind w:left="500"/>
              <w:spacing w:after="0"/>
              <w:rPr>
                <w:sz w:val="20"/>
                <w:szCs w:val="20"/>
                <w:color w:val="auto"/>
              </w:rPr>
            </w:pPr>
            <w:r>
              <w:rPr>
                <w:rFonts w:ascii="Arial" w:cs="Arial" w:eastAsia="Arial" w:hAnsi="Arial"/>
                <w:sz w:val="14"/>
                <w:szCs w:val="14"/>
                <w:color w:val="auto"/>
              </w:rPr>
              <w:t>F</w:t>
            </w:r>
          </w:p>
        </w:tc>
        <w:tc>
          <w:tcPr>
            <w:tcW w:w="1000" w:type="dxa"/>
            <w:vAlign w:val="bottom"/>
          </w:tcPr>
          <w:p>
            <w:pPr>
              <w:jc w:val="center"/>
              <w:spacing w:after="0"/>
              <w:rPr>
                <w:sz w:val="20"/>
                <w:szCs w:val="20"/>
                <w:color w:val="auto"/>
              </w:rPr>
            </w:pPr>
            <w:r>
              <w:rPr>
                <w:rFonts w:ascii="Arial" w:cs="Arial" w:eastAsia="Arial" w:hAnsi="Arial"/>
                <w:sz w:val="14"/>
                <w:szCs w:val="14"/>
                <w:color w:val="auto"/>
              </w:rPr>
              <w:t>M</w:t>
            </w:r>
          </w:p>
        </w:tc>
        <w:tc>
          <w:tcPr>
            <w:tcW w:w="480" w:type="dxa"/>
            <w:vAlign w:val="bottom"/>
          </w:tcPr>
          <w:p>
            <w:pPr>
              <w:ind w:left="80"/>
              <w:spacing w:after="0"/>
              <w:rPr>
                <w:sz w:val="20"/>
                <w:szCs w:val="20"/>
                <w:color w:val="auto"/>
              </w:rPr>
            </w:pPr>
            <w:r>
              <w:rPr>
                <w:rFonts w:ascii="Arial" w:cs="Arial" w:eastAsia="Arial" w:hAnsi="Arial"/>
                <w:sz w:val="14"/>
                <w:szCs w:val="14"/>
                <w:color w:val="auto"/>
              </w:rPr>
              <w:t>M</w:t>
            </w:r>
          </w:p>
        </w:tc>
        <w:tc>
          <w:tcPr>
            <w:tcW w:w="860" w:type="dxa"/>
            <w:vAlign w:val="bottom"/>
          </w:tcPr>
          <w:p>
            <w:pPr>
              <w:jc w:val="right"/>
              <w:ind w:right="408"/>
              <w:spacing w:after="0"/>
              <w:rPr>
                <w:sz w:val="20"/>
                <w:szCs w:val="20"/>
                <w:color w:val="auto"/>
              </w:rPr>
            </w:pPr>
            <w:r>
              <w:rPr>
                <w:rFonts w:ascii="Arial" w:cs="Arial" w:eastAsia="Arial" w:hAnsi="Arial"/>
                <w:sz w:val="14"/>
                <w:szCs w:val="14"/>
                <w:color w:val="auto"/>
              </w:rPr>
              <w:t>M</w:t>
            </w:r>
          </w:p>
        </w:tc>
        <w:tc>
          <w:tcPr>
            <w:tcW w:w="300" w:type="dxa"/>
            <w:vAlign w:val="bottom"/>
          </w:tcPr>
          <w:p>
            <w:pPr>
              <w:ind w:left="60"/>
              <w:spacing w:after="0"/>
              <w:rPr>
                <w:sz w:val="20"/>
                <w:szCs w:val="20"/>
                <w:color w:val="auto"/>
              </w:rPr>
            </w:pPr>
            <w:r>
              <w:rPr>
                <w:rFonts w:ascii="Arial" w:cs="Arial" w:eastAsia="Arial" w:hAnsi="Arial"/>
                <w:sz w:val="14"/>
                <w:szCs w:val="14"/>
                <w:color w:val="auto"/>
              </w:rPr>
              <w:t>F</w:t>
            </w:r>
          </w:p>
        </w:tc>
        <w:tc>
          <w:tcPr>
            <w:tcW w:w="1000" w:type="dxa"/>
            <w:vAlign w:val="bottom"/>
          </w:tcPr>
          <w:p>
            <w:pPr>
              <w:jc w:val="center"/>
              <w:ind w:right="8"/>
              <w:spacing w:after="0"/>
              <w:rPr>
                <w:sz w:val="20"/>
                <w:szCs w:val="20"/>
                <w:color w:val="auto"/>
              </w:rPr>
            </w:pPr>
            <w:r>
              <w:rPr>
                <w:rFonts w:ascii="Arial" w:cs="Arial" w:eastAsia="Arial" w:hAnsi="Arial"/>
                <w:sz w:val="14"/>
                <w:szCs w:val="14"/>
                <w:color w:val="auto"/>
              </w:rPr>
              <w:t>M</w:t>
            </w:r>
          </w:p>
        </w:tc>
        <w:tc>
          <w:tcPr>
            <w:tcW w:w="660" w:type="dxa"/>
            <w:vAlign w:val="bottom"/>
          </w:tcPr>
          <w:p>
            <w:pPr>
              <w:ind w:left="40"/>
              <w:spacing w:after="0"/>
              <w:rPr>
                <w:sz w:val="20"/>
                <w:szCs w:val="20"/>
                <w:color w:val="auto"/>
              </w:rPr>
            </w:pPr>
            <w:r>
              <w:rPr>
                <w:rFonts w:ascii="Arial" w:cs="Arial" w:eastAsia="Arial" w:hAnsi="Arial"/>
                <w:sz w:val="14"/>
                <w:szCs w:val="14"/>
                <w:color w:val="auto"/>
              </w:rPr>
              <w:t>M</w:t>
            </w:r>
          </w:p>
        </w:tc>
        <w:tc>
          <w:tcPr>
            <w:tcW w:w="380" w:type="dxa"/>
            <w:vAlign w:val="bottom"/>
          </w:tcPr>
          <w:p>
            <w:pPr>
              <w:jc w:val="center"/>
              <w:ind w:right="108"/>
              <w:spacing w:after="0"/>
              <w:rPr>
                <w:sz w:val="20"/>
                <w:szCs w:val="20"/>
                <w:color w:val="auto"/>
              </w:rPr>
            </w:pPr>
            <w:r>
              <w:rPr>
                <w:rFonts w:ascii="Arial" w:cs="Arial" w:eastAsia="Arial" w:hAnsi="Arial"/>
                <w:sz w:val="14"/>
                <w:szCs w:val="14"/>
                <w:color w:val="auto"/>
              </w:rPr>
              <w:t>M</w:t>
            </w:r>
          </w:p>
        </w:tc>
        <w:tc>
          <w:tcPr>
            <w:tcW w:w="0" w:type="dxa"/>
            <w:vAlign w:val="bottom"/>
          </w:tcPr>
          <w:p>
            <w:pPr>
              <w:spacing w:after="0"/>
              <w:rPr>
                <w:sz w:val="1"/>
                <w:szCs w:val="1"/>
                <w:color w:val="auto"/>
              </w:rPr>
            </w:pPr>
          </w:p>
        </w:tc>
      </w:tr>
      <w:tr>
        <w:trPr>
          <w:trHeight w:val="25"/>
        </w:trPr>
        <w:tc>
          <w:tcPr>
            <w:tcW w:w="1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360" w:type="dxa"/>
            <w:vAlign w:val="bottom"/>
            <w:tcBorders>
              <w:bottom w:val="single" w:sz="8" w:color="E5F1F8"/>
            </w:tcBorders>
            <w:shd w:val="clear" w:color="auto" w:fill="E5F1F8"/>
          </w:tcPr>
          <w:p>
            <w:pPr>
              <w:ind w:left="80"/>
              <w:spacing w:after="0"/>
              <w:rPr>
                <w:sz w:val="20"/>
                <w:szCs w:val="20"/>
                <w:color w:val="auto"/>
              </w:rPr>
            </w:pPr>
            <w:r>
              <w:rPr>
                <w:rFonts w:ascii="Arial" w:cs="Arial" w:eastAsia="Arial" w:hAnsi="Arial"/>
                <w:sz w:val="14"/>
                <w:szCs w:val="14"/>
                <w:color w:val="auto"/>
              </w:rPr>
              <w:t>Ethnic Diversity</w:t>
            </w:r>
          </w:p>
        </w:tc>
        <w:tc>
          <w:tcPr>
            <w:tcW w:w="500" w:type="dxa"/>
            <w:vAlign w:val="bottom"/>
            <w:tcBorders>
              <w:bottom w:val="single" w:sz="8" w:color="E5F1F8"/>
            </w:tcBorders>
            <w:shd w:val="clear" w:color="auto" w:fill="E5F1F8"/>
          </w:tcPr>
          <w:p>
            <w:pPr>
              <w:spacing w:after="0"/>
              <w:rPr>
                <w:sz w:val="19"/>
                <w:szCs w:val="19"/>
                <w:color w:val="auto"/>
              </w:rPr>
            </w:pPr>
          </w:p>
        </w:tc>
        <w:tc>
          <w:tcPr>
            <w:tcW w:w="420" w:type="dxa"/>
            <w:vAlign w:val="bottom"/>
            <w:tcBorders>
              <w:bottom w:val="single" w:sz="8" w:color="E5F1F8"/>
            </w:tcBorders>
            <w:shd w:val="clear" w:color="auto" w:fill="E5F1F8"/>
          </w:tcPr>
          <w:p>
            <w:pPr>
              <w:spacing w:after="0"/>
              <w:rPr>
                <w:sz w:val="19"/>
                <w:szCs w:val="19"/>
                <w:color w:val="auto"/>
              </w:rPr>
            </w:pPr>
          </w:p>
        </w:tc>
        <w:tc>
          <w:tcPr>
            <w:tcW w:w="480" w:type="dxa"/>
            <w:vAlign w:val="bottom"/>
            <w:tcBorders>
              <w:bottom w:val="single" w:sz="8" w:color="E5F1F8"/>
            </w:tcBorders>
            <w:shd w:val="clear" w:color="auto" w:fill="E5F1F8"/>
          </w:tcPr>
          <w:p>
            <w:pPr>
              <w:spacing w:after="0"/>
              <w:rPr>
                <w:sz w:val="19"/>
                <w:szCs w:val="19"/>
                <w:color w:val="auto"/>
              </w:rPr>
            </w:pPr>
          </w:p>
        </w:tc>
        <w:tc>
          <w:tcPr>
            <w:tcW w:w="500" w:type="dxa"/>
            <w:vAlign w:val="bottom"/>
            <w:tcBorders>
              <w:bottom w:val="single" w:sz="8" w:color="E5F1F8"/>
            </w:tcBorders>
            <w:shd w:val="clear" w:color="auto" w:fill="E5F1F8"/>
          </w:tcPr>
          <w:p>
            <w:pPr>
              <w:spacing w:after="0"/>
              <w:rPr>
                <w:sz w:val="19"/>
                <w:szCs w:val="19"/>
                <w:color w:val="auto"/>
              </w:rPr>
            </w:pPr>
          </w:p>
        </w:tc>
        <w:tc>
          <w:tcPr>
            <w:tcW w:w="440" w:type="dxa"/>
            <w:vAlign w:val="bottom"/>
            <w:tcBorders>
              <w:bottom w:val="single" w:sz="8" w:color="E5F1F8"/>
            </w:tcBorders>
            <w:shd w:val="clear" w:color="auto" w:fill="E5F1F8"/>
          </w:tcPr>
          <w:p>
            <w:pPr>
              <w:spacing w:after="0"/>
              <w:rPr>
                <w:sz w:val="19"/>
                <w:szCs w:val="19"/>
                <w:color w:val="auto"/>
              </w:rPr>
            </w:pPr>
          </w:p>
        </w:tc>
        <w:tc>
          <w:tcPr>
            <w:tcW w:w="440" w:type="dxa"/>
            <w:vAlign w:val="bottom"/>
            <w:tcBorders>
              <w:bottom w:val="single" w:sz="8" w:color="E5F1F8"/>
            </w:tcBorders>
            <w:shd w:val="clear" w:color="auto" w:fill="E5F1F8"/>
          </w:tcPr>
          <w:p>
            <w:pPr>
              <w:spacing w:after="0"/>
              <w:rPr>
                <w:sz w:val="19"/>
                <w:szCs w:val="19"/>
                <w:color w:val="auto"/>
              </w:rPr>
            </w:pPr>
          </w:p>
        </w:tc>
        <w:tc>
          <w:tcPr>
            <w:tcW w:w="480" w:type="dxa"/>
            <w:vAlign w:val="bottom"/>
            <w:tcBorders>
              <w:bottom w:val="single" w:sz="8" w:color="E5F1F8"/>
            </w:tcBorders>
            <w:shd w:val="clear" w:color="auto" w:fill="E5F1F8"/>
          </w:tcPr>
          <w:p>
            <w:pPr>
              <w:spacing w:after="0"/>
              <w:rPr>
                <w:sz w:val="19"/>
                <w:szCs w:val="19"/>
                <w:color w:val="auto"/>
              </w:rPr>
            </w:pPr>
          </w:p>
        </w:tc>
        <w:tc>
          <w:tcPr>
            <w:tcW w:w="500" w:type="dxa"/>
            <w:vAlign w:val="bottom"/>
            <w:tcBorders>
              <w:bottom w:val="single" w:sz="8" w:color="E5F1F8"/>
            </w:tcBorders>
            <w:shd w:val="clear" w:color="auto" w:fill="E5F1F8"/>
          </w:tcPr>
          <w:p>
            <w:pPr>
              <w:spacing w:after="0"/>
              <w:rPr>
                <w:sz w:val="19"/>
                <w:szCs w:val="19"/>
                <w:color w:val="auto"/>
              </w:rPr>
            </w:pPr>
          </w:p>
        </w:tc>
        <w:tc>
          <w:tcPr>
            <w:tcW w:w="400" w:type="dxa"/>
            <w:vAlign w:val="bottom"/>
            <w:tcBorders>
              <w:bottom w:val="single" w:sz="8" w:color="E5F1F8"/>
              <w:right w:val="single" w:sz="8" w:color="E5F1F8"/>
            </w:tcBorders>
            <w:shd w:val="clear" w:color="auto" w:fill="E5F1F8"/>
          </w:tcPr>
          <w:p>
            <w:pPr>
              <w:spacing w:after="0"/>
              <w:rPr>
                <w:sz w:val="19"/>
                <w:szCs w:val="19"/>
                <w:color w:val="auto"/>
              </w:rPr>
            </w:pPr>
          </w:p>
        </w:tc>
        <w:tc>
          <w:tcPr>
            <w:tcW w:w="80" w:type="dxa"/>
            <w:vAlign w:val="bottom"/>
            <w:tcBorders>
              <w:bottom w:val="single" w:sz="8" w:color="E5F1F8"/>
            </w:tcBorders>
            <w:shd w:val="clear" w:color="auto" w:fill="E5F1F8"/>
          </w:tcPr>
          <w:p>
            <w:pPr>
              <w:spacing w:after="0"/>
              <w:rPr>
                <w:sz w:val="19"/>
                <w:szCs w:val="19"/>
                <w:color w:val="auto"/>
              </w:rPr>
            </w:pPr>
          </w:p>
        </w:tc>
        <w:tc>
          <w:tcPr>
            <w:tcW w:w="720" w:type="dxa"/>
            <w:vAlign w:val="bottom"/>
            <w:tcBorders>
              <w:bottom w:val="single" w:sz="8" w:color="E5F1F8"/>
            </w:tcBorders>
            <w:shd w:val="clear" w:color="auto" w:fill="E5F1F8"/>
          </w:tcPr>
          <w:p>
            <w:pPr>
              <w:spacing w:after="0"/>
              <w:rPr>
                <w:sz w:val="19"/>
                <w:szCs w:val="19"/>
                <w:color w:val="auto"/>
              </w:rPr>
            </w:pPr>
          </w:p>
        </w:tc>
        <w:tc>
          <w:tcPr>
            <w:tcW w:w="1000" w:type="dxa"/>
            <w:vAlign w:val="bottom"/>
            <w:tcBorders>
              <w:bottom w:val="single" w:sz="8" w:color="E5F1F8"/>
            </w:tcBorders>
            <w:shd w:val="clear" w:color="auto" w:fill="E5F1F8"/>
          </w:tcPr>
          <w:p>
            <w:pPr>
              <w:jc w:val="center"/>
              <w:spacing w:after="0"/>
              <w:rPr>
                <w:sz w:val="20"/>
                <w:szCs w:val="20"/>
                <w:color w:val="auto"/>
              </w:rPr>
            </w:pPr>
            <w:r>
              <w:rPr>
                <w:rFonts w:ascii="Arial" w:cs="Arial" w:eastAsia="Arial" w:hAnsi="Arial"/>
                <w:sz w:val="14"/>
                <w:szCs w:val="14"/>
                <w:color w:val="007CBA"/>
              </w:rPr>
              <w:t>•</w:t>
            </w:r>
          </w:p>
        </w:tc>
        <w:tc>
          <w:tcPr>
            <w:tcW w:w="480" w:type="dxa"/>
            <w:vAlign w:val="bottom"/>
            <w:tcBorders>
              <w:bottom w:val="single" w:sz="8" w:color="E5F1F8"/>
            </w:tcBorders>
            <w:shd w:val="clear" w:color="auto" w:fill="E5F1F8"/>
          </w:tcPr>
          <w:p>
            <w:pPr>
              <w:spacing w:after="0"/>
              <w:rPr>
                <w:sz w:val="19"/>
                <w:szCs w:val="19"/>
                <w:color w:val="auto"/>
              </w:rPr>
            </w:pPr>
          </w:p>
        </w:tc>
        <w:tc>
          <w:tcPr>
            <w:tcW w:w="860" w:type="dxa"/>
            <w:vAlign w:val="bottom"/>
            <w:tcBorders>
              <w:bottom w:val="single" w:sz="8" w:color="E5F1F8"/>
            </w:tcBorders>
            <w:shd w:val="clear" w:color="auto" w:fill="E5F1F8"/>
          </w:tcPr>
          <w:p>
            <w:pPr>
              <w:spacing w:after="0"/>
              <w:rPr>
                <w:sz w:val="19"/>
                <w:szCs w:val="19"/>
                <w:color w:val="auto"/>
              </w:rPr>
            </w:pPr>
          </w:p>
        </w:tc>
        <w:tc>
          <w:tcPr>
            <w:tcW w:w="300" w:type="dxa"/>
            <w:vAlign w:val="bottom"/>
            <w:tcBorders>
              <w:bottom w:val="single" w:sz="8" w:color="E5F1F8"/>
            </w:tcBorders>
            <w:shd w:val="clear" w:color="auto" w:fill="E5F1F8"/>
          </w:tcPr>
          <w:p>
            <w:pPr>
              <w:jc w:val="center"/>
              <w:ind w:right="8"/>
              <w:spacing w:after="0"/>
              <w:rPr>
                <w:sz w:val="20"/>
                <w:szCs w:val="20"/>
                <w:color w:val="auto"/>
              </w:rPr>
            </w:pPr>
            <w:r>
              <w:rPr>
                <w:rFonts w:ascii="Arial" w:cs="Arial" w:eastAsia="Arial" w:hAnsi="Arial"/>
                <w:sz w:val="14"/>
                <w:szCs w:val="14"/>
                <w:color w:val="007CBA"/>
              </w:rPr>
              <w:t>•</w:t>
            </w:r>
          </w:p>
        </w:tc>
        <w:tc>
          <w:tcPr>
            <w:tcW w:w="1000" w:type="dxa"/>
            <w:vAlign w:val="bottom"/>
            <w:tcBorders>
              <w:bottom w:val="single" w:sz="8" w:color="E5F1F8"/>
            </w:tcBorders>
            <w:shd w:val="clear" w:color="auto" w:fill="E5F1F8"/>
          </w:tcPr>
          <w:p>
            <w:pPr>
              <w:spacing w:after="0"/>
              <w:rPr>
                <w:sz w:val="19"/>
                <w:szCs w:val="19"/>
                <w:color w:val="auto"/>
              </w:rPr>
            </w:pPr>
          </w:p>
        </w:tc>
        <w:tc>
          <w:tcPr>
            <w:tcW w:w="660" w:type="dxa"/>
            <w:vAlign w:val="bottom"/>
            <w:tcBorders>
              <w:bottom w:val="single" w:sz="8" w:color="E5F1F8"/>
            </w:tcBorders>
            <w:shd w:val="clear" w:color="auto" w:fill="E5F1F8"/>
          </w:tcPr>
          <w:p>
            <w:pPr>
              <w:spacing w:after="0"/>
              <w:rPr>
                <w:sz w:val="19"/>
                <w:szCs w:val="19"/>
                <w:color w:val="auto"/>
              </w:rPr>
            </w:pPr>
          </w:p>
        </w:tc>
        <w:tc>
          <w:tcPr>
            <w:tcW w:w="380" w:type="dxa"/>
            <w:vAlign w:val="bottom"/>
            <w:tcBorders>
              <w:bottom w:val="single" w:sz="8" w:color="E5F1F8"/>
            </w:tcBorders>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360" w:type="dxa"/>
            <w:vAlign w:val="bottom"/>
          </w:tcPr>
          <w:p>
            <w:pPr>
              <w:ind w:left="80"/>
              <w:spacing w:after="0"/>
              <w:rPr>
                <w:sz w:val="20"/>
                <w:szCs w:val="20"/>
                <w:color w:val="auto"/>
              </w:rPr>
            </w:pPr>
            <w:r>
              <w:rPr>
                <w:rFonts w:ascii="Arial" w:cs="Arial" w:eastAsia="Arial" w:hAnsi="Arial"/>
                <w:sz w:val="14"/>
                <w:szCs w:val="14"/>
                <w:color w:val="auto"/>
              </w:rPr>
              <w:t>Tenure</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gridSpan w:val="2"/>
          </w:tcPr>
          <w:p>
            <w:pPr>
              <w:ind w:left="300"/>
              <w:spacing w:after="0"/>
              <w:rPr>
                <w:sz w:val="20"/>
                <w:szCs w:val="20"/>
                <w:color w:val="auto"/>
              </w:rPr>
            </w:pPr>
            <w:r>
              <w:rPr>
                <w:rFonts w:ascii="Arial" w:cs="Arial" w:eastAsia="Arial" w:hAnsi="Arial"/>
                <w:sz w:val="14"/>
                <w:szCs w:val="14"/>
                <w:color w:val="auto"/>
                <w:w w:val="99"/>
              </w:rPr>
              <w:t>&lt;1</w:t>
            </w:r>
          </w:p>
        </w:tc>
        <w:tc>
          <w:tcPr>
            <w:tcW w:w="720" w:type="dxa"/>
            <w:vAlign w:val="bottom"/>
          </w:tcPr>
          <w:p>
            <w:pPr>
              <w:ind w:left="460"/>
              <w:spacing w:after="0"/>
              <w:rPr>
                <w:sz w:val="20"/>
                <w:szCs w:val="20"/>
                <w:color w:val="auto"/>
              </w:rPr>
            </w:pPr>
            <w:r>
              <w:rPr>
                <w:rFonts w:ascii="Arial" w:cs="Arial" w:eastAsia="Arial" w:hAnsi="Arial"/>
                <w:sz w:val="14"/>
                <w:szCs w:val="14"/>
                <w:color w:val="auto"/>
              </w:rPr>
              <w:t>17</w:t>
            </w:r>
          </w:p>
        </w:tc>
        <w:tc>
          <w:tcPr>
            <w:tcW w:w="1000" w:type="dxa"/>
            <w:vAlign w:val="bottom"/>
          </w:tcPr>
          <w:p>
            <w:pPr>
              <w:jc w:val="center"/>
              <w:spacing w:after="0"/>
              <w:rPr>
                <w:sz w:val="20"/>
                <w:szCs w:val="20"/>
                <w:color w:val="auto"/>
              </w:rPr>
            </w:pPr>
            <w:r>
              <w:rPr>
                <w:rFonts w:ascii="Arial" w:cs="Arial" w:eastAsia="Arial" w:hAnsi="Arial"/>
                <w:sz w:val="14"/>
                <w:szCs w:val="14"/>
                <w:color w:val="auto"/>
              </w:rPr>
              <w:t>1</w:t>
            </w:r>
          </w:p>
        </w:tc>
        <w:tc>
          <w:tcPr>
            <w:tcW w:w="480" w:type="dxa"/>
            <w:vAlign w:val="bottom"/>
          </w:tcPr>
          <w:p>
            <w:pPr>
              <w:jc w:val="right"/>
              <w:ind w:right="228"/>
              <w:spacing w:after="0"/>
              <w:rPr>
                <w:sz w:val="20"/>
                <w:szCs w:val="20"/>
                <w:color w:val="auto"/>
              </w:rPr>
            </w:pPr>
            <w:r>
              <w:rPr>
                <w:rFonts w:ascii="Arial" w:cs="Arial" w:eastAsia="Arial" w:hAnsi="Arial"/>
                <w:sz w:val="14"/>
                <w:szCs w:val="14"/>
                <w:color w:val="auto"/>
              </w:rPr>
              <w:t>3</w:t>
            </w:r>
          </w:p>
        </w:tc>
        <w:tc>
          <w:tcPr>
            <w:tcW w:w="860" w:type="dxa"/>
            <w:vAlign w:val="bottom"/>
          </w:tcPr>
          <w:p>
            <w:pPr>
              <w:jc w:val="right"/>
              <w:ind w:right="428"/>
              <w:spacing w:after="0"/>
              <w:rPr>
                <w:sz w:val="20"/>
                <w:szCs w:val="20"/>
                <w:color w:val="auto"/>
              </w:rPr>
            </w:pPr>
            <w:r>
              <w:rPr>
                <w:rFonts w:ascii="Arial" w:cs="Arial" w:eastAsia="Arial" w:hAnsi="Arial"/>
                <w:sz w:val="14"/>
                <w:szCs w:val="14"/>
                <w:color w:val="auto"/>
              </w:rPr>
              <w:t>9</w:t>
            </w:r>
          </w:p>
        </w:tc>
        <w:tc>
          <w:tcPr>
            <w:tcW w:w="300" w:type="dxa"/>
            <w:vAlign w:val="bottom"/>
          </w:tcPr>
          <w:p>
            <w:pPr>
              <w:jc w:val="center"/>
              <w:spacing w:after="0"/>
              <w:rPr>
                <w:sz w:val="20"/>
                <w:szCs w:val="20"/>
                <w:color w:val="auto"/>
              </w:rPr>
            </w:pPr>
            <w:r>
              <w:rPr>
                <w:rFonts w:ascii="Arial" w:cs="Arial" w:eastAsia="Arial" w:hAnsi="Arial"/>
                <w:sz w:val="14"/>
                <w:szCs w:val="14"/>
                <w:color w:val="auto"/>
              </w:rPr>
              <w:t>15</w:t>
            </w:r>
          </w:p>
        </w:tc>
        <w:tc>
          <w:tcPr>
            <w:tcW w:w="1000" w:type="dxa"/>
            <w:vAlign w:val="bottom"/>
          </w:tcPr>
          <w:p>
            <w:pPr>
              <w:jc w:val="center"/>
              <w:ind w:right="8"/>
              <w:spacing w:after="0"/>
              <w:rPr>
                <w:sz w:val="20"/>
                <w:szCs w:val="20"/>
                <w:color w:val="auto"/>
              </w:rPr>
            </w:pPr>
            <w:r>
              <w:rPr>
                <w:rFonts w:ascii="Arial" w:cs="Arial" w:eastAsia="Arial" w:hAnsi="Arial"/>
                <w:sz w:val="14"/>
                <w:szCs w:val="14"/>
                <w:color w:val="auto"/>
              </w:rPr>
              <w:t>11</w:t>
            </w:r>
          </w:p>
        </w:tc>
        <w:tc>
          <w:tcPr>
            <w:tcW w:w="660" w:type="dxa"/>
            <w:vAlign w:val="bottom"/>
          </w:tcPr>
          <w:p>
            <w:pPr>
              <w:jc w:val="right"/>
              <w:ind w:right="448"/>
              <w:spacing w:after="0"/>
              <w:rPr>
                <w:sz w:val="20"/>
                <w:szCs w:val="20"/>
                <w:color w:val="auto"/>
              </w:rPr>
            </w:pPr>
            <w:r>
              <w:rPr>
                <w:rFonts w:ascii="Arial" w:cs="Arial" w:eastAsia="Arial" w:hAnsi="Arial"/>
                <w:sz w:val="14"/>
                <w:szCs w:val="14"/>
                <w:color w:val="auto"/>
              </w:rPr>
              <w:t>3</w:t>
            </w:r>
          </w:p>
        </w:tc>
        <w:tc>
          <w:tcPr>
            <w:tcW w:w="380" w:type="dxa"/>
            <w:vAlign w:val="bottom"/>
          </w:tcPr>
          <w:p>
            <w:pPr>
              <w:jc w:val="center"/>
              <w:ind w:right="10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5"/>
        </w:trPr>
        <w:tc>
          <w:tcPr>
            <w:tcW w:w="1360" w:type="dxa"/>
            <w:vAlign w:val="bottom"/>
            <w:tcBorders>
              <w:bottom w:val="single" w:sz="8" w:color="007CBA"/>
            </w:tcBorders>
          </w:tcPr>
          <w:p>
            <w:pPr>
              <w:spacing w:after="0"/>
              <w:rPr>
                <w:sz w:val="2"/>
                <w:szCs w:val="2"/>
                <w:color w:val="auto"/>
              </w:rPr>
            </w:pPr>
          </w:p>
        </w:tc>
        <w:tc>
          <w:tcPr>
            <w:tcW w:w="500" w:type="dxa"/>
            <w:vAlign w:val="bottom"/>
            <w:tcBorders>
              <w:bottom w:val="single" w:sz="8" w:color="007CBA"/>
            </w:tcBorders>
          </w:tcPr>
          <w:p>
            <w:pPr>
              <w:spacing w:after="0"/>
              <w:rPr>
                <w:sz w:val="2"/>
                <w:szCs w:val="2"/>
                <w:color w:val="auto"/>
              </w:rPr>
            </w:pPr>
          </w:p>
        </w:tc>
        <w:tc>
          <w:tcPr>
            <w:tcW w:w="420" w:type="dxa"/>
            <w:vAlign w:val="bottom"/>
            <w:tcBorders>
              <w:bottom w:val="single" w:sz="8" w:color="007CBA"/>
            </w:tcBorders>
          </w:tcPr>
          <w:p>
            <w:pPr>
              <w:spacing w:after="0"/>
              <w:rPr>
                <w:sz w:val="2"/>
                <w:szCs w:val="2"/>
                <w:color w:val="auto"/>
              </w:rPr>
            </w:pPr>
          </w:p>
        </w:tc>
        <w:tc>
          <w:tcPr>
            <w:tcW w:w="480" w:type="dxa"/>
            <w:vAlign w:val="bottom"/>
            <w:tcBorders>
              <w:bottom w:val="single" w:sz="8" w:color="007CBA"/>
            </w:tcBorders>
          </w:tcPr>
          <w:p>
            <w:pPr>
              <w:spacing w:after="0"/>
              <w:rPr>
                <w:sz w:val="2"/>
                <w:szCs w:val="2"/>
                <w:color w:val="auto"/>
              </w:rPr>
            </w:pPr>
          </w:p>
        </w:tc>
        <w:tc>
          <w:tcPr>
            <w:tcW w:w="500" w:type="dxa"/>
            <w:vAlign w:val="bottom"/>
            <w:tcBorders>
              <w:bottom w:val="single" w:sz="8" w:color="007CBA"/>
            </w:tcBorders>
          </w:tcPr>
          <w:p>
            <w:pPr>
              <w:spacing w:after="0"/>
              <w:rPr>
                <w:sz w:val="2"/>
                <w:szCs w:val="2"/>
                <w:color w:val="auto"/>
              </w:rPr>
            </w:pPr>
          </w:p>
        </w:tc>
        <w:tc>
          <w:tcPr>
            <w:tcW w:w="440" w:type="dxa"/>
            <w:vAlign w:val="bottom"/>
            <w:tcBorders>
              <w:bottom w:val="single" w:sz="8" w:color="007CBA"/>
            </w:tcBorders>
          </w:tcPr>
          <w:p>
            <w:pPr>
              <w:spacing w:after="0"/>
              <w:rPr>
                <w:sz w:val="2"/>
                <w:szCs w:val="2"/>
                <w:color w:val="auto"/>
              </w:rPr>
            </w:pPr>
          </w:p>
        </w:tc>
        <w:tc>
          <w:tcPr>
            <w:tcW w:w="440" w:type="dxa"/>
            <w:vAlign w:val="bottom"/>
            <w:tcBorders>
              <w:bottom w:val="single" w:sz="8" w:color="007CBA"/>
            </w:tcBorders>
          </w:tcPr>
          <w:p>
            <w:pPr>
              <w:spacing w:after="0"/>
              <w:rPr>
                <w:sz w:val="2"/>
                <w:szCs w:val="2"/>
                <w:color w:val="auto"/>
              </w:rPr>
            </w:pPr>
          </w:p>
        </w:tc>
        <w:tc>
          <w:tcPr>
            <w:tcW w:w="480" w:type="dxa"/>
            <w:vAlign w:val="bottom"/>
            <w:tcBorders>
              <w:bottom w:val="single" w:sz="8" w:color="007CBA"/>
            </w:tcBorders>
          </w:tcPr>
          <w:p>
            <w:pPr>
              <w:spacing w:after="0"/>
              <w:rPr>
                <w:sz w:val="2"/>
                <w:szCs w:val="2"/>
                <w:color w:val="auto"/>
              </w:rPr>
            </w:pPr>
          </w:p>
        </w:tc>
        <w:tc>
          <w:tcPr>
            <w:tcW w:w="500" w:type="dxa"/>
            <w:vAlign w:val="bottom"/>
            <w:tcBorders>
              <w:bottom w:val="single" w:sz="8" w:color="007CBA"/>
            </w:tcBorders>
          </w:tcPr>
          <w:p>
            <w:pPr>
              <w:spacing w:after="0"/>
              <w:rPr>
                <w:sz w:val="2"/>
                <w:szCs w:val="2"/>
                <w:color w:val="auto"/>
              </w:rPr>
            </w:pPr>
          </w:p>
        </w:tc>
        <w:tc>
          <w:tcPr>
            <w:tcW w:w="400" w:type="dxa"/>
            <w:vAlign w:val="bottom"/>
            <w:tcBorders>
              <w:bottom w:val="single" w:sz="8" w:color="007CBA"/>
            </w:tcBorders>
          </w:tcPr>
          <w:p>
            <w:pPr>
              <w:spacing w:after="0"/>
              <w:rPr>
                <w:sz w:val="2"/>
                <w:szCs w:val="2"/>
                <w:color w:val="auto"/>
              </w:rPr>
            </w:pPr>
          </w:p>
        </w:tc>
        <w:tc>
          <w:tcPr>
            <w:tcW w:w="80" w:type="dxa"/>
            <w:vAlign w:val="bottom"/>
            <w:tcBorders>
              <w:bottom w:val="single" w:sz="8" w:color="007CBA"/>
            </w:tcBorders>
          </w:tcPr>
          <w:p>
            <w:pPr>
              <w:spacing w:after="0"/>
              <w:rPr>
                <w:sz w:val="2"/>
                <w:szCs w:val="2"/>
                <w:color w:val="auto"/>
              </w:rPr>
            </w:pPr>
          </w:p>
        </w:tc>
        <w:tc>
          <w:tcPr>
            <w:tcW w:w="720" w:type="dxa"/>
            <w:vAlign w:val="bottom"/>
            <w:tcBorders>
              <w:bottom w:val="single" w:sz="8" w:color="007CBA"/>
            </w:tcBorders>
          </w:tcPr>
          <w:p>
            <w:pPr>
              <w:spacing w:after="0"/>
              <w:rPr>
                <w:sz w:val="2"/>
                <w:szCs w:val="2"/>
                <w:color w:val="auto"/>
              </w:rPr>
            </w:pPr>
          </w:p>
        </w:tc>
        <w:tc>
          <w:tcPr>
            <w:tcW w:w="1000" w:type="dxa"/>
            <w:vAlign w:val="bottom"/>
            <w:tcBorders>
              <w:bottom w:val="single" w:sz="8" w:color="007CBA"/>
            </w:tcBorders>
          </w:tcPr>
          <w:p>
            <w:pPr>
              <w:spacing w:after="0"/>
              <w:rPr>
                <w:sz w:val="2"/>
                <w:szCs w:val="2"/>
                <w:color w:val="auto"/>
              </w:rPr>
            </w:pPr>
          </w:p>
        </w:tc>
        <w:tc>
          <w:tcPr>
            <w:tcW w:w="480" w:type="dxa"/>
            <w:vAlign w:val="bottom"/>
            <w:tcBorders>
              <w:bottom w:val="single" w:sz="8" w:color="007CBA"/>
            </w:tcBorders>
          </w:tcPr>
          <w:p>
            <w:pPr>
              <w:spacing w:after="0"/>
              <w:rPr>
                <w:sz w:val="2"/>
                <w:szCs w:val="2"/>
                <w:color w:val="auto"/>
              </w:rPr>
            </w:pPr>
          </w:p>
        </w:tc>
        <w:tc>
          <w:tcPr>
            <w:tcW w:w="860" w:type="dxa"/>
            <w:vAlign w:val="bottom"/>
            <w:tcBorders>
              <w:bottom w:val="single" w:sz="8" w:color="007CBA"/>
            </w:tcBorders>
          </w:tcPr>
          <w:p>
            <w:pPr>
              <w:spacing w:after="0"/>
              <w:rPr>
                <w:sz w:val="2"/>
                <w:szCs w:val="2"/>
                <w:color w:val="auto"/>
              </w:rPr>
            </w:pPr>
          </w:p>
        </w:tc>
        <w:tc>
          <w:tcPr>
            <w:tcW w:w="300" w:type="dxa"/>
            <w:vAlign w:val="bottom"/>
            <w:tcBorders>
              <w:bottom w:val="single" w:sz="8" w:color="007CBA"/>
            </w:tcBorders>
          </w:tcPr>
          <w:p>
            <w:pPr>
              <w:spacing w:after="0"/>
              <w:rPr>
                <w:sz w:val="2"/>
                <w:szCs w:val="2"/>
                <w:color w:val="auto"/>
              </w:rPr>
            </w:pPr>
          </w:p>
        </w:tc>
        <w:tc>
          <w:tcPr>
            <w:tcW w:w="1000" w:type="dxa"/>
            <w:vAlign w:val="bottom"/>
            <w:tcBorders>
              <w:bottom w:val="single" w:sz="8" w:color="007CBA"/>
            </w:tcBorders>
          </w:tcPr>
          <w:p>
            <w:pPr>
              <w:spacing w:after="0"/>
              <w:rPr>
                <w:sz w:val="2"/>
                <w:szCs w:val="2"/>
                <w:color w:val="auto"/>
              </w:rPr>
            </w:pPr>
          </w:p>
        </w:tc>
        <w:tc>
          <w:tcPr>
            <w:tcW w:w="660" w:type="dxa"/>
            <w:vAlign w:val="bottom"/>
            <w:tcBorders>
              <w:bottom w:val="single" w:sz="8" w:color="007CBA"/>
            </w:tcBorders>
          </w:tcPr>
          <w:p>
            <w:pPr>
              <w:spacing w:after="0"/>
              <w:rPr>
                <w:sz w:val="2"/>
                <w:szCs w:val="2"/>
                <w:color w:val="auto"/>
              </w:rPr>
            </w:pPr>
          </w:p>
        </w:tc>
        <w:tc>
          <w:tcPr>
            <w:tcW w:w="380" w:type="dxa"/>
            <w:vAlign w:val="bottom"/>
            <w:tcBorders>
              <w:bottom w:val="single" w:sz="8" w:color="007CBA"/>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360" w:type="dxa"/>
            <w:vAlign w:val="bottom"/>
            <w:shd w:val="clear" w:color="auto" w:fill="007CBA"/>
          </w:tcPr>
          <w:p>
            <w:pPr>
              <w:ind w:left="80"/>
              <w:spacing w:after="0"/>
              <w:rPr>
                <w:sz w:val="20"/>
                <w:szCs w:val="20"/>
                <w:color w:val="auto"/>
              </w:rPr>
            </w:pPr>
            <w:r>
              <w:rPr>
                <w:rFonts w:ascii="Arial" w:cs="Arial" w:eastAsia="Arial" w:hAnsi="Arial"/>
                <w:sz w:val="14"/>
                <w:szCs w:val="14"/>
                <w:b w:val="1"/>
                <w:bCs w:val="1"/>
                <w:color w:val="FFFFFF"/>
              </w:rPr>
              <w:t>Qualifications</w:t>
            </w:r>
          </w:p>
        </w:tc>
        <w:tc>
          <w:tcPr>
            <w:tcW w:w="500" w:type="dxa"/>
            <w:vAlign w:val="bottom"/>
            <w:shd w:val="clear" w:color="auto" w:fill="007CBA"/>
          </w:tcPr>
          <w:p>
            <w:pPr>
              <w:spacing w:after="0"/>
              <w:rPr>
                <w:sz w:val="24"/>
                <w:szCs w:val="24"/>
                <w:color w:val="auto"/>
              </w:rPr>
            </w:pPr>
          </w:p>
        </w:tc>
        <w:tc>
          <w:tcPr>
            <w:tcW w:w="420" w:type="dxa"/>
            <w:vAlign w:val="bottom"/>
            <w:shd w:val="clear" w:color="auto" w:fill="007CBA"/>
          </w:tcPr>
          <w:p>
            <w:pPr>
              <w:spacing w:after="0"/>
              <w:rPr>
                <w:sz w:val="24"/>
                <w:szCs w:val="24"/>
                <w:color w:val="auto"/>
              </w:rPr>
            </w:pPr>
          </w:p>
        </w:tc>
        <w:tc>
          <w:tcPr>
            <w:tcW w:w="480" w:type="dxa"/>
            <w:vAlign w:val="bottom"/>
            <w:shd w:val="clear" w:color="auto" w:fill="007CBA"/>
          </w:tcPr>
          <w:p>
            <w:pPr>
              <w:spacing w:after="0"/>
              <w:rPr>
                <w:sz w:val="24"/>
                <w:szCs w:val="24"/>
                <w:color w:val="auto"/>
              </w:rPr>
            </w:pPr>
          </w:p>
        </w:tc>
        <w:tc>
          <w:tcPr>
            <w:tcW w:w="500" w:type="dxa"/>
            <w:vAlign w:val="bottom"/>
            <w:shd w:val="clear" w:color="auto" w:fill="007CBA"/>
          </w:tcPr>
          <w:p>
            <w:pPr>
              <w:spacing w:after="0"/>
              <w:rPr>
                <w:sz w:val="24"/>
                <w:szCs w:val="24"/>
                <w:color w:val="auto"/>
              </w:rPr>
            </w:pPr>
          </w:p>
        </w:tc>
        <w:tc>
          <w:tcPr>
            <w:tcW w:w="440" w:type="dxa"/>
            <w:vAlign w:val="bottom"/>
            <w:shd w:val="clear" w:color="auto" w:fill="007CBA"/>
          </w:tcPr>
          <w:p>
            <w:pPr>
              <w:spacing w:after="0"/>
              <w:rPr>
                <w:sz w:val="24"/>
                <w:szCs w:val="24"/>
                <w:color w:val="auto"/>
              </w:rPr>
            </w:pPr>
          </w:p>
        </w:tc>
        <w:tc>
          <w:tcPr>
            <w:tcW w:w="440" w:type="dxa"/>
            <w:vAlign w:val="bottom"/>
            <w:shd w:val="clear" w:color="auto" w:fill="007CBA"/>
          </w:tcPr>
          <w:p>
            <w:pPr>
              <w:spacing w:after="0"/>
              <w:rPr>
                <w:sz w:val="24"/>
                <w:szCs w:val="24"/>
                <w:color w:val="auto"/>
              </w:rPr>
            </w:pPr>
          </w:p>
        </w:tc>
        <w:tc>
          <w:tcPr>
            <w:tcW w:w="480" w:type="dxa"/>
            <w:vAlign w:val="bottom"/>
            <w:shd w:val="clear" w:color="auto" w:fill="007CBA"/>
          </w:tcPr>
          <w:p>
            <w:pPr>
              <w:spacing w:after="0"/>
              <w:rPr>
                <w:sz w:val="24"/>
                <w:szCs w:val="24"/>
                <w:color w:val="auto"/>
              </w:rPr>
            </w:pPr>
          </w:p>
        </w:tc>
        <w:tc>
          <w:tcPr>
            <w:tcW w:w="500" w:type="dxa"/>
            <w:vAlign w:val="bottom"/>
            <w:shd w:val="clear" w:color="auto" w:fill="007CBA"/>
          </w:tcPr>
          <w:p>
            <w:pPr>
              <w:spacing w:after="0"/>
              <w:rPr>
                <w:sz w:val="24"/>
                <w:szCs w:val="24"/>
                <w:color w:val="auto"/>
              </w:rPr>
            </w:pPr>
          </w:p>
        </w:tc>
        <w:tc>
          <w:tcPr>
            <w:tcW w:w="400" w:type="dxa"/>
            <w:vAlign w:val="bottom"/>
            <w:tcBorders>
              <w:right w:val="single" w:sz="8" w:color="007CBA"/>
            </w:tcBorders>
            <w:shd w:val="clear" w:color="auto" w:fill="007CBA"/>
          </w:tcPr>
          <w:p>
            <w:pPr>
              <w:spacing w:after="0"/>
              <w:rPr>
                <w:sz w:val="24"/>
                <w:szCs w:val="24"/>
                <w:color w:val="auto"/>
              </w:rPr>
            </w:pPr>
          </w:p>
        </w:tc>
        <w:tc>
          <w:tcPr>
            <w:tcW w:w="80" w:type="dxa"/>
            <w:vAlign w:val="bottom"/>
            <w:shd w:val="clear" w:color="auto" w:fill="007CBA"/>
          </w:tcPr>
          <w:p>
            <w:pPr>
              <w:spacing w:after="0"/>
              <w:rPr>
                <w:sz w:val="24"/>
                <w:szCs w:val="24"/>
                <w:color w:val="auto"/>
              </w:rPr>
            </w:pPr>
          </w:p>
        </w:tc>
        <w:tc>
          <w:tcPr>
            <w:tcW w:w="3060" w:type="dxa"/>
            <w:vAlign w:val="bottom"/>
            <w:gridSpan w:val="4"/>
            <w:vMerge w:val="restart"/>
            <w:shd w:val="clear" w:color="auto" w:fill="007CBA"/>
          </w:tcPr>
          <w:p>
            <w:pPr>
              <w:ind w:left="20"/>
              <w:spacing w:after="0"/>
              <w:rPr>
                <w:sz w:val="20"/>
                <w:szCs w:val="20"/>
                <w:color w:val="auto"/>
              </w:rPr>
            </w:pPr>
            <w:r>
              <w:rPr>
                <w:rFonts w:ascii="Arial" w:cs="Arial" w:eastAsia="Arial" w:hAnsi="Arial"/>
                <w:sz w:val="14"/>
                <w:szCs w:val="14"/>
                <w:b w:val="1"/>
                <w:bCs w:val="1"/>
                <w:color w:val="FFFFFF"/>
              </w:rPr>
              <w:t>Why is this important to Martin Marietta?</w:t>
            </w:r>
          </w:p>
        </w:tc>
        <w:tc>
          <w:tcPr>
            <w:tcW w:w="300" w:type="dxa"/>
            <w:vAlign w:val="bottom"/>
            <w:shd w:val="clear" w:color="auto" w:fill="007CBA"/>
          </w:tcPr>
          <w:p>
            <w:pPr>
              <w:spacing w:after="0"/>
              <w:rPr>
                <w:sz w:val="24"/>
                <w:szCs w:val="24"/>
                <w:color w:val="auto"/>
              </w:rPr>
            </w:pPr>
          </w:p>
        </w:tc>
        <w:tc>
          <w:tcPr>
            <w:tcW w:w="1000" w:type="dxa"/>
            <w:vAlign w:val="bottom"/>
            <w:shd w:val="clear" w:color="auto" w:fill="007CBA"/>
          </w:tcPr>
          <w:p>
            <w:pPr>
              <w:spacing w:after="0"/>
              <w:rPr>
                <w:sz w:val="24"/>
                <w:szCs w:val="24"/>
                <w:color w:val="auto"/>
              </w:rPr>
            </w:pPr>
          </w:p>
        </w:tc>
        <w:tc>
          <w:tcPr>
            <w:tcW w:w="660" w:type="dxa"/>
            <w:vAlign w:val="bottom"/>
            <w:shd w:val="clear" w:color="auto" w:fill="007CBA"/>
          </w:tcPr>
          <w:p>
            <w:pPr>
              <w:spacing w:after="0"/>
              <w:rPr>
                <w:sz w:val="24"/>
                <w:szCs w:val="24"/>
                <w:color w:val="auto"/>
              </w:rPr>
            </w:pPr>
          </w:p>
        </w:tc>
        <w:tc>
          <w:tcPr>
            <w:tcW w:w="380" w:type="dxa"/>
            <w:vAlign w:val="bottom"/>
            <w:shd w:val="clear" w:color="auto" w:fill="007CBA"/>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360" w:type="dxa"/>
            <w:vAlign w:val="bottom"/>
            <w:shd w:val="clear" w:color="auto" w:fill="007CBA"/>
          </w:tcPr>
          <w:p>
            <w:pPr>
              <w:ind w:left="80"/>
              <w:spacing w:after="0"/>
              <w:rPr>
                <w:sz w:val="20"/>
                <w:szCs w:val="20"/>
                <w:color w:val="auto"/>
              </w:rPr>
            </w:pPr>
            <w:r>
              <w:rPr>
                <w:rFonts w:ascii="Arial" w:cs="Arial" w:eastAsia="Arial" w:hAnsi="Arial"/>
                <w:sz w:val="14"/>
                <w:szCs w:val="14"/>
                <w:b w:val="1"/>
                <w:bCs w:val="1"/>
                <w:color w:val="FFFFFF"/>
              </w:rPr>
              <w:t>and Experience</w:t>
            </w:r>
          </w:p>
        </w:tc>
        <w:tc>
          <w:tcPr>
            <w:tcW w:w="500" w:type="dxa"/>
            <w:vAlign w:val="bottom"/>
            <w:shd w:val="clear" w:color="auto" w:fill="007CBA"/>
          </w:tcPr>
          <w:p>
            <w:pPr>
              <w:spacing w:after="0"/>
              <w:rPr>
                <w:sz w:val="17"/>
                <w:szCs w:val="17"/>
                <w:color w:val="auto"/>
              </w:rPr>
            </w:pPr>
          </w:p>
        </w:tc>
        <w:tc>
          <w:tcPr>
            <w:tcW w:w="420" w:type="dxa"/>
            <w:vAlign w:val="bottom"/>
            <w:shd w:val="clear" w:color="auto" w:fill="007CBA"/>
          </w:tcPr>
          <w:p>
            <w:pPr>
              <w:spacing w:after="0"/>
              <w:rPr>
                <w:sz w:val="17"/>
                <w:szCs w:val="17"/>
                <w:color w:val="auto"/>
              </w:rPr>
            </w:pPr>
          </w:p>
        </w:tc>
        <w:tc>
          <w:tcPr>
            <w:tcW w:w="480" w:type="dxa"/>
            <w:vAlign w:val="bottom"/>
            <w:shd w:val="clear" w:color="auto" w:fill="007CBA"/>
          </w:tcPr>
          <w:p>
            <w:pPr>
              <w:spacing w:after="0"/>
              <w:rPr>
                <w:sz w:val="17"/>
                <w:szCs w:val="17"/>
                <w:color w:val="auto"/>
              </w:rPr>
            </w:pPr>
          </w:p>
        </w:tc>
        <w:tc>
          <w:tcPr>
            <w:tcW w:w="500" w:type="dxa"/>
            <w:vAlign w:val="bottom"/>
            <w:shd w:val="clear" w:color="auto" w:fill="007CBA"/>
          </w:tcPr>
          <w:p>
            <w:pPr>
              <w:spacing w:after="0"/>
              <w:rPr>
                <w:sz w:val="17"/>
                <w:szCs w:val="17"/>
                <w:color w:val="auto"/>
              </w:rPr>
            </w:pPr>
          </w:p>
        </w:tc>
        <w:tc>
          <w:tcPr>
            <w:tcW w:w="440" w:type="dxa"/>
            <w:vAlign w:val="bottom"/>
            <w:shd w:val="clear" w:color="auto" w:fill="007CBA"/>
          </w:tcPr>
          <w:p>
            <w:pPr>
              <w:spacing w:after="0"/>
              <w:rPr>
                <w:sz w:val="17"/>
                <w:szCs w:val="17"/>
                <w:color w:val="auto"/>
              </w:rPr>
            </w:pPr>
          </w:p>
        </w:tc>
        <w:tc>
          <w:tcPr>
            <w:tcW w:w="440" w:type="dxa"/>
            <w:vAlign w:val="bottom"/>
            <w:shd w:val="clear" w:color="auto" w:fill="007CBA"/>
          </w:tcPr>
          <w:p>
            <w:pPr>
              <w:spacing w:after="0"/>
              <w:rPr>
                <w:sz w:val="17"/>
                <w:szCs w:val="17"/>
                <w:color w:val="auto"/>
              </w:rPr>
            </w:pPr>
          </w:p>
        </w:tc>
        <w:tc>
          <w:tcPr>
            <w:tcW w:w="480" w:type="dxa"/>
            <w:vAlign w:val="bottom"/>
            <w:shd w:val="clear" w:color="auto" w:fill="007CBA"/>
          </w:tcPr>
          <w:p>
            <w:pPr>
              <w:spacing w:after="0"/>
              <w:rPr>
                <w:sz w:val="17"/>
                <w:szCs w:val="17"/>
                <w:color w:val="auto"/>
              </w:rPr>
            </w:pPr>
          </w:p>
        </w:tc>
        <w:tc>
          <w:tcPr>
            <w:tcW w:w="500" w:type="dxa"/>
            <w:vAlign w:val="bottom"/>
            <w:shd w:val="clear" w:color="auto" w:fill="007CBA"/>
          </w:tcPr>
          <w:p>
            <w:pPr>
              <w:spacing w:after="0"/>
              <w:rPr>
                <w:sz w:val="17"/>
                <w:szCs w:val="17"/>
                <w:color w:val="auto"/>
              </w:rPr>
            </w:pPr>
          </w:p>
        </w:tc>
        <w:tc>
          <w:tcPr>
            <w:tcW w:w="400" w:type="dxa"/>
            <w:vAlign w:val="bottom"/>
            <w:tcBorders>
              <w:right w:val="single" w:sz="8" w:color="007CBA"/>
            </w:tcBorders>
            <w:shd w:val="clear" w:color="auto" w:fill="007CBA"/>
          </w:tcPr>
          <w:p>
            <w:pPr>
              <w:spacing w:after="0"/>
              <w:rPr>
                <w:sz w:val="17"/>
                <w:szCs w:val="17"/>
                <w:color w:val="auto"/>
              </w:rPr>
            </w:pPr>
          </w:p>
        </w:tc>
        <w:tc>
          <w:tcPr>
            <w:tcW w:w="80" w:type="dxa"/>
            <w:vAlign w:val="bottom"/>
            <w:shd w:val="clear" w:color="auto" w:fill="007CBA"/>
          </w:tcPr>
          <w:p>
            <w:pPr>
              <w:spacing w:after="0"/>
              <w:rPr>
                <w:sz w:val="17"/>
                <w:szCs w:val="17"/>
                <w:color w:val="auto"/>
              </w:rPr>
            </w:pPr>
          </w:p>
        </w:tc>
        <w:tc>
          <w:tcPr>
            <w:tcW w:w="3060" w:type="dxa"/>
            <w:vAlign w:val="bottom"/>
            <w:gridSpan w:val="4"/>
            <w:vMerge w:val="continue"/>
            <w:shd w:val="clear" w:color="auto" w:fill="007CBA"/>
          </w:tcPr>
          <w:p>
            <w:pPr>
              <w:spacing w:after="0"/>
              <w:rPr>
                <w:sz w:val="17"/>
                <w:szCs w:val="17"/>
                <w:color w:val="auto"/>
              </w:rPr>
            </w:pPr>
          </w:p>
        </w:tc>
        <w:tc>
          <w:tcPr>
            <w:tcW w:w="300" w:type="dxa"/>
            <w:vAlign w:val="bottom"/>
            <w:shd w:val="clear" w:color="auto" w:fill="007CBA"/>
          </w:tcPr>
          <w:p>
            <w:pPr>
              <w:spacing w:after="0"/>
              <w:rPr>
                <w:sz w:val="17"/>
                <w:szCs w:val="17"/>
                <w:color w:val="auto"/>
              </w:rPr>
            </w:pPr>
          </w:p>
        </w:tc>
        <w:tc>
          <w:tcPr>
            <w:tcW w:w="1000" w:type="dxa"/>
            <w:vAlign w:val="bottom"/>
            <w:shd w:val="clear" w:color="auto" w:fill="007CBA"/>
          </w:tcPr>
          <w:p>
            <w:pPr>
              <w:spacing w:after="0"/>
              <w:rPr>
                <w:sz w:val="17"/>
                <w:szCs w:val="17"/>
                <w:color w:val="auto"/>
              </w:rPr>
            </w:pPr>
          </w:p>
        </w:tc>
        <w:tc>
          <w:tcPr>
            <w:tcW w:w="660" w:type="dxa"/>
            <w:vAlign w:val="bottom"/>
            <w:shd w:val="clear" w:color="auto" w:fill="007CBA"/>
          </w:tcPr>
          <w:p>
            <w:pPr>
              <w:spacing w:after="0"/>
              <w:rPr>
                <w:sz w:val="17"/>
                <w:szCs w:val="17"/>
                <w:color w:val="auto"/>
              </w:rPr>
            </w:pPr>
          </w:p>
        </w:tc>
        <w:tc>
          <w:tcPr>
            <w:tcW w:w="380" w:type="dxa"/>
            <w:vAlign w:val="bottom"/>
            <w:shd w:val="clear" w:color="auto" w:fill="007CBA"/>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360" w:type="dxa"/>
            <w:vAlign w:val="bottom"/>
            <w:shd w:val="clear" w:color="auto" w:fill="E5F1F8"/>
          </w:tcPr>
          <w:p>
            <w:pPr>
              <w:ind w:left="80"/>
              <w:spacing w:after="0"/>
              <w:rPr>
                <w:sz w:val="20"/>
                <w:szCs w:val="20"/>
                <w:color w:val="auto"/>
              </w:rPr>
            </w:pPr>
            <w:r>
              <w:rPr>
                <w:rFonts w:ascii="Arial" w:cs="Arial" w:eastAsia="Arial" w:hAnsi="Arial"/>
                <w:sz w:val="14"/>
                <w:szCs w:val="14"/>
                <w:color w:val="auto"/>
              </w:rPr>
              <w:t>Corporate</w:t>
            </w:r>
          </w:p>
        </w:tc>
        <w:tc>
          <w:tcPr>
            <w:tcW w:w="500" w:type="dxa"/>
            <w:vAlign w:val="bottom"/>
            <w:vMerge w:val="restart"/>
            <w:shd w:val="clear" w:color="auto" w:fill="E5F1F8"/>
          </w:tcPr>
          <w:p>
            <w:pPr>
              <w:ind w:left="260"/>
              <w:spacing w:after="0"/>
              <w:rPr>
                <w:sz w:val="20"/>
                <w:szCs w:val="20"/>
                <w:color w:val="auto"/>
              </w:rPr>
            </w:pPr>
            <w:r>
              <w:rPr>
                <w:rFonts w:ascii="Arial" w:cs="Arial" w:eastAsia="Arial" w:hAnsi="Arial"/>
                <w:sz w:val="14"/>
                <w:szCs w:val="14"/>
                <w:color w:val="007CBA"/>
              </w:rPr>
              <w:t>•</w:t>
            </w:r>
          </w:p>
        </w:tc>
        <w:tc>
          <w:tcPr>
            <w:tcW w:w="420" w:type="dxa"/>
            <w:vAlign w:val="bottom"/>
            <w:vMerge w:val="restart"/>
            <w:shd w:val="clear" w:color="auto" w:fill="E5F1F8"/>
          </w:tcPr>
          <w:p>
            <w:pPr>
              <w:ind w:left="180"/>
              <w:spacing w:after="0"/>
              <w:rPr>
                <w:sz w:val="20"/>
                <w:szCs w:val="20"/>
                <w:color w:val="auto"/>
              </w:rPr>
            </w:pPr>
            <w:r>
              <w:rPr>
                <w:rFonts w:ascii="Arial" w:cs="Arial" w:eastAsia="Arial" w:hAnsi="Arial"/>
                <w:sz w:val="14"/>
                <w:szCs w:val="14"/>
                <w:color w:val="007CBA"/>
              </w:rPr>
              <w:t>•</w:t>
            </w:r>
          </w:p>
        </w:tc>
        <w:tc>
          <w:tcPr>
            <w:tcW w:w="480" w:type="dxa"/>
            <w:vAlign w:val="bottom"/>
            <w:vMerge w:val="restart"/>
            <w:shd w:val="clear" w:color="auto" w:fill="E5F1F8"/>
          </w:tcPr>
          <w:p>
            <w:pPr>
              <w:ind w:left="200"/>
              <w:spacing w:after="0"/>
              <w:rPr>
                <w:sz w:val="20"/>
                <w:szCs w:val="20"/>
                <w:color w:val="auto"/>
              </w:rPr>
            </w:pPr>
            <w:r>
              <w:rPr>
                <w:rFonts w:ascii="Arial" w:cs="Arial" w:eastAsia="Arial" w:hAnsi="Arial"/>
                <w:sz w:val="14"/>
                <w:szCs w:val="14"/>
                <w:color w:val="007CBA"/>
              </w:rPr>
              <w:t>•</w:t>
            </w:r>
          </w:p>
        </w:tc>
        <w:tc>
          <w:tcPr>
            <w:tcW w:w="500" w:type="dxa"/>
            <w:vAlign w:val="bottom"/>
            <w:vMerge w:val="restart"/>
            <w:shd w:val="clear" w:color="auto" w:fill="E5F1F8"/>
          </w:tcPr>
          <w:p>
            <w:pPr>
              <w:ind w:left="220"/>
              <w:spacing w:after="0"/>
              <w:rPr>
                <w:sz w:val="20"/>
                <w:szCs w:val="20"/>
                <w:color w:val="auto"/>
              </w:rPr>
            </w:pPr>
            <w:r>
              <w:rPr>
                <w:rFonts w:ascii="Arial" w:cs="Arial" w:eastAsia="Arial" w:hAnsi="Arial"/>
                <w:sz w:val="14"/>
                <w:szCs w:val="14"/>
                <w:color w:val="007CBA"/>
              </w:rPr>
              <w:t>•</w:t>
            </w:r>
          </w:p>
        </w:tc>
        <w:tc>
          <w:tcPr>
            <w:tcW w:w="440" w:type="dxa"/>
            <w:vAlign w:val="bottom"/>
            <w:vMerge w:val="restart"/>
            <w:shd w:val="clear" w:color="auto" w:fill="E5F1F8"/>
          </w:tcPr>
          <w:p>
            <w:pPr>
              <w:ind w:left="200"/>
              <w:spacing w:after="0"/>
              <w:rPr>
                <w:sz w:val="20"/>
                <w:szCs w:val="20"/>
                <w:color w:val="auto"/>
              </w:rPr>
            </w:pPr>
            <w:r>
              <w:rPr>
                <w:rFonts w:ascii="Arial" w:cs="Arial" w:eastAsia="Arial" w:hAnsi="Arial"/>
                <w:sz w:val="14"/>
                <w:szCs w:val="14"/>
                <w:color w:val="007CBA"/>
              </w:rPr>
              <w:t>•</w:t>
            </w:r>
          </w:p>
        </w:tc>
        <w:tc>
          <w:tcPr>
            <w:tcW w:w="440" w:type="dxa"/>
            <w:vAlign w:val="bottom"/>
            <w:vMerge w:val="restart"/>
            <w:shd w:val="clear" w:color="auto" w:fill="E5F1F8"/>
          </w:tcPr>
          <w:p>
            <w:pPr>
              <w:ind w:left="180"/>
              <w:spacing w:after="0"/>
              <w:rPr>
                <w:sz w:val="20"/>
                <w:szCs w:val="20"/>
                <w:color w:val="auto"/>
              </w:rPr>
            </w:pPr>
            <w:r>
              <w:rPr>
                <w:rFonts w:ascii="Arial" w:cs="Arial" w:eastAsia="Arial" w:hAnsi="Arial"/>
                <w:sz w:val="14"/>
                <w:szCs w:val="14"/>
                <w:color w:val="007CBA"/>
              </w:rPr>
              <w:t>•</w:t>
            </w:r>
          </w:p>
        </w:tc>
        <w:tc>
          <w:tcPr>
            <w:tcW w:w="480" w:type="dxa"/>
            <w:vAlign w:val="bottom"/>
            <w:vMerge w:val="restart"/>
            <w:shd w:val="clear" w:color="auto" w:fill="E5F1F8"/>
          </w:tcPr>
          <w:p>
            <w:pPr>
              <w:ind w:left="220"/>
              <w:spacing w:after="0"/>
              <w:rPr>
                <w:sz w:val="20"/>
                <w:szCs w:val="20"/>
                <w:color w:val="auto"/>
              </w:rPr>
            </w:pPr>
            <w:r>
              <w:rPr>
                <w:rFonts w:ascii="Arial" w:cs="Arial" w:eastAsia="Arial" w:hAnsi="Arial"/>
                <w:sz w:val="14"/>
                <w:szCs w:val="14"/>
                <w:color w:val="007CBA"/>
              </w:rPr>
              <w:t>•</w:t>
            </w:r>
          </w:p>
        </w:tc>
        <w:tc>
          <w:tcPr>
            <w:tcW w:w="500" w:type="dxa"/>
            <w:vAlign w:val="bottom"/>
            <w:vMerge w:val="restart"/>
            <w:shd w:val="clear" w:color="auto" w:fill="E5F1F8"/>
          </w:tcPr>
          <w:p>
            <w:pPr>
              <w:ind w:left="220"/>
              <w:spacing w:after="0"/>
              <w:rPr>
                <w:sz w:val="20"/>
                <w:szCs w:val="20"/>
                <w:color w:val="auto"/>
              </w:rPr>
            </w:pPr>
            <w:r>
              <w:rPr>
                <w:rFonts w:ascii="Arial" w:cs="Arial" w:eastAsia="Arial" w:hAnsi="Arial"/>
                <w:sz w:val="14"/>
                <w:szCs w:val="14"/>
                <w:color w:val="007CBA"/>
              </w:rPr>
              <w:t>•</w:t>
            </w:r>
          </w:p>
        </w:tc>
        <w:tc>
          <w:tcPr>
            <w:tcW w:w="400" w:type="dxa"/>
            <w:vAlign w:val="bottom"/>
            <w:tcBorders>
              <w:right w:val="single" w:sz="8" w:color="007CBA"/>
            </w:tcBorders>
            <w:vMerge w:val="restart"/>
            <w:shd w:val="clear" w:color="auto" w:fill="E5F1F8"/>
          </w:tcPr>
          <w:p>
            <w:pPr>
              <w:ind w:left="200"/>
              <w:spacing w:after="0"/>
              <w:rPr>
                <w:sz w:val="20"/>
                <w:szCs w:val="20"/>
                <w:color w:val="auto"/>
              </w:rPr>
            </w:pPr>
            <w:r>
              <w:rPr>
                <w:rFonts w:ascii="Arial" w:cs="Arial" w:eastAsia="Arial" w:hAnsi="Arial"/>
                <w:sz w:val="14"/>
                <w:szCs w:val="14"/>
                <w:color w:val="007CBA"/>
              </w:rPr>
              <w:t>•</w:t>
            </w:r>
          </w:p>
        </w:tc>
        <w:tc>
          <w:tcPr>
            <w:tcW w:w="80" w:type="dxa"/>
            <w:vAlign w:val="bottom"/>
            <w:shd w:val="clear" w:color="auto" w:fill="E5F1F8"/>
          </w:tcPr>
          <w:p>
            <w:pPr>
              <w:spacing w:after="0"/>
              <w:rPr>
                <w:sz w:val="19"/>
                <w:szCs w:val="19"/>
                <w:color w:val="auto"/>
              </w:rPr>
            </w:pPr>
          </w:p>
        </w:tc>
        <w:tc>
          <w:tcPr>
            <w:tcW w:w="5400" w:type="dxa"/>
            <w:vAlign w:val="bottom"/>
            <w:gridSpan w:val="8"/>
            <w:shd w:val="clear" w:color="auto" w:fill="E5F1F8"/>
          </w:tcPr>
          <w:p>
            <w:pPr>
              <w:ind w:left="20"/>
              <w:spacing w:after="0"/>
              <w:rPr>
                <w:sz w:val="20"/>
                <w:szCs w:val="20"/>
                <w:color w:val="auto"/>
              </w:rPr>
            </w:pPr>
            <w:r>
              <w:rPr>
                <w:rFonts w:ascii="Arial" w:cs="Arial" w:eastAsia="Arial" w:hAnsi="Arial"/>
                <w:sz w:val="14"/>
                <w:szCs w:val="14"/>
                <w:color w:val="auto"/>
              </w:rPr>
              <w:t>Ensures background and knowledge necessary to provide effective oversight</w:t>
            </w:r>
          </w:p>
        </w:tc>
        <w:tc>
          <w:tcPr>
            <w:tcW w:w="0" w:type="dxa"/>
            <w:vAlign w:val="bottom"/>
          </w:tcPr>
          <w:p>
            <w:pPr>
              <w:spacing w:after="0"/>
              <w:rPr>
                <w:sz w:val="1"/>
                <w:szCs w:val="1"/>
                <w:color w:val="auto"/>
              </w:rPr>
            </w:pPr>
          </w:p>
        </w:tc>
      </w:tr>
      <w:tr>
        <w:trPr>
          <w:trHeight w:val="91"/>
        </w:trPr>
        <w:tc>
          <w:tcPr>
            <w:tcW w:w="1360" w:type="dxa"/>
            <w:vAlign w:val="bottom"/>
            <w:vMerge w:val="restart"/>
            <w:shd w:val="clear" w:color="auto" w:fill="E5F1F8"/>
          </w:tcPr>
          <w:p>
            <w:pPr>
              <w:ind w:left="80"/>
              <w:spacing w:after="0"/>
              <w:rPr>
                <w:sz w:val="20"/>
                <w:szCs w:val="20"/>
                <w:color w:val="auto"/>
              </w:rPr>
            </w:pPr>
            <w:r>
              <w:rPr>
                <w:rFonts w:ascii="Arial" w:cs="Arial" w:eastAsia="Arial" w:hAnsi="Arial"/>
                <w:sz w:val="14"/>
                <w:szCs w:val="14"/>
                <w:color w:val="auto"/>
              </w:rPr>
              <w:t>Governance/Legal</w:t>
            </w:r>
          </w:p>
        </w:tc>
        <w:tc>
          <w:tcPr>
            <w:tcW w:w="500" w:type="dxa"/>
            <w:vAlign w:val="bottom"/>
            <w:vMerge w:val="continue"/>
            <w:shd w:val="clear" w:color="auto" w:fill="E5F1F8"/>
          </w:tcPr>
          <w:p>
            <w:pPr>
              <w:spacing w:after="0"/>
              <w:rPr>
                <w:sz w:val="7"/>
                <w:szCs w:val="7"/>
                <w:color w:val="auto"/>
              </w:rPr>
            </w:pPr>
          </w:p>
        </w:tc>
        <w:tc>
          <w:tcPr>
            <w:tcW w:w="420" w:type="dxa"/>
            <w:vAlign w:val="bottom"/>
            <w:vMerge w:val="continue"/>
            <w:shd w:val="clear" w:color="auto" w:fill="E5F1F8"/>
          </w:tcPr>
          <w:p>
            <w:pPr>
              <w:spacing w:after="0"/>
              <w:rPr>
                <w:sz w:val="7"/>
                <w:szCs w:val="7"/>
                <w:color w:val="auto"/>
              </w:rPr>
            </w:pPr>
          </w:p>
        </w:tc>
        <w:tc>
          <w:tcPr>
            <w:tcW w:w="480" w:type="dxa"/>
            <w:vAlign w:val="bottom"/>
            <w:vMerge w:val="continue"/>
            <w:shd w:val="clear" w:color="auto" w:fill="E5F1F8"/>
          </w:tcPr>
          <w:p>
            <w:pPr>
              <w:spacing w:after="0"/>
              <w:rPr>
                <w:sz w:val="7"/>
                <w:szCs w:val="7"/>
                <w:color w:val="auto"/>
              </w:rPr>
            </w:pPr>
          </w:p>
        </w:tc>
        <w:tc>
          <w:tcPr>
            <w:tcW w:w="500" w:type="dxa"/>
            <w:vAlign w:val="bottom"/>
            <w:vMerge w:val="continue"/>
            <w:shd w:val="clear" w:color="auto" w:fill="E5F1F8"/>
          </w:tcPr>
          <w:p>
            <w:pPr>
              <w:spacing w:after="0"/>
              <w:rPr>
                <w:sz w:val="7"/>
                <w:szCs w:val="7"/>
                <w:color w:val="auto"/>
              </w:rPr>
            </w:pPr>
          </w:p>
        </w:tc>
        <w:tc>
          <w:tcPr>
            <w:tcW w:w="440" w:type="dxa"/>
            <w:vAlign w:val="bottom"/>
            <w:vMerge w:val="continue"/>
            <w:shd w:val="clear" w:color="auto" w:fill="E5F1F8"/>
          </w:tcPr>
          <w:p>
            <w:pPr>
              <w:spacing w:after="0"/>
              <w:rPr>
                <w:sz w:val="7"/>
                <w:szCs w:val="7"/>
                <w:color w:val="auto"/>
              </w:rPr>
            </w:pPr>
          </w:p>
        </w:tc>
        <w:tc>
          <w:tcPr>
            <w:tcW w:w="440" w:type="dxa"/>
            <w:vAlign w:val="bottom"/>
            <w:vMerge w:val="continue"/>
            <w:shd w:val="clear" w:color="auto" w:fill="E5F1F8"/>
          </w:tcPr>
          <w:p>
            <w:pPr>
              <w:spacing w:after="0"/>
              <w:rPr>
                <w:sz w:val="7"/>
                <w:szCs w:val="7"/>
                <w:color w:val="auto"/>
              </w:rPr>
            </w:pPr>
          </w:p>
        </w:tc>
        <w:tc>
          <w:tcPr>
            <w:tcW w:w="480" w:type="dxa"/>
            <w:vAlign w:val="bottom"/>
            <w:vMerge w:val="continue"/>
            <w:shd w:val="clear" w:color="auto" w:fill="E5F1F8"/>
          </w:tcPr>
          <w:p>
            <w:pPr>
              <w:spacing w:after="0"/>
              <w:rPr>
                <w:sz w:val="7"/>
                <w:szCs w:val="7"/>
                <w:color w:val="auto"/>
              </w:rPr>
            </w:pPr>
          </w:p>
        </w:tc>
        <w:tc>
          <w:tcPr>
            <w:tcW w:w="500" w:type="dxa"/>
            <w:vAlign w:val="bottom"/>
            <w:vMerge w:val="continue"/>
            <w:shd w:val="clear" w:color="auto" w:fill="E5F1F8"/>
          </w:tcPr>
          <w:p>
            <w:pPr>
              <w:spacing w:after="0"/>
              <w:rPr>
                <w:sz w:val="7"/>
                <w:szCs w:val="7"/>
                <w:color w:val="auto"/>
              </w:rPr>
            </w:pPr>
          </w:p>
        </w:tc>
        <w:tc>
          <w:tcPr>
            <w:tcW w:w="400" w:type="dxa"/>
            <w:vAlign w:val="bottom"/>
            <w:tcBorders>
              <w:right w:val="single" w:sz="8" w:color="007CBA"/>
            </w:tcBorders>
            <w:vMerge w:val="continue"/>
            <w:shd w:val="clear" w:color="auto" w:fill="E5F1F8"/>
          </w:tcPr>
          <w:p>
            <w:pPr>
              <w:spacing w:after="0"/>
              <w:rPr>
                <w:sz w:val="7"/>
                <w:szCs w:val="7"/>
                <w:color w:val="auto"/>
              </w:rPr>
            </w:pPr>
          </w:p>
        </w:tc>
        <w:tc>
          <w:tcPr>
            <w:tcW w:w="80" w:type="dxa"/>
            <w:vAlign w:val="bottom"/>
            <w:shd w:val="clear" w:color="auto" w:fill="E5F1F8"/>
          </w:tcPr>
          <w:p>
            <w:pPr>
              <w:spacing w:after="0"/>
              <w:rPr>
                <w:sz w:val="7"/>
                <w:szCs w:val="7"/>
                <w:color w:val="auto"/>
              </w:rPr>
            </w:pPr>
          </w:p>
        </w:tc>
        <w:tc>
          <w:tcPr>
            <w:tcW w:w="1720" w:type="dxa"/>
            <w:vAlign w:val="bottom"/>
            <w:gridSpan w:val="2"/>
            <w:vMerge w:val="restart"/>
            <w:shd w:val="clear" w:color="auto" w:fill="E5F1F8"/>
          </w:tcPr>
          <w:p>
            <w:pPr>
              <w:ind w:left="20"/>
              <w:spacing w:after="0"/>
              <w:rPr>
                <w:sz w:val="20"/>
                <w:szCs w:val="20"/>
                <w:color w:val="auto"/>
              </w:rPr>
            </w:pPr>
            <w:r>
              <w:rPr>
                <w:rFonts w:ascii="Arial" w:cs="Arial" w:eastAsia="Arial" w:hAnsi="Arial"/>
                <w:sz w:val="14"/>
                <w:szCs w:val="14"/>
                <w:color w:val="auto"/>
              </w:rPr>
              <w:t>and governance</w:t>
            </w:r>
          </w:p>
        </w:tc>
        <w:tc>
          <w:tcPr>
            <w:tcW w:w="480" w:type="dxa"/>
            <w:vAlign w:val="bottom"/>
            <w:shd w:val="clear" w:color="auto" w:fill="E5F1F8"/>
          </w:tcPr>
          <w:p>
            <w:pPr>
              <w:spacing w:after="0"/>
              <w:rPr>
                <w:sz w:val="7"/>
                <w:szCs w:val="7"/>
                <w:color w:val="auto"/>
              </w:rPr>
            </w:pPr>
          </w:p>
        </w:tc>
        <w:tc>
          <w:tcPr>
            <w:tcW w:w="860" w:type="dxa"/>
            <w:vAlign w:val="bottom"/>
            <w:shd w:val="clear" w:color="auto" w:fill="E5F1F8"/>
          </w:tcPr>
          <w:p>
            <w:pPr>
              <w:spacing w:after="0"/>
              <w:rPr>
                <w:sz w:val="7"/>
                <w:szCs w:val="7"/>
                <w:color w:val="auto"/>
              </w:rPr>
            </w:pPr>
          </w:p>
        </w:tc>
        <w:tc>
          <w:tcPr>
            <w:tcW w:w="300" w:type="dxa"/>
            <w:vAlign w:val="bottom"/>
            <w:shd w:val="clear" w:color="auto" w:fill="E5F1F8"/>
          </w:tcPr>
          <w:p>
            <w:pPr>
              <w:spacing w:after="0"/>
              <w:rPr>
                <w:sz w:val="7"/>
                <w:szCs w:val="7"/>
                <w:color w:val="auto"/>
              </w:rPr>
            </w:pPr>
          </w:p>
        </w:tc>
        <w:tc>
          <w:tcPr>
            <w:tcW w:w="1000" w:type="dxa"/>
            <w:vAlign w:val="bottom"/>
            <w:shd w:val="clear" w:color="auto" w:fill="E5F1F8"/>
          </w:tcPr>
          <w:p>
            <w:pPr>
              <w:spacing w:after="0"/>
              <w:rPr>
                <w:sz w:val="7"/>
                <w:szCs w:val="7"/>
                <w:color w:val="auto"/>
              </w:rPr>
            </w:pPr>
          </w:p>
        </w:tc>
        <w:tc>
          <w:tcPr>
            <w:tcW w:w="660" w:type="dxa"/>
            <w:vAlign w:val="bottom"/>
            <w:shd w:val="clear" w:color="auto" w:fill="E5F1F8"/>
          </w:tcPr>
          <w:p>
            <w:pPr>
              <w:spacing w:after="0"/>
              <w:rPr>
                <w:sz w:val="7"/>
                <w:szCs w:val="7"/>
                <w:color w:val="auto"/>
              </w:rPr>
            </w:pPr>
          </w:p>
        </w:tc>
        <w:tc>
          <w:tcPr>
            <w:tcW w:w="380" w:type="dxa"/>
            <w:vAlign w:val="bottom"/>
            <w:shd w:val="clear" w:color="auto" w:fill="E5F1F8"/>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360" w:type="dxa"/>
            <w:vAlign w:val="bottom"/>
            <w:tcBorders>
              <w:bottom w:val="single" w:sz="8" w:color="E5F1F8"/>
            </w:tcBorders>
            <w:vMerge w:val="continue"/>
            <w:shd w:val="clear" w:color="auto" w:fill="E5F1F8"/>
          </w:tcPr>
          <w:p>
            <w:pPr>
              <w:spacing w:after="0"/>
              <w:rPr>
                <w:sz w:val="8"/>
                <w:szCs w:val="8"/>
                <w:color w:val="auto"/>
              </w:rPr>
            </w:pPr>
          </w:p>
        </w:tc>
        <w:tc>
          <w:tcPr>
            <w:tcW w:w="500" w:type="dxa"/>
            <w:vAlign w:val="bottom"/>
            <w:tcBorders>
              <w:bottom w:val="single" w:sz="8" w:color="E5F1F8"/>
            </w:tcBorders>
            <w:shd w:val="clear" w:color="auto" w:fill="E5F1F8"/>
          </w:tcPr>
          <w:p>
            <w:pPr>
              <w:spacing w:after="0"/>
              <w:rPr>
                <w:sz w:val="8"/>
                <w:szCs w:val="8"/>
                <w:color w:val="auto"/>
              </w:rPr>
            </w:pPr>
          </w:p>
        </w:tc>
        <w:tc>
          <w:tcPr>
            <w:tcW w:w="420" w:type="dxa"/>
            <w:vAlign w:val="bottom"/>
            <w:tcBorders>
              <w:bottom w:val="single" w:sz="8" w:color="E5F1F8"/>
            </w:tcBorders>
            <w:shd w:val="clear" w:color="auto" w:fill="E5F1F8"/>
          </w:tcPr>
          <w:p>
            <w:pPr>
              <w:spacing w:after="0"/>
              <w:rPr>
                <w:sz w:val="8"/>
                <w:szCs w:val="8"/>
                <w:color w:val="auto"/>
              </w:rPr>
            </w:pPr>
          </w:p>
        </w:tc>
        <w:tc>
          <w:tcPr>
            <w:tcW w:w="480" w:type="dxa"/>
            <w:vAlign w:val="bottom"/>
            <w:tcBorders>
              <w:bottom w:val="single" w:sz="8" w:color="E5F1F8"/>
            </w:tcBorders>
            <w:shd w:val="clear" w:color="auto" w:fill="E5F1F8"/>
          </w:tcPr>
          <w:p>
            <w:pPr>
              <w:spacing w:after="0"/>
              <w:rPr>
                <w:sz w:val="8"/>
                <w:szCs w:val="8"/>
                <w:color w:val="auto"/>
              </w:rPr>
            </w:pPr>
          </w:p>
        </w:tc>
        <w:tc>
          <w:tcPr>
            <w:tcW w:w="500" w:type="dxa"/>
            <w:vAlign w:val="bottom"/>
            <w:tcBorders>
              <w:bottom w:val="single" w:sz="8" w:color="E5F1F8"/>
            </w:tcBorders>
            <w:shd w:val="clear" w:color="auto" w:fill="E5F1F8"/>
          </w:tcPr>
          <w:p>
            <w:pPr>
              <w:spacing w:after="0"/>
              <w:rPr>
                <w:sz w:val="8"/>
                <w:szCs w:val="8"/>
                <w:color w:val="auto"/>
              </w:rPr>
            </w:pPr>
          </w:p>
        </w:tc>
        <w:tc>
          <w:tcPr>
            <w:tcW w:w="440" w:type="dxa"/>
            <w:vAlign w:val="bottom"/>
            <w:tcBorders>
              <w:bottom w:val="single" w:sz="8" w:color="E5F1F8"/>
            </w:tcBorders>
            <w:shd w:val="clear" w:color="auto" w:fill="E5F1F8"/>
          </w:tcPr>
          <w:p>
            <w:pPr>
              <w:spacing w:after="0"/>
              <w:rPr>
                <w:sz w:val="8"/>
                <w:szCs w:val="8"/>
                <w:color w:val="auto"/>
              </w:rPr>
            </w:pPr>
          </w:p>
        </w:tc>
        <w:tc>
          <w:tcPr>
            <w:tcW w:w="440" w:type="dxa"/>
            <w:vAlign w:val="bottom"/>
            <w:tcBorders>
              <w:bottom w:val="single" w:sz="8" w:color="E5F1F8"/>
            </w:tcBorders>
            <w:shd w:val="clear" w:color="auto" w:fill="E5F1F8"/>
          </w:tcPr>
          <w:p>
            <w:pPr>
              <w:spacing w:after="0"/>
              <w:rPr>
                <w:sz w:val="8"/>
                <w:szCs w:val="8"/>
                <w:color w:val="auto"/>
              </w:rPr>
            </w:pPr>
          </w:p>
        </w:tc>
        <w:tc>
          <w:tcPr>
            <w:tcW w:w="480" w:type="dxa"/>
            <w:vAlign w:val="bottom"/>
            <w:tcBorders>
              <w:bottom w:val="single" w:sz="8" w:color="E5F1F8"/>
            </w:tcBorders>
            <w:shd w:val="clear" w:color="auto" w:fill="E5F1F8"/>
          </w:tcPr>
          <w:p>
            <w:pPr>
              <w:spacing w:after="0"/>
              <w:rPr>
                <w:sz w:val="8"/>
                <w:szCs w:val="8"/>
                <w:color w:val="auto"/>
              </w:rPr>
            </w:pPr>
          </w:p>
        </w:tc>
        <w:tc>
          <w:tcPr>
            <w:tcW w:w="500" w:type="dxa"/>
            <w:vAlign w:val="bottom"/>
            <w:tcBorders>
              <w:bottom w:val="single" w:sz="8" w:color="E5F1F8"/>
            </w:tcBorders>
            <w:shd w:val="clear" w:color="auto" w:fill="E5F1F8"/>
          </w:tcPr>
          <w:p>
            <w:pPr>
              <w:spacing w:after="0"/>
              <w:rPr>
                <w:sz w:val="8"/>
                <w:szCs w:val="8"/>
                <w:color w:val="auto"/>
              </w:rPr>
            </w:pPr>
          </w:p>
        </w:tc>
        <w:tc>
          <w:tcPr>
            <w:tcW w:w="400" w:type="dxa"/>
            <w:vAlign w:val="bottom"/>
            <w:tcBorders>
              <w:bottom w:val="single" w:sz="8" w:color="E5F1F8"/>
              <w:right w:val="single" w:sz="8" w:color="007CBA"/>
            </w:tcBorders>
            <w:shd w:val="clear" w:color="auto" w:fill="E5F1F8"/>
          </w:tcPr>
          <w:p>
            <w:pPr>
              <w:spacing w:after="0"/>
              <w:rPr>
                <w:sz w:val="8"/>
                <w:szCs w:val="8"/>
                <w:color w:val="auto"/>
              </w:rPr>
            </w:pPr>
          </w:p>
        </w:tc>
        <w:tc>
          <w:tcPr>
            <w:tcW w:w="80" w:type="dxa"/>
            <w:vAlign w:val="bottom"/>
            <w:tcBorders>
              <w:bottom w:val="single" w:sz="8" w:color="E5F1F8"/>
            </w:tcBorders>
            <w:shd w:val="clear" w:color="auto" w:fill="E5F1F8"/>
          </w:tcPr>
          <w:p>
            <w:pPr>
              <w:spacing w:after="0"/>
              <w:rPr>
                <w:sz w:val="8"/>
                <w:szCs w:val="8"/>
                <w:color w:val="auto"/>
              </w:rPr>
            </w:pPr>
          </w:p>
        </w:tc>
        <w:tc>
          <w:tcPr>
            <w:tcW w:w="1720" w:type="dxa"/>
            <w:vAlign w:val="bottom"/>
            <w:tcBorders>
              <w:bottom w:val="single" w:sz="8" w:color="E5F1F8"/>
            </w:tcBorders>
            <w:gridSpan w:val="2"/>
            <w:vMerge w:val="continue"/>
            <w:shd w:val="clear" w:color="auto" w:fill="E5F1F8"/>
          </w:tcPr>
          <w:p>
            <w:pPr>
              <w:spacing w:after="0"/>
              <w:rPr>
                <w:sz w:val="8"/>
                <w:szCs w:val="8"/>
                <w:color w:val="auto"/>
              </w:rPr>
            </w:pPr>
          </w:p>
        </w:tc>
        <w:tc>
          <w:tcPr>
            <w:tcW w:w="480" w:type="dxa"/>
            <w:vAlign w:val="bottom"/>
            <w:tcBorders>
              <w:bottom w:val="single" w:sz="8" w:color="E5F1F8"/>
            </w:tcBorders>
            <w:shd w:val="clear" w:color="auto" w:fill="E5F1F8"/>
          </w:tcPr>
          <w:p>
            <w:pPr>
              <w:spacing w:after="0"/>
              <w:rPr>
                <w:sz w:val="8"/>
                <w:szCs w:val="8"/>
                <w:color w:val="auto"/>
              </w:rPr>
            </w:pPr>
          </w:p>
        </w:tc>
        <w:tc>
          <w:tcPr>
            <w:tcW w:w="860" w:type="dxa"/>
            <w:vAlign w:val="bottom"/>
            <w:tcBorders>
              <w:bottom w:val="single" w:sz="8" w:color="E5F1F8"/>
            </w:tcBorders>
            <w:shd w:val="clear" w:color="auto" w:fill="E5F1F8"/>
          </w:tcPr>
          <w:p>
            <w:pPr>
              <w:spacing w:after="0"/>
              <w:rPr>
                <w:sz w:val="8"/>
                <w:szCs w:val="8"/>
                <w:color w:val="auto"/>
              </w:rPr>
            </w:pPr>
          </w:p>
        </w:tc>
        <w:tc>
          <w:tcPr>
            <w:tcW w:w="300" w:type="dxa"/>
            <w:vAlign w:val="bottom"/>
            <w:tcBorders>
              <w:bottom w:val="single" w:sz="8" w:color="E5F1F8"/>
            </w:tcBorders>
            <w:shd w:val="clear" w:color="auto" w:fill="E5F1F8"/>
          </w:tcPr>
          <w:p>
            <w:pPr>
              <w:spacing w:after="0"/>
              <w:rPr>
                <w:sz w:val="8"/>
                <w:szCs w:val="8"/>
                <w:color w:val="auto"/>
              </w:rPr>
            </w:pPr>
          </w:p>
        </w:tc>
        <w:tc>
          <w:tcPr>
            <w:tcW w:w="1000" w:type="dxa"/>
            <w:vAlign w:val="bottom"/>
            <w:tcBorders>
              <w:bottom w:val="single" w:sz="8" w:color="E5F1F8"/>
            </w:tcBorders>
            <w:shd w:val="clear" w:color="auto" w:fill="E5F1F8"/>
          </w:tcPr>
          <w:p>
            <w:pPr>
              <w:spacing w:after="0"/>
              <w:rPr>
                <w:sz w:val="8"/>
                <w:szCs w:val="8"/>
                <w:color w:val="auto"/>
              </w:rPr>
            </w:pPr>
          </w:p>
        </w:tc>
        <w:tc>
          <w:tcPr>
            <w:tcW w:w="660" w:type="dxa"/>
            <w:vAlign w:val="bottom"/>
            <w:tcBorders>
              <w:bottom w:val="single" w:sz="8" w:color="E5F1F8"/>
            </w:tcBorders>
            <w:shd w:val="clear" w:color="auto" w:fill="E5F1F8"/>
          </w:tcPr>
          <w:p>
            <w:pPr>
              <w:spacing w:after="0"/>
              <w:rPr>
                <w:sz w:val="8"/>
                <w:szCs w:val="8"/>
                <w:color w:val="auto"/>
              </w:rPr>
            </w:pPr>
          </w:p>
        </w:tc>
        <w:tc>
          <w:tcPr>
            <w:tcW w:w="380" w:type="dxa"/>
            <w:vAlign w:val="bottom"/>
            <w:tcBorders>
              <w:bottom w:val="single" w:sz="8" w:color="E5F1F8"/>
            </w:tcBorders>
            <w:shd w:val="clear" w:color="auto" w:fill="E5F1F8"/>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1360" w:type="dxa"/>
            <w:vAlign w:val="bottom"/>
          </w:tcPr>
          <w:p>
            <w:pPr>
              <w:ind w:left="80"/>
              <w:spacing w:after="0"/>
              <w:rPr>
                <w:sz w:val="20"/>
                <w:szCs w:val="20"/>
                <w:color w:val="auto"/>
              </w:rPr>
            </w:pPr>
            <w:r>
              <w:rPr>
                <w:rFonts w:ascii="Arial" w:cs="Arial" w:eastAsia="Arial" w:hAnsi="Arial"/>
                <w:sz w:val="14"/>
                <w:szCs w:val="14"/>
                <w:color w:val="auto"/>
              </w:rPr>
              <w:t>Current or Former</w:t>
            </w: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Borders>
              <w:right w:val="single" w:sz="8" w:color="007CBA"/>
            </w:tcBorders>
          </w:tcPr>
          <w:p>
            <w:pPr>
              <w:spacing w:after="0"/>
              <w:rPr>
                <w:sz w:val="19"/>
                <w:szCs w:val="19"/>
                <w:color w:val="auto"/>
              </w:rPr>
            </w:pPr>
          </w:p>
        </w:tc>
        <w:tc>
          <w:tcPr>
            <w:tcW w:w="80" w:type="dxa"/>
            <w:vAlign w:val="bottom"/>
          </w:tcPr>
          <w:p>
            <w:pPr>
              <w:spacing w:after="0"/>
              <w:rPr>
                <w:sz w:val="19"/>
                <w:szCs w:val="19"/>
                <w:color w:val="auto"/>
              </w:rPr>
            </w:pPr>
          </w:p>
        </w:tc>
        <w:tc>
          <w:tcPr>
            <w:tcW w:w="5400" w:type="dxa"/>
            <w:vAlign w:val="bottom"/>
            <w:gridSpan w:val="8"/>
            <w:vMerge w:val="restart"/>
          </w:tcPr>
          <w:p>
            <w:pPr>
              <w:ind w:left="20"/>
              <w:spacing w:after="0"/>
              <w:rPr>
                <w:sz w:val="20"/>
                <w:szCs w:val="20"/>
                <w:color w:val="auto"/>
              </w:rPr>
            </w:pPr>
            <w:r>
              <w:rPr>
                <w:rFonts w:ascii="Arial" w:cs="Arial" w:eastAsia="Arial" w:hAnsi="Arial"/>
                <w:sz w:val="14"/>
                <w:szCs w:val="14"/>
                <w:color w:val="auto"/>
              </w:rPr>
              <w:t>Strong leadership skills and critical experience with demands and challenges</w:t>
            </w:r>
          </w:p>
        </w:tc>
        <w:tc>
          <w:tcPr>
            <w:tcW w:w="0" w:type="dxa"/>
            <w:vAlign w:val="bottom"/>
          </w:tcPr>
          <w:p>
            <w:pPr>
              <w:spacing w:after="0"/>
              <w:rPr>
                <w:sz w:val="1"/>
                <w:szCs w:val="1"/>
                <w:color w:val="auto"/>
              </w:rPr>
            </w:pPr>
          </w:p>
        </w:tc>
      </w:tr>
      <w:tr>
        <w:trPr>
          <w:trHeight w:val="81"/>
        </w:trPr>
        <w:tc>
          <w:tcPr>
            <w:tcW w:w="1360" w:type="dxa"/>
            <w:vAlign w:val="bottom"/>
            <w:vMerge w:val="restart"/>
          </w:tcPr>
          <w:p>
            <w:pPr>
              <w:ind w:left="80"/>
              <w:spacing w:after="0"/>
              <w:rPr>
                <w:sz w:val="20"/>
                <w:szCs w:val="20"/>
                <w:color w:val="auto"/>
              </w:rPr>
            </w:pPr>
            <w:r>
              <w:rPr>
                <w:rFonts w:ascii="Arial" w:cs="Arial" w:eastAsia="Arial" w:hAnsi="Arial"/>
                <w:sz w:val="14"/>
                <w:szCs w:val="14"/>
                <w:color w:val="auto"/>
              </w:rPr>
              <w:t>CEO of Public</w:t>
            </w: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vMerge w:val="restart"/>
          </w:tcPr>
          <w:p>
            <w:pPr>
              <w:ind w:left="220"/>
              <w:spacing w:after="0"/>
              <w:rPr>
                <w:sz w:val="20"/>
                <w:szCs w:val="20"/>
                <w:color w:val="auto"/>
              </w:rPr>
            </w:pPr>
            <w:r>
              <w:rPr>
                <w:rFonts w:ascii="Arial" w:cs="Arial" w:eastAsia="Arial" w:hAnsi="Arial"/>
                <w:sz w:val="14"/>
                <w:szCs w:val="14"/>
                <w:color w:val="007CBA"/>
              </w:rPr>
              <w:t>•</w:t>
            </w:r>
          </w:p>
        </w:tc>
        <w:tc>
          <w:tcPr>
            <w:tcW w:w="440" w:type="dxa"/>
            <w:vAlign w:val="bottom"/>
            <w:vMerge w:val="restart"/>
          </w:tcPr>
          <w:p>
            <w:pPr>
              <w:ind w:left="200"/>
              <w:spacing w:after="0"/>
              <w:rPr>
                <w:sz w:val="20"/>
                <w:szCs w:val="20"/>
                <w:color w:val="auto"/>
              </w:rPr>
            </w:pPr>
            <w:r>
              <w:rPr>
                <w:rFonts w:ascii="Arial" w:cs="Arial" w:eastAsia="Arial" w:hAnsi="Arial"/>
                <w:sz w:val="14"/>
                <w:szCs w:val="14"/>
                <w:color w:val="007CBA"/>
              </w:rPr>
              <w:t>•</w:t>
            </w:r>
          </w:p>
        </w:tc>
        <w:tc>
          <w:tcPr>
            <w:tcW w:w="440" w:type="dxa"/>
            <w:vAlign w:val="bottom"/>
          </w:tcPr>
          <w:p>
            <w:pPr>
              <w:spacing w:after="0"/>
              <w:rPr>
                <w:sz w:val="7"/>
                <w:szCs w:val="7"/>
                <w:color w:val="auto"/>
              </w:rPr>
            </w:pPr>
          </w:p>
        </w:tc>
        <w:tc>
          <w:tcPr>
            <w:tcW w:w="480" w:type="dxa"/>
            <w:vAlign w:val="bottom"/>
            <w:vMerge w:val="restart"/>
          </w:tcPr>
          <w:p>
            <w:pPr>
              <w:ind w:left="220"/>
              <w:spacing w:after="0"/>
              <w:rPr>
                <w:sz w:val="20"/>
                <w:szCs w:val="20"/>
                <w:color w:val="auto"/>
              </w:rPr>
            </w:pPr>
            <w:r>
              <w:rPr>
                <w:rFonts w:ascii="Arial" w:cs="Arial" w:eastAsia="Arial" w:hAnsi="Arial"/>
                <w:sz w:val="14"/>
                <w:szCs w:val="14"/>
                <w:color w:val="007CBA"/>
              </w:rPr>
              <w:t>•</w:t>
            </w:r>
          </w:p>
        </w:tc>
        <w:tc>
          <w:tcPr>
            <w:tcW w:w="500" w:type="dxa"/>
            <w:vAlign w:val="bottom"/>
            <w:vMerge w:val="restart"/>
          </w:tcPr>
          <w:p>
            <w:pPr>
              <w:ind w:left="220"/>
              <w:spacing w:after="0"/>
              <w:rPr>
                <w:sz w:val="20"/>
                <w:szCs w:val="20"/>
                <w:color w:val="auto"/>
              </w:rPr>
            </w:pPr>
            <w:r>
              <w:rPr>
                <w:rFonts w:ascii="Arial" w:cs="Arial" w:eastAsia="Arial" w:hAnsi="Arial"/>
                <w:sz w:val="14"/>
                <w:szCs w:val="14"/>
                <w:color w:val="007CBA"/>
              </w:rPr>
              <w:t>•</w:t>
            </w:r>
          </w:p>
        </w:tc>
        <w:tc>
          <w:tcPr>
            <w:tcW w:w="400" w:type="dxa"/>
            <w:vAlign w:val="bottom"/>
            <w:tcBorders>
              <w:right w:val="single" w:sz="8" w:color="007CBA"/>
            </w:tcBorders>
            <w:vMerge w:val="restart"/>
          </w:tcPr>
          <w:p>
            <w:pPr>
              <w:ind w:left="200"/>
              <w:spacing w:after="0"/>
              <w:rPr>
                <w:sz w:val="20"/>
                <w:szCs w:val="20"/>
                <w:color w:val="auto"/>
              </w:rPr>
            </w:pPr>
            <w:r>
              <w:rPr>
                <w:rFonts w:ascii="Arial" w:cs="Arial" w:eastAsia="Arial" w:hAnsi="Arial"/>
                <w:sz w:val="14"/>
                <w:szCs w:val="14"/>
                <w:color w:val="007CBA"/>
              </w:rPr>
              <w:t>•</w:t>
            </w:r>
          </w:p>
        </w:tc>
        <w:tc>
          <w:tcPr>
            <w:tcW w:w="80" w:type="dxa"/>
            <w:vAlign w:val="bottom"/>
          </w:tcPr>
          <w:p>
            <w:pPr>
              <w:spacing w:after="0"/>
              <w:rPr>
                <w:sz w:val="7"/>
                <w:szCs w:val="7"/>
                <w:color w:val="auto"/>
              </w:rPr>
            </w:pPr>
          </w:p>
        </w:tc>
        <w:tc>
          <w:tcPr>
            <w:tcW w:w="540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36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400" w:type="dxa"/>
            <w:vAlign w:val="bottom"/>
            <w:tcBorders>
              <w:right w:val="single" w:sz="8" w:color="007CBA"/>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3060" w:type="dxa"/>
            <w:vAlign w:val="bottom"/>
            <w:gridSpan w:val="4"/>
            <w:vMerge w:val="restart"/>
          </w:tcPr>
          <w:p>
            <w:pPr>
              <w:ind w:left="20"/>
              <w:spacing w:after="0"/>
              <w:rPr>
                <w:sz w:val="20"/>
                <w:szCs w:val="20"/>
                <w:color w:val="auto"/>
              </w:rPr>
            </w:pPr>
            <w:r>
              <w:rPr>
                <w:rFonts w:ascii="Arial" w:cs="Arial" w:eastAsia="Arial" w:hAnsi="Arial"/>
                <w:sz w:val="14"/>
                <w:szCs w:val="14"/>
                <w:color w:val="auto"/>
              </w:rPr>
              <w:t>with managing a large public organization</w:t>
            </w: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360" w:type="dxa"/>
            <w:vAlign w:val="bottom"/>
            <w:vMerge w:val="restart"/>
          </w:tcPr>
          <w:p>
            <w:pPr>
              <w:ind w:left="80"/>
              <w:spacing w:after="0"/>
              <w:rPr>
                <w:sz w:val="20"/>
                <w:szCs w:val="20"/>
                <w:color w:val="auto"/>
              </w:rPr>
            </w:pPr>
            <w:r>
              <w:rPr>
                <w:rFonts w:ascii="Arial" w:cs="Arial" w:eastAsia="Arial" w:hAnsi="Arial"/>
                <w:sz w:val="14"/>
                <w:szCs w:val="14"/>
                <w:color w:val="auto"/>
              </w:rPr>
              <w:t>Company</w:t>
            </w: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Borders>
              <w:right w:val="single" w:sz="8" w:color="007CBA"/>
            </w:tcBorders>
          </w:tcPr>
          <w:p>
            <w:pPr>
              <w:spacing w:after="0"/>
              <w:rPr>
                <w:sz w:val="7"/>
                <w:szCs w:val="7"/>
                <w:color w:val="auto"/>
              </w:rPr>
            </w:pPr>
          </w:p>
        </w:tc>
        <w:tc>
          <w:tcPr>
            <w:tcW w:w="80" w:type="dxa"/>
            <w:vAlign w:val="bottom"/>
          </w:tcPr>
          <w:p>
            <w:pPr>
              <w:spacing w:after="0"/>
              <w:rPr>
                <w:sz w:val="7"/>
                <w:szCs w:val="7"/>
                <w:color w:val="auto"/>
              </w:rPr>
            </w:pPr>
          </w:p>
        </w:tc>
        <w:tc>
          <w:tcPr>
            <w:tcW w:w="306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36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Borders>
              <w:right w:val="single" w:sz="8" w:color="007CBA"/>
            </w:tcBorders>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Borders>
              <w:right w:val="single" w:sz="8" w:color="007CBA"/>
            </w:tcBorders>
          </w:tcPr>
          <w:p>
            <w:pPr>
              <w:spacing w:after="0"/>
              <w:rPr>
                <w:sz w:val="3"/>
                <w:szCs w:val="3"/>
                <w:color w:val="auto"/>
              </w:rPr>
            </w:pPr>
          </w:p>
        </w:tc>
        <w:tc>
          <w:tcPr>
            <w:tcW w:w="80" w:type="dxa"/>
            <w:vAlign w:val="bottom"/>
          </w:tcPr>
          <w:p>
            <w:pPr>
              <w:spacing w:after="0"/>
              <w:rPr>
                <w:sz w:val="3"/>
                <w:szCs w:val="3"/>
                <w:color w:val="auto"/>
              </w:rPr>
            </w:pPr>
          </w:p>
        </w:tc>
        <w:tc>
          <w:tcPr>
            <w:tcW w:w="5400" w:type="dxa"/>
            <w:vAlign w:val="bottom"/>
            <w:gridSpan w:val="8"/>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1"/>
        </w:trPr>
        <w:tc>
          <w:tcPr>
            <w:tcW w:w="1360" w:type="dxa"/>
            <w:vAlign w:val="bottom"/>
            <w:shd w:val="clear" w:color="auto" w:fill="E5F1F8"/>
          </w:tcPr>
          <w:p>
            <w:pPr>
              <w:ind w:left="80"/>
              <w:spacing w:after="0"/>
              <w:rPr>
                <w:sz w:val="20"/>
                <w:szCs w:val="20"/>
                <w:color w:val="auto"/>
              </w:rPr>
            </w:pPr>
            <w:r>
              <w:rPr>
                <w:rFonts w:ascii="Arial" w:cs="Arial" w:eastAsia="Arial" w:hAnsi="Arial"/>
                <w:sz w:val="14"/>
                <w:szCs w:val="14"/>
                <w:color w:val="auto"/>
              </w:rPr>
              <w:t>Financial or</w:t>
            </w:r>
          </w:p>
        </w:tc>
        <w:tc>
          <w:tcPr>
            <w:tcW w:w="500" w:type="dxa"/>
            <w:vAlign w:val="bottom"/>
            <w:vMerge w:val="restart"/>
            <w:shd w:val="clear" w:color="auto" w:fill="E5F1F8"/>
          </w:tcPr>
          <w:p>
            <w:pPr>
              <w:ind w:left="260"/>
              <w:spacing w:after="0"/>
              <w:rPr>
                <w:sz w:val="20"/>
                <w:szCs w:val="20"/>
                <w:color w:val="auto"/>
              </w:rPr>
            </w:pPr>
            <w:r>
              <w:rPr>
                <w:rFonts w:ascii="Arial" w:cs="Arial" w:eastAsia="Arial" w:hAnsi="Arial"/>
                <w:sz w:val="14"/>
                <w:szCs w:val="14"/>
                <w:color w:val="007CBA"/>
              </w:rPr>
              <w:t>•</w:t>
            </w:r>
          </w:p>
        </w:tc>
        <w:tc>
          <w:tcPr>
            <w:tcW w:w="420" w:type="dxa"/>
            <w:vAlign w:val="bottom"/>
            <w:vMerge w:val="restart"/>
            <w:shd w:val="clear" w:color="auto" w:fill="E5F1F8"/>
          </w:tcPr>
          <w:p>
            <w:pPr>
              <w:ind w:left="180"/>
              <w:spacing w:after="0"/>
              <w:rPr>
                <w:sz w:val="20"/>
                <w:szCs w:val="20"/>
                <w:color w:val="auto"/>
              </w:rPr>
            </w:pPr>
            <w:r>
              <w:rPr>
                <w:rFonts w:ascii="Arial" w:cs="Arial" w:eastAsia="Arial" w:hAnsi="Arial"/>
                <w:sz w:val="14"/>
                <w:szCs w:val="14"/>
                <w:color w:val="007CBA"/>
              </w:rPr>
              <w:t>•</w:t>
            </w:r>
          </w:p>
        </w:tc>
        <w:tc>
          <w:tcPr>
            <w:tcW w:w="480" w:type="dxa"/>
            <w:vAlign w:val="bottom"/>
            <w:shd w:val="clear" w:color="auto" w:fill="E5F1F8"/>
          </w:tcPr>
          <w:p>
            <w:pPr>
              <w:spacing w:after="0"/>
              <w:rPr>
                <w:sz w:val="19"/>
                <w:szCs w:val="19"/>
                <w:color w:val="auto"/>
              </w:rPr>
            </w:pPr>
          </w:p>
        </w:tc>
        <w:tc>
          <w:tcPr>
            <w:tcW w:w="500" w:type="dxa"/>
            <w:vAlign w:val="bottom"/>
            <w:vMerge w:val="restart"/>
            <w:shd w:val="clear" w:color="auto" w:fill="E5F1F8"/>
          </w:tcPr>
          <w:p>
            <w:pPr>
              <w:ind w:left="220"/>
              <w:spacing w:after="0"/>
              <w:rPr>
                <w:sz w:val="20"/>
                <w:szCs w:val="20"/>
                <w:color w:val="auto"/>
              </w:rPr>
            </w:pPr>
            <w:r>
              <w:rPr>
                <w:rFonts w:ascii="Arial" w:cs="Arial" w:eastAsia="Arial" w:hAnsi="Arial"/>
                <w:sz w:val="14"/>
                <w:szCs w:val="14"/>
                <w:color w:val="007CBA"/>
              </w:rPr>
              <w:t>•</w:t>
            </w:r>
          </w:p>
        </w:tc>
        <w:tc>
          <w:tcPr>
            <w:tcW w:w="440" w:type="dxa"/>
            <w:vAlign w:val="bottom"/>
            <w:vMerge w:val="restart"/>
            <w:shd w:val="clear" w:color="auto" w:fill="E5F1F8"/>
          </w:tcPr>
          <w:p>
            <w:pPr>
              <w:ind w:left="200"/>
              <w:spacing w:after="0"/>
              <w:rPr>
                <w:sz w:val="20"/>
                <w:szCs w:val="20"/>
                <w:color w:val="auto"/>
              </w:rPr>
            </w:pPr>
            <w:r>
              <w:rPr>
                <w:rFonts w:ascii="Arial" w:cs="Arial" w:eastAsia="Arial" w:hAnsi="Arial"/>
                <w:sz w:val="14"/>
                <w:szCs w:val="14"/>
                <w:color w:val="007CBA"/>
              </w:rPr>
              <w:t>•</w:t>
            </w:r>
          </w:p>
        </w:tc>
        <w:tc>
          <w:tcPr>
            <w:tcW w:w="440" w:type="dxa"/>
            <w:vAlign w:val="bottom"/>
            <w:vMerge w:val="restart"/>
            <w:shd w:val="clear" w:color="auto" w:fill="E5F1F8"/>
          </w:tcPr>
          <w:p>
            <w:pPr>
              <w:ind w:left="180"/>
              <w:spacing w:after="0"/>
              <w:rPr>
                <w:sz w:val="20"/>
                <w:szCs w:val="20"/>
                <w:color w:val="auto"/>
              </w:rPr>
            </w:pPr>
            <w:r>
              <w:rPr>
                <w:rFonts w:ascii="Arial" w:cs="Arial" w:eastAsia="Arial" w:hAnsi="Arial"/>
                <w:sz w:val="14"/>
                <w:szCs w:val="14"/>
                <w:color w:val="007CBA"/>
              </w:rPr>
              <w:t>•</w:t>
            </w:r>
          </w:p>
        </w:tc>
        <w:tc>
          <w:tcPr>
            <w:tcW w:w="480" w:type="dxa"/>
            <w:vAlign w:val="bottom"/>
            <w:vMerge w:val="restart"/>
            <w:shd w:val="clear" w:color="auto" w:fill="E5F1F8"/>
          </w:tcPr>
          <w:p>
            <w:pPr>
              <w:ind w:left="220"/>
              <w:spacing w:after="0"/>
              <w:rPr>
                <w:sz w:val="20"/>
                <w:szCs w:val="20"/>
                <w:color w:val="auto"/>
              </w:rPr>
            </w:pPr>
            <w:r>
              <w:rPr>
                <w:rFonts w:ascii="Arial" w:cs="Arial" w:eastAsia="Arial" w:hAnsi="Arial"/>
                <w:sz w:val="14"/>
                <w:szCs w:val="14"/>
                <w:color w:val="007CBA"/>
              </w:rPr>
              <w:t>•</w:t>
            </w:r>
          </w:p>
        </w:tc>
        <w:tc>
          <w:tcPr>
            <w:tcW w:w="500" w:type="dxa"/>
            <w:vAlign w:val="bottom"/>
            <w:vMerge w:val="restart"/>
            <w:shd w:val="clear" w:color="auto" w:fill="E5F1F8"/>
          </w:tcPr>
          <w:p>
            <w:pPr>
              <w:ind w:left="220"/>
              <w:spacing w:after="0"/>
              <w:rPr>
                <w:sz w:val="20"/>
                <w:szCs w:val="20"/>
                <w:color w:val="auto"/>
              </w:rPr>
            </w:pPr>
            <w:r>
              <w:rPr>
                <w:rFonts w:ascii="Arial" w:cs="Arial" w:eastAsia="Arial" w:hAnsi="Arial"/>
                <w:sz w:val="14"/>
                <w:szCs w:val="14"/>
                <w:color w:val="007CBA"/>
              </w:rPr>
              <w:t>•</w:t>
            </w:r>
          </w:p>
        </w:tc>
        <w:tc>
          <w:tcPr>
            <w:tcW w:w="400" w:type="dxa"/>
            <w:vAlign w:val="bottom"/>
            <w:tcBorders>
              <w:right w:val="single" w:sz="8" w:color="007CBA"/>
            </w:tcBorders>
            <w:vMerge w:val="restart"/>
            <w:shd w:val="clear" w:color="auto" w:fill="E5F1F8"/>
          </w:tcPr>
          <w:p>
            <w:pPr>
              <w:ind w:left="200"/>
              <w:spacing w:after="0"/>
              <w:rPr>
                <w:sz w:val="20"/>
                <w:szCs w:val="20"/>
                <w:color w:val="auto"/>
              </w:rPr>
            </w:pPr>
            <w:r>
              <w:rPr>
                <w:rFonts w:ascii="Arial" w:cs="Arial" w:eastAsia="Arial" w:hAnsi="Arial"/>
                <w:sz w:val="14"/>
                <w:szCs w:val="14"/>
                <w:color w:val="007CBA"/>
              </w:rPr>
              <w:t>•</w:t>
            </w:r>
          </w:p>
        </w:tc>
        <w:tc>
          <w:tcPr>
            <w:tcW w:w="80" w:type="dxa"/>
            <w:vAlign w:val="bottom"/>
            <w:shd w:val="clear" w:color="auto" w:fill="E5F1F8"/>
          </w:tcPr>
          <w:p>
            <w:pPr>
              <w:spacing w:after="0"/>
              <w:rPr>
                <w:sz w:val="19"/>
                <w:szCs w:val="19"/>
                <w:color w:val="auto"/>
              </w:rPr>
            </w:pPr>
          </w:p>
        </w:tc>
        <w:tc>
          <w:tcPr>
            <w:tcW w:w="5400" w:type="dxa"/>
            <w:vAlign w:val="bottom"/>
            <w:gridSpan w:val="8"/>
            <w:shd w:val="clear" w:color="auto" w:fill="E5F1F8"/>
          </w:tcPr>
          <w:p>
            <w:pPr>
              <w:ind w:left="20"/>
              <w:spacing w:after="0"/>
              <w:rPr>
                <w:sz w:val="20"/>
                <w:szCs w:val="20"/>
                <w:color w:val="auto"/>
              </w:rPr>
            </w:pPr>
            <w:r>
              <w:rPr>
                <w:rFonts w:ascii="Arial" w:cs="Arial" w:eastAsia="Arial" w:hAnsi="Arial"/>
                <w:sz w:val="14"/>
                <w:szCs w:val="14"/>
                <w:color w:val="auto"/>
              </w:rPr>
              <w:t>Enables in-depth analysis of our financial statements, capital structure, financial</w:t>
            </w:r>
          </w:p>
        </w:tc>
        <w:tc>
          <w:tcPr>
            <w:tcW w:w="0" w:type="dxa"/>
            <w:vAlign w:val="bottom"/>
          </w:tcPr>
          <w:p>
            <w:pPr>
              <w:spacing w:after="0"/>
              <w:rPr>
                <w:sz w:val="1"/>
                <w:szCs w:val="1"/>
                <w:color w:val="auto"/>
              </w:rPr>
            </w:pPr>
          </w:p>
        </w:tc>
      </w:tr>
      <w:tr>
        <w:trPr>
          <w:trHeight w:val="91"/>
        </w:trPr>
        <w:tc>
          <w:tcPr>
            <w:tcW w:w="1360" w:type="dxa"/>
            <w:vAlign w:val="bottom"/>
            <w:vMerge w:val="restart"/>
            <w:shd w:val="clear" w:color="auto" w:fill="E5F1F8"/>
          </w:tcPr>
          <w:p>
            <w:pPr>
              <w:ind w:left="80"/>
              <w:spacing w:after="0"/>
              <w:rPr>
                <w:sz w:val="20"/>
                <w:szCs w:val="20"/>
                <w:color w:val="auto"/>
              </w:rPr>
            </w:pPr>
            <w:r>
              <w:rPr>
                <w:rFonts w:ascii="Arial" w:cs="Arial" w:eastAsia="Arial" w:hAnsi="Arial"/>
                <w:sz w:val="14"/>
                <w:szCs w:val="14"/>
                <w:color w:val="auto"/>
              </w:rPr>
              <w:t>Accounting</w:t>
            </w:r>
          </w:p>
        </w:tc>
        <w:tc>
          <w:tcPr>
            <w:tcW w:w="500" w:type="dxa"/>
            <w:vAlign w:val="bottom"/>
            <w:vMerge w:val="continue"/>
            <w:shd w:val="clear" w:color="auto" w:fill="E5F1F8"/>
          </w:tcPr>
          <w:p>
            <w:pPr>
              <w:spacing w:after="0"/>
              <w:rPr>
                <w:sz w:val="7"/>
                <w:szCs w:val="7"/>
                <w:color w:val="auto"/>
              </w:rPr>
            </w:pPr>
          </w:p>
        </w:tc>
        <w:tc>
          <w:tcPr>
            <w:tcW w:w="420" w:type="dxa"/>
            <w:vAlign w:val="bottom"/>
            <w:vMerge w:val="continue"/>
            <w:shd w:val="clear" w:color="auto" w:fill="E5F1F8"/>
          </w:tcPr>
          <w:p>
            <w:pPr>
              <w:spacing w:after="0"/>
              <w:rPr>
                <w:sz w:val="7"/>
                <w:szCs w:val="7"/>
                <w:color w:val="auto"/>
              </w:rPr>
            </w:pPr>
          </w:p>
        </w:tc>
        <w:tc>
          <w:tcPr>
            <w:tcW w:w="480" w:type="dxa"/>
            <w:vAlign w:val="bottom"/>
            <w:shd w:val="clear" w:color="auto" w:fill="E5F1F8"/>
          </w:tcPr>
          <w:p>
            <w:pPr>
              <w:spacing w:after="0"/>
              <w:rPr>
                <w:sz w:val="7"/>
                <w:szCs w:val="7"/>
                <w:color w:val="auto"/>
              </w:rPr>
            </w:pPr>
          </w:p>
        </w:tc>
        <w:tc>
          <w:tcPr>
            <w:tcW w:w="500" w:type="dxa"/>
            <w:vAlign w:val="bottom"/>
            <w:vMerge w:val="continue"/>
            <w:shd w:val="clear" w:color="auto" w:fill="E5F1F8"/>
          </w:tcPr>
          <w:p>
            <w:pPr>
              <w:spacing w:after="0"/>
              <w:rPr>
                <w:sz w:val="7"/>
                <w:szCs w:val="7"/>
                <w:color w:val="auto"/>
              </w:rPr>
            </w:pPr>
          </w:p>
        </w:tc>
        <w:tc>
          <w:tcPr>
            <w:tcW w:w="440" w:type="dxa"/>
            <w:vAlign w:val="bottom"/>
            <w:vMerge w:val="continue"/>
            <w:shd w:val="clear" w:color="auto" w:fill="E5F1F8"/>
          </w:tcPr>
          <w:p>
            <w:pPr>
              <w:spacing w:after="0"/>
              <w:rPr>
                <w:sz w:val="7"/>
                <w:szCs w:val="7"/>
                <w:color w:val="auto"/>
              </w:rPr>
            </w:pPr>
          </w:p>
        </w:tc>
        <w:tc>
          <w:tcPr>
            <w:tcW w:w="440" w:type="dxa"/>
            <w:vAlign w:val="bottom"/>
            <w:vMerge w:val="continue"/>
            <w:shd w:val="clear" w:color="auto" w:fill="E5F1F8"/>
          </w:tcPr>
          <w:p>
            <w:pPr>
              <w:spacing w:after="0"/>
              <w:rPr>
                <w:sz w:val="7"/>
                <w:szCs w:val="7"/>
                <w:color w:val="auto"/>
              </w:rPr>
            </w:pPr>
          </w:p>
        </w:tc>
        <w:tc>
          <w:tcPr>
            <w:tcW w:w="480" w:type="dxa"/>
            <w:vAlign w:val="bottom"/>
            <w:vMerge w:val="continue"/>
            <w:shd w:val="clear" w:color="auto" w:fill="E5F1F8"/>
          </w:tcPr>
          <w:p>
            <w:pPr>
              <w:spacing w:after="0"/>
              <w:rPr>
                <w:sz w:val="7"/>
                <w:szCs w:val="7"/>
                <w:color w:val="auto"/>
              </w:rPr>
            </w:pPr>
          </w:p>
        </w:tc>
        <w:tc>
          <w:tcPr>
            <w:tcW w:w="500" w:type="dxa"/>
            <w:vAlign w:val="bottom"/>
            <w:vMerge w:val="continue"/>
            <w:shd w:val="clear" w:color="auto" w:fill="E5F1F8"/>
          </w:tcPr>
          <w:p>
            <w:pPr>
              <w:spacing w:after="0"/>
              <w:rPr>
                <w:sz w:val="7"/>
                <w:szCs w:val="7"/>
                <w:color w:val="auto"/>
              </w:rPr>
            </w:pPr>
          </w:p>
        </w:tc>
        <w:tc>
          <w:tcPr>
            <w:tcW w:w="400" w:type="dxa"/>
            <w:vAlign w:val="bottom"/>
            <w:tcBorders>
              <w:right w:val="single" w:sz="8" w:color="007CBA"/>
            </w:tcBorders>
            <w:vMerge w:val="continue"/>
            <w:shd w:val="clear" w:color="auto" w:fill="E5F1F8"/>
          </w:tcPr>
          <w:p>
            <w:pPr>
              <w:spacing w:after="0"/>
              <w:rPr>
                <w:sz w:val="7"/>
                <w:szCs w:val="7"/>
                <w:color w:val="auto"/>
              </w:rPr>
            </w:pPr>
          </w:p>
        </w:tc>
        <w:tc>
          <w:tcPr>
            <w:tcW w:w="80" w:type="dxa"/>
            <w:vAlign w:val="bottom"/>
            <w:shd w:val="clear" w:color="auto" w:fill="E5F1F8"/>
          </w:tcPr>
          <w:p>
            <w:pPr>
              <w:spacing w:after="0"/>
              <w:rPr>
                <w:sz w:val="7"/>
                <w:szCs w:val="7"/>
                <w:color w:val="auto"/>
              </w:rPr>
            </w:pPr>
          </w:p>
        </w:tc>
        <w:tc>
          <w:tcPr>
            <w:tcW w:w="3060" w:type="dxa"/>
            <w:vAlign w:val="bottom"/>
            <w:gridSpan w:val="4"/>
            <w:vMerge w:val="restart"/>
            <w:shd w:val="clear" w:color="auto" w:fill="E5F1F8"/>
          </w:tcPr>
          <w:p>
            <w:pPr>
              <w:ind w:left="20"/>
              <w:spacing w:after="0"/>
              <w:rPr>
                <w:sz w:val="20"/>
                <w:szCs w:val="20"/>
                <w:color w:val="auto"/>
              </w:rPr>
            </w:pPr>
            <w:r>
              <w:rPr>
                <w:rFonts w:ascii="Arial" w:cs="Arial" w:eastAsia="Arial" w:hAnsi="Arial"/>
                <w:sz w:val="14"/>
                <w:szCs w:val="14"/>
                <w:color w:val="auto"/>
              </w:rPr>
              <w:t>transactions, and financial reporting process</w:t>
            </w:r>
          </w:p>
        </w:tc>
        <w:tc>
          <w:tcPr>
            <w:tcW w:w="300" w:type="dxa"/>
            <w:vAlign w:val="bottom"/>
            <w:shd w:val="clear" w:color="auto" w:fill="E5F1F8"/>
          </w:tcPr>
          <w:p>
            <w:pPr>
              <w:spacing w:after="0"/>
              <w:rPr>
                <w:sz w:val="7"/>
                <w:szCs w:val="7"/>
                <w:color w:val="auto"/>
              </w:rPr>
            </w:pPr>
          </w:p>
        </w:tc>
        <w:tc>
          <w:tcPr>
            <w:tcW w:w="1000" w:type="dxa"/>
            <w:vAlign w:val="bottom"/>
            <w:shd w:val="clear" w:color="auto" w:fill="E5F1F8"/>
          </w:tcPr>
          <w:p>
            <w:pPr>
              <w:spacing w:after="0"/>
              <w:rPr>
                <w:sz w:val="7"/>
                <w:szCs w:val="7"/>
                <w:color w:val="auto"/>
              </w:rPr>
            </w:pPr>
          </w:p>
        </w:tc>
        <w:tc>
          <w:tcPr>
            <w:tcW w:w="660" w:type="dxa"/>
            <w:vAlign w:val="bottom"/>
            <w:shd w:val="clear" w:color="auto" w:fill="E5F1F8"/>
          </w:tcPr>
          <w:p>
            <w:pPr>
              <w:spacing w:after="0"/>
              <w:rPr>
                <w:sz w:val="7"/>
                <w:szCs w:val="7"/>
                <w:color w:val="auto"/>
              </w:rPr>
            </w:pPr>
          </w:p>
        </w:tc>
        <w:tc>
          <w:tcPr>
            <w:tcW w:w="380" w:type="dxa"/>
            <w:vAlign w:val="bottom"/>
            <w:shd w:val="clear" w:color="auto" w:fill="E5F1F8"/>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360" w:type="dxa"/>
            <w:vAlign w:val="bottom"/>
            <w:tcBorders>
              <w:bottom w:val="single" w:sz="8" w:color="E5F1F8"/>
            </w:tcBorders>
            <w:vMerge w:val="continue"/>
            <w:shd w:val="clear" w:color="auto" w:fill="E5F1F8"/>
          </w:tcPr>
          <w:p>
            <w:pPr>
              <w:spacing w:after="0"/>
              <w:rPr>
                <w:sz w:val="8"/>
                <w:szCs w:val="8"/>
                <w:color w:val="auto"/>
              </w:rPr>
            </w:pPr>
          </w:p>
        </w:tc>
        <w:tc>
          <w:tcPr>
            <w:tcW w:w="500" w:type="dxa"/>
            <w:vAlign w:val="bottom"/>
            <w:tcBorders>
              <w:bottom w:val="single" w:sz="8" w:color="E5F1F8"/>
            </w:tcBorders>
            <w:shd w:val="clear" w:color="auto" w:fill="E5F1F8"/>
          </w:tcPr>
          <w:p>
            <w:pPr>
              <w:spacing w:after="0"/>
              <w:rPr>
                <w:sz w:val="8"/>
                <w:szCs w:val="8"/>
                <w:color w:val="auto"/>
              </w:rPr>
            </w:pPr>
          </w:p>
        </w:tc>
        <w:tc>
          <w:tcPr>
            <w:tcW w:w="420" w:type="dxa"/>
            <w:vAlign w:val="bottom"/>
            <w:tcBorders>
              <w:bottom w:val="single" w:sz="8" w:color="E5F1F8"/>
            </w:tcBorders>
            <w:shd w:val="clear" w:color="auto" w:fill="E5F1F8"/>
          </w:tcPr>
          <w:p>
            <w:pPr>
              <w:spacing w:after="0"/>
              <w:rPr>
                <w:sz w:val="8"/>
                <w:szCs w:val="8"/>
                <w:color w:val="auto"/>
              </w:rPr>
            </w:pPr>
          </w:p>
        </w:tc>
        <w:tc>
          <w:tcPr>
            <w:tcW w:w="480" w:type="dxa"/>
            <w:vAlign w:val="bottom"/>
            <w:tcBorders>
              <w:bottom w:val="single" w:sz="8" w:color="E5F1F8"/>
            </w:tcBorders>
            <w:shd w:val="clear" w:color="auto" w:fill="E5F1F8"/>
          </w:tcPr>
          <w:p>
            <w:pPr>
              <w:spacing w:after="0"/>
              <w:rPr>
                <w:sz w:val="8"/>
                <w:szCs w:val="8"/>
                <w:color w:val="auto"/>
              </w:rPr>
            </w:pPr>
          </w:p>
        </w:tc>
        <w:tc>
          <w:tcPr>
            <w:tcW w:w="500" w:type="dxa"/>
            <w:vAlign w:val="bottom"/>
            <w:tcBorders>
              <w:bottom w:val="single" w:sz="8" w:color="E5F1F8"/>
            </w:tcBorders>
            <w:shd w:val="clear" w:color="auto" w:fill="E5F1F8"/>
          </w:tcPr>
          <w:p>
            <w:pPr>
              <w:spacing w:after="0"/>
              <w:rPr>
                <w:sz w:val="8"/>
                <w:szCs w:val="8"/>
                <w:color w:val="auto"/>
              </w:rPr>
            </w:pPr>
          </w:p>
        </w:tc>
        <w:tc>
          <w:tcPr>
            <w:tcW w:w="440" w:type="dxa"/>
            <w:vAlign w:val="bottom"/>
            <w:tcBorders>
              <w:bottom w:val="single" w:sz="8" w:color="E5F1F8"/>
            </w:tcBorders>
            <w:shd w:val="clear" w:color="auto" w:fill="E5F1F8"/>
          </w:tcPr>
          <w:p>
            <w:pPr>
              <w:spacing w:after="0"/>
              <w:rPr>
                <w:sz w:val="8"/>
                <w:szCs w:val="8"/>
                <w:color w:val="auto"/>
              </w:rPr>
            </w:pPr>
          </w:p>
        </w:tc>
        <w:tc>
          <w:tcPr>
            <w:tcW w:w="440" w:type="dxa"/>
            <w:vAlign w:val="bottom"/>
            <w:tcBorders>
              <w:bottom w:val="single" w:sz="8" w:color="E5F1F8"/>
            </w:tcBorders>
            <w:shd w:val="clear" w:color="auto" w:fill="E5F1F8"/>
          </w:tcPr>
          <w:p>
            <w:pPr>
              <w:spacing w:after="0"/>
              <w:rPr>
                <w:sz w:val="8"/>
                <w:szCs w:val="8"/>
                <w:color w:val="auto"/>
              </w:rPr>
            </w:pPr>
          </w:p>
        </w:tc>
        <w:tc>
          <w:tcPr>
            <w:tcW w:w="480" w:type="dxa"/>
            <w:vAlign w:val="bottom"/>
            <w:tcBorders>
              <w:bottom w:val="single" w:sz="8" w:color="E5F1F8"/>
            </w:tcBorders>
            <w:shd w:val="clear" w:color="auto" w:fill="E5F1F8"/>
          </w:tcPr>
          <w:p>
            <w:pPr>
              <w:spacing w:after="0"/>
              <w:rPr>
                <w:sz w:val="8"/>
                <w:szCs w:val="8"/>
                <w:color w:val="auto"/>
              </w:rPr>
            </w:pPr>
          </w:p>
        </w:tc>
        <w:tc>
          <w:tcPr>
            <w:tcW w:w="500" w:type="dxa"/>
            <w:vAlign w:val="bottom"/>
            <w:tcBorders>
              <w:bottom w:val="single" w:sz="8" w:color="E5F1F8"/>
            </w:tcBorders>
            <w:shd w:val="clear" w:color="auto" w:fill="E5F1F8"/>
          </w:tcPr>
          <w:p>
            <w:pPr>
              <w:spacing w:after="0"/>
              <w:rPr>
                <w:sz w:val="8"/>
                <w:szCs w:val="8"/>
                <w:color w:val="auto"/>
              </w:rPr>
            </w:pPr>
          </w:p>
        </w:tc>
        <w:tc>
          <w:tcPr>
            <w:tcW w:w="400" w:type="dxa"/>
            <w:vAlign w:val="bottom"/>
            <w:tcBorders>
              <w:bottom w:val="single" w:sz="8" w:color="E5F1F8"/>
              <w:right w:val="single" w:sz="8" w:color="007CBA"/>
            </w:tcBorders>
            <w:shd w:val="clear" w:color="auto" w:fill="E5F1F8"/>
          </w:tcPr>
          <w:p>
            <w:pPr>
              <w:spacing w:after="0"/>
              <w:rPr>
                <w:sz w:val="8"/>
                <w:szCs w:val="8"/>
                <w:color w:val="auto"/>
              </w:rPr>
            </w:pPr>
          </w:p>
        </w:tc>
        <w:tc>
          <w:tcPr>
            <w:tcW w:w="80" w:type="dxa"/>
            <w:vAlign w:val="bottom"/>
            <w:tcBorders>
              <w:bottom w:val="single" w:sz="8" w:color="E5F1F8"/>
            </w:tcBorders>
            <w:shd w:val="clear" w:color="auto" w:fill="E5F1F8"/>
          </w:tcPr>
          <w:p>
            <w:pPr>
              <w:spacing w:after="0"/>
              <w:rPr>
                <w:sz w:val="8"/>
                <w:szCs w:val="8"/>
                <w:color w:val="auto"/>
              </w:rPr>
            </w:pPr>
          </w:p>
        </w:tc>
        <w:tc>
          <w:tcPr>
            <w:tcW w:w="3060" w:type="dxa"/>
            <w:vAlign w:val="bottom"/>
            <w:tcBorders>
              <w:bottom w:val="single" w:sz="8" w:color="E5F1F8"/>
            </w:tcBorders>
            <w:gridSpan w:val="4"/>
            <w:vMerge w:val="continue"/>
            <w:shd w:val="clear" w:color="auto" w:fill="E5F1F8"/>
          </w:tcPr>
          <w:p>
            <w:pPr>
              <w:spacing w:after="0"/>
              <w:rPr>
                <w:sz w:val="8"/>
                <w:szCs w:val="8"/>
                <w:color w:val="auto"/>
              </w:rPr>
            </w:pPr>
          </w:p>
        </w:tc>
        <w:tc>
          <w:tcPr>
            <w:tcW w:w="300" w:type="dxa"/>
            <w:vAlign w:val="bottom"/>
            <w:tcBorders>
              <w:bottom w:val="single" w:sz="8" w:color="E5F1F8"/>
            </w:tcBorders>
            <w:shd w:val="clear" w:color="auto" w:fill="E5F1F8"/>
          </w:tcPr>
          <w:p>
            <w:pPr>
              <w:spacing w:after="0"/>
              <w:rPr>
                <w:sz w:val="8"/>
                <w:szCs w:val="8"/>
                <w:color w:val="auto"/>
              </w:rPr>
            </w:pPr>
          </w:p>
        </w:tc>
        <w:tc>
          <w:tcPr>
            <w:tcW w:w="1000" w:type="dxa"/>
            <w:vAlign w:val="bottom"/>
            <w:tcBorders>
              <w:bottom w:val="single" w:sz="8" w:color="E5F1F8"/>
            </w:tcBorders>
            <w:shd w:val="clear" w:color="auto" w:fill="E5F1F8"/>
          </w:tcPr>
          <w:p>
            <w:pPr>
              <w:spacing w:after="0"/>
              <w:rPr>
                <w:sz w:val="8"/>
                <w:szCs w:val="8"/>
                <w:color w:val="auto"/>
              </w:rPr>
            </w:pPr>
          </w:p>
        </w:tc>
        <w:tc>
          <w:tcPr>
            <w:tcW w:w="660" w:type="dxa"/>
            <w:vAlign w:val="bottom"/>
            <w:tcBorders>
              <w:bottom w:val="single" w:sz="8" w:color="E5F1F8"/>
            </w:tcBorders>
            <w:shd w:val="clear" w:color="auto" w:fill="E5F1F8"/>
          </w:tcPr>
          <w:p>
            <w:pPr>
              <w:spacing w:after="0"/>
              <w:rPr>
                <w:sz w:val="8"/>
                <w:szCs w:val="8"/>
                <w:color w:val="auto"/>
              </w:rPr>
            </w:pPr>
          </w:p>
        </w:tc>
        <w:tc>
          <w:tcPr>
            <w:tcW w:w="380" w:type="dxa"/>
            <w:vAlign w:val="bottom"/>
            <w:tcBorders>
              <w:bottom w:val="single" w:sz="8" w:color="E5F1F8"/>
            </w:tcBorders>
            <w:shd w:val="clear" w:color="auto" w:fill="E5F1F8"/>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1360" w:type="dxa"/>
            <w:vAlign w:val="bottom"/>
          </w:tcPr>
          <w:p>
            <w:pPr>
              <w:ind w:left="80"/>
              <w:spacing w:after="0"/>
              <w:rPr>
                <w:sz w:val="20"/>
                <w:szCs w:val="20"/>
                <w:color w:val="auto"/>
              </w:rPr>
            </w:pPr>
            <w:r>
              <w:rPr>
                <w:rFonts w:ascii="Arial" w:cs="Arial" w:eastAsia="Arial" w:hAnsi="Arial"/>
                <w:sz w:val="14"/>
                <w:szCs w:val="14"/>
                <w:color w:val="auto"/>
              </w:rPr>
              <w:t>Government</w:t>
            </w: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Borders>
              <w:right w:val="single" w:sz="8" w:color="007CBA"/>
            </w:tcBorders>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360" w:type="dxa"/>
            <w:vAlign w:val="bottom"/>
          </w:tcPr>
          <w:p>
            <w:pPr>
              <w:ind w:left="80"/>
              <w:spacing w:after="0"/>
              <w:rPr>
                <w:sz w:val="20"/>
                <w:szCs w:val="20"/>
                <w:color w:val="auto"/>
              </w:rPr>
            </w:pPr>
            <w:r>
              <w:rPr>
                <w:rFonts w:ascii="Arial" w:cs="Arial" w:eastAsia="Arial" w:hAnsi="Arial"/>
                <w:sz w:val="14"/>
                <w:szCs w:val="14"/>
                <w:color w:val="auto"/>
              </w:rPr>
              <w:t>Relations/</w:t>
            </w:r>
          </w:p>
        </w:tc>
        <w:tc>
          <w:tcPr>
            <w:tcW w:w="500" w:type="dxa"/>
            <w:vAlign w:val="bottom"/>
            <w:vMerge w:val="restart"/>
          </w:tcPr>
          <w:p>
            <w:pPr>
              <w:ind w:left="260"/>
              <w:spacing w:after="0"/>
              <w:rPr>
                <w:sz w:val="20"/>
                <w:szCs w:val="20"/>
                <w:color w:val="auto"/>
              </w:rPr>
            </w:pPr>
            <w:r>
              <w:rPr>
                <w:rFonts w:ascii="Arial" w:cs="Arial" w:eastAsia="Arial" w:hAnsi="Arial"/>
                <w:sz w:val="14"/>
                <w:szCs w:val="14"/>
                <w:color w:val="007CBA"/>
              </w:rPr>
              <w:t>•</w:t>
            </w:r>
          </w:p>
        </w:tc>
        <w:tc>
          <w:tcPr>
            <w:tcW w:w="420" w:type="dxa"/>
            <w:vAlign w:val="bottom"/>
            <w:vMerge w:val="restart"/>
          </w:tcPr>
          <w:p>
            <w:pPr>
              <w:ind w:left="180"/>
              <w:spacing w:after="0"/>
              <w:rPr>
                <w:sz w:val="20"/>
                <w:szCs w:val="20"/>
                <w:color w:val="auto"/>
              </w:rPr>
            </w:pPr>
            <w:r>
              <w:rPr>
                <w:rFonts w:ascii="Arial" w:cs="Arial" w:eastAsia="Arial" w:hAnsi="Arial"/>
                <w:sz w:val="14"/>
                <w:szCs w:val="14"/>
                <w:color w:val="007CBA"/>
              </w:rPr>
              <w:t>•</w:t>
            </w:r>
          </w:p>
        </w:tc>
        <w:tc>
          <w:tcPr>
            <w:tcW w:w="480" w:type="dxa"/>
            <w:vAlign w:val="bottom"/>
            <w:vMerge w:val="restart"/>
          </w:tcPr>
          <w:p>
            <w:pPr>
              <w:ind w:left="200"/>
              <w:spacing w:after="0"/>
              <w:rPr>
                <w:sz w:val="20"/>
                <w:szCs w:val="20"/>
                <w:color w:val="auto"/>
              </w:rPr>
            </w:pPr>
            <w:r>
              <w:rPr>
                <w:rFonts w:ascii="Arial" w:cs="Arial" w:eastAsia="Arial" w:hAnsi="Arial"/>
                <w:sz w:val="14"/>
                <w:szCs w:val="14"/>
                <w:color w:val="007CBA"/>
              </w:rPr>
              <w:t>•</w:t>
            </w:r>
          </w:p>
        </w:tc>
        <w:tc>
          <w:tcPr>
            <w:tcW w:w="500" w:type="dxa"/>
            <w:vAlign w:val="bottom"/>
            <w:vMerge w:val="restart"/>
          </w:tcPr>
          <w:p>
            <w:pPr>
              <w:ind w:left="220"/>
              <w:spacing w:after="0"/>
              <w:rPr>
                <w:sz w:val="20"/>
                <w:szCs w:val="20"/>
                <w:color w:val="auto"/>
              </w:rPr>
            </w:pPr>
            <w:r>
              <w:rPr>
                <w:rFonts w:ascii="Arial" w:cs="Arial" w:eastAsia="Arial" w:hAnsi="Arial"/>
                <w:sz w:val="14"/>
                <w:szCs w:val="14"/>
                <w:color w:val="007CBA"/>
              </w:rPr>
              <w:t>•</w:t>
            </w:r>
          </w:p>
        </w:tc>
        <w:tc>
          <w:tcPr>
            <w:tcW w:w="440" w:type="dxa"/>
            <w:vAlign w:val="bottom"/>
            <w:vMerge w:val="restart"/>
          </w:tcPr>
          <w:p>
            <w:pPr>
              <w:ind w:left="200"/>
              <w:spacing w:after="0"/>
              <w:rPr>
                <w:sz w:val="20"/>
                <w:szCs w:val="20"/>
                <w:color w:val="auto"/>
              </w:rPr>
            </w:pPr>
            <w:r>
              <w:rPr>
                <w:rFonts w:ascii="Arial" w:cs="Arial" w:eastAsia="Arial" w:hAnsi="Arial"/>
                <w:sz w:val="14"/>
                <w:szCs w:val="14"/>
                <w:color w:val="007CBA"/>
              </w:rPr>
              <w:t>•</w:t>
            </w:r>
          </w:p>
        </w:tc>
        <w:tc>
          <w:tcPr>
            <w:tcW w:w="440" w:type="dxa"/>
            <w:vAlign w:val="bottom"/>
            <w:vMerge w:val="restart"/>
          </w:tcPr>
          <w:p>
            <w:pPr>
              <w:ind w:left="180"/>
              <w:spacing w:after="0"/>
              <w:rPr>
                <w:sz w:val="20"/>
                <w:szCs w:val="20"/>
                <w:color w:val="auto"/>
              </w:rPr>
            </w:pPr>
            <w:r>
              <w:rPr>
                <w:rFonts w:ascii="Arial" w:cs="Arial" w:eastAsia="Arial" w:hAnsi="Arial"/>
                <w:sz w:val="14"/>
                <w:szCs w:val="14"/>
                <w:color w:val="007CBA"/>
              </w:rPr>
              <w:t>•</w:t>
            </w:r>
          </w:p>
        </w:tc>
        <w:tc>
          <w:tcPr>
            <w:tcW w:w="480" w:type="dxa"/>
            <w:vAlign w:val="bottom"/>
            <w:vMerge w:val="restart"/>
          </w:tcPr>
          <w:p>
            <w:pPr>
              <w:ind w:left="220"/>
              <w:spacing w:after="0"/>
              <w:rPr>
                <w:sz w:val="20"/>
                <w:szCs w:val="20"/>
                <w:color w:val="auto"/>
              </w:rPr>
            </w:pPr>
            <w:r>
              <w:rPr>
                <w:rFonts w:ascii="Arial" w:cs="Arial" w:eastAsia="Arial" w:hAnsi="Arial"/>
                <w:sz w:val="14"/>
                <w:szCs w:val="14"/>
                <w:color w:val="007CBA"/>
              </w:rPr>
              <w:t>•</w:t>
            </w:r>
          </w:p>
        </w:tc>
        <w:tc>
          <w:tcPr>
            <w:tcW w:w="500" w:type="dxa"/>
            <w:vAlign w:val="bottom"/>
            <w:vMerge w:val="restart"/>
          </w:tcPr>
          <w:p>
            <w:pPr>
              <w:ind w:left="220"/>
              <w:spacing w:after="0"/>
              <w:rPr>
                <w:sz w:val="20"/>
                <w:szCs w:val="20"/>
                <w:color w:val="auto"/>
              </w:rPr>
            </w:pPr>
            <w:r>
              <w:rPr>
                <w:rFonts w:ascii="Arial" w:cs="Arial" w:eastAsia="Arial" w:hAnsi="Arial"/>
                <w:sz w:val="14"/>
                <w:szCs w:val="14"/>
                <w:color w:val="007CBA"/>
              </w:rPr>
              <w:t>•</w:t>
            </w:r>
          </w:p>
        </w:tc>
        <w:tc>
          <w:tcPr>
            <w:tcW w:w="400" w:type="dxa"/>
            <w:vAlign w:val="bottom"/>
            <w:tcBorders>
              <w:right w:val="single" w:sz="8" w:color="007CBA"/>
            </w:tcBorders>
            <w:vMerge w:val="restart"/>
          </w:tcPr>
          <w:p>
            <w:pPr>
              <w:ind w:left="200"/>
              <w:spacing w:after="0"/>
              <w:rPr>
                <w:sz w:val="20"/>
                <w:szCs w:val="20"/>
                <w:color w:val="auto"/>
              </w:rPr>
            </w:pPr>
            <w:r>
              <w:rPr>
                <w:rFonts w:ascii="Arial" w:cs="Arial" w:eastAsia="Arial" w:hAnsi="Arial"/>
                <w:sz w:val="14"/>
                <w:szCs w:val="14"/>
                <w:color w:val="007CBA"/>
              </w:rPr>
              <w:t>•</w:t>
            </w:r>
          </w:p>
        </w:tc>
        <w:tc>
          <w:tcPr>
            <w:tcW w:w="8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4"/>
                <w:szCs w:val="14"/>
                <w:color w:val="auto"/>
              </w:rPr>
              <w:t>Critical for</w:t>
            </w:r>
          </w:p>
        </w:tc>
        <w:tc>
          <w:tcPr>
            <w:tcW w:w="1000" w:type="dxa"/>
            <w:vAlign w:val="bottom"/>
          </w:tcPr>
          <w:p>
            <w:pPr>
              <w:ind w:left="60"/>
              <w:spacing w:after="0"/>
              <w:rPr>
                <w:sz w:val="20"/>
                <w:szCs w:val="20"/>
                <w:color w:val="auto"/>
              </w:rPr>
            </w:pPr>
            <w:r>
              <w:rPr>
                <w:rFonts w:ascii="Arial" w:cs="Arial" w:eastAsia="Arial" w:hAnsi="Arial"/>
                <w:sz w:val="14"/>
                <w:szCs w:val="14"/>
                <w:color w:val="auto"/>
              </w:rPr>
              <w:t>understanding</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complex regulatory</w:t>
            </w:r>
          </w:p>
        </w:tc>
        <w:tc>
          <w:tcPr>
            <w:tcW w:w="300" w:type="dxa"/>
            <w:vAlign w:val="bottom"/>
          </w:tcPr>
          <w:p>
            <w:pPr>
              <w:ind w:left="40"/>
              <w:spacing w:after="0"/>
              <w:rPr>
                <w:sz w:val="20"/>
                <w:szCs w:val="20"/>
                <w:color w:val="auto"/>
              </w:rPr>
            </w:pPr>
            <w:r>
              <w:rPr>
                <w:rFonts w:ascii="Arial" w:cs="Arial" w:eastAsia="Arial" w:hAnsi="Arial"/>
                <w:sz w:val="14"/>
                <w:szCs w:val="14"/>
                <w:color w:val="auto"/>
              </w:rPr>
              <w:t>and</w:t>
            </w:r>
          </w:p>
        </w:tc>
        <w:tc>
          <w:tcPr>
            <w:tcW w:w="1000" w:type="dxa"/>
            <w:vAlign w:val="bottom"/>
          </w:tcPr>
          <w:p>
            <w:pPr>
              <w:jc w:val="center"/>
              <w:spacing w:after="0"/>
              <w:rPr>
                <w:sz w:val="20"/>
                <w:szCs w:val="20"/>
                <w:color w:val="auto"/>
              </w:rPr>
            </w:pPr>
            <w:r>
              <w:rPr>
                <w:rFonts w:ascii="Arial" w:cs="Arial" w:eastAsia="Arial" w:hAnsi="Arial"/>
                <w:sz w:val="14"/>
                <w:szCs w:val="14"/>
                <w:color w:val="auto"/>
              </w:rPr>
              <w:t>governmental</w:t>
            </w:r>
          </w:p>
        </w:tc>
        <w:tc>
          <w:tcPr>
            <w:tcW w:w="1040" w:type="dxa"/>
            <w:vAlign w:val="bottom"/>
            <w:gridSpan w:val="2"/>
          </w:tcPr>
          <w:p>
            <w:pPr>
              <w:jc w:val="right"/>
              <w:ind w:right="168"/>
              <w:spacing w:after="0"/>
              <w:rPr>
                <w:sz w:val="20"/>
                <w:szCs w:val="20"/>
                <w:color w:val="auto"/>
              </w:rPr>
            </w:pPr>
            <w:r>
              <w:rPr>
                <w:rFonts w:ascii="Arial" w:cs="Arial" w:eastAsia="Arial" w:hAnsi="Arial"/>
                <w:sz w:val="14"/>
                <w:szCs w:val="14"/>
                <w:color w:val="auto"/>
              </w:rPr>
              <w:t>environment</w:t>
            </w:r>
          </w:p>
        </w:tc>
        <w:tc>
          <w:tcPr>
            <w:tcW w:w="0" w:type="dxa"/>
            <w:vAlign w:val="bottom"/>
          </w:tcPr>
          <w:p>
            <w:pPr>
              <w:spacing w:after="0"/>
              <w:rPr>
                <w:sz w:val="1"/>
                <w:szCs w:val="1"/>
                <w:color w:val="auto"/>
              </w:rPr>
            </w:pPr>
          </w:p>
        </w:tc>
      </w:tr>
      <w:tr>
        <w:trPr>
          <w:trHeight w:val="91"/>
        </w:trPr>
        <w:tc>
          <w:tcPr>
            <w:tcW w:w="1360" w:type="dxa"/>
            <w:vAlign w:val="bottom"/>
            <w:vMerge w:val="restart"/>
          </w:tcPr>
          <w:p>
            <w:pPr>
              <w:ind w:left="80"/>
              <w:spacing w:after="0"/>
              <w:rPr>
                <w:sz w:val="20"/>
                <w:szCs w:val="20"/>
                <w:color w:val="auto"/>
              </w:rPr>
            </w:pPr>
            <w:r>
              <w:rPr>
                <w:rFonts w:ascii="Arial" w:cs="Arial" w:eastAsia="Arial" w:hAnsi="Arial"/>
                <w:sz w:val="14"/>
                <w:szCs w:val="14"/>
                <w:color w:val="auto"/>
              </w:rPr>
              <w:t>Regulatory/</w:t>
            </w:r>
          </w:p>
        </w:tc>
        <w:tc>
          <w:tcPr>
            <w:tcW w:w="50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400" w:type="dxa"/>
            <w:vAlign w:val="bottom"/>
            <w:tcBorders>
              <w:right w:val="single" w:sz="8" w:color="007CBA"/>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5020" w:type="dxa"/>
            <w:vAlign w:val="bottom"/>
            <w:gridSpan w:val="7"/>
            <w:vMerge w:val="restart"/>
          </w:tcPr>
          <w:p>
            <w:pPr>
              <w:ind w:left="20"/>
              <w:spacing w:after="0"/>
              <w:rPr>
                <w:sz w:val="20"/>
                <w:szCs w:val="20"/>
                <w:color w:val="auto"/>
              </w:rPr>
            </w:pPr>
            <w:r>
              <w:rPr>
                <w:rFonts w:ascii="Arial" w:cs="Arial" w:eastAsia="Arial" w:hAnsi="Arial"/>
                <w:sz w:val="14"/>
                <w:szCs w:val="14"/>
                <w:color w:val="auto"/>
              </w:rPr>
              <w:t>that impacts our business and our strategic goals relating to sustainability</w:t>
            </w: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36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Borders>
              <w:right w:val="single" w:sz="8" w:color="007CBA"/>
            </w:tcBorders>
          </w:tcPr>
          <w:p>
            <w:pPr>
              <w:spacing w:after="0"/>
              <w:rPr>
                <w:sz w:val="6"/>
                <w:szCs w:val="6"/>
                <w:color w:val="auto"/>
              </w:rPr>
            </w:pPr>
          </w:p>
        </w:tc>
        <w:tc>
          <w:tcPr>
            <w:tcW w:w="80" w:type="dxa"/>
            <w:vAlign w:val="bottom"/>
          </w:tcPr>
          <w:p>
            <w:pPr>
              <w:spacing w:after="0"/>
              <w:rPr>
                <w:sz w:val="6"/>
                <w:szCs w:val="6"/>
                <w:color w:val="auto"/>
              </w:rPr>
            </w:pPr>
          </w:p>
        </w:tc>
        <w:tc>
          <w:tcPr>
            <w:tcW w:w="5020" w:type="dxa"/>
            <w:vAlign w:val="bottom"/>
            <w:gridSpan w:val="7"/>
            <w:vMerge w:val="continue"/>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1360" w:type="dxa"/>
            <w:vAlign w:val="bottom"/>
          </w:tcPr>
          <w:p>
            <w:pPr>
              <w:ind w:left="80"/>
              <w:spacing w:after="0"/>
              <w:rPr>
                <w:sz w:val="20"/>
                <w:szCs w:val="20"/>
                <w:color w:val="auto"/>
              </w:rPr>
            </w:pPr>
            <w:r>
              <w:rPr>
                <w:rFonts w:ascii="Arial" w:cs="Arial" w:eastAsia="Arial" w:hAnsi="Arial"/>
                <w:sz w:val="14"/>
                <w:szCs w:val="14"/>
                <w:color w:val="auto"/>
              </w:rPr>
              <w:t>Sustainability</w:t>
            </w: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Borders>
              <w:right w:val="single" w:sz="8" w:color="007CBA"/>
            </w:tcBorders>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1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Borders>
              <w:right w:val="single" w:sz="8" w:color="007CBA"/>
            </w:tcBorders>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1"/>
        </w:trPr>
        <w:tc>
          <w:tcPr>
            <w:tcW w:w="1360" w:type="dxa"/>
            <w:vAlign w:val="bottom"/>
            <w:shd w:val="clear" w:color="auto" w:fill="E5F1F8"/>
          </w:tcPr>
          <w:p>
            <w:pPr>
              <w:ind w:left="80"/>
              <w:spacing w:after="0"/>
              <w:rPr>
                <w:sz w:val="20"/>
                <w:szCs w:val="20"/>
                <w:color w:val="auto"/>
              </w:rPr>
            </w:pPr>
            <w:r>
              <w:rPr>
                <w:rFonts w:ascii="Arial" w:cs="Arial" w:eastAsia="Arial" w:hAnsi="Arial"/>
                <w:sz w:val="14"/>
                <w:szCs w:val="14"/>
                <w:color w:val="auto"/>
              </w:rPr>
              <w:t>Logistics/</w:t>
            </w:r>
          </w:p>
        </w:tc>
        <w:tc>
          <w:tcPr>
            <w:tcW w:w="500" w:type="dxa"/>
            <w:vAlign w:val="bottom"/>
            <w:shd w:val="clear" w:color="auto" w:fill="E5F1F8"/>
          </w:tcPr>
          <w:p>
            <w:pPr>
              <w:spacing w:after="0"/>
              <w:rPr>
                <w:sz w:val="19"/>
                <w:szCs w:val="19"/>
                <w:color w:val="auto"/>
              </w:rPr>
            </w:pPr>
          </w:p>
        </w:tc>
        <w:tc>
          <w:tcPr>
            <w:tcW w:w="420" w:type="dxa"/>
            <w:vAlign w:val="bottom"/>
            <w:shd w:val="clear" w:color="auto" w:fill="E5F1F8"/>
          </w:tcPr>
          <w:p>
            <w:pPr>
              <w:spacing w:after="0"/>
              <w:rPr>
                <w:sz w:val="19"/>
                <w:szCs w:val="19"/>
                <w:color w:val="auto"/>
              </w:rPr>
            </w:pPr>
          </w:p>
        </w:tc>
        <w:tc>
          <w:tcPr>
            <w:tcW w:w="480" w:type="dxa"/>
            <w:vAlign w:val="bottom"/>
            <w:shd w:val="clear" w:color="auto" w:fill="E5F1F8"/>
          </w:tcPr>
          <w:p>
            <w:pPr>
              <w:spacing w:after="0"/>
              <w:rPr>
                <w:sz w:val="19"/>
                <w:szCs w:val="19"/>
                <w:color w:val="auto"/>
              </w:rPr>
            </w:pPr>
          </w:p>
        </w:tc>
        <w:tc>
          <w:tcPr>
            <w:tcW w:w="500" w:type="dxa"/>
            <w:vAlign w:val="bottom"/>
            <w:vMerge w:val="restart"/>
            <w:shd w:val="clear" w:color="auto" w:fill="E5F1F8"/>
          </w:tcPr>
          <w:p>
            <w:pPr>
              <w:ind w:left="220"/>
              <w:spacing w:after="0"/>
              <w:rPr>
                <w:sz w:val="20"/>
                <w:szCs w:val="20"/>
                <w:color w:val="auto"/>
              </w:rPr>
            </w:pPr>
            <w:r>
              <w:rPr>
                <w:rFonts w:ascii="Arial" w:cs="Arial" w:eastAsia="Arial" w:hAnsi="Arial"/>
                <w:sz w:val="14"/>
                <w:szCs w:val="14"/>
                <w:color w:val="007CBA"/>
              </w:rPr>
              <w:t>•</w:t>
            </w:r>
          </w:p>
        </w:tc>
        <w:tc>
          <w:tcPr>
            <w:tcW w:w="440" w:type="dxa"/>
            <w:vAlign w:val="bottom"/>
            <w:vMerge w:val="restart"/>
            <w:shd w:val="clear" w:color="auto" w:fill="E5F1F8"/>
          </w:tcPr>
          <w:p>
            <w:pPr>
              <w:ind w:left="200"/>
              <w:spacing w:after="0"/>
              <w:rPr>
                <w:sz w:val="20"/>
                <w:szCs w:val="20"/>
                <w:color w:val="auto"/>
              </w:rPr>
            </w:pPr>
            <w:r>
              <w:rPr>
                <w:rFonts w:ascii="Arial" w:cs="Arial" w:eastAsia="Arial" w:hAnsi="Arial"/>
                <w:sz w:val="14"/>
                <w:szCs w:val="14"/>
                <w:color w:val="007CBA"/>
              </w:rPr>
              <w:t>•</w:t>
            </w:r>
          </w:p>
        </w:tc>
        <w:tc>
          <w:tcPr>
            <w:tcW w:w="440" w:type="dxa"/>
            <w:vAlign w:val="bottom"/>
            <w:shd w:val="clear" w:color="auto" w:fill="E5F1F8"/>
          </w:tcPr>
          <w:p>
            <w:pPr>
              <w:spacing w:after="0"/>
              <w:rPr>
                <w:sz w:val="19"/>
                <w:szCs w:val="19"/>
                <w:color w:val="auto"/>
              </w:rPr>
            </w:pPr>
          </w:p>
        </w:tc>
        <w:tc>
          <w:tcPr>
            <w:tcW w:w="480" w:type="dxa"/>
            <w:vAlign w:val="bottom"/>
            <w:vMerge w:val="restart"/>
            <w:shd w:val="clear" w:color="auto" w:fill="E5F1F8"/>
          </w:tcPr>
          <w:p>
            <w:pPr>
              <w:ind w:left="220"/>
              <w:spacing w:after="0"/>
              <w:rPr>
                <w:sz w:val="20"/>
                <w:szCs w:val="20"/>
                <w:color w:val="auto"/>
              </w:rPr>
            </w:pPr>
            <w:r>
              <w:rPr>
                <w:rFonts w:ascii="Arial" w:cs="Arial" w:eastAsia="Arial" w:hAnsi="Arial"/>
                <w:sz w:val="14"/>
                <w:szCs w:val="14"/>
                <w:color w:val="007CBA"/>
              </w:rPr>
              <w:t>•</w:t>
            </w:r>
          </w:p>
        </w:tc>
        <w:tc>
          <w:tcPr>
            <w:tcW w:w="500" w:type="dxa"/>
            <w:vAlign w:val="bottom"/>
            <w:vMerge w:val="restart"/>
            <w:shd w:val="clear" w:color="auto" w:fill="E5F1F8"/>
          </w:tcPr>
          <w:p>
            <w:pPr>
              <w:ind w:left="220"/>
              <w:spacing w:after="0"/>
              <w:rPr>
                <w:sz w:val="20"/>
                <w:szCs w:val="20"/>
                <w:color w:val="auto"/>
              </w:rPr>
            </w:pPr>
            <w:r>
              <w:rPr>
                <w:rFonts w:ascii="Arial" w:cs="Arial" w:eastAsia="Arial" w:hAnsi="Arial"/>
                <w:sz w:val="14"/>
                <w:szCs w:val="14"/>
                <w:color w:val="007CBA"/>
              </w:rPr>
              <w:t>•</w:t>
            </w:r>
          </w:p>
        </w:tc>
        <w:tc>
          <w:tcPr>
            <w:tcW w:w="400" w:type="dxa"/>
            <w:vAlign w:val="bottom"/>
            <w:tcBorders>
              <w:right w:val="single" w:sz="8" w:color="007CBA"/>
            </w:tcBorders>
            <w:vMerge w:val="restart"/>
            <w:shd w:val="clear" w:color="auto" w:fill="E5F1F8"/>
          </w:tcPr>
          <w:p>
            <w:pPr>
              <w:ind w:left="200"/>
              <w:spacing w:after="0"/>
              <w:rPr>
                <w:sz w:val="20"/>
                <w:szCs w:val="20"/>
                <w:color w:val="auto"/>
              </w:rPr>
            </w:pPr>
            <w:r>
              <w:rPr>
                <w:rFonts w:ascii="Arial" w:cs="Arial" w:eastAsia="Arial" w:hAnsi="Arial"/>
                <w:sz w:val="14"/>
                <w:szCs w:val="14"/>
                <w:color w:val="007CBA"/>
              </w:rPr>
              <w:t>•</w:t>
            </w:r>
          </w:p>
        </w:tc>
        <w:tc>
          <w:tcPr>
            <w:tcW w:w="80" w:type="dxa"/>
            <w:vAlign w:val="bottom"/>
            <w:shd w:val="clear" w:color="auto" w:fill="E5F1F8"/>
          </w:tcPr>
          <w:p>
            <w:pPr>
              <w:spacing w:after="0"/>
              <w:rPr>
                <w:sz w:val="19"/>
                <w:szCs w:val="19"/>
                <w:color w:val="auto"/>
              </w:rPr>
            </w:pPr>
          </w:p>
        </w:tc>
        <w:tc>
          <w:tcPr>
            <w:tcW w:w="5020" w:type="dxa"/>
            <w:vAlign w:val="bottom"/>
            <w:gridSpan w:val="7"/>
            <w:vMerge w:val="restart"/>
            <w:shd w:val="clear" w:color="auto" w:fill="E5F1F8"/>
          </w:tcPr>
          <w:p>
            <w:pPr>
              <w:ind w:left="20"/>
              <w:spacing w:after="0"/>
              <w:rPr>
                <w:sz w:val="20"/>
                <w:szCs w:val="20"/>
                <w:color w:val="auto"/>
              </w:rPr>
            </w:pPr>
            <w:r>
              <w:rPr>
                <w:rFonts w:ascii="Arial" w:cs="Arial" w:eastAsia="Arial" w:hAnsi="Arial"/>
                <w:sz w:val="14"/>
                <w:szCs w:val="14"/>
                <w:color w:val="auto"/>
              </w:rPr>
              <w:t>Necessary in overseeing a sustainable company that relies heavily on logistics</w:t>
            </w:r>
          </w:p>
        </w:tc>
        <w:tc>
          <w:tcPr>
            <w:tcW w:w="38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1360" w:type="dxa"/>
            <w:vAlign w:val="bottom"/>
            <w:vMerge w:val="restart"/>
            <w:shd w:val="clear" w:color="auto" w:fill="E5F1F8"/>
          </w:tcPr>
          <w:p>
            <w:pPr>
              <w:ind w:left="80"/>
              <w:spacing w:after="0"/>
              <w:rPr>
                <w:sz w:val="20"/>
                <w:szCs w:val="20"/>
                <w:color w:val="auto"/>
              </w:rPr>
            </w:pPr>
            <w:r>
              <w:rPr>
                <w:rFonts w:ascii="Arial" w:cs="Arial" w:eastAsia="Arial" w:hAnsi="Arial"/>
                <w:sz w:val="14"/>
                <w:szCs w:val="14"/>
                <w:color w:val="auto"/>
              </w:rPr>
              <w:t>Operations</w:t>
            </w:r>
          </w:p>
        </w:tc>
        <w:tc>
          <w:tcPr>
            <w:tcW w:w="500" w:type="dxa"/>
            <w:vAlign w:val="bottom"/>
            <w:shd w:val="clear" w:color="auto" w:fill="E5F1F8"/>
          </w:tcPr>
          <w:p>
            <w:pPr>
              <w:spacing w:after="0"/>
              <w:rPr>
                <w:sz w:val="7"/>
                <w:szCs w:val="7"/>
                <w:color w:val="auto"/>
              </w:rPr>
            </w:pPr>
          </w:p>
        </w:tc>
        <w:tc>
          <w:tcPr>
            <w:tcW w:w="420" w:type="dxa"/>
            <w:vAlign w:val="bottom"/>
            <w:shd w:val="clear" w:color="auto" w:fill="E5F1F8"/>
          </w:tcPr>
          <w:p>
            <w:pPr>
              <w:spacing w:after="0"/>
              <w:rPr>
                <w:sz w:val="7"/>
                <w:szCs w:val="7"/>
                <w:color w:val="auto"/>
              </w:rPr>
            </w:pPr>
          </w:p>
        </w:tc>
        <w:tc>
          <w:tcPr>
            <w:tcW w:w="480" w:type="dxa"/>
            <w:vAlign w:val="bottom"/>
            <w:shd w:val="clear" w:color="auto" w:fill="E5F1F8"/>
          </w:tcPr>
          <w:p>
            <w:pPr>
              <w:spacing w:after="0"/>
              <w:rPr>
                <w:sz w:val="7"/>
                <w:szCs w:val="7"/>
                <w:color w:val="auto"/>
              </w:rPr>
            </w:pPr>
          </w:p>
        </w:tc>
        <w:tc>
          <w:tcPr>
            <w:tcW w:w="500" w:type="dxa"/>
            <w:vAlign w:val="bottom"/>
            <w:vMerge w:val="continue"/>
            <w:shd w:val="clear" w:color="auto" w:fill="E5F1F8"/>
          </w:tcPr>
          <w:p>
            <w:pPr>
              <w:spacing w:after="0"/>
              <w:rPr>
                <w:sz w:val="7"/>
                <w:szCs w:val="7"/>
                <w:color w:val="auto"/>
              </w:rPr>
            </w:pPr>
          </w:p>
        </w:tc>
        <w:tc>
          <w:tcPr>
            <w:tcW w:w="440" w:type="dxa"/>
            <w:vAlign w:val="bottom"/>
            <w:vMerge w:val="continue"/>
            <w:shd w:val="clear" w:color="auto" w:fill="E5F1F8"/>
          </w:tcPr>
          <w:p>
            <w:pPr>
              <w:spacing w:after="0"/>
              <w:rPr>
                <w:sz w:val="7"/>
                <w:szCs w:val="7"/>
                <w:color w:val="auto"/>
              </w:rPr>
            </w:pPr>
          </w:p>
        </w:tc>
        <w:tc>
          <w:tcPr>
            <w:tcW w:w="440" w:type="dxa"/>
            <w:vAlign w:val="bottom"/>
            <w:shd w:val="clear" w:color="auto" w:fill="E5F1F8"/>
          </w:tcPr>
          <w:p>
            <w:pPr>
              <w:spacing w:after="0"/>
              <w:rPr>
                <w:sz w:val="7"/>
                <w:szCs w:val="7"/>
                <w:color w:val="auto"/>
              </w:rPr>
            </w:pPr>
          </w:p>
        </w:tc>
        <w:tc>
          <w:tcPr>
            <w:tcW w:w="480" w:type="dxa"/>
            <w:vAlign w:val="bottom"/>
            <w:vMerge w:val="continue"/>
            <w:shd w:val="clear" w:color="auto" w:fill="E5F1F8"/>
          </w:tcPr>
          <w:p>
            <w:pPr>
              <w:spacing w:after="0"/>
              <w:rPr>
                <w:sz w:val="7"/>
                <w:szCs w:val="7"/>
                <w:color w:val="auto"/>
              </w:rPr>
            </w:pPr>
          </w:p>
        </w:tc>
        <w:tc>
          <w:tcPr>
            <w:tcW w:w="500" w:type="dxa"/>
            <w:vAlign w:val="bottom"/>
            <w:vMerge w:val="continue"/>
            <w:shd w:val="clear" w:color="auto" w:fill="E5F1F8"/>
          </w:tcPr>
          <w:p>
            <w:pPr>
              <w:spacing w:after="0"/>
              <w:rPr>
                <w:sz w:val="7"/>
                <w:szCs w:val="7"/>
                <w:color w:val="auto"/>
              </w:rPr>
            </w:pPr>
          </w:p>
        </w:tc>
        <w:tc>
          <w:tcPr>
            <w:tcW w:w="400" w:type="dxa"/>
            <w:vAlign w:val="bottom"/>
            <w:tcBorders>
              <w:right w:val="single" w:sz="8" w:color="007CBA"/>
            </w:tcBorders>
            <w:vMerge w:val="continue"/>
            <w:shd w:val="clear" w:color="auto" w:fill="E5F1F8"/>
          </w:tcPr>
          <w:p>
            <w:pPr>
              <w:spacing w:after="0"/>
              <w:rPr>
                <w:sz w:val="7"/>
                <w:szCs w:val="7"/>
                <w:color w:val="auto"/>
              </w:rPr>
            </w:pPr>
          </w:p>
        </w:tc>
        <w:tc>
          <w:tcPr>
            <w:tcW w:w="80" w:type="dxa"/>
            <w:vAlign w:val="bottom"/>
            <w:shd w:val="clear" w:color="auto" w:fill="E5F1F8"/>
          </w:tcPr>
          <w:p>
            <w:pPr>
              <w:spacing w:after="0"/>
              <w:rPr>
                <w:sz w:val="7"/>
                <w:szCs w:val="7"/>
                <w:color w:val="auto"/>
              </w:rPr>
            </w:pPr>
          </w:p>
        </w:tc>
        <w:tc>
          <w:tcPr>
            <w:tcW w:w="5020" w:type="dxa"/>
            <w:vAlign w:val="bottom"/>
            <w:gridSpan w:val="7"/>
            <w:vMerge w:val="continue"/>
            <w:shd w:val="clear" w:color="auto" w:fill="E5F1F8"/>
          </w:tcPr>
          <w:p>
            <w:pPr>
              <w:spacing w:after="0"/>
              <w:rPr>
                <w:sz w:val="7"/>
                <w:szCs w:val="7"/>
                <w:color w:val="auto"/>
              </w:rPr>
            </w:pPr>
          </w:p>
        </w:tc>
        <w:tc>
          <w:tcPr>
            <w:tcW w:w="380" w:type="dxa"/>
            <w:vAlign w:val="bottom"/>
            <w:shd w:val="clear" w:color="auto" w:fill="E5F1F8"/>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360" w:type="dxa"/>
            <w:vAlign w:val="bottom"/>
            <w:tcBorders>
              <w:bottom w:val="single" w:sz="8" w:color="E5F1F8"/>
            </w:tcBorders>
            <w:vMerge w:val="continue"/>
            <w:shd w:val="clear" w:color="auto" w:fill="E5F1F8"/>
          </w:tcPr>
          <w:p>
            <w:pPr>
              <w:spacing w:after="0"/>
              <w:rPr>
                <w:sz w:val="8"/>
                <w:szCs w:val="8"/>
                <w:color w:val="auto"/>
              </w:rPr>
            </w:pPr>
          </w:p>
        </w:tc>
        <w:tc>
          <w:tcPr>
            <w:tcW w:w="500" w:type="dxa"/>
            <w:vAlign w:val="bottom"/>
            <w:tcBorders>
              <w:bottom w:val="single" w:sz="8" w:color="E5F1F8"/>
            </w:tcBorders>
            <w:shd w:val="clear" w:color="auto" w:fill="E5F1F8"/>
          </w:tcPr>
          <w:p>
            <w:pPr>
              <w:spacing w:after="0"/>
              <w:rPr>
                <w:sz w:val="8"/>
                <w:szCs w:val="8"/>
                <w:color w:val="auto"/>
              </w:rPr>
            </w:pPr>
          </w:p>
        </w:tc>
        <w:tc>
          <w:tcPr>
            <w:tcW w:w="420" w:type="dxa"/>
            <w:vAlign w:val="bottom"/>
            <w:tcBorders>
              <w:bottom w:val="single" w:sz="8" w:color="E5F1F8"/>
            </w:tcBorders>
            <w:shd w:val="clear" w:color="auto" w:fill="E5F1F8"/>
          </w:tcPr>
          <w:p>
            <w:pPr>
              <w:spacing w:after="0"/>
              <w:rPr>
                <w:sz w:val="8"/>
                <w:szCs w:val="8"/>
                <w:color w:val="auto"/>
              </w:rPr>
            </w:pPr>
          </w:p>
        </w:tc>
        <w:tc>
          <w:tcPr>
            <w:tcW w:w="480" w:type="dxa"/>
            <w:vAlign w:val="bottom"/>
            <w:tcBorders>
              <w:bottom w:val="single" w:sz="8" w:color="E5F1F8"/>
            </w:tcBorders>
            <w:shd w:val="clear" w:color="auto" w:fill="E5F1F8"/>
          </w:tcPr>
          <w:p>
            <w:pPr>
              <w:spacing w:after="0"/>
              <w:rPr>
                <w:sz w:val="8"/>
                <w:szCs w:val="8"/>
                <w:color w:val="auto"/>
              </w:rPr>
            </w:pPr>
          </w:p>
        </w:tc>
        <w:tc>
          <w:tcPr>
            <w:tcW w:w="500" w:type="dxa"/>
            <w:vAlign w:val="bottom"/>
            <w:tcBorders>
              <w:bottom w:val="single" w:sz="8" w:color="E5F1F8"/>
            </w:tcBorders>
            <w:shd w:val="clear" w:color="auto" w:fill="E5F1F8"/>
          </w:tcPr>
          <w:p>
            <w:pPr>
              <w:spacing w:after="0"/>
              <w:rPr>
                <w:sz w:val="8"/>
                <w:szCs w:val="8"/>
                <w:color w:val="auto"/>
              </w:rPr>
            </w:pPr>
          </w:p>
        </w:tc>
        <w:tc>
          <w:tcPr>
            <w:tcW w:w="440" w:type="dxa"/>
            <w:vAlign w:val="bottom"/>
            <w:tcBorders>
              <w:bottom w:val="single" w:sz="8" w:color="E5F1F8"/>
            </w:tcBorders>
            <w:shd w:val="clear" w:color="auto" w:fill="E5F1F8"/>
          </w:tcPr>
          <w:p>
            <w:pPr>
              <w:spacing w:after="0"/>
              <w:rPr>
                <w:sz w:val="8"/>
                <w:szCs w:val="8"/>
                <w:color w:val="auto"/>
              </w:rPr>
            </w:pPr>
          </w:p>
        </w:tc>
        <w:tc>
          <w:tcPr>
            <w:tcW w:w="440" w:type="dxa"/>
            <w:vAlign w:val="bottom"/>
            <w:tcBorders>
              <w:bottom w:val="single" w:sz="8" w:color="E5F1F8"/>
            </w:tcBorders>
            <w:shd w:val="clear" w:color="auto" w:fill="E5F1F8"/>
          </w:tcPr>
          <w:p>
            <w:pPr>
              <w:spacing w:after="0"/>
              <w:rPr>
                <w:sz w:val="8"/>
                <w:szCs w:val="8"/>
                <w:color w:val="auto"/>
              </w:rPr>
            </w:pPr>
          </w:p>
        </w:tc>
        <w:tc>
          <w:tcPr>
            <w:tcW w:w="480" w:type="dxa"/>
            <w:vAlign w:val="bottom"/>
            <w:tcBorders>
              <w:bottom w:val="single" w:sz="8" w:color="E5F1F8"/>
            </w:tcBorders>
            <w:shd w:val="clear" w:color="auto" w:fill="E5F1F8"/>
          </w:tcPr>
          <w:p>
            <w:pPr>
              <w:spacing w:after="0"/>
              <w:rPr>
                <w:sz w:val="8"/>
                <w:szCs w:val="8"/>
                <w:color w:val="auto"/>
              </w:rPr>
            </w:pPr>
          </w:p>
        </w:tc>
        <w:tc>
          <w:tcPr>
            <w:tcW w:w="500" w:type="dxa"/>
            <w:vAlign w:val="bottom"/>
            <w:tcBorders>
              <w:bottom w:val="single" w:sz="8" w:color="E5F1F8"/>
            </w:tcBorders>
            <w:shd w:val="clear" w:color="auto" w:fill="E5F1F8"/>
          </w:tcPr>
          <w:p>
            <w:pPr>
              <w:spacing w:after="0"/>
              <w:rPr>
                <w:sz w:val="8"/>
                <w:szCs w:val="8"/>
                <w:color w:val="auto"/>
              </w:rPr>
            </w:pPr>
          </w:p>
        </w:tc>
        <w:tc>
          <w:tcPr>
            <w:tcW w:w="400" w:type="dxa"/>
            <w:vAlign w:val="bottom"/>
            <w:tcBorders>
              <w:bottom w:val="single" w:sz="8" w:color="E5F1F8"/>
              <w:right w:val="single" w:sz="8" w:color="007CBA"/>
            </w:tcBorders>
            <w:shd w:val="clear" w:color="auto" w:fill="E5F1F8"/>
          </w:tcPr>
          <w:p>
            <w:pPr>
              <w:spacing w:after="0"/>
              <w:rPr>
                <w:sz w:val="8"/>
                <w:szCs w:val="8"/>
                <w:color w:val="auto"/>
              </w:rPr>
            </w:pPr>
          </w:p>
        </w:tc>
        <w:tc>
          <w:tcPr>
            <w:tcW w:w="80" w:type="dxa"/>
            <w:vAlign w:val="bottom"/>
            <w:tcBorders>
              <w:bottom w:val="single" w:sz="8" w:color="E5F1F8"/>
            </w:tcBorders>
            <w:shd w:val="clear" w:color="auto" w:fill="E5F1F8"/>
          </w:tcPr>
          <w:p>
            <w:pPr>
              <w:spacing w:after="0"/>
              <w:rPr>
                <w:sz w:val="8"/>
                <w:szCs w:val="8"/>
                <w:color w:val="auto"/>
              </w:rPr>
            </w:pPr>
          </w:p>
        </w:tc>
        <w:tc>
          <w:tcPr>
            <w:tcW w:w="720" w:type="dxa"/>
            <w:vAlign w:val="bottom"/>
            <w:tcBorders>
              <w:bottom w:val="single" w:sz="8" w:color="E5F1F8"/>
            </w:tcBorders>
            <w:shd w:val="clear" w:color="auto" w:fill="E5F1F8"/>
          </w:tcPr>
          <w:p>
            <w:pPr>
              <w:spacing w:after="0"/>
              <w:rPr>
                <w:sz w:val="8"/>
                <w:szCs w:val="8"/>
                <w:color w:val="auto"/>
              </w:rPr>
            </w:pPr>
          </w:p>
        </w:tc>
        <w:tc>
          <w:tcPr>
            <w:tcW w:w="1000" w:type="dxa"/>
            <w:vAlign w:val="bottom"/>
            <w:tcBorders>
              <w:bottom w:val="single" w:sz="8" w:color="E5F1F8"/>
            </w:tcBorders>
            <w:shd w:val="clear" w:color="auto" w:fill="E5F1F8"/>
          </w:tcPr>
          <w:p>
            <w:pPr>
              <w:spacing w:after="0"/>
              <w:rPr>
                <w:sz w:val="8"/>
                <w:szCs w:val="8"/>
                <w:color w:val="auto"/>
              </w:rPr>
            </w:pPr>
          </w:p>
        </w:tc>
        <w:tc>
          <w:tcPr>
            <w:tcW w:w="480" w:type="dxa"/>
            <w:vAlign w:val="bottom"/>
            <w:tcBorders>
              <w:bottom w:val="single" w:sz="8" w:color="E5F1F8"/>
            </w:tcBorders>
            <w:shd w:val="clear" w:color="auto" w:fill="E5F1F8"/>
          </w:tcPr>
          <w:p>
            <w:pPr>
              <w:spacing w:after="0"/>
              <w:rPr>
                <w:sz w:val="8"/>
                <w:szCs w:val="8"/>
                <w:color w:val="auto"/>
              </w:rPr>
            </w:pPr>
          </w:p>
        </w:tc>
        <w:tc>
          <w:tcPr>
            <w:tcW w:w="860" w:type="dxa"/>
            <w:vAlign w:val="bottom"/>
            <w:tcBorders>
              <w:bottom w:val="single" w:sz="8" w:color="E5F1F8"/>
            </w:tcBorders>
            <w:shd w:val="clear" w:color="auto" w:fill="E5F1F8"/>
          </w:tcPr>
          <w:p>
            <w:pPr>
              <w:spacing w:after="0"/>
              <w:rPr>
                <w:sz w:val="8"/>
                <w:szCs w:val="8"/>
                <w:color w:val="auto"/>
              </w:rPr>
            </w:pPr>
          </w:p>
        </w:tc>
        <w:tc>
          <w:tcPr>
            <w:tcW w:w="300" w:type="dxa"/>
            <w:vAlign w:val="bottom"/>
            <w:tcBorders>
              <w:bottom w:val="single" w:sz="8" w:color="E5F1F8"/>
            </w:tcBorders>
            <w:shd w:val="clear" w:color="auto" w:fill="E5F1F8"/>
          </w:tcPr>
          <w:p>
            <w:pPr>
              <w:spacing w:after="0"/>
              <w:rPr>
                <w:sz w:val="8"/>
                <w:szCs w:val="8"/>
                <w:color w:val="auto"/>
              </w:rPr>
            </w:pPr>
          </w:p>
        </w:tc>
        <w:tc>
          <w:tcPr>
            <w:tcW w:w="1000" w:type="dxa"/>
            <w:vAlign w:val="bottom"/>
            <w:tcBorders>
              <w:bottom w:val="single" w:sz="8" w:color="E5F1F8"/>
            </w:tcBorders>
            <w:shd w:val="clear" w:color="auto" w:fill="E5F1F8"/>
          </w:tcPr>
          <w:p>
            <w:pPr>
              <w:spacing w:after="0"/>
              <w:rPr>
                <w:sz w:val="8"/>
                <w:szCs w:val="8"/>
                <w:color w:val="auto"/>
              </w:rPr>
            </w:pPr>
          </w:p>
        </w:tc>
        <w:tc>
          <w:tcPr>
            <w:tcW w:w="660" w:type="dxa"/>
            <w:vAlign w:val="bottom"/>
            <w:tcBorders>
              <w:bottom w:val="single" w:sz="8" w:color="E5F1F8"/>
            </w:tcBorders>
            <w:shd w:val="clear" w:color="auto" w:fill="E5F1F8"/>
          </w:tcPr>
          <w:p>
            <w:pPr>
              <w:spacing w:after="0"/>
              <w:rPr>
                <w:sz w:val="8"/>
                <w:szCs w:val="8"/>
                <w:color w:val="auto"/>
              </w:rPr>
            </w:pPr>
          </w:p>
        </w:tc>
        <w:tc>
          <w:tcPr>
            <w:tcW w:w="380" w:type="dxa"/>
            <w:vAlign w:val="bottom"/>
            <w:tcBorders>
              <w:bottom w:val="single" w:sz="8" w:color="E5F1F8"/>
            </w:tcBorders>
            <w:shd w:val="clear" w:color="auto" w:fill="E5F1F8"/>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1360" w:type="dxa"/>
            <w:vAlign w:val="bottom"/>
          </w:tcPr>
          <w:p>
            <w:pPr>
              <w:ind w:left="80"/>
              <w:spacing w:after="0"/>
              <w:rPr>
                <w:sz w:val="20"/>
                <w:szCs w:val="20"/>
                <w:color w:val="auto"/>
              </w:rPr>
            </w:pPr>
            <w:r>
              <w:rPr>
                <w:rFonts w:ascii="Arial" w:cs="Arial" w:eastAsia="Arial" w:hAnsi="Arial"/>
                <w:sz w:val="14"/>
                <w:szCs w:val="14"/>
                <w:color w:val="auto"/>
              </w:rPr>
              <w:t>Other Public</w:t>
            </w:r>
          </w:p>
        </w:tc>
        <w:tc>
          <w:tcPr>
            <w:tcW w:w="500" w:type="dxa"/>
            <w:vAlign w:val="bottom"/>
            <w:vMerge w:val="restart"/>
          </w:tcPr>
          <w:p>
            <w:pPr>
              <w:ind w:left="260"/>
              <w:spacing w:after="0"/>
              <w:rPr>
                <w:sz w:val="20"/>
                <w:szCs w:val="20"/>
                <w:color w:val="auto"/>
              </w:rPr>
            </w:pPr>
            <w:r>
              <w:rPr>
                <w:rFonts w:ascii="Arial" w:cs="Arial" w:eastAsia="Arial" w:hAnsi="Arial"/>
                <w:sz w:val="14"/>
                <w:szCs w:val="14"/>
                <w:color w:val="007CBA"/>
              </w:rPr>
              <w:t>•</w:t>
            </w:r>
          </w:p>
        </w:tc>
        <w:tc>
          <w:tcPr>
            <w:tcW w:w="420" w:type="dxa"/>
            <w:vAlign w:val="bottom"/>
            <w:vMerge w:val="restart"/>
          </w:tcPr>
          <w:p>
            <w:pPr>
              <w:ind w:left="180"/>
              <w:spacing w:after="0"/>
              <w:rPr>
                <w:sz w:val="20"/>
                <w:szCs w:val="20"/>
                <w:color w:val="auto"/>
              </w:rPr>
            </w:pPr>
            <w:r>
              <w:rPr>
                <w:rFonts w:ascii="Arial" w:cs="Arial" w:eastAsia="Arial" w:hAnsi="Arial"/>
                <w:sz w:val="14"/>
                <w:szCs w:val="14"/>
                <w:color w:val="007CBA"/>
              </w:rPr>
              <w:t>•</w:t>
            </w:r>
          </w:p>
        </w:tc>
        <w:tc>
          <w:tcPr>
            <w:tcW w:w="480" w:type="dxa"/>
            <w:vAlign w:val="bottom"/>
          </w:tcPr>
          <w:p>
            <w:pPr>
              <w:spacing w:after="0"/>
              <w:rPr>
                <w:sz w:val="19"/>
                <w:szCs w:val="19"/>
                <w:color w:val="auto"/>
              </w:rPr>
            </w:pPr>
          </w:p>
        </w:tc>
        <w:tc>
          <w:tcPr>
            <w:tcW w:w="500" w:type="dxa"/>
            <w:vAlign w:val="bottom"/>
            <w:vMerge w:val="restart"/>
          </w:tcPr>
          <w:p>
            <w:pPr>
              <w:ind w:left="220"/>
              <w:spacing w:after="0"/>
              <w:rPr>
                <w:sz w:val="20"/>
                <w:szCs w:val="20"/>
                <w:color w:val="auto"/>
              </w:rPr>
            </w:pPr>
            <w:r>
              <w:rPr>
                <w:rFonts w:ascii="Arial" w:cs="Arial" w:eastAsia="Arial" w:hAnsi="Arial"/>
                <w:sz w:val="14"/>
                <w:szCs w:val="14"/>
                <w:color w:val="007CBA"/>
              </w:rPr>
              <w:t>•</w:t>
            </w:r>
          </w:p>
        </w:tc>
        <w:tc>
          <w:tcPr>
            <w:tcW w:w="440" w:type="dxa"/>
            <w:vAlign w:val="bottom"/>
            <w:vMerge w:val="restart"/>
          </w:tcPr>
          <w:p>
            <w:pPr>
              <w:ind w:left="200"/>
              <w:spacing w:after="0"/>
              <w:rPr>
                <w:sz w:val="20"/>
                <w:szCs w:val="20"/>
                <w:color w:val="auto"/>
              </w:rPr>
            </w:pPr>
            <w:r>
              <w:rPr>
                <w:rFonts w:ascii="Arial" w:cs="Arial" w:eastAsia="Arial" w:hAnsi="Arial"/>
                <w:sz w:val="14"/>
                <w:szCs w:val="14"/>
                <w:color w:val="007CBA"/>
              </w:rPr>
              <w:t>•</w:t>
            </w:r>
          </w:p>
        </w:tc>
        <w:tc>
          <w:tcPr>
            <w:tcW w:w="440" w:type="dxa"/>
            <w:vAlign w:val="bottom"/>
            <w:vMerge w:val="restart"/>
          </w:tcPr>
          <w:p>
            <w:pPr>
              <w:ind w:left="180"/>
              <w:spacing w:after="0"/>
              <w:rPr>
                <w:sz w:val="20"/>
                <w:szCs w:val="20"/>
                <w:color w:val="auto"/>
              </w:rPr>
            </w:pPr>
            <w:r>
              <w:rPr>
                <w:rFonts w:ascii="Arial" w:cs="Arial" w:eastAsia="Arial" w:hAnsi="Arial"/>
                <w:sz w:val="14"/>
                <w:szCs w:val="14"/>
                <w:color w:val="007CBA"/>
              </w:rPr>
              <w:t>•</w:t>
            </w:r>
          </w:p>
        </w:tc>
        <w:tc>
          <w:tcPr>
            <w:tcW w:w="480" w:type="dxa"/>
            <w:vAlign w:val="bottom"/>
            <w:vMerge w:val="restart"/>
          </w:tcPr>
          <w:p>
            <w:pPr>
              <w:ind w:left="220"/>
              <w:spacing w:after="0"/>
              <w:rPr>
                <w:sz w:val="20"/>
                <w:szCs w:val="20"/>
                <w:color w:val="auto"/>
              </w:rPr>
            </w:pPr>
            <w:r>
              <w:rPr>
                <w:rFonts w:ascii="Arial" w:cs="Arial" w:eastAsia="Arial" w:hAnsi="Arial"/>
                <w:sz w:val="14"/>
                <w:szCs w:val="14"/>
                <w:color w:val="007CBA"/>
              </w:rPr>
              <w:t>•</w:t>
            </w:r>
          </w:p>
        </w:tc>
        <w:tc>
          <w:tcPr>
            <w:tcW w:w="500" w:type="dxa"/>
            <w:vAlign w:val="bottom"/>
            <w:vMerge w:val="restart"/>
          </w:tcPr>
          <w:p>
            <w:pPr>
              <w:ind w:left="220"/>
              <w:spacing w:after="0"/>
              <w:rPr>
                <w:sz w:val="20"/>
                <w:szCs w:val="20"/>
                <w:color w:val="auto"/>
              </w:rPr>
            </w:pPr>
            <w:r>
              <w:rPr>
                <w:rFonts w:ascii="Arial" w:cs="Arial" w:eastAsia="Arial" w:hAnsi="Arial"/>
                <w:sz w:val="14"/>
                <w:szCs w:val="14"/>
                <w:color w:val="007CBA"/>
              </w:rPr>
              <w:t>•</w:t>
            </w:r>
          </w:p>
        </w:tc>
        <w:tc>
          <w:tcPr>
            <w:tcW w:w="400" w:type="dxa"/>
            <w:vAlign w:val="bottom"/>
            <w:tcBorders>
              <w:right w:val="single" w:sz="8" w:color="007CBA"/>
            </w:tcBorders>
            <w:vMerge w:val="restart"/>
          </w:tcPr>
          <w:p>
            <w:pPr>
              <w:ind w:left="200"/>
              <w:spacing w:after="0"/>
              <w:rPr>
                <w:sz w:val="20"/>
                <w:szCs w:val="20"/>
                <w:color w:val="auto"/>
              </w:rPr>
            </w:pPr>
            <w:r>
              <w:rPr>
                <w:rFonts w:ascii="Arial" w:cs="Arial" w:eastAsia="Arial" w:hAnsi="Arial"/>
                <w:sz w:val="14"/>
                <w:szCs w:val="14"/>
                <w:color w:val="007CBA"/>
              </w:rPr>
              <w:t>•</w:t>
            </w:r>
          </w:p>
        </w:tc>
        <w:tc>
          <w:tcPr>
            <w:tcW w:w="80" w:type="dxa"/>
            <w:vAlign w:val="bottom"/>
          </w:tcPr>
          <w:p>
            <w:pPr>
              <w:spacing w:after="0"/>
              <w:rPr>
                <w:sz w:val="19"/>
                <w:szCs w:val="19"/>
                <w:color w:val="auto"/>
              </w:rPr>
            </w:pPr>
          </w:p>
        </w:tc>
        <w:tc>
          <w:tcPr>
            <w:tcW w:w="5020" w:type="dxa"/>
            <w:vAlign w:val="bottom"/>
            <w:gridSpan w:val="7"/>
            <w:vMerge w:val="restart"/>
          </w:tcPr>
          <w:p>
            <w:pPr>
              <w:ind w:left="20"/>
              <w:spacing w:after="0"/>
              <w:rPr>
                <w:sz w:val="20"/>
                <w:szCs w:val="20"/>
                <w:color w:val="auto"/>
              </w:rPr>
            </w:pPr>
            <w:r>
              <w:rPr>
                <w:rFonts w:ascii="Arial" w:cs="Arial" w:eastAsia="Arial" w:hAnsi="Arial"/>
                <w:sz w:val="14"/>
                <w:szCs w:val="14"/>
                <w:color w:val="auto"/>
              </w:rPr>
              <w:t>Adds perspective important to shareholders and public company governance</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1360" w:type="dxa"/>
            <w:vAlign w:val="bottom"/>
            <w:vMerge w:val="restart"/>
          </w:tcPr>
          <w:p>
            <w:pPr>
              <w:ind w:left="80"/>
              <w:spacing w:after="0"/>
              <w:rPr>
                <w:sz w:val="20"/>
                <w:szCs w:val="20"/>
                <w:color w:val="auto"/>
              </w:rPr>
            </w:pPr>
            <w:r>
              <w:rPr>
                <w:rFonts w:ascii="Arial" w:cs="Arial" w:eastAsia="Arial" w:hAnsi="Arial"/>
                <w:sz w:val="14"/>
                <w:szCs w:val="14"/>
                <w:color w:val="auto"/>
              </w:rPr>
              <w:t>Boards</w:t>
            </w:r>
          </w:p>
        </w:tc>
        <w:tc>
          <w:tcPr>
            <w:tcW w:w="50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400" w:type="dxa"/>
            <w:vAlign w:val="bottom"/>
            <w:tcBorders>
              <w:right w:val="single" w:sz="8" w:color="007CBA"/>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5020" w:type="dxa"/>
            <w:vAlign w:val="bottom"/>
            <w:gridSpan w:val="7"/>
            <w:vMerge w:val="continue"/>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36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Borders>
              <w:right w:val="single" w:sz="8" w:color="007CBA"/>
            </w:tcBorders>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Borders>
              <w:right w:val="single" w:sz="8" w:color="007CBA"/>
            </w:tcBorders>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1"/>
        </w:trPr>
        <w:tc>
          <w:tcPr>
            <w:tcW w:w="1360" w:type="dxa"/>
            <w:vAlign w:val="bottom"/>
            <w:vMerge w:val="restart"/>
            <w:shd w:val="clear" w:color="auto" w:fill="E5F1F8"/>
          </w:tcPr>
          <w:p>
            <w:pPr>
              <w:ind w:left="80"/>
              <w:spacing w:after="0"/>
              <w:rPr>
                <w:sz w:val="20"/>
                <w:szCs w:val="20"/>
                <w:color w:val="auto"/>
              </w:rPr>
            </w:pPr>
            <w:r>
              <w:rPr>
                <w:rFonts w:ascii="Arial" w:cs="Arial" w:eastAsia="Arial" w:hAnsi="Arial"/>
                <w:sz w:val="14"/>
                <w:szCs w:val="14"/>
                <w:color w:val="auto"/>
              </w:rPr>
              <w:t>Risk Management</w:t>
            </w:r>
          </w:p>
        </w:tc>
        <w:tc>
          <w:tcPr>
            <w:tcW w:w="500" w:type="dxa"/>
            <w:vAlign w:val="bottom"/>
            <w:vMerge w:val="restart"/>
            <w:shd w:val="clear" w:color="auto" w:fill="E5F1F8"/>
          </w:tcPr>
          <w:p>
            <w:pPr>
              <w:ind w:left="260"/>
              <w:spacing w:after="0"/>
              <w:rPr>
                <w:sz w:val="20"/>
                <w:szCs w:val="20"/>
                <w:color w:val="auto"/>
              </w:rPr>
            </w:pPr>
            <w:r>
              <w:rPr>
                <w:rFonts w:ascii="Arial" w:cs="Arial" w:eastAsia="Arial" w:hAnsi="Arial"/>
                <w:sz w:val="14"/>
                <w:szCs w:val="14"/>
                <w:color w:val="007CBA"/>
              </w:rPr>
              <w:t>•</w:t>
            </w:r>
          </w:p>
        </w:tc>
        <w:tc>
          <w:tcPr>
            <w:tcW w:w="420" w:type="dxa"/>
            <w:vAlign w:val="bottom"/>
            <w:vMerge w:val="restart"/>
            <w:shd w:val="clear" w:color="auto" w:fill="E5F1F8"/>
          </w:tcPr>
          <w:p>
            <w:pPr>
              <w:ind w:left="180"/>
              <w:spacing w:after="0"/>
              <w:rPr>
                <w:sz w:val="20"/>
                <w:szCs w:val="20"/>
                <w:color w:val="auto"/>
              </w:rPr>
            </w:pPr>
            <w:r>
              <w:rPr>
                <w:rFonts w:ascii="Arial" w:cs="Arial" w:eastAsia="Arial" w:hAnsi="Arial"/>
                <w:sz w:val="14"/>
                <w:szCs w:val="14"/>
                <w:color w:val="007CBA"/>
              </w:rPr>
              <w:t>•</w:t>
            </w:r>
          </w:p>
        </w:tc>
        <w:tc>
          <w:tcPr>
            <w:tcW w:w="480" w:type="dxa"/>
            <w:vAlign w:val="bottom"/>
            <w:vMerge w:val="restart"/>
            <w:shd w:val="clear" w:color="auto" w:fill="E5F1F8"/>
          </w:tcPr>
          <w:p>
            <w:pPr>
              <w:ind w:left="200"/>
              <w:spacing w:after="0"/>
              <w:rPr>
                <w:sz w:val="20"/>
                <w:szCs w:val="20"/>
                <w:color w:val="auto"/>
              </w:rPr>
            </w:pPr>
            <w:r>
              <w:rPr>
                <w:rFonts w:ascii="Arial" w:cs="Arial" w:eastAsia="Arial" w:hAnsi="Arial"/>
                <w:sz w:val="14"/>
                <w:szCs w:val="14"/>
                <w:color w:val="007CBA"/>
              </w:rPr>
              <w:t>•</w:t>
            </w:r>
          </w:p>
        </w:tc>
        <w:tc>
          <w:tcPr>
            <w:tcW w:w="500" w:type="dxa"/>
            <w:vAlign w:val="bottom"/>
            <w:vMerge w:val="restart"/>
            <w:shd w:val="clear" w:color="auto" w:fill="E5F1F8"/>
          </w:tcPr>
          <w:p>
            <w:pPr>
              <w:ind w:left="220"/>
              <w:spacing w:after="0"/>
              <w:rPr>
                <w:sz w:val="20"/>
                <w:szCs w:val="20"/>
                <w:color w:val="auto"/>
              </w:rPr>
            </w:pPr>
            <w:r>
              <w:rPr>
                <w:rFonts w:ascii="Arial" w:cs="Arial" w:eastAsia="Arial" w:hAnsi="Arial"/>
                <w:sz w:val="14"/>
                <w:szCs w:val="14"/>
                <w:color w:val="007CBA"/>
              </w:rPr>
              <w:t>•</w:t>
            </w:r>
          </w:p>
        </w:tc>
        <w:tc>
          <w:tcPr>
            <w:tcW w:w="440" w:type="dxa"/>
            <w:vAlign w:val="bottom"/>
            <w:vMerge w:val="restart"/>
            <w:shd w:val="clear" w:color="auto" w:fill="E5F1F8"/>
          </w:tcPr>
          <w:p>
            <w:pPr>
              <w:ind w:left="200"/>
              <w:spacing w:after="0"/>
              <w:rPr>
                <w:sz w:val="20"/>
                <w:szCs w:val="20"/>
                <w:color w:val="auto"/>
              </w:rPr>
            </w:pPr>
            <w:r>
              <w:rPr>
                <w:rFonts w:ascii="Arial" w:cs="Arial" w:eastAsia="Arial" w:hAnsi="Arial"/>
                <w:sz w:val="14"/>
                <w:szCs w:val="14"/>
                <w:color w:val="007CBA"/>
              </w:rPr>
              <w:t>•</w:t>
            </w:r>
          </w:p>
        </w:tc>
        <w:tc>
          <w:tcPr>
            <w:tcW w:w="440" w:type="dxa"/>
            <w:vAlign w:val="bottom"/>
            <w:vMerge w:val="restart"/>
            <w:shd w:val="clear" w:color="auto" w:fill="E5F1F8"/>
          </w:tcPr>
          <w:p>
            <w:pPr>
              <w:ind w:left="180"/>
              <w:spacing w:after="0"/>
              <w:rPr>
                <w:sz w:val="20"/>
                <w:szCs w:val="20"/>
                <w:color w:val="auto"/>
              </w:rPr>
            </w:pPr>
            <w:r>
              <w:rPr>
                <w:rFonts w:ascii="Arial" w:cs="Arial" w:eastAsia="Arial" w:hAnsi="Arial"/>
                <w:sz w:val="14"/>
                <w:szCs w:val="14"/>
                <w:color w:val="007CBA"/>
              </w:rPr>
              <w:t>•</w:t>
            </w:r>
          </w:p>
        </w:tc>
        <w:tc>
          <w:tcPr>
            <w:tcW w:w="480" w:type="dxa"/>
            <w:vAlign w:val="bottom"/>
            <w:vMerge w:val="restart"/>
            <w:shd w:val="clear" w:color="auto" w:fill="E5F1F8"/>
          </w:tcPr>
          <w:p>
            <w:pPr>
              <w:ind w:left="220"/>
              <w:spacing w:after="0"/>
              <w:rPr>
                <w:sz w:val="20"/>
                <w:szCs w:val="20"/>
                <w:color w:val="auto"/>
              </w:rPr>
            </w:pPr>
            <w:r>
              <w:rPr>
                <w:rFonts w:ascii="Arial" w:cs="Arial" w:eastAsia="Arial" w:hAnsi="Arial"/>
                <w:sz w:val="14"/>
                <w:szCs w:val="14"/>
                <w:color w:val="007CBA"/>
              </w:rPr>
              <w:t>•</w:t>
            </w:r>
          </w:p>
        </w:tc>
        <w:tc>
          <w:tcPr>
            <w:tcW w:w="500" w:type="dxa"/>
            <w:vAlign w:val="bottom"/>
            <w:vMerge w:val="restart"/>
            <w:shd w:val="clear" w:color="auto" w:fill="E5F1F8"/>
          </w:tcPr>
          <w:p>
            <w:pPr>
              <w:ind w:left="220"/>
              <w:spacing w:after="0"/>
              <w:rPr>
                <w:sz w:val="20"/>
                <w:szCs w:val="20"/>
                <w:color w:val="auto"/>
              </w:rPr>
            </w:pPr>
            <w:r>
              <w:rPr>
                <w:rFonts w:ascii="Arial" w:cs="Arial" w:eastAsia="Arial" w:hAnsi="Arial"/>
                <w:sz w:val="14"/>
                <w:szCs w:val="14"/>
                <w:color w:val="007CBA"/>
              </w:rPr>
              <w:t>•</w:t>
            </w:r>
          </w:p>
        </w:tc>
        <w:tc>
          <w:tcPr>
            <w:tcW w:w="400" w:type="dxa"/>
            <w:vAlign w:val="bottom"/>
            <w:tcBorders>
              <w:right w:val="single" w:sz="8" w:color="007CBA"/>
            </w:tcBorders>
            <w:vMerge w:val="restart"/>
            <w:shd w:val="clear" w:color="auto" w:fill="E5F1F8"/>
          </w:tcPr>
          <w:p>
            <w:pPr>
              <w:ind w:left="200"/>
              <w:spacing w:after="0"/>
              <w:rPr>
                <w:sz w:val="20"/>
                <w:szCs w:val="20"/>
                <w:color w:val="auto"/>
              </w:rPr>
            </w:pPr>
            <w:r>
              <w:rPr>
                <w:rFonts w:ascii="Arial" w:cs="Arial" w:eastAsia="Arial" w:hAnsi="Arial"/>
                <w:sz w:val="14"/>
                <w:szCs w:val="14"/>
                <w:color w:val="007CBA"/>
              </w:rPr>
              <w:t>•</w:t>
            </w:r>
          </w:p>
        </w:tc>
        <w:tc>
          <w:tcPr>
            <w:tcW w:w="80" w:type="dxa"/>
            <w:vAlign w:val="bottom"/>
            <w:shd w:val="clear" w:color="auto" w:fill="E5F1F8"/>
          </w:tcPr>
          <w:p>
            <w:pPr>
              <w:spacing w:after="0"/>
              <w:rPr>
                <w:sz w:val="19"/>
                <w:szCs w:val="19"/>
                <w:color w:val="auto"/>
              </w:rPr>
            </w:pPr>
          </w:p>
        </w:tc>
        <w:tc>
          <w:tcPr>
            <w:tcW w:w="720" w:type="dxa"/>
            <w:vAlign w:val="bottom"/>
            <w:shd w:val="clear" w:color="auto" w:fill="E5F1F8"/>
          </w:tcPr>
          <w:p>
            <w:pPr>
              <w:ind w:left="20"/>
              <w:spacing w:after="0"/>
              <w:rPr>
                <w:sz w:val="20"/>
                <w:szCs w:val="20"/>
                <w:color w:val="auto"/>
              </w:rPr>
            </w:pPr>
            <w:r>
              <w:rPr>
                <w:rFonts w:ascii="Arial" w:cs="Arial" w:eastAsia="Arial" w:hAnsi="Arial"/>
                <w:sz w:val="14"/>
                <w:szCs w:val="14"/>
                <w:color w:val="auto"/>
              </w:rPr>
              <w:t>Facilitates</w:t>
            </w:r>
          </w:p>
        </w:tc>
        <w:tc>
          <w:tcPr>
            <w:tcW w:w="100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understanding</w:t>
            </w:r>
          </w:p>
        </w:tc>
        <w:tc>
          <w:tcPr>
            <w:tcW w:w="480" w:type="dxa"/>
            <w:vAlign w:val="bottom"/>
            <w:shd w:val="clear" w:color="auto" w:fill="E5F1F8"/>
          </w:tcPr>
          <w:p>
            <w:pPr>
              <w:ind w:left="40"/>
              <w:spacing w:after="0"/>
              <w:rPr>
                <w:sz w:val="20"/>
                <w:szCs w:val="20"/>
                <w:color w:val="auto"/>
              </w:rPr>
            </w:pPr>
            <w:r>
              <w:rPr>
                <w:rFonts w:ascii="Arial" w:cs="Arial" w:eastAsia="Arial" w:hAnsi="Arial"/>
                <w:sz w:val="14"/>
                <w:szCs w:val="14"/>
                <w:color w:val="auto"/>
              </w:rPr>
              <w:t>of the</w:t>
            </w:r>
          </w:p>
        </w:tc>
        <w:tc>
          <w:tcPr>
            <w:tcW w:w="860" w:type="dxa"/>
            <w:vAlign w:val="bottom"/>
            <w:shd w:val="clear" w:color="auto" w:fill="E5F1F8"/>
          </w:tcPr>
          <w:p>
            <w:pPr>
              <w:jc w:val="right"/>
              <w:spacing w:after="0"/>
              <w:rPr>
                <w:sz w:val="20"/>
                <w:szCs w:val="20"/>
                <w:color w:val="auto"/>
              </w:rPr>
            </w:pPr>
            <w:r>
              <w:rPr>
                <w:rFonts w:ascii="Arial" w:cs="Arial" w:eastAsia="Arial" w:hAnsi="Arial"/>
                <w:sz w:val="14"/>
                <w:szCs w:val="14"/>
                <w:color w:val="auto"/>
              </w:rPr>
              <w:t>risks facing</w:t>
            </w:r>
          </w:p>
        </w:tc>
        <w:tc>
          <w:tcPr>
            <w:tcW w:w="300" w:type="dxa"/>
            <w:vAlign w:val="bottom"/>
            <w:shd w:val="clear" w:color="auto" w:fill="E5F1F8"/>
          </w:tcPr>
          <w:p>
            <w:pPr>
              <w:ind w:left="40"/>
              <w:spacing w:after="0"/>
              <w:rPr>
                <w:sz w:val="20"/>
                <w:szCs w:val="20"/>
                <w:color w:val="auto"/>
              </w:rPr>
            </w:pPr>
            <w:r>
              <w:rPr>
                <w:rFonts w:ascii="Arial" w:cs="Arial" w:eastAsia="Arial" w:hAnsi="Arial"/>
                <w:sz w:val="14"/>
                <w:szCs w:val="14"/>
                <w:color w:val="auto"/>
              </w:rPr>
              <w:t>the</w:t>
            </w:r>
          </w:p>
        </w:tc>
        <w:tc>
          <w:tcPr>
            <w:tcW w:w="100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Company and</w:t>
            </w:r>
          </w:p>
        </w:tc>
        <w:tc>
          <w:tcPr>
            <w:tcW w:w="1040" w:type="dxa"/>
            <w:vAlign w:val="bottom"/>
            <w:gridSpan w:val="2"/>
            <w:shd w:val="clear" w:color="auto" w:fill="E5F1F8"/>
          </w:tcPr>
          <w:p>
            <w:pPr>
              <w:jc w:val="right"/>
              <w:ind w:right="168"/>
              <w:spacing w:after="0"/>
              <w:rPr>
                <w:sz w:val="20"/>
                <w:szCs w:val="20"/>
                <w:color w:val="auto"/>
              </w:rPr>
            </w:pPr>
            <w:r>
              <w:rPr>
                <w:rFonts w:ascii="Arial" w:cs="Arial" w:eastAsia="Arial" w:hAnsi="Arial"/>
                <w:sz w:val="14"/>
                <w:szCs w:val="14"/>
                <w:color w:val="auto"/>
              </w:rPr>
              <w:t>appropriate</w:t>
            </w:r>
          </w:p>
        </w:tc>
        <w:tc>
          <w:tcPr>
            <w:tcW w:w="0" w:type="dxa"/>
            <w:vAlign w:val="bottom"/>
          </w:tcPr>
          <w:p>
            <w:pPr>
              <w:spacing w:after="0"/>
              <w:rPr>
                <w:sz w:val="1"/>
                <w:szCs w:val="1"/>
                <w:color w:val="auto"/>
              </w:rPr>
            </w:pPr>
          </w:p>
        </w:tc>
      </w:tr>
      <w:tr>
        <w:trPr>
          <w:trHeight w:val="91"/>
        </w:trPr>
        <w:tc>
          <w:tcPr>
            <w:tcW w:w="1360" w:type="dxa"/>
            <w:vAlign w:val="bottom"/>
            <w:vMerge w:val="continue"/>
            <w:shd w:val="clear" w:color="auto" w:fill="E5F1F8"/>
          </w:tcPr>
          <w:p>
            <w:pPr>
              <w:spacing w:after="0"/>
              <w:rPr>
                <w:sz w:val="7"/>
                <w:szCs w:val="7"/>
                <w:color w:val="auto"/>
              </w:rPr>
            </w:pPr>
          </w:p>
        </w:tc>
        <w:tc>
          <w:tcPr>
            <w:tcW w:w="500" w:type="dxa"/>
            <w:vAlign w:val="bottom"/>
            <w:vMerge w:val="continue"/>
            <w:shd w:val="clear" w:color="auto" w:fill="E5F1F8"/>
          </w:tcPr>
          <w:p>
            <w:pPr>
              <w:spacing w:after="0"/>
              <w:rPr>
                <w:sz w:val="7"/>
                <w:szCs w:val="7"/>
                <w:color w:val="auto"/>
              </w:rPr>
            </w:pPr>
          </w:p>
        </w:tc>
        <w:tc>
          <w:tcPr>
            <w:tcW w:w="420" w:type="dxa"/>
            <w:vAlign w:val="bottom"/>
            <w:vMerge w:val="continue"/>
            <w:shd w:val="clear" w:color="auto" w:fill="E5F1F8"/>
          </w:tcPr>
          <w:p>
            <w:pPr>
              <w:spacing w:after="0"/>
              <w:rPr>
                <w:sz w:val="7"/>
                <w:szCs w:val="7"/>
                <w:color w:val="auto"/>
              </w:rPr>
            </w:pPr>
          </w:p>
        </w:tc>
        <w:tc>
          <w:tcPr>
            <w:tcW w:w="480" w:type="dxa"/>
            <w:vAlign w:val="bottom"/>
            <w:vMerge w:val="continue"/>
            <w:shd w:val="clear" w:color="auto" w:fill="E5F1F8"/>
          </w:tcPr>
          <w:p>
            <w:pPr>
              <w:spacing w:after="0"/>
              <w:rPr>
                <w:sz w:val="7"/>
                <w:szCs w:val="7"/>
                <w:color w:val="auto"/>
              </w:rPr>
            </w:pPr>
          </w:p>
        </w:tc>
        <w:tc>
          <w:tcPr>
            <w:tcW w:w="500" w:type="dxa"/>
            <w:vAlign w:val="bottom"/>
            <w:vMerge w:val="continue"/>
            <w:shd w:val="clear" w:color="auto" w:fill="E5F1F8"/>
          </w:tcPr>
          <w:p>
            <w:pPr>
              <w:spacing w:after="0"/>
              <w:rPr>
                <w:sz w:val="7"/>
                <w:szCs w:val="7"/>
                <w:color w:val="auto"/>
              </w:rPr>
            </w:pPr>
          </w:p>
        </w:tc>
        <w:tc>
          <w:tcPr>
            <w:tcW w:w="440" w:type="dxa"/>
            <w:vAlign w:val="bottom"/>
            <w:vMerge w:val="continue"/>
            <w:shd w:val="clear" w:color="auto" w:fill="E5F1F8"/>
          </w:tcPr>
          <w:p>
            <w:pPr>
              <w:spacing w:after="0"/>
              <w:rPr>
                <w:sz w:val="7"/>
                <w:szCs w:val="7"/>
                <w:color w:val="auto"/>
              </w:rPr>
            </w:pPr>
          </w:p>
        </w:tc>
        <w:tc>
          <w:tcPr>
            <w:tcW w:w="440" w:type="dxa"/>
            <w:vAlign w:val="bottom"/>
            <w:vMerge w:val="continue"/>
            <w:shd w:val="clear" w:color="auto" w:fill="E5F1F8"/>
          </w:tcPr>
          <w:p>
            <w:pPr>
              <w:spacing w:after="0"/>
              <w:rPr>
                <w:sz w:val="7"/>
                <w:szCs w:val="7"/>
                <w:color w:val="auto"/>
              </w:rPr>
            </w:pPr>
          </w:p>
        </w:tc>
        <w:tc>
          <w:tcPr>
            <w:tcW w:w="480" w:type="dxa"/>
            <w:vAlign w:val="bottom"/>
            <w:vMerge w:val="continue"/>
            <w:shd w:val="clear" w:color="auto" w:fill="E5F1F8"/>
          </w:tcPr>
          <w:p>
            <w:pPr>
              <w:spacing w:after="0"/>
              <w:rPr>
                <w:sz w:val="7"/>
                <w:szCs w:val="7"/>
                <w:color w:val="auto"/>
              </w:rPr>
            </w:pPr>
          </w:p>
        </w:tc>
        <w:tc>
          <w:tcPr>
            <w:tcW w:w="500" w:type="dxa"/>
            <w:vAlign w:val="bottom"/>
            <w:vMerge w:val="continue"/>
            <w:shd w:val="clear" w:color="auto" w:fill="E5F1F8"/>
          </w:tcPr>
          <w:p>
            <w:pPr>
              <w:spacing w:after="0"/>
              <w:rPr>
                <w:sz w:val="7"/>
                <w:szCs w:val="7"/>
                <w:color w:val="auto"/>
              </w:rPr>
            </w:pPr>
          </w:p>
        </w:tc>
        <w:tc>
          <w:tcPr>
            <w:tcW w:w="400" w:type="dxa"/>
            <w:vAlign w:val="bottom"/>
            <w:tcBorders>
              <w:right w:val="single" w:sz="8" w:color="007CBA"/>
            </w:tcBorders>
            <w:vMerge w:val="continue"/>
            <w:shd w:val="clear" w:color="auto" w:fill="E5F1F8"/>
          </w:tcPr>
          <w:p>
            <w:pPr>
              <w:spacing w:after="0"/>
              <w:rPr>
                <w:sz w:val="7"/>
                <w:szCs w:val="7"/>
                <w:color w:val="auto"/>
              </w:rPr>
            </w:pPr>
          </w:p>
        </w:tc>
        <w:tc>
          <w:tcPr>
            <w:tcW w:w="80" w:type="dxa"/>
            <w:vAlign w:val="bottom"/>
            <w:shd w:val="clear" w:color="auto" w:fill="E5F1F8"/>
          </w:tcPr>
          <w:p>
            <w:pPr>
              <w:spacing w:after="0"/>
              <w:rPr>
                <w:sz w:val="7"/>
                <w:szCs w:val="7"/>
                <w:color w:val="auto"/>
              </w:rPr>
            </w:pPr>
          </w:p>
        </w:tc>
        <w:tc>
          <w:tcPr>
            <w:tcW w:w="3060" w:type="dxa"/>
            <w:vAlign w:val="bottom"/>
            <w:gridSpan w:val="4"/>
            <w:vMerge w:val="restart"/>
            <w:shd w:val="clear" w:color="auto" w:fill="E5F1F8"/>
          </w:tcPr>
          <w:p>
            <w:pPr>
              <w:ind w:left="20"/>
              <w:spacing w:after="0"/>
              <w:rPr>
                <w:sz w:val="20"/>
                <w:szCs w:val="20"/>
                <w:color w:val="auto"/>
              </w:rPr>
            </w:pPr>
            <w:r>
              <w:rPr>
                <w:rFonts w:ascii="Arial" w:cs="Arial" w:eastAsia="Arial" w:hAnsi="Arial"/>
                <w:sz w:val="14"/>
                <w:szCs w:val="14"/>
                <w:color w:val="auto"/>
              </w:rPr>
              <w:t>process and procedures for managing them</w:t>
            </w:r>
          </w:p>
        </w:tc>
        <w:tc>
          <w:tcPr>
            <w:tcW w:w="300" w:type="dxa"/>
            <w:vAlign w:val="bottom"/>
            <w:shd w:val="clear" w:color="auto" w:fill="E5F1F8"/>
          </w:tcPr>
          <w:p>
            <w:pPr>
              <w:spacing w:after="0"/>
              <w:rPr>
                <w:sz w:val="7"/>
                <w:szCs w:val="7"/>
                <w:color w:val="auto"/>
              </w:rPr>
            </w:pPr>
          </w:p>
        </w:tc>
        <w:tc>
          <w:tcPr>
            <w:tcW w:w="1000" w:type="dxa"/>
            <w:vAlign w:val="bottom"/>
            <w:shd w:val="clear" w:color="auto" w:fill="E5F1F8"/>
          </w:tcPr>
          <w:p>
            <w:pPr>
              <w:spacing w:after="0"/>
              <w:rPr>
                <w:sz w:val="7"/>
                <w:szCs w:val="7"/>
                <w:color w:val="auto"/>
              </w:rPr>
            </w:pPr>
          </w:p>
        </w:tc>
        <w:tc>
          <w:tcPr>
            <w:tcW w:w="660" w:type="dxa"/>
            <w:vAlign w:val="bottom"/>
            <w:shd w:val="clear" w:color="auto" w:fill="E5F1F8"/>
          </w:tcPr>
          <w:p>
            <w:pPr>
              <w:spacing w:after="0"/>
              <w:rPr>
                <w:sz w:val="7"/>
                <w:szCs w:val="7"/>
                <w:color w:val="auto"/>
              </w:rPr>
            </w:pPr>
          </w:p>
        </w:tc>
        <w:tc>
          <w:tcPr>
            <w:tcW w:w="380" w:type="dxa"/>
            <w:vAlign w:val="bottom"/>
            <w:shd w:val="clear" w:color="auto" w:fill="E5F1F8"/>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360" w:type="dxa"/>
            <w:vAlign w:val="bottom"/>
            <w:tcBorders>
              <w:bottom w:val="single" w:sz="8" w:color="E5F1F8"/>
            </w:tcBorders>
            <w:shd w:val="clear" w:color="auto" w:fill="E5F1F8"/>
          </w:tcPr>
          <w:p>
            <w:pPr>
              <w:spacing w:after="0"/>
              <w:rPr>
                <w:sz w:val="8"/>
                <w:szCs w:val="8"/>
                <w:color w:val="auto"/>
              </w:rPr>
            </w:pPr>
          </w:p>
        </w:tc>
        <w:tc>
          <w:tcPr>
            <w:tcW w:w="500" w:type="dxa"/>
            <w:vAlign w:val="bottom"/>
            <w:tcBorders>
              <w:bottom w:val="single" w:sz="8" w:color="E5F1F8"/>
            </w:tcBorders>
            <w:shd w:val="clear" w:color="auto" w:fill="E5F1F8"/>
          </w:tcPr>
          <w:p>
            <w:pPr>
              <w:spacing w:after="0"/>
              <w:rPr>
                <w:sz w:val="8"/>
                <w:szCs w:val="8"/>
                <w:color w:val="auto"/>
              </w:rPr>
            </w:pPr>
          </w:p>
        </w:tc>
        <w:tc>
          <w:tcPr>
            <w:tcW w:w="420" w:type="dxa"/>
            <w:vAlign w:val="bottom"/>
            <w:tcBorders>
              <w:bottom w:val="single" w:sz="8" w:color="E5F1F8"/>
            </w:tcBorders>
            <w:shd w:val="clear" w:color="auto" w:fill="E5F1F8"/>
          </w:tcPr>
          <w:p>
            <w:pPr>
              <w:spacing w:after="0"/>
              <w:rPr>
                <w:sz w:val="8"/>
                <w:szCs w:val="8"/>
                <w:color w:val="auto"/>
              </w:rPr>
            </w:pPr>
          </w:p>
        </w:tc>
        <w:tc>
          <w:tcPr>
            <w:tcW w:w="480" w:type="dxa"/>
            <w:vAlign w:val="bottom"/>
            <w:tcBorders>
              <w:bottom w:val="single" w:sz="8" w:color="E5F1F8"/>
            </w:tcBorders>
            <w:shd w:val="clear" w:color="auto" w:fill="E5F1F8"/>
          </w:tcPr>
          <w:p>
            <w:pPr>
              <w:spacing w:after="0"/>
              <w:rPr>
                <w:sz w:val="8"/>
                <w:szCs w:val="8"/>
                <w:color w:val="auto"/>
              </w:rPr>
            </w:pPr>
          </w:p>
        </w:tc>
        <w:tc>
          <w:tcPr>
            <w:tcW w:w="500" w:type="dxa"/>
            <w:vAlign w:val="bottom"/>
            <w:tcBorders>
              <w:bottom w:val="single" w:sz="8" w:color="E5F1F8"/>
            </w:tcBorders>
            <w:shd w:val="clear" w:color="auto" w:fill="E5F1F8"/>
          </w:tcPr>
          <w:p>
            <w:pPr>
              <w:spacing w:after="0"/>
              <w:rPr>
                <w:sz w:val="8"/>
                <w:szCs w:val="8"/>
                <w:color w:val="auto"/>
              </w:rPr>
            </w:pPr>
          </w:p>
        </w:tc>
        <w:tc>
          <w:tcPr>
            <w:tcW w:w="440" w:type="dxa"/>
            <w:vAlign w:val="bottom"/>
            <w:tcBorders>
              <w:bottom w:val="single" w:sz="8" w:color="E5F1F8"/>
            </w:tcBorders>
            <w:shd w:val="clear" w:color="auto" w:fill="E5F1F8"/>
          </w:tcPr>
          <w:p>
            <w:pPr>
              <w:spacing w:after="0"/>
              <w:rPr>
                <w:sz w:val="8"/>
                <w:szCs w:val="8"/>
                <w:color w:val="auto"/>
              </w:rPr>
            </w:pPr>
          </w:p>
        </w:tc>
        <w:tc>
          <w:tcPr>
            <w:tcW w:w="440" w:type="dxa"/>
            <w:vAlign w:val="bottom"/>
            <w:tcBorders>
              <w:bottom w:val="single" w:sz="8" w:color="E5F1F8"/>
            </w:tcBorders>
            <w:shd w:val="clear" w:color="auto" w:fill="E5F1F8"/>
          </w:tcPr>
          <w:p>
            <w:pPr>
              <w:spacing w:after="0"/>
              <w:rPr>
                <w:sz w:val="8"/>
                <w:szCs w:val="8"/>
                <w:color w:val="auto"/>
              </w:rPr>
            </w:pPr>
          </w:p>
        </w:tc>
        <w:tc>
          <w:tcPr>
            <w:tcW w:w="480" w:type="dxa"/>
            <w:vAlign w:val="bottom"/>
            <w:tcBorders>
              <w:bottom w:val="single" w:sz="8" w:color="E5F1F8"/>
            </w:tcBorders>
            <w:shd w:val="clear" w:color="auto" w:fill="E5F1F8"/>
          </w:tcPr>
          <w:p>
            <w:pPr>
              <w:spacing w:after="0"/>
              <w:rPr>
                <w:sz w:val="8"/>
                <w:szCs w:val="8"/>
                <w:color w:val="auto"/>
              </w:rPr>
            </w:pPr>
          </w:p>
        </w:tc>
        <w:tc>
          <w:tcPr>
            <w:tcW w:w="500" w:type="dxa"/>
            <w:vAlign w:val="bottom"/>
            <w:tcBorders>
              <w:bottom w:val="single" w:sz="8" w:color="E5F1F8"/>
            </w:tcBorders>
            <w:shd w:val="clear" w:color="auto" w:fill="E5F1F8"/>
          </w:tcPr>
          <w:p>
            <w:pPr>
              <w:spacing w:after="0"/>
              <w:rPr>
                <w:sz w:val="8"/>
                <w:szCs w:val="8"/>
                <w:color w:val="auto"/>
              </w:rPr>
            </w:pPr>
          </w:p>
        </w:tc>
        <w:tc>
          <w:tcPr>
            <w:tcW w:w="400" w:type="dxa"/>
            <w:vAlign w:val="bottom"/>
            <w:tcBorders>
              <w:bottom w:val="single" w:sz="8" w:color="E5F1F8"/>
              <w:right w:val="single" w:sz="8" w:color="007CBA"/>
            </w:tcBorders>
            <w:shd w:val="clear" w:color="auto" w:fill="E5F1F8"/>
          </w:tcPr>
          <w:p>
            <w:pPr>
              <w:spacing w:after="0"/>
              <w:rPr>
                <w:sz w:val="8"/>
                <w:szCs w:val="8"/>
                <w:color w:val="auto"/>
              </w:rPr>
            </w:pPr>
          </w:p>
        </w:tc>
        <w:tc>
          <w:tcPr>
            <w:tcW w:w="80" w:type="dxa"/>
            <w:vAlign w:val="bottom"/>
            <w:tcBorders>
              <w:bottom w:val="single" w:sz="8" w:color="E5F1F8"/>
            </w:tcBorders>
            <w:shd w:val="clear" w:color="auto" w:fill="E5F1F8"/>
          </w:tcPr>
          <w:p>
            <w:pPr>
              <w:spacing w:after="0"/>
              <w:rPr>
                <w:sz w:val="8"/>
                <w:szCs w:val="8"/>
                <w:color w:val="auto"/>
              </w:rPr>
            </w:pPr>
          </w:p>
        </w:tc>
        <w:tc>
          <w:tcPr>
            <w:tcW w:w="3060" w:type="dxa"/>
            <w:vAlign w:val="bottom"/>
            <w:tcBorders>
              <w:bottom w:val="single" w:sz="8" w:color="E5F1F8"/>
            </w:tcBorders>
            <w:gridSpan w:val="4"/>
            <w:vMerge w:val="continue"/>
            <w:shd w:val="clear" w:color="auto" w:fill="E5F1F8"/>
          </w:tcPr>
          <w:p>
            <w:pPr>
              <w:spacing w:after="0"/>
              <w:rPr>
                <w:sz w:val="8"/>
                <w:szCs w:val="8"/>
                <w:color w:val="auto"/>
              </w:rPr>
            </w:pPr>
          </w:p>
        </w:tc>
        <w:tc>
          <w:tcPr>
            <w:tcW w:w="300" w:type="dxa"/>
            <w:vAlign w:val="bottom"/>
            <w:tcBorders>
              <w:bottom w:val="single" w:sz="8" w:color="E5F1F8"/>
            </w:tcBorders>
            <w:shd w:val="clear" w:color="auto" w:fill="E5F1F8"/>
          </w:tcPr>
          <w:p>
            <w:pPr>
              <w:spacing w:after="0"/>
              <w:rPr>
                <w:sz w:val="8"/>
                <w:szCs w:val="8"/>
                <w:color w:val="auto"/>
              </w:rPr>
            </w:pPr>
          </w:p>
        </w:tc>
        <w:tc>
          <w:tcPr>
            <w:tcW w:w="1000" w:type="dxa"/>
            <w:vAlign w:val="bottom"/>
            <w:tcBorders>
              <w:bottom w:val="single" w:sz="8" w:color="E5F1F8"/>
            </w:tcBorders>
            <w:shd w:val="clear" w:color="auto" w:fill="E5F1F8"/>
          </w:tcPr>
          <w:p>
            <w:pPr>
              <w:spacing w:after="0"/>
              <w:rPr>
                <w:sz w:val="8"/>
                <w:szCs w:val="8"/>
                <w:color w:val="auto"/>
              </w:rPr>
            </w:pPr>
          </w:p>
        </w:tc>
        <w:tc>
          <w:tcPr>
            <w:tcW w:w="660" w:type="dxa"/>
            <w:vAlign w:val="bottom"/>
            <w:tcBorders>
              <w:bottom w:val="single" w:sz="8" w:color="E5F1F8"/>
            </w:tcBorders>
            <w:shd w:val="clear" w:color="auto" w:fill="E5F1F8"/>
          </w:tcPr>
          <w:p>
            <w:pPr>
              <w:spacing w:after="0"/>
              <w:rPr>
                <w:sz w:val="8"/>
                <w:szCs w:val="8"/>
                <w:color w:val="auto"/>
              </w:rPr>
            </w:pPr>
          </w:p>
        </w:tc>
        <w:tc>
          <w:tcPr>
            <w:tcW w:w="380" w:type="dxa"/>
            <w:vAlign w:val="bottom"/>
            <w:tcBorders>
              <w:bottom w:val="single" w:sz="8" w:color="E5F1F8"/>
            </w:tcBorders>
            <w:shd w:val="clear" w:color="auto" w:fill="E5F1F8"/>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1360" w:type="dxa"/>
            <w:vAlign w:val="bottom"/>
            <w:vMerge w:val="restart"/>
          </w:tcPr>
          <w:p>
            <w:pPr>
              <w:ind w:left="80"/>
              <w:spacing w:after="0"/>
              <w:rPr>
                <w:sz w:val="20"/>
                <w:szCs w:val="20"/>
                <w:color w:val="auto"/>
              </w:rPr>
            </w:pPr>
            <w:r>
              <w:rPr>
                <w:rFonts w:ascii="Arial" w:cs="Arial" w:eastAsia="Arial" w:hAnsi="Arial"/>
                <w:sz w:val="14"/>
                <w:szCs w:val="14"/>
                <w:color w:val="auto"/>
              </w:rPr>
              <w:t>Strategy/M&amp;A</w:t>
            </w:r>
          </w:p>
        </w:tc>
        <w:tc>
          <w:tcPr>
            <w:tcW w:w="500" w:type="dxa"/>
            <w:vAlign w:val="bottom"/>
            <w:vMerge w:val="restart"/>
          </w:tcPr>
          <w:p>
            <w:pPr>
              <w:ind w:left="260"/>
              <w:spacing w:after="0"/>
              <w:rPr>
                <w:sz w:val="20"/>
                <w:szCs w:val="20"/>
                <w:color w:val="auto"/>
              </w:rPr>
            </w:pPr>
            <w:r>
              <w:rPr>
                <w:rFonts w:ascii="Arial" w:cs="Arial" w:eastAsia="Arial" w:hAnsi="Arial"/>
                <w:sz w:val="14"/>
                <w:szCs w:val="14"/>
                <w:color w:val="007CBA"/>
              </w:rPr>
              <w:t>•</w:t>
            </w:r>
          </w:p>
        </w:tc>
        <w:tc>
          <w:tcPr>
            <w:tcW w:w="420" w:type="dxa"/>
            <w:vAlign w:val="bottom"/>
            <w:vMerge w:val="restart"/>
          </w:tcPr>
          <w:p>
            <w:pPr>
              <w:ind w:left="180"/>
              <w:spacing w:after="0"/>
              <w:rPr>
                <w:sz w:val="20"/>
                <w:szCs w:val="20"/>
                <w:color w:val="auto"/>
              </w:rPr>
            </w:pPr>
            <w:r>
              <w:rPr>
                <w:rFonts w:ascii="Arial" w:cs="Arial" w:eastAsia="Arial" w:hAnsi="Arial"/>
                <w:sz w:val="14"/>
                <w:szCs w:val="14"/>
                <w:color w:val="007CBA"/>
              </w:rPr>
              <w:t>•</w:t>
            </w:r>
          </w:p>
        </w:tc>
        <w:tc>
          <w:tcPr>
            <w:tcW w:w="480" w:type="dxa"/>
            <w:vAlign w:val="bottom"/>
            <w:vMerge w:val="restart"/>
          </w:tcPr>
          <w:p>
            <w:pPr>
              <w:ind w:left="200"/>
              <w:spacing w:after="0"/>
              <w:rPr>
                <w:sz w:val="20"/>
                <w:szCs w:val="20"/>
                <w:color w:val="auto"/>
              </w:rPr>
            </w:pPr>
            <w:r>
              <w:rPr>
                <w:rFonts w:ascii="Arial" w:cs="Arial" w:eastAsia="Arial" w:hAnsi="Arial"/>
                <w:sz w:val="14"/>
                <w:szCs w:val="14"/>
                <w:color w:val="007CBA"/>
              </w:rPr>
              <w:t>•</w:t>
            </w:r>
          </w:p>
        </w:tc>
        <w:tc>
          <w:tcPr>
            <w:tcW w:w="500" w:type="dxa"/>
            <w:vAlign w:val="bottom"/>
            <w:vMerge w:val="restart"/>
          </w:tcPr>
          <w:p>
            <w:pPr>
              <w:ind w:left="220"/>
              <w:spacing w:after="0"/>
              <w:rPr>
                <w:sz w:val="20"/>
                <w:szCs w:val="20"/>
                <w:color w:val="auto"/>
              </w:rPr>
            </w:pPr>
            <w:r>
              <w:rPr>
                <w:rFonts w:ascii="Arial" w:cs="Arial" w:eastAsia="Arial" w:hAnsi="Arial"/>
                <w:sz w:val="14"/>
                <w:szCs w:val="14"/>
                <w:color w:val="007CBA"/>
              </w:rPr>
              <w:t>•</w:t>
            </w:r>
          </w:p>
        </w:tc>
        <w:tc>
          <w:tcPr>
            <w:tcW w:w="440" w:type="dxa"/>
            <w:vAlign w:val="bottom"/>
            <w:vMerge w:val="restart"/>
          </w:tcPr>
          <w:p>
            <w:pPr>
              <w:ind w:left="200"/>
              <w:spacing w:after="0"/>
              <w:rPr>
                <w:sz w:val="20"/>
                <w:szCs w:val="20"/>
                <w:color w:val="auto"/>
              </w:rPr>
            </w:pPr>
            <w:r>
              <w:rPr>
                <w:rFonts w:ascii="Arial" w:cs="Arial" w:eastAsia="Arial" w:hAnsi="Arial"/>
                <w:sz w:val="14"/>
                <w:szCs w:val="14"/>
                <w:color w:val="007CBA"/>
              </w:rPr>
              <w:t>•</w:t>
            </w:r>
          </w:p>
        </w:tc>
        <w:tc>
          <w:tcPr>
            <w:tcW w:w="440" w:type="dxa"/>
            <w:vAlign w:val="bottom"/>
            <w:vMerge w:val="restart"/>
          </w:tcPr>
          <w:p>
            <w:pPr>
              <w:ind w:left="180"/>
              <w:spacing w:after="0"/>
              <w:rPr>
                <w:sz w:val="20"/>
                <w:szCs w:val="20"/>
                <w:color w:val="auto"/>
              </w:rPr>
            </w:pPr>
            <w:r>
              <w:rPr>
                <w:rFonts w:ascii="Arial" w:cs="Arial" w:eastAsia="Arial" w:hAnsi="Arial"/>
                <w:sz w:val="14"/>
                <w:szCs w:val="14"/>
                <w:color w:val="007CBA"/>
              </w:rPr>
              <w:t>•</w:t>
            </w:r>
          </w:p>
        </w:tc>
        <w:tc>
          <w:tcPr>
            <w:tcW w:w="480" w:type="dxa"/>
            <w:vAlign w:val="bottom"/>
            <w:vMerge w:val="restart"/>
          </w:tcPr>
          <w:p>
            <w:pPr>
              <w:ind w:left="220"/>
              <w:spacing w:after="0"/>
              <w:rPr>
                <w:sz w:val="20"/>
                <w:szCs w:val="20"/>
                <w:color w:val="auto"/>
              </w:rPr>
            </w:pPr>
            <w:r>
              <w:rPr>
                <w:rFonts w:ascii="Arial" w:cs="Arial" w:eastAsia="Arial" w:hAnsi="Arial"/>
                <w:sz w:val="14"/>
                <w:szCs w:val="14"/>
                <w:color w:val="007CBA"/>
              </w:rPr>
              <w:t>•</w:t>
            </w:r>
          </w:p>
        </w:tc>
        <w:tc>
          <w:tcPr>
            <w:tcW w:w="500" w:type="dxa"/>
            <w:vAlign w:val="bottom"/>
            <w:vMerge w:val="restart"/>
          </w:tcPr>
          <w:p>
            <w:pPr>
              <w:ind w:left="220"/>
              <w:spacing w:after="0"/>
              <w:rPr>
                <w:sz w:val="20"/>
                <w:szCs w:val="20"/>
                <w:color w:val="auto"/>
              </w:rPr>
            </w:pPr>
            <w:r>
              <w:rPr>
                <w:rFonts w:ascii="Arial" w:cs="Arial" w:eastAsia="Arial" w:hAnsi="Arial"/>
                <w:sz w:val="14"/>
                <w:szCs w:val="14"/>
                <w:color w:val="007CBA"/>
              </w:rPr>
              <w:t>•</w:t>
            </w:r>
          </w:p>
        </w:tc>
        <w:tc>
          <w:tcPr>
            <w:tcW w:w="400" w:type="dxa"/>
            <w:vAlign w:val="bottom"/>
            <w:tcBorders>
              <w:right w:val="single" w:sz="8" w:color="007CBA"/>
            </w:tcBorders>
            <w:vMerge w:val="restart"/>
          </w:tcPr>
          <w:p>
            <w:pPr>
              <w:ind w:left="200"/>
              <w:spacing w:after="0"/>
              <w:rPr>
                <w:sz w:val="20"/>
                <w:szCs w:val="20"/>
                <w:color w:val="auto"/>
              </w:rPr>
            </w:pPr>
            <w:r>
              <w:rPr>
                <w:rFonts w:ascii="Arial" w:cs="Arial" w:eastAsia="Arial" w:hAnsi="Arial"/>
                <w:sz w:val="14"/>
                <w:szCs w:val="14"/>
                <w:color w:val="007CBA"/>
              </w:rPr>
              <w:t>•</w:t>
            </w:r>
          </w:p>
        </w:tc>
        <w:tc>
          <w:tcPr>
            <w:tcW w:w="80" w:type="dxa"/>
            <w:vAlign w:val="bottom"/>
          </w:tcPr>
          <w:p>
            <w:pPr>
              <w:spacing w:after="0"/>
              <w:rPr>
                <w:sz w:val="19"/>
                <w:szCs w:val="19"/>
                <w:color w:val="auto"/>
              </w:rPr>
            </w:pPr>
          </w:p>
        </w:tc>
        <w:tc>
          <w:tcPr>
            <w:tcW w:w="5400" w:type="dxa"/>
            <w:vAlign w:val="bottom"/>
            <w:gridSpan w:val="8"/>
          </w:tcPr>
          <w:p>
            <w:pPr>
              <w:ind w:left="20"/>
              <w:spacing w:after="0"/>
              <w:rPr>
                <w:sz w:val="20"/>
                <w:szCs w:val="20"/>
                <w:color w:val="auto"/>
              </w:rPr>
            </w:pPr>
            <w:r>
              <w:rPr>
                <w:rFonts w:ascii="Arial" w:cs="Arial" w:eastAsia="Arial" w:hAnsi="Arial"/>
                <w:sz w:val="14"/>
                <w:szCs w:val="14"/>
                <w:color w:val="auto"/>
              </w:rPr>
              <w:t>Supports setting of long-term corporate vision, disciplined strategic development</w:t>
            </w:r>
          </w:p>
        </w:tc>
        <w:tc>
          <w:tcPr>
            <w:tcW w:w="0" w:type="dxa"/>
            <w:vAlign w:val="bottom"/>
          </w:tcPr>
          <w:p>
            <w:pPr>
              <w:spacing w:after="0"/>
              <w:rPr>
                <w:sz w:val="1"/>
                <w:szCs w:val="1"/>
                <w:color w:val="auto"/>
              </w:rPr>
            </w:pPr>
          </w:p>
        </w:tc>
      </w:tr>
      <w:tr>
        <w:trPr>
          <w:trHeight w:val="91"/>
        </w:trPr>
        <w:tc>
          <w:tcPr>
            <w:tcW w:w="136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400" w:type="dxa"/>
            <w:vAlign w:val="bottom"/>
            <w:tcBorders>
              <w:right w:val="single" w:sz="8" w:color="007CBA"/>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3060" w:type="dxa"/>
            <w:vAlign w:val="bottom"/>
            <w:gridSpan w:val="4"/>
            <w:vMerge w:val="restart"/>
          </w:tcPr>
          <w:p>
            <w:pPr>
              <w:ind w:left="20"/>
              <w:spacing w:after="0"/>
              <w:rPr>
                <w:sz w:val="20"/>
                <w:szCs w:val="20"/>
                <w:color w:val="auto"/>
              </w:rPr>
            </w:pPr>
            <w:r>
              <w:rPr>
                <w:rFonts w:ascii="Arial" w:cs="Arial" w:eastAsia="Arial" w:hAnsi="Arial"/>
                <w:sz w:val="14"/>
                <w:szCs w:val="14"/>
                <w:color w:val="auto"/>
              </w:rPr>
              <w:t>and integration to facilitate company’s growth</w:t>
            </w: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Borders>
              <w:right w:val="single" w:sz="8" w:color="007CBA"/>
            </w:tcBorders>
          </w:tcPr>
          <w:p>
            <w:pPr>
              <w:spacing w:after="0"/>
              <w:rPr>
                <w:sz w:val="7"/>
                <w:szCs w:val="7"/>
                <w:color w:val="auto"/>
              </w:rPr>
            </w:pPr>
          </w:p>
        </w:tc>
        <w:tc>
          <w:tcPr>
            <w:tcW w:w="80" w:type="dxa"/>
            <w:vAlign w:val="bottom"/>
          </w:tcPr>
          <w:p>
            <w:pPr>
              <w:spacing w:after="0"/>
              <w:rPr>
                <w:sz w:val="7"/>
                <w:szCs w:val="7"/>
                <w:color w:val="auto"/>
              </w:rPr>
            </w:pPr>
          </w:p>
        </w:tc>
        <w:tc>
          <w:tcPr>
            <w:tcW w:w="306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Borders>
              <w:right w:val="single" w:sz="8" w:color="007CBA"/>
            </w:tcBorders>
          </w:tcPr>
          <w:p>
            <w:pPr>
              <w:spacing w:after="0"/>
              <w:rPr>
                <w:sz w:val="3"/>
                <w:szCs w:val="3"/>
                <w:color w:val="auto"/>
              </w:rPr>
            </w:pPr>
          </w:p>
        </w:tc>
        <w:tc>
          <w:tcPr>
            <w:tcW w:w="80" w:type="dxa"/>
            <w:vAlign w:val="bottom"/>
          </w:tcPr>
          <w:p>
            <w:pPr>
              <w:spacing w:after="0"/>
              <w:rPr>
                <w:sz w:val="3"/>
                <w:szCs w:val="3"/>
                <w:color w:val="auto"/>
              </w:rPr>
            </w:pPr>
          </w:p>
        </w:tc>
        <w:tc>
          <w:tcPr>
            <w:tcW w:w="5400" w:type="dxa"/>
            <w:vAlign w:val="bottom"/>
            <w:gridSpan w:val="8"/>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1"/>
        </w:trPr>
        <w:tc>
          <w:tcPr>
            <w:tcW w:w="1360" w:type="dxa"/>
            <w:vAlign w:val="bottom"/>
            <w:vMerge w:val="restart"/>
            <w:shd w:val="clear" w:color="auto" w:fill="E5F1F8"/>
          </w:tcPr>
          <w:p>
            <w:pPr>
              <w:ind w:left="80"/>
              <w:spacing w:after="0"/>
              <w:rPr>
                <w:sz w:val="20"/>
                <w:szCs w:val="20"/>
                <w:color w:val="auto"/>
              </w:rPr>
            </w:pPr>
            <w:r>
              <w:rPr>
                <w:rFonts w:ascii="Arial" w:cs="Arial" w:eastAsia="Arial" w:hAnsi="Arial"/>
                <w:sz w:val="14"/>
                <w:szCs w:val="14"/>
                <w:color w:val="auto"/>
              </w:rPr>
              <w:t>Technology</w:t>
            </w:r>
          </w:p>
        </w:tc>
        <w:tc>
          <w:tcPr>
            <w:tcW w:w="500" w:type="dxa"/>
            <w:vAlign w:val="bottom"/>
            <w:vMerge w:val="restart"/>
            <w:shd w:val="clear" w:color="auto" w:fill="E5F1F8"/>
          </w:tcPr>
          <w:p>
            <w:pPr>
              <w:ind w:left="260"/>
              <w:spacing w:after="0"/>
              <w:rPr>
                <w:sz w:val="20"/>
                <w:szCs w:val="20"/>
                <w:color w:val="auto"/>
              </w:rPr>
            </w:pPr>
            <w:r>
              <w:rPr>
                <w:rFonts w:ascii="Arial" w:cs="Arial" w:eastAsia="Arial" w:hAnsi="Arial"/>
                <w:sz w:val="14"/>
                <w:szCs w:val="14"/>
                <w:color w:val="007CBA"/>
              </w:rPr>
              <w:t>•</w:t>
            </w:r>
          </w:p>
        </w:tc>
        <w:tc>
          <w:tcPr>
            <w:tcW w:w="420" w:type="dxa"/>
            <w:vAlign w:val="bottom"/>
            <w:shd w:val="clear" w:color="auto" w:fill="E5F1F8"/>
          </w:tcPr>
          <w:p>
            <w:pPr>
              <w:spacing w:after="0"/>
              <w:rPr>
                <w:sz w:val="19"/>
                <w:szCs w:val="19"/>
                <w:color w:val="auto"/>
              </w:rPr>
            </w:pPr>
          </w:p>
        </w:tc>
        <w:tc>
          <w:tcPr>
            <w:tcW w:w="480" w:type="dxa"/>
            <w:vAlign w:val="bottom"/>
            <w:shd w:val="clear" w:color="auto" w:fill="E5F1F8"/>
          </w:tcPr>
          <w:p>
            <w:pPr>
              <w:spacing w:after="0"/>
              <w:rPr>
                <w:sz w:val="19"/>
                <w:szCs w:val="19"/>
                <w:color w:val="auto"/>
              </w:rPr>
            </w:pPr>
          </w:p>
        </w:tc>
        <w:tc>
          <w:tcPr>
            <w:tcW w:w="500" w:type="dxa"/>
            <w:vAlign w:val="bottom"/>
            <w:vMerge w:val="restart"/>
            <w:shd w:val="clear" w:color="auto" w:fill="E5F1F8"/>
          </w:tcPr>
          <w:p>
            <w:pPr>
              <w:ind w:left="220"/>
              <w:spacing w:after="0"/>
              <w:rPr>
                <w:sz w:val="20"/>
                <w:szCs w:val="20"/>
                <w:color w:val="auto"/>
              </w:rPr>
            </w:pPr>
            <w:r>
              <w:rPr>
                <w:rFonts w:ascii="Arial" w:cs="Arial" w:eastAsia="Arial" w:hAnsi="Arial"/>
                <w:sz w:val="14"/>
                <w:szCs w:val="14"/>
                <w:color w:val="007CBA"/>
              </w:rPr>
              <w:t>•</w:t>
            </w:r>
          </w:p>
        </w:tc>
        <w:tc>
          <w:tcPr>
            <w:tcW w:w="440" w:type="dxa"/>
            <w:vAlign w:val="bottom"/>
            <w:shd w:val="clear" w:color="auto" w:fill="E5F1F8"/>
          </w:tcPr>
          <w:p>
            <w:pPr>
              <w:spacing w:after="0"/>
              <w:rPr>
                <w:sz w:val="19"/>
                <w:szCs w:val="19"/>
                <w:color w:val="auto"/>
              </w:rPr>
            </w:pPr>
          </w:p>
        </w:tc>
        <w:tc>
          <w:tcPr>
            <w:tcW w:w="440" w:type="dxa"/>
            <w:vAlign w:val="bottom"/>
            <w:shd w:val="clear" w:color="auto" w:fill="E5F1F8"/>
          </w:tcPr>
          <w:p>
            <w:pPr>
              <w:spacing w:after="0"/>
              <w:rPr>
                <w:sz w:val="19"/>
                <w:szCs w:val="19"/>
                <w:color w:val="auto"/>
              </w:rPr>
            </w:pPr>
          </w:p>
        </w:tc>
        <w:tc>
          <w:tcPr>
            <w:tcW w:w="480" w:type="dxa"/>
            <w:vAlign w:val="bottom"/>
            <w:shd w:val="clear" w:color="auto" w:fill="E5F1F8"/>
          </w:tcPr>
          <w:p>
            <w:pPr>
              <w:spacing w:after="0"/>
              <w:rPr>
                <w:sz w:val="19"/>
                <w:szCs w:val="19"/>
                <w:color w:val="auto"/>
              </w:rPr>
            </w:pPr>
          </w:p>
        </w:tc>
        <w:tc>
          <w:tcPr>
            <w:tcW w:w="500" w:type="dxa"/>
            <w:vAlign w:val="bottom"/>
            <w:shd w:val="clear" w:color="auto" w:fill="E5F1F8"/>
          </w:tcPr>
          <w:p>
            <w:pPr>
              <w:spacing w:after="0"/>
              <w:rPr>
                <w:sz w:val="19"/>
                <w:szCs w:val="19"/>
                <w:color w:val="auto"/>
              </w:rPr>
            </w:pPr>
          </w:p>
        </w:tc>
        <w:tc>
          <w:tcPr>
            <w:tcW w:w="400" w:type="dxa"/>
            <w:vAlign w:val="bottom"/>
            <w:tcBorders>
              <w:right w:val="single" w:sz="8" w:color="007CBA"/>
            </w:tcBorders>
            <w:shd w:val="clear" w:color="auto" w:fill="E5F1F8"/>
          </w:tcPr>
          <w:p>
            <w:pPr>
              <w:spacing w:after="0"/>
              <w:rPr>
                <w:sz w:val="19"/>
                <w:szCs w:val="19"/>
                <w:color w:val="auto"/>
              </w:rPr>
            </w:pPr>
          </w:p>
        </w:tc>
        <w:tc>
          <w:tcPr>
            <w:tcW w:w="80" w:type="dxa"/>
            <w:vAlign w:val="bottom"/>
            <w:shd w:val="clear" w:color="auto" w:fill="E5F1F8"/>
          </w:tcPr>
          <w:p>
            <w:pPr>
              <w:spacing w:after="0"/>
              <w:rPr>
                <w:sz w:val="19"/>
                <w:szCs w:val="19"/>
                <w:color w:val="auto"/>
              </w:rPr>
            </w:pPr>
          </w:p>
        </w:tc>
        <w:tc>
          <w:tcPr>
            <w:tcW w:w="5400" w:type="dxa"/>
            <w:vAlign w:val="bottom"/>
            <w:gridSpan w:val="8"/>
            <w:shd w:val="clear" w:color="auto" w:fill="E5F1F8"/>
          </w:tcPr>
          <w:p>
            <w:pPr>
              <w:ind w:left="20"/>
              <w:spacing w:after="0"/>
              <w:rPr>
                <w:sz w:val="20"/>
                <w:szCs w:val="20"/>
                <w:color w:val="auto"/>
              </w:rPr>
            </w:pPr>
            <w:r>
              <w:rPr>
                <w:rFonts w:ascii="Arial" w:cs="Arial" w:eastAsia="Arial" w:hAnsi="Arial"/>
                <w:sz w:val="14"/>
                <w:szCs w:val="14"/>
                <w:color w:val="auto"/>
              </w:rPr>
              <w:t>Important to facilitate business objectives and security of Company’s proprietary</w:t>
            </w:r>
          </w:p>
        </w:tc>
        <w:tc>
          <w:tcPr>
            <w:tcW w:w="0" w:type="dxa"/>
            <w:vAlign w:val="bottom"/>
          </w:tcPr>
          <w:p>
            <w:pPr>
              <w:spacing w:after="0"/>
              <w:rPr>
                <w:sz w:val="1"/>
                <w:szCs w:val="1"/>
                <w:color w:val="auto"/>
              </w:rPr>
            </w:pPr>
          </w:p>
        </w:tc>
      </w:tr>
      <w:tr>
        <w:trPr>
          <w:trHeight w:val="91"/>
        </w:trPr>
        <w:tc>
          <w:tcPr>
            <w:tcW w:w="1360" w:type="dxa"/>
            <w:vAlign w:val="bottom"/>
            <w:vMerge w:val="continue"/>
            <w:shd w:val="clear" w:color="auto" w:fill="E5F1F8"/>
          </w:tcPr>
          <w:p>
            <w:pPr>
              <w:spacing w:after="0"/>
              <w:rPr>
                <w:sz w:val="7"/>
                <w:szCs w:val="7"/>
                <w:color w:val="auto"/>
              </w:rPr>
            </w:pPr>
          </w:p>
        </w:tc>
        <w:tc>
          <w:tcPr>
            <w:tcW w:w="500" w:type="dxa"/>
            <w:vAlign w:val="bottom"/>
            <w:vMerge w:val="continue"/>
            <w:shd w:val="clear" w:color="auto" w:fill="E5F1F8"/>
          </w:tcPr>
          <w:p>
            <w:pPr>
              <w:spacing w:after="0"/>
              <w:rPr>
                <w:sz w:val="7"/>
                <w:szCs w:val="7"/>
                <w:color w:val="auto"/>
              </w:rPr>
            </w:pPr>
          </w:p>
        </w:tc>
        <w:tc>
          <w:tcPr>
            <w:tcW w:w="420" w:type="dxa"/>
            <w:vAlign w:val="bottom"/>
            <w:shd w:val="clear" w:color="auto" w:fill="E5F1F8"/>
          </w:tcPr>
          <w:p>
            <w:pPr>
              <w:spacing w:after="0"/>
              <w:rPr>
                <w:sz w:val="7"/>
                <w:szCs w:val="7"/>
                <w:color w:val="auto"/>
              </w:rPr>
            </w:pPr>
          </w:p>
        </w:tc>
        <w:tc>
          <w:tcPr>
            <w:tcW w:w="480" w:type="dxa"/>
            <w:vAlign w:val="bottom"/>
            <w:shd w:val="clear" w:color="auto" w:fill="E5F1F8"/>
          </w:tcPr>
          <w:p>
            <w:pPr>
              <w:spacing w:after="0"/>
              <w:rPr>
                <w:sz w:val="7"/>
                <w:szCs w:val="7"/>
                <w:color w:val="auto"/>
              </w:rPr>
            </w:pPr>
          </w:p>
        </w:tc>
        <w:tc>
          <w:tcPr>
            <w:tcW w:w="500" w:type="dxa"/>
            <w:vAlign w:val="bottom"/>
            <w:vMerge w:val="continue"/>
            <w:shd w:val="clear" w:color="auto" w:fill="E5F1F8"/>
          </w:tcPr>
          <w:p>
            <w:pPr>
              <w:spacing w:after="0"/>
              <w:rPr>
                <w:sz w:val="7"/>
                <w:szCs w:val="7"/>
                <w:color w:val="auto"/>
              </w:rPr>
            </w:pPr>
          </w:p>
        </w:tc>
        <w:tc>
          <w:tcPr>
            <w:tcW w:w="440" w:type="dxa"/>
            <w:vAlign w:val="bottom"/>
            <w:shd w:val="clear" w:color="auto" w:fill="E5F1F8"/>
          </w:tcPr>
          <w:p>
            <w:pPr>
              <w:spacing w:after="0"/>
              <w:rPr>
                <w:sz w:val="7"/>
                <w:szCs w:val="7"/>
                <w:color w:val="auto"/>
              </w:rPr>
            </w:pPr>
          </w:p>
        </w:tc>
        <w:tc>
          <w:tcPr>
            <w:tcW w:w="440" w:type="dxa"/>
            <w:vAlign w:val="bottom"/>
            <w:shd w:val="clear" w:color="auto" w:fill="E5F1F8"/>
          </w:tcPr>
          <w:p>
            <w:pPr>
              <w:spacing w:after="0"/>
              <w:rPr>
                <w:sz w:val="7"/>
                <w:szCs w:val="7"/>
                <w:color w:val="auto"/>
              </w:rPr>
            </w:pPr>
          </w:p>
        </w:tc>
        <w:tc>
          <w:tcPr>
            <w:tcW w:w="480" w:type="dxa"/>
            <w:vAlign w:val="bottom"/>
            <w:shd w:val="clear" w:color="auto" w:fill="E5F1F8"/>
          </w:tcPr>
          <w:p>
            <w:pPr>
              <w:spacing w:after="0"/>
              <w:rPr>
                <w:sz w:val="7"/>
                <w:szCs w:val="7"/>
                <w:color w:val="auto"/>
              </w:rPr>
            </w:pPr>
          </w:p>
        </w:tc>
        <w:tc>
          <w:tcPr>
            <w:tcW w:w="500" w:type="dxa"/>
            <w:vAlign w:val="bottom"/>
            <w:shd w:val="clear" w:color="auto" w:fill="E5F1F8"/>
          </w:tcPr>
          <w:p>
            <w:pPr>
              <w:spacing w:after="0"/>
              <w:rPr>
                <w:sz w:val="7"/>
                <w:szCs w:val="7"/>
                <w:color w:val="auto"/>
              </w:rPr>
            </w:pPr>
          </w:p>
        </w:tc>
        <w:tc>
          <w:tcPr>
            <w:tcW w:w="400" w:type="dxa"/>
            <w:vAlign w:val="bottom"/>
            <w:tcBorders>
              <w:right w:val="single" w:sz="8" w:color="007CBA"/>
            </w:tcBorders>
            <w:shd w:val="clear" w:color="auto" w:fill="E5F1F8"/>
          </w:tcPr>
          <w:p>
            <w:pPr>
              <w:spacing w:after="0"/>
              <w:rPr>
                <w:sz w:val="7"/>
                <w:szCs w:val="7"/>
                <w:color w:val="auto"/>
              </w:rPr>
            </w:pPr>
          </w:p>
        </w:tc>
        <w:tc>
          <w:tcPr>
            <w:tcW w:w="80" w:type="dxa"/>
            <w:vAlign w:val="bottom"/>
            <w:shd w:val="clear" w:color="auto" w:fill="E5F1F8"/>
          </w:tcPr>
          <w:p>
            <w:pPr>
              <w:spacing w:after="0"/>
              <w:rPr>
                <w:sz w:val="7"/>
                <w:szCs w:val="7"/>
                <w:color w:val="auto"/>
              </w:rPr>
            </w:pPr>
          </w:p>
        </w:tc>
        <w:tc>
          <w:tcPr>
            <w:tcW w:w="1720" w:type="dxa"/>
            <w:vAlign w:val="bottom"/>
            <w:gridSpan w:val="2"/>
            <w:vMerge w:val="restart"/>
            <w:shd w:val="clear" w:color="auto" w:fill="E5F1F8"/>
          </w:tcPr>
          <w:p>
            <w:pPr>
              <w:ind w:left="20"/>
              <w:spacing w:after="0"/>
              <w:rPr>
                <w:sz w:val="20"/>
                <w:szCs w:val="20"/>
                <w:color w:val="auto"/>
              </w:rPr>
            </w:pPr>
            <w:r>
              <w:rPr>
                <w:rFonts w:ascii="Arial" w:cs="Arial" w:eastAsia="Arial" w:hAnsi="Arial"/>
                <w:sz w:val="14"/>
                <w:szCs w:val="14"/>
                <w:color w:val="auto"/>
              </w:rPr>
              <w:t>and confidential data</w:t>
            </w:r>
          </w:p>
        </w:tc>
        <w:tc>
          <w:tcPr>
            <w:tcW w:w="480" w:type="dxa"/>
            <w:vAlign w:val="bottom"/>
            <w:shd w:val="clear" w:color="auto" w:fill="E5F1F8"/>
          </w:tcPr>
          <w:p>
            <w:pPr>
              <w:spacing w:after="0"/>
              <w:rPr>
                <w:sz w:val="7"/>
                <w:szCs w:val="7"/>
                <w:color w:val="auto"/>
              </w:rPr>
            </w:pPr>
          </w:p>
        </w:tc>
        <w:tc>
          <w:tcPr>
            <w:tcW w:w="860" w:type="dxa"/>
            <w:vAlign w:val="bottom"/>
            <w:shd w:val="clear" w:color="auto" w:fill="E5F1F8"/>
          </w:tcPr>
          <w:p>
            <w:pPr>
              <w:spacing w:after="0"/>
              <w:rPr>
                <w:sz w:val="7"/>
                <w:szCs w:val="7"/>
                <w:color w:val="auto"/>
              </w:rPr>
            </w:pPr>
          </w:p>
        </w:tc>
        <w:tc>
          <w:tcPr>
            <w:tcW w:w="300" w:type="dxa"/>
            <w:vAlign w:val="bottom"/>
            <w:shd w:val="clear" w:color="auto" w:fill="E5F1F8"/>
          </w:tcPr>
          <w:p>
            <w:pPr>
              <w:spacing w:after="0"/>
              <w:rPr>
                <w:sz w:val="7"/>
                <w:szCs w:val="7"/>
                <w:color w:val="auto"/>
              </w:rPr>
            </w:pPr>
          </w:p>
        </w:tc>
        <w:tc>
          <w:tcPr>
            <w:tcW w:w="1000" w:type="dxa"/>
            <w:vAlign w:val="bottom"/>
            <w:shd w:val="clear" w:color="auto" w:fill="E5F1F8"/>
          </w:tcPr>
          <w:p>
            <w:pPr>
              <w:spacing w:after="0"/>
              <w:rPr>
                <w:sz w:val="7"/>
                <w:szCs w:val="7"/>
                <w:color w:val="auto"/>
              </w:rPr>
            </w:pPr>
          </w:p>
        </w:tc>
        <w:tc>
          <w:tcPr>
            <w:tcW w:w="660" w:type="dxa"/>
            <w:vAlign w:val="bottom"/>
            <w:shd w:val="clear" w:color="auto" w:fill="E5F1F8"/>
          </w:tcPr>
          <w:p>
            <w:pPr>
              <w:spacing w:after="0"/>
              <w:rPr>
                <w:sz w:val="7"/>
                <w:szCs w:val="7"/>
                <w:color w:val="auto"/>
              </w:rPr>
            </w:pPr>
          </w:p>
        </w:tc>
        <w:tc>
          <w:tcPr>
            <w:tcW w:w="380" w:type="dxa"/>
            <w:vAlign w:val="bottom"/>
            <w:shd w:val="clear" w:color="auto" w:fill="E5F1F8"/>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360" w:type="dxa"/>
            <w:vAlign w:val="bottom"/>
            <w:tcBorders>
              <w:bottom w:val="single" w:sz="8" w:color="E5F1F8"/>
            </w:tcBorders>
            <w:shd w:val="clear" w:color="auto" w:fill="E5F1F8"/>
          </w:tcPr>
          <w:p>
            <w:pPr>
              <w:spacing w:after="0"/>
              <w:rPr>
                <w:sz w:val="8"/>
                <w:szCs w:val="8"/>
                <w:color w:val="auto"/>
              </w:rPr>
            </w:pPr>
          </w:p>
        </w:tc>
        <w:tc>
          <w:tcPr>
            <w:tcW w:w="500" w:type="dxa"/>
            <w:vAlign w:val="bottom"/>
            <w:tcBorders>
              <w:bottom w:val="single" w:sz="8" w:color="E5F1F8"/>
            </w:tcBorders>
            <w:shd w:val="clear" w:color="auto" w:fill="E5F1F8"/>
          </w:tcPr>
          <w:p>
            <w:pPr>
              <w:spacing w:after="0"/>
              <w:rPr>
                <w:sz w:val="8"/>
                <w:szCs w:val="8"/>
                <w:color w:val="auto"/>
              </w:rPr>
            </w:pPr>
          </w:p>
        </w:tc>
        <w:tc>
          <w:tcPr>
            <w:tcW w:w="420" w:type="dxa"/>
            <w:vAlign w:val="bottom"/>
            <w:tcBorders>
              <w:bottom w:val="single" w:sz="8" w:color="E5F1F8"/>
            </w:tcBorders>
            <w:shd w:val="clear" w:color="auto" w:fill="E5F1F8"/>
          </w:tcPr>
          <w:p>
            <w:pPr>
              <w:spacing w:after="0"/>
              <w:rPr>
                <w:sz w:val="8"/>
                <w:szCs w:val="8"/>
                <w:color w:val="auto"/>
              </w:rPr>
            </w:pPr>
          </w:p>
        </w:tc>
        <w:tc>
          <w:tcPr>
            <w:tcW w:w="480" w:type="dxa"/>
            <w:vAlign w:val="bottom"/>
            <w:tcBorders>
              <w:bottom w:val="single" w:sz="8" w:color="E5F1F8"/>
            </w:tcBorders>
            <w:shd w:val="clear" w:color="auto" w:fill="E5F1F8"/>
          </w:tcPr>
          <w:p>
            <w:pPr>
              <w:spacing w:after="0"/>
              <w:rPr>
                <w:sz w:val="8"/>
                <w:szCs w:val="8"/>
                <w:color w:val="auto"/>
              </w:rPr>
            </w:pPr>
          </w:p>
        </w:tc>
        <w:tc>
          <w:tcPr>
            <w:tcW w:w="500" w:type="dxa"/>
            <w:vAlign w:val="bottom"/>
            <w:tcBorders>
              <w:bottom w:val="single" w:sz="8" w:color="E5F1F8"/>
            </w:tcBorders>
            <w:shd w:val="clear" w:color="auto" w:fill="E5F1F8"/>
          </w:tcPr>
          <w:p>
            <w:pPr>
              <w:spacing w:after="0"/>
              <w:rPr>
                <w:sz w:val="8"/>
                <w:szCs w:val="8"/>
                <w:color w:val="auto"/>
              </w:rPr>
            </w:pPr>
          </w:p>
        </w:tc>
        <w:tc>
          <w:tcPr>
            <w:tcW w:w="440" w:type="dxa"/>
            <w:vAlign w:val="bottom"/>
            <w:tcBorders>
              <w:bottom w:val="single" w:sz="8" w:color="E5F1F8"/>
            </w:tcBorders>
            <w:shd w:val="clear" w:color="auto" w:fill="E5F1F8"/>
          </w:tcPr>
          <w:p>
            <w:pPr>
              <w:spacing w:after="0"/>
              <w:rPr>
                <w:sz w:val="8"/>
                <w:szCs w:val="8"/>
                <w:color w:val="auto"/>
              </w:rPr>
            </w:pPr>
          </w:p>
        </w:tc>
        <w:tc>
          <w:tcPr>
            <w:tcW w:w="440" w:type="dxa"/>
            <w:vAlign w:val="bottom"/>
            <w:tcBorders>
              <w:bottom w:val="single" w:sz="8" w:color="E5F1F8"/>
            </w:tcBorders>
            <w:shd w:val="clear" w:color="auto" w:fill="E5F1F8"/>
          </w:tcPr>
          <w:p>
            <w:pPr>
              <w:spacing w:after="0"/>
              <w:rPr>
                <w:sz w:val="8"/>
                <w:szCs w:val="8"/>
                <w:color w:val="auto"/>
              </w:rPr>
            </w:pPr>
          </w:p>
        </w:tc>
        <w:tc>
          <w:tcPr>
            <w:tcW w:w="480" w:type="dxa"/>
            <w:vAlign w:val="bottom"/>
            <w:tcBorders>
              <w:bottom w:val="single" w:sz="8" w:color="E5F1F8"/>
            </w:tcBorders>
            <w:shd w:val="clear" w:color="auto" w:fill="E5F1F8"/>
          </w:tcPr>
          <w:p>
            <w:pPr>
              <w:spacing w:after="0"/>
              <w:rPr>
                <w:sz w:val="8"/>
                <w:szCs w:val="8"/>
                <w:color w:val="auto"/>
              </w:rPr>
            </w:pPr>
          </w:p>
        </w:tc>
        <w:tc>
          <w:tcPr>
            <w:tcW w:w="500" w:type="dxa"/>
            <w:vAlign w:val="bottom"/>
            <w:tcBorders>
              <w:bottom w:val="single" w:sz="8" w:color="E5F1F8"/>
            </w:tcBorders>
            <w:shd w:val="clear" w:color="auto" w:fill="E5F1F8"/>
          </w:tcPr>
          <w:p>
            <w:pPr>
              <w:spacing w:after="0"/>
              <w:rPr>
                <w:sz w:val="8"/>
                <w:szCs w:val="8"/>
                <w:color w:val="auto"/>
              </w:rPr>
            </w:pPr>
          </w:p>
        </w:tc>
        <w:tc>
          <w:tcPr>
            <w:tcW w:w="400" w:type="dxa"/>
            <w:vAlign w:val="bottom"/>
            <w:tcBorders>
              <w:bottom w:val="single" w:sz="8" w:color="E5F1F8"/>
              <w:right w:val="single" w:sz="8" w:color="007CBA"/>
            </w:tcBorders>
            <w:shd w:val="clear" w:color="auto" w:fill="E5F1F8"/>
          </w:tcPr>
          <w:p>
            <w:pPr>
              <w:spacing w:after="0"/>
              <w:rPr>
                <w:sz w:val="8"/>
                <w:szCs w:val="8"/>
                <w:color w:val="auto"/>
              </w:rPr>
            </w:pPr>
          </w:p>
        </w:tc>
        <w:tc>
          <w:tcPr>
            <w:tcW w:w="80" w:type="dxa"/>
            <w:vAlign w:val="bottom"/>
            <w:tcBorders>
              <w:bottom w:val="single" w:sz="8" w:color="E5F1F8"/>
            </w:tcBorders>
            <w:shd w:val="clear" w:color="auto" w:fill="E5F1F8"/>
          </w:tcPr>
          <w:p>
            <w:pPr>
              <w:spacing w:after="0"/>
              <w:rPr>
                <w:sz w:val="8"/>
                <w:szCs w:val="8"/>
                <w:color w:val="auto"/>
              </w:rPr>
            </w:pPr>
          </w:p>
        </w:tc>
        <w:tc>
          <w:tcPr>
            <w:tcW w:w="1720" w:type="dxa"/>
            <w:vAlign w:val="bottom"/>
            <w:tcBorders>
              <w:bottom w:val="single" w:sz="8" w:color="E5F1F8"/>
            </w:tcBorders>
            <w:gridSpan w:val="2"/>
            <w:vMerge w:val="continue"/>
            <w:shd w:val="clear" w:color="auto" w:fill="E5F1F8"/>
          </w:tcPr>
          <w:p>
            <w:pPr>
              <w:spacing w:after="0"/>
              <w:rPr>
                <w:sz w:val="8"/>
                <w:szCs w:val="8"/>
                <w:color w:val="auto"/>
              </w:rPr>
            </w:pPr>
          </w:p>
        </w:tc>
        <w:tc>
          <w:tcPr>
            <w:tcW w:w="480" w:type="dxa"/>
            <w:vAlign w:val="bottom"/>
            <w:tcBorders>
              <w:bottom w:val="single" w:sz="8" w:color="E5F1F8"/>
            </w:tcBorders>
            <w:shd w:val="clear" w:color="auto" w:fill="E5F1F8"/>
          </w:tcPr>
          <w:p>
            <w:pPr>
              <w:spacing w:after="0"/>
              <w:rPr>
                <w:sz w:val="8"/>
                <w:szCs w:val="8"/>
                <w:color w:val="auto"/>
              </w:rPr>
            </w:pPr>
          </w:p>
        </w:tc>
        <w:tc>
          <w:tcPr>
            <w:tcW w:w="860" w:type="dxa"/>
            <w:vAlign w:val="bottom"/>
            <w:tcBorders>
              <w:bottom w:val="single" w:sz="8" w:color="E5F1F8"/>
            </w:tcBorders>
            <w:shd w:val="clear" w:color="auto" w:fill="E5F1F8"/>
          </w:tcPr>
          <w:p>
            <w:pPr>
              <w:spacing w:after="0"/>
              <w:rPr>
                <w:sz w:val="8"/>
                <w:szCs w:val="8"/>
                <w:color w:val="auto"/>
              </w:rPr>
            </w:pPr>
          </w:p>
        </w:tc>
        <w:tc>
          <w:tcPr>
            <w:tcW w:w="300" w:type="dxa"/>
            <w:vAlign w:val="bottom"/>
            <w:tcBorders>
              <w:bottom w:val="single" w:sz="8" w:color="E5F1F8"/>
            </w:tcBorders>
            <w:shd w:val="clear" w:color="auto" w:fill="E5F1F8"/>
          </w:tcPr>
          <w:p>
            <w:pPr>
              <w:spacing w:after="0"/>
              <w:rPr>
                <w:sz w:val="8"/>
                <w:szCs w:val="8"/>
                <w:color w:val="auto"/>
              </w:rPr>
            </w:pPr>
          </w:p>
        </w:tc>
        <w:tc>
          <w:tcPr>
            <w:tcW w:w="1000" w:type="dxa"/>
            <w:vAlign w:val="bottom"/>
            <w:tcBorders>
              <w:bottom w:val="single" w:sz="8" w:color="E5F1F8"/>
            </w:tcBorders>
            <w:shd w:val="clear" w:color="auto" w:fill="E5F1F8"/>
          </w:tcPr>
          <w:p>
            <w:pPr>
              <w:spacing w:after="0"/>
              <w:rPr>
                <w:sz w:val="8"/>
                <w:szCs w:val="8"/>
                <w:color w:val="auto"/>
              </w:rPr>
            </w:pPr>
          </w:p>
        </w:tc>
        <w:tc>
          <w:tcPr>
            <w:tcW w:w="660" w:type="dxa"/>
            <w:vAlign w:val="bottom"/>
            <w:tcBorders>
              <w:bottom w:val="single" w:sz="8" w:color="E5F1F8"/>
            </w:tcBorders>
            <w:shd w:val="clear" w:color="auto" w:fill="E5F1F8"/>
          </w:tcPr>
          <w:p>
            <w:pPr>
              <w:spacing w:after="0"/>
              <w:rPr>
                <w:sz w:val="8"/>
                <w:szCs w:val="8"/>
                <w:color w:val="auto"/>
              </w:rPr>
            </w:pPr>
          </w:p>
        </w:tc>
        <w:tc>
          <w:tcPr>
            <w:tcW w:w="380" w:type="dxa"/>
            <w:vAlign w:val="bottom"/>
            <w:tcBorders>
              <w:bottom w:val="single" w:sz="8" w:color="E5F1F8"/>
            </w:tcBorders>
            <w:shd w:val="clear" w:color="auto" w:fill="E5F1F8"/>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7CBA"/>
          </w:tcPr>
          <w:p>
            <w:pPr>
              <w:spacing w:after="0" w:line="20" w:lineRule="exact"/>
              <w:rPr>
                <w:sz w:val="1"/>
                <w:szCs w:val="1"/>
                <w:color w:val="auto"/>
              </w:rPr>
            </w:pPr>
          </w:p>
        </w:tc>
        <w:tc>
          <w:tcPr>
            <w:tcW w:w="500" w:type="dxa"/>
            <w:vAlign w:val="bottom"/>
            <w:shd w:val="clear" w:color="auto" w:fill="007CBA"/>
          </w:tcPr>
          <w:p>
            <w:pPr>
              <w:spacing w:after="0" w:line="20" w:lineRule="exact"/>
              <w:rPr>
                <w:sz w:val="1"/>
                <w:szCs w:val="1"/>
                <w:color w:val="auto"/>
              </w:rPr>
            </w:pPr>
          </w:p>
        </w:tc>
        <w:tc>
          <w:tcPr>
            <w:tcW w:w="420" w:type="dxa"/>
            <w:vAlign w:val="bottom"/>
            <w:shd w:val="clear" w:color="auto" w:fill="007CBA"/>
          </w:tcPr>
          <w:p>
            <w:pPr>
              <w:spacing w:after="0" w:line="20" w:lineRule="exact"/>
              <w:rPr>
                <w:sz w:val="1"/>
                <w:szCs w:val="1"/>
                <w:color w:val="auto"/>
              </w:rPr>
            </w:pPr>
          </w:p>
        </w:tc>
        <w:tc>
          <w:tcPr>
            <w:tcW w:w="480" w:type="dxa"/>
            <w:vAlign w:val="bottom"/>
            <w:shd w:val="clear" w:color="auto" w:fill="007CBA"/>
          </w:tcPr>
          <w:p>
            <w:pPr>
              <w:spacing w:after="0" w:line="20" w:lineRule="exact"/>
              <w:rPr>
                <w:sz w:val="1"/>
                <w:szCs w:val="1"/>
                <w:color w:val="auto"/>
              </w:rPr>
            </w:pPr>
          </w:p>
        </w:tc>
        <w:tc>
          <w:tcPr>
            <w:tcW w:w="500" w:type="dxa"/>
            <w:vAlign w:val="bottom"/>
            <w:shd w:val="clear" w:color="auto" w:fill="007CBA"/>
          </w:tcPr>
          <w:p>
            <w:pPr>
              <w:spacing w:after="0" w:line="20" w:lineRule="exact"/>
              <w:rPr>
                <w:sz w:val="1"/>
                <w:szCs w:val="1"/>
                <w:color w:val="auto"/>
              </w:rPr>
            </w:pPr>
          </w:p>
        </w:tc>
        <w:tc>
          <w:tcPr>
            <w:tcW w:w="440" w:type="dxa"/>
            <w:vAlign w:val="bottom"/>
            <w:shd w:val="clear" w:color="auto" w:fill="007CBA"/>
          </w:tcPr>
          <w:p>
            <w:pPr>
              <w:spacing w:after="0" w:line="20" w:lineRule="exact"/>
              <w:rPr>
                <w:sz w:val="1"/>
                <w:szCs w:val="1"/>
                <w:color w:val="auto"/>
              </w:rPr>
            </w:pPr>
          </w:p>
        </w:tc>
        <w:tc>
          <w:tcPr>
            <w:tcW w:w="440" w:type="dxa"/>
            <w:vAlign w:val="bottom"/>
            <w:shd w:val="clear" w:color="auto" w:fill="007CBA"/>
          </w:tcPr>
          <w:p>
            <w:pPr>
              <w:spacing w:after="0" w:line="20" w:lineRule="exact"/>
              <w:rPr>
                <w:sz w:val="1"/>
                <w:szCs w:val="1"/>
                <w:color w:val="auto"/>
              </w:rPr>
            </w:pPr>
          </w:p>
        </w:tc>
        <w:tc>
          <w:tcPr>
            <w:tcW w:w="480" w:type="dxa"/>
            <w:vAlign w:val="bottom"/>
            <w:shd w:val="clear" w:color="auto" w:fill="007CBA"/>
          </w:tcPr>
          <w:p>
            <w:pPr>
              <w:spacing w:after="0" w:line="20" w:lineRule="exact"/>
              <w:rPr>
                <w:sz w:val="1"/>
                <w:szCs w:val="1"/>
                <w:color w:val="auto"/>
              </w:rPr>
            </w:pPr>
          </w:p>
        </w:tc>
        <w:tc>
          <w:tcPr>
            <w:tcW w:w="500" w:type="dxa"/>
            <w:vAlign w:val="bottom"/>
            <w:shd w:val="clear" w:color="auto" w:fill="007CBA"/>
          </w:tcPr>
          <w:p>
            <w:pPr>
              <w:spacing w:after="0" w:line="20" w:lineRule="exact"/>
              <w:rPr>
                <w:sz w:val="1"/>
                <w:szCs w:val="1"/>
                <w:color w:val="auto"/>
              </w:rPr>
            </w:pPr>
          </w:p>
        </w:tc>
        <w:tc>
          <w:tcPr>
            <w:tcW w:w="400" w:type="dxa"/>
            <w:vAlign w:val="bottom"/>
            <w:tcBorders>
              <w:right w:val="single" w:sz="8" w:color="007CBA"/>
            </w:tcBorders>
            <w:shd w:val="clear" w:color="auto" w:fill="007CBA"/>
          </w:tcPr>
          <w:p>
            <w:pPr>
              <w:spacing w:after="0" w:line="20" w:lineRule="exact"/>
              <w:rPr>
                <w:sz w:val="1"/>
                <w:szCs w:val="1"/>
                <w:color w:val="auto"/>
              </w:rPr>
            </w:pPr>
          </w:p>
        </w:tc>
        <w:tc>
          <w:tcPr>
            <w:tcW w:w="80" w:type="dxa"/>
            <w:vAlign w:val="bottom"/>
            <w:shd w:val="clear" w:color="auto" w:fill="007CBA"/>
          </w:tcPr>
          <w:p>
            <w:pPr>
              <w:spacing w:after="0" w:line="20" w:lineRule="exact"/>
              <w:rPr>
                <w:sz w:val="1"/>
                <w:szCs w:val="1"/>
                <w:color w:val="auto"/>
              </w:rPr>
            </w:pPr>
          </w:p>
        </w:tc>
        <w:tc>
          <w:tcPr>
            <w:tcW w:w="720" w:type="dxa"/>
            <w:vAlign w:val="bottom"/>
            <w:shd w:val="clear" w:color="auto" w:fill="007CBA"/>
          </w:tcPr>
          <w:p>
            <w:pPr>
              <w:spacing w:after="0" w:line="20" w:lineRule="exact"/>
              <w:rPr>
                <w:sz w:val="1"/>
                <w:szCs w:val="1"/>
                <w:color w:val="auto"/>
              </w:rPr>
            </w:pPr>
          </w:p>
        </w:tc>
        <w:tc>
          <w:tcPr>
            <w:tcW w:w="1000" w:type="dxa"/>
            <w:vAlign w:val="bottom"/>
            <w:shd w:val="clear" w:color="auto" w:fill="007CBA"/>
          </w:tcPr>
          <w:p>
            <w:pPr>
              <w:spacing w:after="0" w:line="20" w:lineRule="exact"/>
              <w:rPr>
                <w:sz w:val="1"/>
                <w:szCs w:val="1"/>
                <w:color w:val="auto"/>
              </w:rPr>
            </w:pPr>
          </w:p>
        </w:tc>
        <w:tc>
          <w:tcPr>
            <w:tcW w:w="480" w:type="dxa"/>
            <w:vAlign w:val="bottom"/>
            <w:shd w:val="clear" w:color="auto" w:fill="007CBA"/>
          </w:tcPr>
          <w:p>
            <w:pPr>
              <w:spacing w:after="0" w:line="20" w:lineRule="exact"/>
              <w:rPr>
                <w:sz w:val="1"/>
                <w:szCs w:val="1"/>
                <w:color w:val="auto"/>
              </w:rPr>
            </w:pPr>
          </w:p>
        </w:tc>
        <w:tc>
          <w:tcPr>
            <w:tcW w:w="860" w:type="dxa"/>
            <w:vAlign w:val="bottom"/>
            <w:shd w:val="clear" w:color="auto" w:fill="007CBA"/>
          </w:tcPr>
          <w:p>
            <w:pPr>
              <w:spacing w:after="0" w:line="20" w:lineRule="exact"/>
              <w:rPr>
                <w:sz w:val="1"/>
                <w:szCs w:val="1"/>
                <w:color w:val="auto"/>
              </w:rPr>
            </w:pPr>
          </w:p>
        </w:tc>
        <w:tc>
          <w:tcPr>
            <w:tcW w:w="300" w:type="dxa"/>
            <w:vAlign w:val="bottom"/>
            <w:shd w:val="clear" w:color="auto" w:fill="007CBA"/>
          </w:tcPr>
          <w:p>
            <w:pPr>
              <w:spacing w:after="0" w:line="20" w:lineRule="exact"/>
              <w:rPr>
                <w:sz w:val="1"/>
                <w:szCs w:val="1"/>
                <w:color w:val="auto"/>
              </w:rPr>
            </w:pPr>
          </w:p>
        </w:tc>
        <w:tc>
          <w:tcPr>
            <w:tcW w:w="1000" w:type="dxa"/>
            <w:vAlign w:val="bottom"/>
            <w:shd w:val="clear" w:color="auto" w:fill="007CBA"/>
          </w:tcPr>
          <w:p>
            <w:pPr>
              <w:spacing w:after="0" w:line="20" w:lineRule="exact"/>
              <w:rPr>
                <w:sz w:val="1"/>
                <w:szCs w:val="1"/>
                <w:color w:val="auto"/>
              </w:rPr>
            </w:pPr>
          </w:p>
        </w:tc>
        <w:tc>
          <w:tcPr>
            <w:tcW w:w="660" w:type="dxa"/>
            <w:vAlign w:val="bottom"/>
            <w:shd w:val="clear" w:color="auto" w:fill="007CBA"/>
          </w:tcPr>
          <w:p>
            <w:pPr>
              <w:spacing w:after="0" w:line="20" w:lineRule="exact"/>
              <w:rPr>
                <w:sz w:val="1"/>
                <w:szCs w:val="1"/>
                <w:color w:val="auto"/>
              </w:rPr>
            </w:pPr>
          </w:p>
        </w:tc>
        <w:tc>
          <w:tcPr>
            <w:tcW w:w="380" w:type="dxa"/>
            <w:vAlign w:val="bottom"/>
            <w:shd w:val="clear" w:color="auto" w:fill="007CB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1109980</wp:posOffset>
            </wp:positionH>
            <wp:positionV relativeFrom="paragraph">
              <wp:posOffset>-3023235</wp:posOffset>
            </wp:positionV>
            <wp:extent cx="711200" cy="2228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200" cy="222885"/>
                    </a:xfrm>
                    <a:prstGeom prst="rect">
                      <a:avLst/>
                    </a:prstGeom>
                    <a:noFill/>
                  </pic:spPr>
                </pic:pic>
              </a:graphicData>
            </a:graphic>
          </wp:anchor>
        </w:drawing>
        <w:drawing>
          <wp:anchor simplePos="0" relativeHeight="251657728" behindDoc="1" locked="0" layoutInCell="0" allowOverlap="1">
            <wp:simplePos x="0" y="0"/>
            <wp:positionH relativeFrom="column">
              <wp:posOffset>2283460</wp:posOffset>
            </wp:positionH>
            <wp:positionV relativeFrom="paragraph">
              <wp:posOffset>-3057525</wp:posOffset>
            </wp:positionV>
            <wp:extent cx="1353185" cy="2571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53185" cy="257175"/>
                    </a:xfrm>
                    <a:prstGeom prst="rect">
                      <a:avLst/>
                    </a:prstGeom>
                    <a:noFill/>
                  </pic:spPr>
                </pic:pic>
              </a:graphicData>
            </a:graphic>
          </wp:anchor>
        </w:drawing>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Board has implemented a number of processes to assist it in refreshing the Board in an appropriate manner that helps create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3439795</wp:posOffset>
            </wp:positionH>
            <wp:positionV relativeFrom="paragraph">
              <wp:posOffset>95885</wp:posOffset>
            </wp:positionV>
            <wp:extent cx="410845" cy="2482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150" w:lineRule="exact"/>
        <w:rPr>
          <w:sz w:val="20"/>
          <w:szCs w:val="20"/>
          <w:color w:val="auto"/>
        </w:rPr>
      </w:pPr>
    </w:p>
    <w:tbl>
      <w:tblPr>
        <w:tblLayout w:type="fixed"/>
        <w:tblInd w:w="9260" w:type="dxa"/>
        <w:tblCellMar>
          <w:top w:w="0" w:type="dxa"/>
          <w:left w:w="0" w:type="dxa"/>
          <w:bottom w:w="0" w:type="dxa"/>
          <w:right w:w="0" w:type="dxa"/>
        </w:tblCellMar>
      </w:tblPr>
      <w:tr>
        <w:trPr>
          <w:trHeight w:val="168"/>
        </w:trPr>
        <w:tc>
          <w:tcPr>
            <w:tcW w:w="1700" w:type="dxa"/>
            <w:vAlign w:val="bottom"/>
          </w:tcPr>
          <w:p>
            <w:pPr>
              <w:spacing w:after="0"/>
              <w:rPr>
                <w:sz w:val="20"/>
                <w:szCs w:val="20"/>
                <w:color w:val="auto"/>
              </w:rPr>
            </w:pPr>
            <w:r>
              <w:rPr>
                <w:rFonts w:ascii="Arial" w:cs="Arial" w:eastAsia="Arial" w:hAnsi="Arial"/>
                <w:sz w:val="13"/>
                <w:szCs w:val="13"/>
                <w:color w:val="007CBA"/>
              </w:rPr>
              <w:t>2019 PROXY STATEMENT</w:t>
            </w:r>
          </w:p>
        </w:tc>
        <w:tc>
          <w:tcPr>
            <w:tcW w:w="260" w:type="dxa"/>
            <w:vAlign w:val="bottom"/>
          </w:tcPr>
          <w:p>
            <w:pPr>
              <w:jc w:val="right"/>
              <w:spacing w:after="0"/>
              <w:rPr>
                <w:sz w:val="20"/>
                <w:szCs w:val="20"/>
                <w:color w:val="auto"/>
              </w:rPr>
            </w:pPr>
            <w:r>
              <w:rPr>
                <w:rFonts w:ascii="Arial" w:cs="Arial" w:eastAsia="Arial" w:hAnsi="Arial"/>
                <w:sz w:val="13"/>
                <w:szCs w:val="13"/>
                <w:b w:val="1"/>
                <w:bCs w:val="1"/>
                <w:color w:val="auto"/>
              </w:rPr>
              <w:t>9</w:t>
            </w:r>
          </w:p>
        </w:tc>
      </w:tr>
    </w:tbl>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560" w:hanging="275"/>
        <w:spacing w:after="0"/>
        <w:tabs>
          <w:tab w:leader="none" w:pos="560" w:val="left"/>
        </w:tabs>
        <w:numPr>
          <w:ilvl w:val="0"/>
          <w:numId w:val="32"/>
        </w:numPr>
        <w:rPr>
          <w:rFonts w:ascii="MS PGothic" w:cs="MS PGothic" w:eastAsia="MS PGothic" w:hAnsi="MS PGothic"/>
          <w:sz w:val="25"/>
          <w:szCs w:val="25"/>
          <w:color w:val="007CBA"/>
        </w:rPr>
      </w:pPr>
      <w:r>
        <w:rPr>
          <w:rFonts w:ascii="Arial" w:cs="Arial" w:eastAsia="Arial" w:hAnsi="Arial"/>
          <w:sz w:val="13"/>
          <w:szCs w:val="13"/>
          <w:color w:val="007CBA"/>
        </w:rPr>
        <w:t>The Board of Directors</w:t>
      </w:r>
    </w:p>
    <w:p>
      <w:pPr>
        <w:spacing w:after="0" w:line="36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7CBA"/>
        </w:rPr>
        <w:t>Board Refreshment Elements</w:t>
      </w:r>
    </w:p>
    <w:p>
      <w:pPr>
        <w:spacing w:after="0" w:line="241" w:lineRule="exact"/>
        <w:rPr>
          <w:sz w:val="20"/>
          <w:szCs w:val="20"/>
          <w:color w:val="auto"/>
        </w:rPr>
      </w:pPr>
    </w:p>
    <w:tbl>
      <w:tblPr>
        <w:tblLayout w:type="fixed"/>
        <w:tblInd w:w="230" w:type="dxa"/>
        <w:tblCellMar>
          <w:top w:w="0" w:type="dxa"/>
          <w:left w:w="0" w:type="dxa"/>
          <w:bottom w:w="0" w:type="dxa"/>
          <w:right w:w="0" w:type="dxa"/>
        </w:tblCellMar>
      </w:tblPr>
      <w:tr>
        <w:trPr>
          <w:trHeight w:val="234"/>
        </w:trPr>
        <w:tc>
          <w:tcPr>
            <w:tcW w:w="2360" w:type="dxa"/>
            <w:vAlign w:val="bottom"/>
            <w:tcBorders>
              <w:top w:val="single" w:sz="8" w:color="007CBA"/>
              <w:left w:val="single" w:sz="8" w:color="007CBA"/>
              <w:right w:val="single" w:sz="8" w:color="007CBA"/>
            </w:tcBorders>
            <w:shd w:val="clear" w:color="auto" w:fill="E5F1F8"/>
          </w:tcPr>
          <w:p>
            <w:pPr>
              <w:ind w:left="140"/>
              <w:spacing w:after="0"/>
              <w:rPr>
                <w:sz w:val="20"/>
                <w:szCs w:val="20"/>
                <w:color w:val="auto"/>
              </w:rPr>
            </w:pPr>
            <w:r>
              <w:rPr>
                <w:rFonts w:ascii="Arial" w:cs="Arial" w:eastAsia="Arial" w:hAnsi="Arial"/>
                <w:sz w:val="14"/>
                <w:szCs w:val="14"/>
                <w:color w:val="auto"/>
              </w:rPr>
              <w:t>Review of Board Candidates</w:t>
            </w:r>
          </w:p>
        </w:tc>
        <w:tc>
          <w:tcPr>
            <w:tcW w:w="8660" w:type="dxa"/>
            <w:vAlign w:val="bottom"/>
            <w:tcBorders>
              <w:top w:val="single" w:sz="8" w:color="007CBA"/>
              <w:right w:val="single" w:sz="8" w:color="007CBA"/>
            </w:tcBorders>
            <w:shd w:val="clear" w:color="auto" w:fill="E5F1F8"/>
          </w:tcPr>
          <w:p>
            <w:pPr>
              <w:ind w:left="200"/>
              <w:spacing w:after="0"/>
              <w:rPr>
                <w:sz w:val="20"/>
                <w:szCs w:val="20"/>
                <w:color w:val="auto"/>
              </w:rPr>
            </w:pPr>
            <w:r>
              <w:rPr>
                <w:rFonts w:ascii="Arial" w:cs="Arial" w:eastAsia="Arial" w:hAnsi="Arial"/>
                <w:sz w:val="14"/>
                <w:szCs w:val="14"/>
                <w:color w:val="auto"/>
              </w:rPr>
              <w:t>The Board seeks a diverse group of candidates who, at a minimum, possess the background, skills, expertise and time to make a</w:t>
            </w:r>
          </w:p>
        </w:tc>
      </w:tr>
      <w:tr>
        <w:trPr>
          <w:trHeight w:val="176"/>
        </w:trPr>
        <w:tc>
          <w:tcPr>
            <w:tcW w:w="2360" w:type="dxa"/>
            <w:vAlign w:val="bottom"/>
            <w:tcBorders>
              <w:left w:val="single" w:sz="8" w:color="007CBA"/>
              <w:right w:val="single" w:sz="8" w:color="007CBA"/>
            </w:tcBorders>
            <w:shd w:val="clear" w:color="auto" w:fill="E5F1F8"/>
          </w:tcPr>
          <w:p>
            <w:pPr>
              <w:spacing w:after="0"/>
              <w:rPr>
                <w:sz w:val="15"/>
                <w:szCs w:val="15"/>
                <w:color w:val="auto"/>
              </w:rPr>
            </w:pPr>
          </w:p>
        </w:tc>
        <w:tc>
          <w:tcPr>
            <w:tcW w:w="8660" w:type="dxa"/>
            <w:vAlign w:val="bottom"/>
            <w:tcBorders>
              <w:right w:val="single" w:sz="8" w:color="007CBA"/>
            </w:tcBorders>
            <w:shd w:val="clear" w:color="auto" w:fill="E5F1F8"/>
          </w:tcPr>
          <w:p>
            <w:pPr>
              <w:ind w:left="200"/>
              <w:spacing w:after="0"/>
              <w:rPr>
                <w:sz w:val="20"/>
                <w:szCs w:val="20"/>
                <w:color w:val="auto"/>
              </w:rPr>
            </w:pPr>
            <w:r>
              <w:rPr>
                <w:rFonts w:ascii="Arial" w:cs="Arial" w:eastAsia="Arial" w:hAnsi="Arial"/>
                <w:sz w:val="14"/>
                <w:szCs w:val="14"/>
                <w:color w:val="auto"/>
              </w:rPr>
              <w:t xml:space="preserve">significant contribution to the Board, the Company and its shareholders. The </w:t>
            </w:r>
            <w:r>
              <w:rPr>
                <w:rFonts w:ascii="Arial" w:cs="Arial" w:eastAsia="Arial" w:hAnsi="Arial"/>
                <w:sz w:val="14"/>
                <w:szCs w:val="14"/>
                <w:i w:val="1"/>
                <w:iCs w:val="1"/>
                <w:color w:val="auto"/>
              </w:rPr>
              <w:t>Corporate Governance Guidelines</w:t>
            </w:r>
            <w:r>
              <w:rPr>
                <w:rFonts w:ascii="Arial" w:cs="Arial" w:eastAsia="Arial" w:hAnsi="Arial"/>
                <w:sz w:val="14"/>
                <w:szCs w:val="14"/>
                <w:color w:val="auto"/>
              </w:rPr>
              <w:t xml:space="preserve"> list criteria against</w:t>
            </w:r>
          </w:p>
        </w:tc>
      </w:tr>
      <w:tr>
        <w:trPr>
          <w:trHeight w:val="172"/>
        </w:trPr>
        <w:tc>
          <w:tcPr>
            <w:tcW w:w="2360" w:type="dxa"/>
            <w:vAlign w:val="bottom"/>
            <w:tcBorders>
              <w:left w:val="single" w:sz="8" w:color="007CBA"/>
              <w:right w:val="single" w:sz="8" w:color="007CBA"/>
            </w:tcBorders>
            <w:shd w:val="clear" w:color="auto" w:fill="E5F1F8"/>
          </w:tcPr>
          <w:p>
            <w:pPr>
              <w:spacing w:after="0"/>
              <w:rPr>
                <w:sz w:val="14"/>
                <w:szCs w:val="14"/>
                <w:color w:val="auto"/>
              </w:rPr>
            </w:pPr>
          </w:p>
        </w:tc>
        <w:tc>
          <w:tcPr>
            <w:tcW w:w="8660" w:type="dxa"/>
            <w:vAlign w:val="bottom"/>
            <w:tcBorders>
              <w:right w:val="single" w:sz="8" w:color="007CBA"/>
            </w:tcBorders>
            <w:shd w:val="clear" w:color="auto" w:fill="E5F1F8"/>
          </w:tcPr>
          <w:p>
            <w:pPr>
              <w:ind w:left="200"/>
              <w:spacing w:after="0"/>
              <w:rPr>
                <w:sz w:val="20"/>
                <w:szCs w:val="20"/>
                <w:color w:val="auto"/>
              </w:rPr>
            </w:pPr>
            <w:r>
              <w:rPr>
                <w:rFonts w:ascii="Arial" w:cs="Arial" w:eastAsia="Arial" w:hAnsi="Arial"/>
                <w:sz w:val="14"/>
                <w:szCs w:val="14"/>
                <w:color w:val="auto"/>
              </w:rPr>
              <w:t>which candidates may be judged. In addition, the Nominating and Corporate Governance Committee considers, among other things:</w:t>
            </w:r>
          </w:p>
        </w:tc>
      </w:tr>
      <w:tr>
        <w:trPr>
          <w:trHeight w:val="283"/>
        </w:trPr>
        <w:tc>
          <w:tcPr>
            <w:tcW w:w="2360" w:type="dxa"/>
            <w:vAlign w:val="bottom"/>
            <w:tcBorders>
              <w:left w:val="single" w:sz="8" w:color="007CBA"/>
              <w:right w:val="single" w:sz="8" w:color="007CBA"/>
            </w:tcBorders>
            <w:shd w:val="clear" w:color="auto" w:fill="E5F1F8"/>
          </w:tcPr>
          <w:p>
            <w:pPr>
              <w:spacing w:after="0"/>
              <w:rPr>
                <w:sz w:val="24"/>
                <w:szCs w:val="24"/>
                <w:color w:val="auto"/>
              </w:rPr>
            </w:pPr>
          </w:p>
        </w:tc>
        <w:tc>
          <w:tcPr>
            <w:tcW w:w="866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4"/>
                <w:szCs w:val="14"/>
                <w:color w:val="007CBA"/>
              </w:rPr>
              <w:t xml:space="preserve">•  </w:t>
            </w:r>
            <w:r>
              <w:rPr>
                <w:rFonts w:ascii="Arial" w:cs="Arial" w:eastAsia="Arial" w:hAnsi="Arial"/>
                <w:sz w:val="14"/>
                <w:szCs w:val="14"/>
                <w:color w:val="000000"/>
              </w:rPr>
              <w:t>input from the Board’s self-assessment process to prioritize areas of expertise that were identified;</w:t>
            </w:r>
          </w:p>
        </w:tc>
      </w:tr>
      <w:tr>
        <w:trPr>
          <w:trHeight w:val="283"/>
        </w:trPr>
        <w:tc>
          <w:tcPr>
            <w:tcW w:w="2360" w:type="dxa"/>
            <w:vAlign w:val="bottom"/>
            <w:tcBorders>
              <w:left w:val="single" w:sz="8" w:color="007CBA"/>
              <w:right w:val="single" w:sz="8" w:color="007CBA"/>
            </w:tcBorders>
            <w:shd w:val="clear" w:color="auto" w:fill="E5F1F8"/>
          </w:tcPr>
          <w:p>
            <w:pPr>
              <w:spacing w:after="0"/>
              <w:rPr>
                <w:sz w:val="24"/>
                <w:szCs w:val="24"/>
                <w:color w:val="auto"/>
              </w:rPr>
            </w:pPr>
          </w:p>
        </w:tc>
        <w:tc>
          <w:tcPr>
            <w:tcW w:w="866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4"/>
                <w:szCs w:val="14"/>
                <w:color w:val="007CBA"/>
              </w:rPr>
              <w:t xml:space="preserve">•  </w:t>
            </w:r>
            <w:r>
              <w:rPr>
                <w:rFonts w:ascii="Arial" w:cs="Arial" w:eastAsia="Arial" w:hAnsi="Arial"/>
                <w:sz w:val="14"/>
                <w:szCs w:val="14"/>
                <w:color w:val="000000"/>
              </w:rPr>
              <w:t>investor feedback and perceptions;</w:t>
            </w:r>
          </w:p>
        </w:tc>
      </w:tr>
      <w:tr>
        <w:trPr>
          <w:trHeight w:val="273"/>
        </w:trPr>
        <w:tc>
          <w:tcPr>
            <w:tcW w:w="2360" w:type="dxa"/>
            <w:vAlign w:val="bottom"/>
            <w:tcBorders>
              <w:left w:val="single" w:sz="8" w:color="007CBA"/>
              <w:right w:val="single" w:sz="8" w:color="007CBA"/>
            </w:tcBorders>
            <w:shd w:val="clear" w:color="auto" w:fill="E5F1F8"/>
          </w:tcPr>
          <w:p>
            <w:pPr>
              <w:spacing w:after="0"/>
              <w:rPr>
                <w:sz w:val="23"/>
                <w:szCs w:val="23"/>
                <w:color w:val="auto"/>
              </w:rPr>
            </w:pPr>
          </w:p>
        </w:tc>
        <w:tc>
          <w:tcPr>
            <w:tcW w:w="866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4"/>
                <w:szCs w:val="14"/>
                <w:color w:val="007CBA"/>
              </w:rPr>
              <w:t xml:space="preserve">•  </w:t>
            </w:r>
            <w:r>
              <w:rPr>
                <w:rFonts w:ascii="Arial" w:cs="Arial" w:eastAsia="Arial" w:hAnsi="Arial"/>
                <w:sz w:val="14"/>
                <w:szCs w:val="14"/>
                <w:color w:val="000000"/>
              </w:rPr>
              <w:t>the candidates’ skills and competencies to ensure they are aligned with the Company’s future strategic challenges and</w:t>
            </w:r>
          </w:p>
        </w:tc>
      </w:tr>
      <w:tr>
        <w:trPr>
          <w:trHeight w:val="172"/>
        </w:trPr>
        <w:tc>
          <w:tcPr>
            <w:tcW w:w="2360" w:type="dxa"/>
            <w:vAlign w:val="bottom"/>
            <w:tcBorders>
              <w:left w:val="single" w:sz="8" w:color="007CBA"/>
              <w:right w:val="single" w:sz="8" w:color="007CBA"/>
            </w:tcBorders>
            <w:shd w:val="clear" w:color="auto" w:fill="E5F1F8"/>
          </w:tcPr>
          <w:p>
            <w:pPr>
              <w:spacing w:after="0"/>
              <w:rPr>
                <w:sz w:val="14"/>
                <w:szCs w:val="14"/>
                <w:color w:val="auto"/>
              </w:rPr>
            </w:pPr>
          </w:p>
        </w:tc>
        <w:tc>
          <w:tcPr>
            <w:tcW w:w="8660" w:type="dxa"/>
            <w:vAlign w:val="bottom"/>
            <w:tcBorders>
              <w:right w:val="single" w:sz="8" w:color="007CBA"/>
            </w:tcBorders>
            <w:shd w:val="clear" w:color="auto" w:fill="E5F1F8"/>
          </w:tcPr>
          <w:p>
            <w:pPr>
              <w:ind w:left="480"/>
              <w:spacing w:after="0"/>
              <w:rPr>
                <w:sz w:val="20"/>
                <w:szCs w:val="20"/>
                <w:color w:val="auto"/>
              </w:rPr>
            </w:pPr>
            <w:r>
              <w:rPr>
                <w:rFonts w:ascii="Arial" w:cs="Arial" w:eastAsia="Arial" w:hAnsi="Arial"/>
                <w:sz w:val="14"/>
                <w:szCs w:val="14"/>
                <w:color w:val="auto"/>
              </w:rPr>
              <w:t>opportunities; and</w:t>
            </w:r>
          </w:p>
        </w:tc>
      </w:tr>
      <w:tr>
        <w:trPr>
          <w:trHeight w:val="283"/>
        </w:trPr>
        <w:tc>
          <w:tcPr>
            <w:tcW w:w="2360" w:type="dxa"/>
            <w:vAlign w:val="bottom"/>
            <w:tcBorders>
              <w:left w:val="single" w:sz="8" w:color="007CBA"/>
              <w:right w:val="single" w:sz="8" w:color="007CBA"/>
            </w:tcBorders>
            <w:shd w:val="clear" w:color="auto" w:fill="E5F1F8"/>
          </w:tcPr>
          <w:p>
            <w:pPr>
              <w:spacing w:after="0"/>
              <w:rPr>
                <w:sz w:val="24"/>
                <w:szCs w:val="24"/>
                <w:color w:val="auto"/>
              </w:rPr>
            </w:pPr>
          </w:p>
        </w:tc>
        <w:tc>
          <w:tcPr>
            <w:tcW w:w="866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4"/>
                <w:szCs w:val="14"/>
                <w:color w:val="007CBA"/>
              </w:rPr>
              <w:t xml:space="preserve">•  </w:t>
            </w:r>
            <w:r>
              <w:rPr>
                <w:rFonts w:ascii="Arial" w:cs="Arial" w:eastAsia="Arial" w:hAnsi="Arial"/>
                <w:sz w:val="14"/>
                <w:szCs w:val="14"/>
                <w:color w:val="000000"/>
              </w:rPr>
              <w:t>the needs of the Board in light of recent and anticipated Board vacancies.</w:t>
            </w:r>
          </w:p>
        </w:tc>
      </w:tr>
      <w:tr>
        <w:trPr>
          <w:trHeight w:val="273"/>
        </w:trPr>
        <w:tc>
          <w:tcPr>
            <w:tcW w:w="2360" w:type="dxa"/>
            <w:vAlign w:val="bottom"/>
            <w:tcBorders>
              <w:left w:val="single" w:sz="8" w:color="007CBA"/>
              <w:right w:val="single" w:sz="8" w:color="007CBA"/>
            </w:tcBorders>
            <w:shd w:val="clear" w:color="auto" w:fill="E5F1F8"/>
          </w:tcPr>
          <w:p>
            <w:pPr>
              <w:spacing w:after="0"/>
              <w:rPr>
                <w:sz w:val="23"/>
                <w:szCs w:val="23"/>
                <w:color w:val="auto"/>
              </w:rPr>
            </w:pPr>
          </w:p>
        </w:tc>
        <w:tc>
          <w:tcPr>
            <w:tcW w:w="8660" w:type="dxa"/>
            <w:vAlign w:val="bottom"/>
            <w:tcBorders>
              <w:right w:val="single" w:sz="8" w:color="007CBA"/>
            </w:tcBorders>
            <w:shd w:val="clear" w:color="auto" w:fill="E5F1F8"/>
          </w:tcPr>
          <w:p>
            <w:pPr>
              <w:ind w:left="200"/>
              <w:spacing w:after="0"/>
              <w:rPr>
                <w:sz w:val="20"/>
                <w:szCs w:val="20"/>
                <w:color w:val="auto"/>
              </w:rPr>
            </w:pPr>
            <w:r>
              <w:rPr>
                <w:rFonts w:ascii="Arial" w:cs="Arial" w:eastAsia="Arial" w:hAnsi="Arial"/>
                <w:sz w:val="14"/>
                <w:szCs w:val="14"/>
                <w:color w:val="auto"/>
              </w:rPr>
              <w:t>During the process of identifying and selecting director nominees, the Nominating and Corporate Governance Committee screens</w:t>
            </w:r>
          </w:p>
        </w:tc>
      </w:tr>
      <w:tr>
        <w:trPr>
          <w:trHeight w:val="162"/>
        </w:trPr>
        <w:tc>
          <w:tcPr>
            <w:tcW w:w="2360" w:type="dxa"/>
            <w:vAlign w:val="bottom"/>
            <w:tcBorders>
              <w:left w:val="single" w:sz="8" w:color="007CBA"/>
              <w:right w:val="single" w:sz="8" w:color="007CBA"/>
            </w:tcBorders>
            <w:shd w:val="clear" w:color="auto" w:fill="E5F1F8"/>
          </w:tcPr>
          <w:p>
            <w:pPr>
              <w:spacing w:after="0"/>
              <w:rPr>
                <w:sz w:val="14"/>
                <w:szCs w:val="14"/>
                <w:color w:val="auto"/>
              </w:rPr>
            </w:pPr>
          </w:p>
        </w:tc>
        <w:tc>
          <w:tcPr>
            <w:tcW w:w="8660" w:type="dxa"/>
            <w:vAlign w:val="bottom"/>
            <w:tcBorders>
              <w:right w:val="single" w:sz="8" w:color="007CBA"/>
            </w:tcBorders>
            <w:shd w:val="clear" w:color="auto" w:fill="E5F1F8"/>
          </w:tcPr>
          <w:p>
            <w:pPr>
              <w:ind w:left="200"/>
              <w:spacing w:after="0"/>
              <w:rPr>
                <w:sz w:val="20"/>
                <w:szCs w:val="20"/>
                <w:color w:val="auto"/>
              </w:rPr>
            </w:pPr>
            <w:r>
              <w:rPr>
                <w:rFonts w:ascii="Arial" w:cs="Arial" w:eastAsia="Arial" w:hAnsi="Arial"/>
                <w:sz w:val="14"/>
                <w:szCs w:val="14"/>
                <w:color w:val="auto"/>
              </w:rPr>
              <w:t>and recommends candidates for nomination by the full Board. The Bylaws provide that the size of the Board may range from 9 to 11</w:t>
            </w:r>
          </w:p>
        </w:tc>
      </w:tr>
      <w:tr>
        <w:trPr>
          <w:trHeight w:val="172"/>
        </w:trPr>
        <w:tc>
          <w:tcPr>
            <w:tcW w:w="2360" w:type="dxa"/>
            <w:vAlign w:val="bottom"/>
            <w:tcBorders>
              <w:left w:val="single" w:sz="8" w:color="007CBA"/>
              <w:right w:val="single" w:sz="8" w:color="007CBA"/>
            </w:tcBorders>
            <w:shd w:val="clear" w:color="auto" w:fill="E5F1F8"/>
          </w:tcPr>
          <w:p>
            <w:pPr>
              <w:spacing w:after="0"/>
              <w:rPr>
                <w:sz w:val="14"/>
                <w:szCs w:val="14"/>
                <w:color w:val="auto"/>
              </w:rPr>
            </w:pPr>
          </w:p>
        </w:tc>
        <w:tc>
          <w:tcPr>
            <w:tcW w:w="8660" w:type="dxa"/>
            <w:vAlign w:val="bottom"/>
            <w:tcBorders>
              <w:right w:val="single" w:sz="8" w:color="007CBA"/>
            </w:tcBorders>
            <w:shd w:val="clear" w:color="auto" w:fill="E5F1F8"/>
          </w:tcPr>
          <w:p>
            <w:pPr>
              <w:ind w:left="200"/>
              <w:spacing w:after="0"/>
              <w:rPr>
                <w:sz w:val="20"/>
                <w:szCs w:val="20"/>
                <w:color w:val="auto"/>
              </w:rPr>
            </w:pPr>
            <w:r>
              <w:rPr>
                <w:rFonts w:ascii="Arial" w:cs="Arial" w:eastAsia="Arial" w:hAnsi="Arial"/>
                <w:sz w:val="14"/>
                <w:szCs w:val="14"/>
                <w:color w:val="auto"/>
              </w:rPr>
              <w:t>members.</w:t>
            </w:r>
          </w:p>
        </w:tc>
      </w:tr>
      <w:tr>
        <w:trPr>
          <w:trHeight w:val="273"/>
        </w:trPr>
        <w:tc>
          <w:tcPr>
            <w:tcW w:w="2360" w:type="dxa"/>
            <w:vAlign w:val="bottom"/>
            <w:tcBorders>
              <w:left w:val="single" w:sz="8" w:color="007CBA"/>
              <w:right w:val="single" w:sz="8" w:color="007CBA"/>
            </w:tcBorders>
            <w:shd w:val="clear" w:color="auto" w:fill="E5F1F8"/>
          </w:tcPr>
          <w:p>
            <w:pPr>
              <w:spacing w:after="0"/>
              <w:rPr>
                <w:sz w:val="23"/>
                <w:szCs w:val="23"/>
                <w:color w:val="auto"/>
              </w:rPr>
            </w:pPr>
          </w:p>
        </w:tc>
        <w:tc>
          <w:tcPr>
            <w:tcW w:w="8660" w:type="dxa"/>
            <w:vAlign w:val="bottom"/>
            <w:tcBorders>
              <w:right w:val="single" w:sz="8" w:color="007CBA"/>
            </w:tcBorders>
            <w:shd w:val="clear" w:color="auto" w:fill="E5F1F8"/>
          </w:tcPr>
          <w:p>
            <w:pPr>
              <w:ind w:left="200"/>
              <w:spacing w:after="0"/>
              <w:rPr>
                <w:sz w:val="20"/>
                <w:szCs w:val="20"/>
                <w:color w:val="auto"/>
              </w:rPr>
            </w:pPr>
            <w:r>
              <w:rPr>
                <w:rFonts w:ascii="Arial" w:cs="Arial" w:eastAsia="Arial" w:hAnsi="Arial"/>
                <w:sz w:val="14"/>
                <w:szCs w:val="14"/>
                <w:color w:val="auto"/>
              </w:rPr>
              <w:t>Director candidates also may be identified by shareholders and will be evaluated under the same criteria applied to other director</w:t>
            </w:r>
          </w:p>
        </w:tc>
      </w:tr>
      <w:tr>
        <w:trPr>
          <w:trHeight w:val="148"/>
        </w:trPr>
        <w:tc>
          <w:tcPr>
            <w:tcW w:w="2360" w:type="dxa"/>
            <w:vAlign w:val="bottom"/>
            <w:tcBorders>
              <w:left w:val="single" w:sz="8" w:color="007CBA"/>
              <w:right w:val="single" w:sz="8" w:color="007CBA"/>
            </w:tcBorders>
            <w:shd w:val="clear" w:color="auto" w:fill="E5F1F8"/>
          </w:tcPr>
          <w:p>
            <w:pPr>
              <w:spacing w:after="0"/>
              <w:rPr>
                <w:sz w:val="12"/>
                <w:szCs w:val="12"/>
                <w:color w:val="auto"/>
              </w:rPr>
            </w:pPr>
          </w:p>
        </w:tc>
        <w:tc>
          <w:tcPr>
            <w:tcW w:w="8660" w:type="dxa"/>
            <w:vAlign w:val="bottom"/>
            <w:tcBorders>
              <w:right w:val="single" w:sz="8" w:color="007CBA"/>
            </w:tcBorders>
            <w:shd w:val="clear" w:color="auto" w:fill="E5F1F8"/>
          </w:tcPr>
          <w:p>
            <w:pPr>
              <w:ind w:left="200"/>
              <w:spacing w:after="0" w:line="148" w:lineRule="exact"/>
              <w:rPr>
                <w:sz w:val="20"/>
                <w:szCs w:val="20"/>
                <w:color w:val="auto"/>
              </w:rPr>
            </w:pPr>
            <w:r>
              <w:rPr>
                <w:rFonts w:ascii="Arial" w:cs="Arial" w:eastAsia="Arial" w:hAnsi="Arial"/>
                <w:sz w:val="14"/>
                <w:szCs w:val="14"/>
                <w:color w:val="auto"/>
              </w:rPr>
              <w:t>nominees and considered by the Nominating and Corporate Governance Committee. Information on the process and requirements</w:t>
            </w:r>
          </w:p>
        </w:tc>
      </w:tr>
      <w:tr>
        <w:trPr>
          <w:trHeight w:val="162"/>
        </w:trPr>
        <w:tc>
          <w:tcPr>
            <w:tcW w:w="2360" w:type="dxa"/>
            <w:vAlign w:val="bottom"/>
            <w:tcBorders>
              <w:left w:val="single" w:sz="8" w:color="007CBA"/>
              <w:right w:val="single" w:sz="8" w:color="007CBA"/>
            </w:tcBorders>
            <w:shd w:val="clear" w:color="auto" w:fill="E5F1F8"/>
          </w:tcPr>
          <w:p>
            <w:pPr>
              <w:spacing w:after="0"/>
              <w:rPr>
                <w:sz w:val="14"/>
                <w:szCs w:val="14"/>
                <w:color w:val="auto"/>
              </w:rPr>
            </w:pPr>
          </w:p>
        </w:tc>
        <w:tc>
          <w:tcPr>
            <w:tcW w:w="8660" w:type="dxa"/>
            <w:vAlign w:val="bottom"/>
            <w:tcBorders>
              <w:right w:val="single" w:sz="8" w:color="007CBA"/>
            </w:tcBorders>
            <w:shd w:val="clear" w:color="auto" w:fill="E5F1F8"/>
          </w:tcPr>
          <w:p>
            <w:pPr>
              <w:ind w:left="200"/>
              <w:spacing w:after="0"/>
              <w:rPr>
                <w:sz w:val="20"/>
                <w:szCs w:val="20"/>
                <w:color w:val="auto"/>
              </w:rPr>
            </w:pPr>
            <w:r>
              <w:rPr>
                <w:rFonts w:ascii="Arial" w:cs="Arial" w:eastAsia="Arial" w:hAnsi="Arial"/>
                <w:sz w:val="14"/>
                <w:szCs w:val="14"/>
                <w:color w:val="auto"/>
              </w:rPr>
              <w:t xml:space="preserve">for  shareholder  nominees  may  be  found  in  our  Bylaws  on  the  Corporation’s  website  at  </w:t>
            </w:r>
            <w:r>
              <w:rPr>
                <w:rFonts w:ascii="Arial" w:cs="Arial" w:eastAsia="Arial" w:hAnsi="Arial"/>
                <w:sz w:val="14"/>
                <w:szCs w:val="14"/>
                <w:i w:val="1"/>
                <w:iCs w:val="1"/>
                <w:color w:val="auto"/>
              </w:rPr>
              <w:t>ir.martinmarietta.com/investor-</w:t>
            </w:r>
          </w:p>
        </w:tc>
      </w:tr>
      <w:tr>
        <w:trPr>
          <w:trHeight w:val="192"/>
        </w:trPr>
        <w:tc>
          <w:tcPr>
            <w:tcW w:w="2360" w:type="dxa"/>
            <w:vAlign w:val="bottom"/>
            <w:tcBorders>
              <w:left w:val="single" w:sz="8" w:color="007CBA"/>
              <w:bottom w:val="single" w:sz="8" w:color="007CBA"/>
              <w:right w:val="single" w:sz="8" w:color="007CBA"/>
            </w:tcBorders>
            <w:shd w:val="clear" w:color="auto" w:fill="E5F1F8"/>
          </w:tcPr>
          <w:p>
            <w:pPr>
              <w:spacing w:after="0"/>
              <w:rPr>
                <w:sz w:val="16"/>
                <w:szCs w:val="16"/>
                <w:color w:val="auto"/>
              </w:rPr>
            </w:pPr>
          </w:p>
        </w:tc>
        <w:tc>
          <w:tcPr>
            <w:tcW w:w="8660" w:type="dxa"/>
            <w:vAlign w:val="bottom"/>
            <w:tcBorders>
              <w:bottom w:val="single" w:sz="8" w:color="007CBA"/>
              <w:right w:val="single" w:sz="8" w:color="007CBA"/>
            </w:tcBorders>
            <w:shd w:val="clear" w:color="auto" w:fill="E5F1F8"/>
          </w:tcPr>
          <w:p>
            <w:pPr>
              <w:ind w:left="200"/>
              <w:spacing w:after="0"/>
              <w:rPr>
                <w:sz w:val="20"/>
                <w:szCs w:val="20"/>
                <w:color w:val="auto"/>
              </w:rPr>
            </w:pPr>
            <w:r>
              <w:rPr>
                <w:rFonts w:ascii="Arial" w:cs="Arial" w:eastAsia="Arial" w:hAnsi="Arial"/>
                <w:sz w:val="14"/>
                <w:szCs w:val="14"/>
                <w:i w:val="1"/>
                <w:iCs w:val="1"/>
                <w:color w:val="auto"/>
              </w:rPr>
              <w:t>relations/corporate-governance.</w:t>
            </w:r>
          </w:p>
        </w:tc>
      </w:tr>
      <w:tr>
        <w:trPr>
          <w:trHeight w:val="234"/>
        </w:trPr>
        <w:tc>
          <w:tcPr>
            <w:tcW w:w="2360" w:type="dxa"/>
            <w:vAlign w:val="bottom"/>
            <w:tcBorders>
              <w:left w:val="single" w:sz="8" w:color="007CBA"/>
              <w:right w:val="single" w:sz="8" w:color="007CBA"/>
            </w:tcBorders>
          </w:tcPr>
          <w:p>
            <w:pPr>
              <w:ind w:left="140"/>
              <w:spacing w:after="0"/>
              <w:rPr>
                <w:sz w:val="20"/>
                <w:szCs w:val="20"/>
                <w:color w:val="auto"/>
              </w:rPr>
            </w:pPr>
            <w:r>
              <w:rPr>
                <w:rFonts w:ascii="Arial" w:cs="Arial" w:eastAsia="Arial" w:hAnsi="Arial"/>
                <w:sz w:val="14"/>
                <w:szCs w:val="14"/>
                <w:color w:val="auto"/>
              </w:rPr>
              <w:t>Board Assignments</w:t>
            </w:r>
          </w:p>
        </w:tc>
        <w:tc>
          <w:tcPr>
            <w:tcW w:w="8660" w:type="dxa"/>
            <w:vAlign w:val="bottom"/>
            <w:tcBorders>
              <w:right w:val="single" w:sz="8" w:color="007CBA"/>
            </w:tcBorders>
          </w:tcPr>
          <w:p>
            <w:pPr>
              <w:ind w:left="200"/>
              <w:spacing w:after="0"/>
              <w:rPr>
                <w:sz w:val="20"/>
                <w:szCs w:val="20"/>
                <w:color w:val="auto"/>
              </w:rPr>
            </w:pPr>
            <w:r>
              <w:rPr>
                <w:rFonts w:ascii="Arial" w:cs="Arial" w:eastAsia="Arial" w:hAnsi="Arial"/>
                <w:sz w:val="14"/>
                <w:szCs w:val="14"/>
                <w:color w:val="auto"/>
              </w:rPr>
              <w:t>In February, the Nominating and Corporate Governance Committee reviews the membership, tenure, leadership and commitments</w:t>
            </w:r>
          </w:p>
        </w:tc>
      </w:tr>
      <w:tr>
        <w:trPr>
          <w:trHeight w:val="162"/>
        </w:trPr>
        <w:tc>
          <w:tcPr>
            <w:tcW w:w="2360" w:type="dxa"/>
            <w:vAlign w:val="bottom"/>
            <w:tcBorders>
              <w:left w:val="single" w:sz="8" w:color="007CBA"/>
              <w:right w:val="single" w:sz="8" w:color="007CBA"/>
            </w:tcBorders>
          </w:tcPr>
          <w:p>
            <w:pPr>
              <w:spacing w:after="0"/>
              <w:rPr>
                <w:sz w:val="14"/>
                <w:szCs w:val="14"/>
                <w:color w:val="auto"/>
              </w:rPr>
            </w:pPr>
          </w:p>
        </w:tc>
        <w:tc>
          <w:tcPr>
            <w:tcW w:w="8660" w:type="dxa"/>
            <w:vAlign w:val="bottom"/>
            <w:tcBorders>
              <w:right w:val="single" w:sz="8" w:color="007CBA"/>
            </w:tcBorders>
          </w:tcPr>
          <w:p>
            <w:pPr>
              <w:ind w:left="200"/>
              <w:spacing w:after="0"/>
              <w:rPr>
                <w:sz w:val="20"/>
                <w:szCs w:val="20"/>
                <w:color w:val="auto"/>
              </w:rPr>
            </w:pPr>
            <w:r>
              <w:rPr>
                <w:rFonts w:ascii="Arial" w:cs="Arial" w:eastAsia="Arial" w:hAnsi="Arial"/>
                <w:sz w:val="14"/>
                <w:szCs w:val="14"/>
                <w:color w:val="auto"/>
              </w:rPr>
              <w:t>of each of the Committees and considers possible changes given the qualifications and skill sets of members on the Board or a</w:t>
            </w:r>
          </w:p>
        </w:tc>
      </w:tr>
      <w:tr>
        <w:trPr>
          <w:trHeight w:val="148"/>
        </w:trPr>
        <w:tc>
          <w:tcPr>
            <w:tcW w:w="2360" w:type="dxa"/>
            <w:vAlign w:val="bottom"/>
            <w:tcBorders>
              <w:left w:val="single" w:sz="8" w:color="007CBA"/>
              <w:right w:val="single" w:sz="8" w:color="007CBA"/>
            </w:tcBorders>
          </w:tcPr>
          <w:p>
            <w:pPr>
              <w:spacing w:after="0"/>
              <w:rPr>
                <w:sz w:val="12"/>
                <w:szCs w:val="12"/>
                <w:color w:val="auto"/>
              </w:rPr>
            </w:pPr>
          </w:p>
        </w:tc>
        <w:tc>
          <w:tcPr>
            <w:tcW w:w="8660" w:type="dxa"/>
            <w:vAlign w:val="bottom"/>
            <w:tcBorders>
              <w:right w:val="single" w:sz="8" w:color="007CBA"/>
            </w:tcBorders>
          </w:tcPr>
          <w:p>
            <w:pPr>
              <w:ind w:left="200"/>
              <w:spacing w:after="0" w:line="148" w:lineRule="exact"/>
              <w:rPr>
                <w:sz w:val="20"/>
                <w:szCs w:val="20"/>
                <w:color w:val="auto"/>
              </w:rPr>
            </w:pPr>
            <w:r>
              <w:rPr>
                <w:rFonts w:ascii="Arial" w:cs="Arial" w:eastAsia="Arial" w:hAnsi="Arial"/>
                <w:sz w:val="14"/>
                <w:szCs w:val="14"/>
                <w:color w:val="auto"/>
              </w:rPr>
              <w:t>desire for committee rotation or refreshment. The Nominating and Corporate Governance Committee also takes into consideration</w:t>
            </w:r>
          </w:p>
        </w:tc>
      </w:tr>
      <w:tr>
        <w:trPr>
          <w:trHeight w:val="162"/>
        </w:trPr>
        <w:tc>
          <w:tcPr>
            <w:tcW w:w="2360" w:type="dxa"/>
            <w:vAlign w:val="bottom"/>
            <w:tcBorders>
              <w:left w:val="single" w:sz="8" w:color="007CBA"/>
              <w:right w:val="single" w:sz="8" w:color="007CBA"/>
            </w:tcBorders>
          </w:tcPr>
          <w:p>
            <w:pPr>
              <w:spacing w:after="0"/>
              <w:rPr>
                <w:sz w:val="14"/>
                <w:szCs w:val="14"/>
                <w:color w:val="auto"/>
              </w:rPr>
            </w:pPr>
          </w:p>
        </w:tc>
        <w:tc>
          <w:tcPr>
            <w:tcW w:w="8660" w:type="dxa"/>
            <w:vAlign w:val="bottom"/>
            <w:tcBorders>
              <w:right w:val="single" w:sz="8" w:color="007CBA"/>
            </w:tcBorders>
          </w:tcPr>
          <w:p>
            <w:pPr>
              <w:ind w:left="200"/>
              <w:spacing w:after="0"/>
              <w:rPr>
                <w:sz w:val="20"/>
                <w:szCs w:val="20"/>
                <w:color w:val="auto"/>
              </w:rPr>
            </w:pPr>
            <w:r>
              <w:rPr>
                <w:rFonts w:ascii="Arial" w:cs="Arial" w:eastAsia="Arial" w:hAnsi="Arial"/>
                <w:sz w:val="14"/>
                <w:szCs w:val="14"/>
                <w:color w:val="auto"/>
              </w:rPr>
              <w:t xml:space="preserve">the membership requirements and responsibilities set forth in each of the respective Committee charters and the </w:t>
            </w:r>
            <w:r>
              <w:rPr>
                <w:rFonts w:ascii="Arial" w:cs="Arial" w:eastAsia="Arial" w:hAnsi="Arial"/>
                <w:sz w:val="14"/>
                <w:szCs w:val="14"/>
                <w:i w:val="1"/>
                <w:iCs w:val="1"/>
                <w:color w:val="auto"/>
              </w:rPr>
              <w:t>Corporate</w:t>
            </w:r>
          </w:p>
        </w:tc>
      </w:tr>
      <w:tr>
        <w:trPr>
          <w:trHeight w:val="176"/>
        </w:trPr>
        <w:tc>
          <w:tcPr>
            <w:tcW w:w="2360" w:type="dxa"/>
            <w:vAlign w:val="bottom"/>
            <w:tcBorders>
              <w:left w:val="single" w:sz="8" w:color="007CBA"/>
              <w:right w:val="single" w:sz="8" w:color="007CBA"/>
            </w:tcBorders>
          </w:tcPr>
          <w:p>
            <w:pPr>
              <w:spacing w:after="0"/>
              <w:rPr>
                <w:sz w:val="15"/>
                <w:szCs w:val="15"/>
                <w:color w:val="auto"/>
              </w:rPr>
            </w:pPr>
          </w:p>
        </w:tc>
        <w:tc>
          <w:tcPr>
            <w:tcW w:w="8660" w:type="dxa"/>
            <w:vAlign w:val="bottom"/>
            <w:tcBorders>
              <w:right w:val="single" w:sz="8" w:color="007CBA"/>
            </w:tcBorders>
          </w:tcPr>
          <w:p>
            <w:pPr>
              <w:ind w:left="200"/>
              <w:spacing w:after="0"/>
              <w:rPr>
                <w:sz w:val="20"/>
                <w:szCs w:val="20"/>
                <w:color w:val="auto"/>
              </w:rPr>
            </w:pPr>
            <w:r>
              <w:rPr>
                <w:rFonts w:ascii="Arial" w:cs="Arial" w:eastAsia="Arial" w:hAnsi="Arial"/>
                <w:sz w:val="14"/>
                <w:szCs w:val="14"/>
                <w:i w:val="1"/>
                <w:iCs w:val="1"/>
                <w:color w:val="auto"/>
              </w:rPr>
              <w:t xml:space="preserve">Governance Guidelines </w:t>
            </w:r>
            <w:r>
              <w:rPr>
                <w:rFonts w:ascii="Arial" w:cs="Arial" w:eastAsia="Arial" w:hAnsi="Arial"/>
                <w:sz w:val="14"/>
                <w:szCs w:val="14"/>
                <w:color w:val="auto"/>
              </w:rPr>
              <w:t>as well as any upcoming vacancies on the Board due to our mandatory retirement age. The Nominating and</w:t>
            </w:r>
          </w:p>
        </w:tc>
      </w:tr>
      <w:tr>
        <w:trPr>
          <w:trHeight w:val="162"/>
        </w:trPr>
        <w:tc>
          <w:tcPr>
            <w:tcW w:w="2360" w:type="dxa"/>
            <w:vAlign w:val="bottom"/>
            <w:tcBorders>
              <w:left w:val="single" w:sz="8" w:color="007CBA"/>
              <w:right w:val="single" w:sz="8" w:color="007CBA"/>
            </w:tcBorders>
          </w:tcPr>
          <w:p>
            <w:pPr>
              <w:spacing w:after="0"/>
              <w:rPr>
                <w:sz w:val="14"/>
                <w:szCs w:val="14"/>
                <w:color w:val="auto"/>
              </w:rPr>
            </w:pPr>
          </w:p>
        </w:tc>
        <w:tc>
          <w:tcPr>
            <w:tcW w:w="8660" w:type="dxa"/>
            <w:vAlign w:val="bottom"/>
            <w:tcBorders>
              <w:right w:val="single" w:sz="8" w:color="007CBA"/>
            </w:tcBorders>
          </w:tcPr>
          <w:p>
            <w:pPr>
              <w:ind w:left="200"/>
              <w:spacing w:after="0"/>
              <w:rPr>
                <w:sz w:val="20"/>
                <w:szCs w:val="20"/>
                <w:color w:val="auto"/>
              </w:rPr>
            </w:pPr>
            <w:r>
              <w:rPr>
                <w:rFonts w:ascii="Arial" w:cs="Arial" w:eastAsia="Arial" w:hAnsi="Arial"/>
                <w:sz w:val="14"/>
                <w:szCs w:val="14"/>
                <w:color w:val="auto"/>
              </w:rPr>
              <w:t>Corporate Governance Committee recommends to the Board any proposed changes to Committee assignments and leadership to</w:t>
            </w:r>
          </w:p>
        </w:tc>
      </w:tr>
      <w:tr>
        <w:trPr>
          <w:trHeight w:val="162"/>
        </w:trPr>
        <w:tc>
          <w:tcPr>
            <w:tcW w:w="2360" w:type="dxa"/>
            <w:vAlign w:val="bottom"/>
            <w:tcBorders>
              <w:left w:val="single" w:sz="8" w:color="007CBA"/>
              <w:right w:val="single" w:sz="8" w:color="007CBA"/>
            </w:tcBorders>
          </w:tcPr>
          <w:p>
            <w:pPr>
              <w:spacing w:after="0"/>
              <w:rPr>
                <w:sz w:val="14"/>
                <w:szCs w:val="14"/>
                <w:color w:val="auto"/>
              </w:rPr>
            </w:pPr>
          </w:p>
        </w:tc>
        <w:tc>
          <w:tcPr>
            <w:tcW w:w="8660" w:type="dxa"/>
            <w:vAlign w:val="bottom"/>
            <w:tcBorders>
              <w:right w:val="single" w:sz="8" w:color="007CBA"/>
            </w:tcBorders>
          </w:tcPr>
          <w:p>
            <w:pPr>
              <w:ind w:left="200"/>
              <w:spacing w:after="0"/>
              <w:rPr>
                <w:sz w:val="20"/>
                <w:szCs w:val="20"/>
                <w:color w:val="auto"/>
              </w:rPr>
            </w:pPr>
            <w:r>
              <w:rPr>
                <w:rFonts w:ascii="Arial" w:cs="Arial" w:eastAsia="Arial" w:hAnsi="Arial"/>
                <w:sz w:val="14"/>
                <w:szCs w:val="14"/>
                <w:color w:val="auto"/>
              </w:rPr>
              <w:t>be made effective at the next annual meeting of shareholders. The Nominating and Corporate Governance Committee also reviews</w:t>
            </w:r>
          </w:p>
        </w:tc>
      </w:tr>
      <w:tr>
        <w:trPr>
          <w:trHeight w:val="178"/>
        </w:trPr>
        <w:tc>
          <w:tcPr>
            <w:tcW w:w="2360" w:type="dxa"/>
            <w:vAlign w:val="bottom"/>
            <w:tcBorders>
              <w:left w:val="single" w:sz="8" w:color="007CBA"/>
              <w:bottom w:val="single" w:sz="8" w:color="007CBA"/>
              <w:right w:val="single" w:sz="8" w:color="007CBA"/>
            </w:tcBorders>
          </w:tcPr>
          <w:p>
            <w:pPr>
              <w:spacing w:after="0"/>
              <w:rPr>
                <w:sz w:val="15"/>
                <w:szCs w:val="15"/>
                <w:color w:val="auto"/>
              </w:rPr>
            </w:pPr>
          </w:p>
        </w:tc>
        <w:tc>
          <w:tcPr>
            <w:tcW w:w="8660" w:type="dxa"/>
            <w:vAlign w:val="bottom"/>
            <w:tcBorders>
              <w:bottom w:val="single" w:sz="8" w:color="007CBA"/>
              <w:right w:val="single" w:sz="8" w:color="007CBA"/>
            </w:tcBorders>
          </w:tcPr>
          <w:p>
            <w:pPr>
              <w:ind w:left="200"/>
              <w:spacing w:after="0"/>
              <w:rPr>
                <w:sz w:val="20"/>
                <w:szCs w:val="20"/>
                <w:color w:val="auto"/>
              </w:rPr>
            </w:pPr>
            <w:r>
              <w:rPr>
                <w:rFonts w:ascii="Arial" w:cs="Arial" w:eastAsia="Arial" w:hAnsi="Arial"/>
                <w:sz w:val="14"/>
                <w:szCs w:val="14"/>
                <w:color w:val="auto"/>
              </w:rPr>
              <w:t>the operation of the Board generally.</w:t>
            </w:r>
          </w:p>
        </w:tc>
      </w:tr>
      <w:tr>
        <w:trPr>
          <w:trHeight w:val="234"/>
        </w:trPr>
        <w:tc>
          <w:tcPr>
            <w:tcW w:w="2360" w:type="dxa"/>
            <w:vAlign w:val="bottom"/>
            <w:tcBorders>
              <w:left w:val="single" w:sz="8" w:color="007CBA"/>
              <w:right w:val="single" w:sz="8" w:color="007CBA"/>
            </w:tcBorders>
            <w:shd w:val="clear" w:color="auto" w:fill="E5F1F8"/>
          </w:tcPr>
          <w:p>
            <w:pPr>
              <w:ind w:left="140"/>
              <w:spacing w:after="0"/>
              <w:rPr>
                <w:sz w:val="20"/>
                <w:szCs w:val="20"/>
                <w:color w:val="auto"/>
              </w:rPr>
            </w:pPr>
            <w:r>
              <w:rPr>
                <w:rFonts w:ascii="Arial" w:cs="Arial" w:eastAsia="Arial" w:hAnsi="Arial"/>
                <w:sz w:val="14"/>
                <w:szCs w:val="14"/>
                <w:color w:val="auto"/>
              </w:rPr>
              <w:t>Refreshment</w:t>
            </w:r>
          </w:p>
        </w:tc>
        <w:tc>
          <w:tcPr>
            <w:tcW w:w="8660" w:type="dxa"/>
            <w:vAlign w:val="bottom"/>
            <w:tcBorders>
              <w:right w:val="single" w:sz="8" w:color="007CBA"/>
            </w:tcBorders>
            <w:shd w:val="clear" w:color="auto" w:fill="E5F1F8"/>
          </w:tcPr>
          <w:p>
            <w:pPr>
              <w:ind w:left="200"/>
              <w:spacing w:after="0"/>
              <w:rPr>
                <w:sz w:val="20"/>
                <w:szCs w:val="20"/>
                <w:color w:val="auto"/>
              </w:rPr>
            </w:pPr>
            <w:r>
              <w:rPr>
                <w:rFonts w:ascii="Arial" w:cs="Arial" w:eastAsia="Arial" w:hAnsi="Arial"/>
                <w:sz w:val="14"/>
                <w:szCs w:val="14"/>
                <w:color w:val="auto"/>
              </w:rPr>
              <w:t>The Board has added four new directors in the past three years. Mr. Rediker will retire at the Annual Meeting and Mr. Zelnak is</w:t>
            </w:r>
          </w:p>
        </w:tc>
      </w:tr>
      <w:tr>
        <w:trPr>
          <w:trHeight w:val="162"/>
        </w:trPr>
        <w:tc>
          <w:tcPr>
            <w:tcW w:w="2360" w:type="dxa"/>
            <w:vAlign w:val="bottom"/>
            <w:tcBorders>
              <w:left w:val="single" w:sz="8" w:color="007CBA"/>
              <w:right w:val="single" w:sz="8" w:color="007CBA"/>
            </w:tcBorders>
            <w:shd w:val="clear" w:color="auto" w:fill="E5F1F8"/>
          </w:tcPr>
          <w:p>
            <w:pPr>
              <w:spacing w:after="0"/>
              <w:rPr>
                <w:sz w:val="14"/>
                <w:szCs w:val="14"/>
                <w:color w:val="auto"/>
              </w:rPr>
            </w:pPr>
          </w:p>
        </w:tc>
        <w:tc>
          <w:tcPr>
            <w:tcW w:w="8660" w:type="dxa"/>
            <w:vAlign w:val="bottom"/>
            <w:tcBorders>
              <w:right w:val="single" w:sz="8" w:color="007CBA"/>
            </w:tcBorders>
            <w:shd w:val="clear" w:color="auto" w:fill="E5F1F8"/>
          </w:tcPr>
          <w:p>
            <w:pPr>
              <w:ind w:left="200"/>
              <w:spacing w:after="0"/>
              <w:rPr>
                <w:sz w:val="20"/>
                <w:szCs w:val="20"/>
                <w:color w:val="auto"/>
              </w:rPr>
            </w:pPr>
            <w:r>
              <w:rPr>
                <w:rFonts w:ascii="Arial" w:cs="Arial" w:eastAsia="Arial" w:hAnsi="Arial"/>
                <w:sz w:val="14"/>
                <w:szCs w:val="14"/>
                <w:color w:val="auto"/>
              </w:rPr>
              <w:t>expected to retire in May 2020, providing further opportunity for refreshment. At the same time, obtaining a detailed understanding</w:t>
            </w:r>
          </w:p>
        </w:tc>
      </w:tr>
      <w:tr>
        <w:trPr>
          <w:trHeight w:val="162"/>
        </w:trPr>
        <w:tc>
          <w:tcPr>
            <w:tcW w:w="2360" w:type="dxa"/>
            <w:vAlign w:val="bottom"/>
            <w:tcBorders>
              <w:left w:val="single" w:sz="8" w:color="007CBA"/>
              <w:right w:val="single" w:sz="8" w:color="007CBA"/>
            </w:tcBorders>
            <w:shd w:val="clear" w:color="auto" w:fill="E5F1F8"/>
          </w:tcPr>
          <w:p>
            <w:pPr>
              <w:spacing w:after="0"/>
              <w:rPr>
                <w:sz w:val="14"/>
                <w:szCs w:val="14"/>
                <w:color w:val="auto"/>
              </w:rPr>
            </w:pPr>
          </w:p>
        </w:tc>
        <w:tc>
          <w:tcPr>
            <w:tcW w:w="8660" w:type="dxa"/>
            <w:vAlign w:val="bottom"/>
            <w:tcBorders>
              <w:right w:val="single" w:sz="8" w:color="007CBA"/>
            </w:tcBorders>
            <w:shd w:val="clear" w:color="auto" w:fill="E5F1F8"/>
          </w:tcPr>
          <w:p>
            <w:pPr>
              <w:ind w:left="200"/>
              <w:spacing w:after="0"/>
              <w:rPr>
                <w:sz w:val="20"/>
                <w:szCs w:val="20"/>
                <w:color w:val="auto"/>
              </w:rPr>
            </w:pPr>
            <w:r>
              <w:rPr>
                <w:rFonts w:ascii="Arial" w:cs="Arial" w:eastAsia="Arial" w:hAnsi="Arial"/>
                <w:sz w:val="14"/>
                <w:szCs w:val="14"/>
                <w:color w:val="auto"/>
              </w:rPr>
              <w:t>of the Corporation’s business takes time. We believe that implementing term limitations may prevent the Board from taking</w:t>
            </w:r>
          </w:p>
        </w:tc>
      </w:tr>
      <w:tr>
        <w:trPr>
          <w:trHeight w:val="178"/>
        </w:trPr>
        <w:tc>
          <w:tcPr>
            <w:tcW w:w="2360" w:type="dxa"/>
            <w:vAlign w:val="bottom"/>
            <w:tcBorders>
              <w:left w:val="single" w:sz="8" w:color="007CBA"/>
              <w:bottom w:val="single" w:sz="8" w:color="007CBA"/>
              <w:right w:val="single" w:sz="8" w:color="007CBA"/>
            </w:tcBorders>
            <w:shd w:val="clear" w:color="auto" w:fill="E5F1F8"/>
          </w:tcPr>
          <w:p>
            <w:pPr>
              <w:spacing w:after="0"/>
              <w:rPr>
                <w:sz w:val="15"/>
                <w:szCs w:val="15"/>
                <w:color w:val="auto"/>
              </w:rPr>
            </w:pPr>
          </w:p>
        </w:tc>
        <w:tc>
          <w:tcPr>
            <w:tcW w:w="8660" w:type="dxa"/>
            <w:vAlign w:val="bottom"/>
            <w:tcBorders>
              <w:bottom w:val="single" w:sz="8" w:color="007CBA"/>
              <w:right w:val="single" w:sz="8" w:color="007CBA"/>
            </w:tcBorders>
            <w:shd w:val="clear" w:color="auto" w:fill="E5F1F8"/>
          </w:tcPr>
          <w:p>
            <w:pPr>
              <w:ind w:left="200"/>
              <w:spacing w:after="0"/>
              <w:rPr>
                <w:sz w:val="20"/>
                <w:szCs w:val="20"/>
                <w:color w:val="auto"/>
              </w:rPr>
            </w:pPr>
            <w:r>
              <w:rPr>
                <w:rFonts w:ascii="Arial" w:cs="Arial" w:eastAsia="Arial" w:hAnsi="Arial"/>
                <w:sz w:val="14"/>
                <w:szCs w:val="14"/>
                <w:color w:val="auto"/>
              </w:rPr>
              <w:t>advantage of insight that longer tenure brings.</w:t>
            </w:r>
          </w:p>
        </w:tc>
      </w:tr>
      <w:tr>
        <w:trPr>
          <w:trHeight w:val="234"/>
        </w:trPr>
        <w:tc>
          <w:tcPr>
            <w:tcW w:w="2360" w:type="dxa"/>
            <w:vAlign w:val="bottom"/>
            <w:tcBorders>
              <w:left w:val="single" w:sz="8" w:color="007CBA"/>
              <w:right w:val="single" w:sz="8" w:color="007CBA"/>
            </w:tcBorders>
          </w:tcPr>
          <w:p>
            <w:pPr>
              <w:ind w:left="140"/>
              <w:spacing w:after="0"/>
              <w:rPr>
                <w:sz w:val="20"/>
                <w:szCs w:val="20"/>
                <w:color w:val="auto"/>
              </w:rPr>
            </w:pPr>
            <w:r>
              <w:rPr>
                <w:rFonts w:ascii="Arial" w:cs="Arial" w:eastAsia="Arial" w:hAnsi="Arial"/>
                <w:sz w:val="14"/>
                <w:szCs w:val="14"/>
                <w:color w:val="auto"/>
              </w:rPr>
              <w:t>Annual Performance</w:t>
            </w:r>
          </w:p>
        </w:tc>
        <w:tc>
          <w:tcPr>
            <w:tcW w:w="8660" w:type="dxa"/>
            <w:vAlign w:val="bottom"/>
            <w:tcBorders>
              <w:right w:val="single" w:sz="8" w:color="007CBA"/>
            </w:tcBorders>
          </w:tcPr>
          <w:p>
            <w:pPr>
              <w:ind w:left="200"/>
              <w:spacing w:after="0"/>
              <w:rPr>
                <w:sz w:val="20"/>
                <w:szCs w:val="20"/>
                <w:color w:val="auto"/>
              </w:rPr>
            </w:pPr>
            <w:r>
              <w:rPr>
                <w:rFonts w:ascii="Arial" w:cs="Arial" w:eastAsia="Arial" w:hAnsi="Arial"/>
                <w:sz w:val="14"/>
                <w:szCs w:val="14"/>
                <w:color w:val="auto"/>
              </w:rPr>
              <w:t>The Board conducts a self-assessment of its performance and effectiveness as well as that of its Committees on an annual basis.</w:t>
            </w:r>
          </w:p>
        </w:tc>
      </w:tr>
      <w:tr>
        <w:trPr>
          <w:trHeight w:val="162"/>
        </w:trPr>
        <w:tc>
          <w:tcPr>
            <w:tcW w:w="2360" w:type="dxa"/>
            <w:vAlign w:val="bottom"/>
            <w:tcBorders>
              <w:left w:val="single" w:sz="8" w:color="007CBA"/>
              <w:right w:val="single" w:sz="8" w:color="007CBA"/>
            </w:tcBorders>
          </w:tcPr>
          <w:p>
            <w:pPr>
              <w:ind w:left="140"/>
              <w:spacing w:after="0"/>
              <w:rPr>
                <w:sz w:val="20"/>
                <w:szCs w:val="20"/>
                <w:color w:val="auto"/>
              </w:rPr>
            </w:pPr>
            <w:r>
              <w:rPr>
                <w:rFonts w:ascii="Arial" w:cs="Arial" w:eastAsia="Arial" w:hAnsi="Arial"/>
                <w:sz w:val="14"/>
                <w:szCs w:val="14"/>
                <w:color w:val="auto"/>
              </w:rPr>
              <w:t>Assessment</w:t>
            </w:r>
          </w:p>
        </w:tc>
        <w:tc>
          <w:tcPr>
            <w:tcW w:w="8660" w:type="dxa"/>
            <w:vAlign w:val="bottom"/>
            <w:tcBorders>
              <w:right w:val="single" w:sz="8" w:color="007CBA"/>
            </w:tcBorders>
          </w:tcPr>
          <w:p>
            <w:pPr>
              <w:ind w:left="200"/>
              <w:spacing w:after="0"/>
              <w:rPr>
                <w:sz w:val="20"/>
                <w:szCs w:val="20"/>
                <w:color w:val="auto"/>
              </w:rPr>
            </w:pPr>
            <w:r>
              <w:rPr>
                <w:rFonts w:ascii="Arial" w:cs="Arial" w:eastAsia="Arial" w:hAnsi="Arial"/>
                <w:sz w:val="14"/>
                <w:szCs w:val="14"/>
                <w:color w:val="auto"/>
              </w:rPr>
              <w:t>The self-assessment helps the Nominating and Corporate Governance Committee track progress in certain areas targeted for</w:t>
            </w:r>
          </w:p>
        </w:tc>
      </w:tr>
      <w:tr>
        <w:trPr>
          <w:trHeight w:val="162"/>
        </w:trPr>
        <w:tc>
          <w:tcPr>
            <w:tcW w:w="2360" w:type="dxa"/>
            <w:vAlign w:val="bottom"/>
            <w:tcBorders>
              <w:left w:val="single" w:sz="8" w:color="007CBA"/>
              <w:right w:val="single" w:sz="8" w:color="007CBA"/>
            </w:tcBorders>
          </w:tcPr>
          <w:p>
            <w:pPr>
              <w:spacing w:after="0"/>
              <w:rPr>
                <w:sz w:val="14"/>
                <w:szCs w:val="14"/>
                <w:color w:val="auto"/>
              </w:rPr>
            </w:pPr>
          </w:p>
        </w:tc>
        <w:tc>
          <w:tcPr>
            <w:tcW w:w="8660" w:type="dxa"/>
            <w:vAlign w:val="bottom"/>
            <w:tcBorders>
              <w:right w:val="single" w:sz="8" w:color="007CBA"/>
            </w:tcBorders>
          </w:tcPr>
          <w:p>
            <w:pPr>
              <w:ind w:left="200"/>
              <w:spacing w:after="0"/>
              <w:rPr>
                <w:sz w:val="20"/>
                <w:szCs w:val="20"/>
                <w:color w:val="auto"/>
              </w:rPr>
            </w:pPr>
            <w:r>
              <w:rPr>
                <w:rFonts w:ascii="Arial" w:cs="Arial" w:eastAsia="Arial" w:hAnsi="Arial"/>
                <w:sz w:val="14"/>
                <w:szCs w:val="14"/>
                <w:color w:val="auto"/>
              </w:rPr>
              <w:t>improvement from year-to-year and to identify ways to enhance the Board’s and its Committees’ effectiveness. For 2018, each</w:t>
            </w:r>
          </w:p>
        </w:tc>
      </w:tr>
      <w:tr>
        <w:trPr>
          <w:trHeight w:val="162"/>
        </w:trPr>
        <w:tc>
          <w:tcPr>
            <w:tcW w:w="2360" w:type="dxa"/>
            <w:vAlign w:val="bottom"/>
            <w:tcBorders>
              <w:left w:val="single" w:sz="8" w:color="007CBA"/>
              <w:right w:val="single" w:sz="8" w:color="007CBA"/>
            </w:tcBorders>
          </w:tcPr>
          <w:p>
            <w:pPr>
              <w:spacing w:after="0"/>
              <w:rPr>
                <w:sz w:val="14"/>
                <w:szCs w:val="14"/>
                <w:color w:val="auto"/>
              </w:rPr>
            </w:pPr>
          </w:p>
        </w:tc>
        <w:tc>
          <w:tcPr>
            <w:tcW w:w="8660" w:type="dxa"/>
            <w:vAlign w:val="bottom"/>
            <w:tcBorders>
              <w:right w:val="single" w:sz="8" w:color="007CBA"/>
            </w:tcBorders>
          </w:tcPr>
          <w:p>
            <w:pPr>
              <w:ind w:left="200"/>
              <w:spacing w:after="0"/>
              <w:rPr>
                <w:sz w:val="20"/>
                <w:szCs w:val="20"/>
                <w:color w:val="auto"/>
              </w:rPr>
            </w:pPr>
            <w:r>
              <w:rPr>
                <w:rFonts w:ascii="Arial" w:cs="Arial" w:eastAsia="Arial" w:hAnsi="Arial"/>
                <w:sz w:val="14"/>
                <w:szCs w:val="14"/>
                <w:color w:val="auto"/>
              </w:rPr>
              <w:t>director completed a written questionnaire. The questions were open-ended to solicit candid feedback. The collective ratings and</w:t>
            </w:r>
          </w:p>
        </w:tc>
      </w:tr>
      <w:tr>
        <w:trPr>
          <w:trHeight w:val="162"/>
        </w:trPr>
        <w:tc>
          <w:tcPr>
            <w:tcW w:w="2360" w:type="dxa"/>
            <w:vAlign w:val="bottom"/>
            <w:tcBorders>
              <w:left w:val="single" w:sz="8" w:color="007CBA"/>
              <w:right w:val="single" w:sz="8" w:color="007CBA"/>
            </w:tcBorders>
          </w:tcPr>
          <w:p>
            <w:pPr>
              <w:spacing w:after="0"/>
              <w:rPr>
                <w:sz w:val="14"/>
                <w:szCs w:val="14"/>
                <w:color w:val="auto"/>
              </w:rPr>
            </w:pPr>
          </w:p>
        </w:tc>
        <w:tc>
          <w:tcPr>
            <w:tcW w:w="8660" w:type="dxa"/>
            <w:vAlign w:val="bottom"/>
            <w:tcBorders>
              <w:right w:val="single" w:sz="8" w:color="007CBA"/>
            </w:tcBorders>
          </w:tcPr>
          <w:p>
            <w:pPr>
              <w:ind w:left="200"/>
              <w:spacing w:after="0"/>
              <w:rPr>
                <w:sz w:val="20"/>
                <w:szCs w:val="20"/>
                <w:color w:val="auto"/>
              </w:rPr>
            </w:pPr>
            <w:r>
              <w:rPr>
                <w:rFonts w:ascii="Arial" w:cs="Arial" w:eastAsia="Arial" w:hAnsi="Arial"/>
                <w:sz w:val="14"/>
                <w:szCs w:val="14"/>
                <w:color w:val="auto"/>
              </w:rPr>
              <w:t>comments are compiled and summarized and then discussed by the Nominating and Corporate Governance Committee and the full</w:t>
            </w:r>
          </w:p>
        </w:tc>
      </w:tr>
      <w:tr>
        <w:trPr>
          <w:trHeight w:val="178"/>
        </w:trPr>
        <w:tc>
          <w:tcPr>
            <w:tcW w:w="2360" w:type="dxa"/>
            <w:vAlign w:val="bottom"/>
            <w:tcBorders>
              <w:left w:val="single" w:sz="8" w:color="007CBA"/>
              <w:bottom w:val="single" w:sz="8" w:color="007CBA"/>
              <w:right w:val="single" w:sz="8" w:color="007CBA"/>
            </w:tcBorders>
          </w:tcPr>
          <w:p>
            <w:pPr>
              <w:spacing w:after="0"/>
              <w:rPr>
                <w:sz w:val="15"/>
                <w:szCs w:val="15"/>
                <w:color w:val="auto"/>
              </w:rPr>
            </w:pPr>
          </w:p>
        </w:tc>
        <w:tc>
          <w:tcPr>
            <w:tcW w:w="8660" w:type="dxa"/>
            <w:vAlign w:val="bottom"/>
            <w:tcBorders>
              <w:bottom w:val="single" w:sz="8" w:color="007CBA"/>
              <w:right w:val="single" w:sz="8" w:color="007CBA"/>
            </w:tcBorders>
          </w:tcPr>
          <w:p>
            <w:pPr>
              <w:ind w:left="200"/>
              <w:spacing w:after="0"/>
              <w:rPr>
                <w:sz w:val="20"/>
                <w:szCs w:val="20"/>
                <w:color w:val="auto"/>
              </w:rPr>
            </w:pPr>
            <w:r>
              <w:rPr>
                <w:rFonts w:ascii="Arial" w:cs="Arial" w:eastAsia="Arial" w:hAnsi="Arial"/>
                <w:sz w:val="14"/>
                <w:szCs w:val="14"/>
                <w:color w:val="auto"/>
              </w:rPr>
              <w:t>Board.</w:t>
            </w:r>
          </w:p>
        </w:tc>
      </w:tr>
      <w:tr>
        <w:trPr>
          <w:trHeight w:val="234"/>
        </w:trPr>
        <w:tc>
          <w:tcPr>
            <w:tcW w:w="2360" w:type="dxa"/>
            <w:vAlign w:val="bottom"/>
            <w:tcBorders>
              <w:left w:val="single" w:sz="8" w:color="007CBA"/>
              <w:right w:val="single" w:sz="8" w:color="007CBA"/>
            </w:tcBorders>
            <w:shd w:val="clear" w:color="auto" w:fill="E5F1F8"/>
          </w:tcPr>
          <w:p>
            <w:pPr>
              <w:ind w:left="140"/>
              <w:spacing w:after="0"/>
              <w:rPr>
                <w:sz w:val="20"/>
                <w:szCs w:val="20"/>
                <w:color w:val="auto"/>
              </w:rPr>
            </w:pPr>
            <w:r>
              <w:rPr>
                <w:rFonts w:ascii="Arial" w:cs="Arial" w:eastAsia="Arial" w:hAnsi="Arial"/>
                <w:sz w:val="14"/>
                <w:szCs w:val="14"/>
                <w:color w:val="auto"/>
              </w:rPr>
              <w:t>Onboarding and</w:t>
            </w:r>
          </w:p>
        </w:tc>
        <w:tc>
          <w:tcPr>
            <w:tcW w:w="8660" w:type="dxa"/>
            <w:vAlign w:val="bottom"/>
            <w:tcBorders>
              <w:right w:val="single" w:sz="8" w:color="007CBA"/>
            </w:tcBorders>
            <w:shd w:val="clear" w:color="auto" w:fill="E5F1F8"/>
          </w:tcPr>
          <w:p>
            <w:pPr>
              <w:ind w:left="200"/>
              <w:spacing w:after="0"/>
              <w:rPr>
                <w:sz w:val="20"/>
                <w:szCs w:val="20"/>
                <w:color w:val="auto"/>
              </w:rPr>
            </w:pPr>
            <w:r>
              <w:rPr>
                <w:rFonts w:ascii="Arial" w:cs="Arial" w:eastAsia="Arial" w:hAnsi="Arial"/>
                <w:sz w:val="14"/>
                <w:szCs w:val="14"/>
                <w:color w:val="auto"/>
              </w:rPr>
              <w:t>New directors are provided with an orientation about the Company, including our business operations, strategy and governance.</w:t>
            </w:r>
          </w:p>
        </w:tc>
      </w:tr>
      <w:tr>
        <w:trPr>
          <w:trHeight w:val="162"/>
        </w:trPr>
        <w:tc>
          <w:tcPr>
            <w:tcW w:w="2360" w:type="dxa"/>
            <w:vAlign w:val="bottom"/>
            <w:tcBorders>
              <w:left w:val="single" w:sz="8" w:color="007CBA"/>
              <w:right w:val="single" w:sz="8" w:color="007CBA"/>
            </w:tcBorders>
            <w:shd w:val="clear" w:color="auto" w:fill="E5F1F8"/>
          </w:tcPr>
          <w:p>
            <w:pPr>
              <w:ind w:left="140"/>
              <w:spacing w:after="0"/>
              <w:rPr>
                <w:sz w:val="20"/>
                <w:szCs w:val="20"/>
                <w:color w:val="auto"/>
              </w:rPr>
            </w:pPr>
            <w:r>
              <w:rPr>
                <w:rFonts w:ascii="Arial" w:cs="Arial" w:eastAsia="Arial" w:hAnsi="Arial"/>
                <w:sz w:val="14"/>
                <w:szCs w:val="14"/>
                <w:color w:val="auto"/>
              </w:rPr>
              <w:t>Continuing Education</w:t>
            </w:r>
          </w:p>
        </w:tc>
        <w:tc>
          <w:tcPr>
            <w:tcW w:w="8660" w:type="dxa"/>
            <w:vAlign w:val="bottom"/>
            <w:tcBorders>
              <w:right w:val="single" w:sz="8" w:color="007CBA"/>
            </w:tcBorders>
            <w:shd w:val="clear" w:color="auto" w:fill="E5F1F8"/>
          </w:tcPr>
          <w:p>
            <w:pPr>
              <w:ind w:left="200"/>
              <w:spacing w:after="0"/>
              <w:rPr>
                <w:sz w:val="20"/>
                <w:szCs w:val="20"/>
                <w:color w:val="auto"/>
              </w:rPr>
            </w:pPr>
            <w:r>
              <w:rPr>
                <w:rFonts w:ascii="Arial" w:cs="Arial" w:eastAsia="Arial" w:hAnsi="Arial"/>
                <w:sz w:val="14"/>
                <w:szCs w:val="14"/>
                <w:color w:val="auto"/>
              </w:rPr>
              <w:t>Directors also are provided continuing education by subject matter experts and/or continuing education programs sponsored by</w:t>
            </w:r>
          </w:p>
        </w:tc>
      </w:tr>
      <w:tr>
        <w:trPr>
          <w:trHeight w:val="162"/>
        </w:trPr>
        <w:tc>
          <w:tcPr>
            <w:tcW w:w="2360" w:type="dxa"/>
            <w:vAlign w:val="bottom"/>
            <w:tcBorders>
              <w:left w:val="single" w:sz="8" w:color="007CBA"/>
              <w:right w:val="single" w:sz="8" w:color="007CBA"/>
            </w:tcBorders>
            <w:shd w:val="clear" w:color="auto" w:fill="E5F1F8"/>
          </w:tcPr>
          <w:p>
            <w:pPr>
              <w:spacing w:after="0"/>
              <w:rPr>
                <w:sz w:val="14"/>
                <w:szCs w:val="14"/>
                <w:color w:val="auto"/>
              </w:rPr>
            </w:pPr>
          </w:p>
        </w:tc>
        <w:tc>
          <w:tcPr>
            <w:tcW w:w="8660" w:type="dxa"/>
            <w:vAlign w:val="bottom"/>
            <w:tcBorders>
              <w:right w:val="single" w:sz="8" w:color="007CBA"/>
            </w:tcBorders>
            <w:shd w:val="clear" w:color="auto" w:fill="E5F1F8"/>
          </w:tcPr>
          <w:p>
            <w:pPr>
              <w:ind w:left="200"/>
              <w:spacing w:after="0"/>
              <w:rPr>
                <w:sz w:val="20"/>
                <w:szCs w:val="20"/>
                <w:color w:val="auto"/>
              </w:rPr>
            </w:pPr>
            <w:r>
              <w:rPr>
                <w:rFonts w:ascii="Arial" w:cs="Arial" w:eastAsia="Arial" w:hAnsi="Arial"/>
                <w:sz w:val="14"/>
                <w:szCs w:val="14"/>
                <w:color w:val="auto"/>
              </w:rPr>
              <w:t>educational and other institutions to assist them in staying abreast of developments in corporate governance and critical issues</w:t>
            </w:r>
          </w:p>
        </w:tc>
      </w:tr>
      <w:tr>
        <w:trPr>
          <w:trHeight w:val="162"/>
        </w:trPr>
        <w:tc>
          <w:tcPr>
            <w:tcW w:w="2360" w:type="dxa"/>
            <w:vAlign w:val="bottom"/>
            <w:tcBorders>
              <w:left w:val="single" w:sz="8" w:color="007CBA"/>
              <w:right w:val="single" w:sz="8" w:color="007CBA"/>
            </w:tcBorders>
            <w:shd w:val="clear" w:color="auto" w:fill="E5F1F8"/>
          </w:tcPr>
          <w:p>
            <w:pPr>
              <w:spacing w:after="0"/>
              <w:rPr>
                <w:sz w:val="14"/>
                <w:szCs w:val="14"/>
                <w:color w:val="auto"/>
              </w:rPr>
            </w:pPr>
          </w:p>
        </w:tc>
        <w:tc>
          <w:tcPr>
            <w:tcW w:w="8660" w:type="dxa"/>
            <w:vAlign w:val="bottom"/>
            <w:tcBorders>
              <w:right w:val="single" w:sz="8" w:color="007CBA"/>
            </w:tcBorders>
            <w:shd w:val="clear" w:color="auto" w:fill="E5F1F8"/>
          </w:tcPr>
          <w:p>
            <w:pPr>
              <w:ind w:left="200"/>
              <w:spacing w:after="0"/>
              <w:rPr>
                <w:sz w:val="20"/>
                <w:szCs w:val="20"/>
                <w:color w:val="auto"/>
              </w:rPr>
            </w:pPr>
            <w:r>
              <w:rPr>
                <w:rFonts w:ascii="Arial" w:cs="Arial" w:eastAsia="Arial" w:hAnsi="Arial"/>
                <w:sz w:val="14"/>
                <w:szCs w:val="14"/>
                <w:color w:val="auto"/>
              </w:rPr>
              <w:t>relating to the operation of public company boards. Members of our senior management regularly review with the Board the</w:t>
            </w:r>
          </w:p>
        </w:tc>
      </w:tr>
      <w:tr>
        <w:trPr>
          <w:trHeight w:val="162"/>
        </w:trPr>
        <w:tc>
          <w:tcPr>
            <w:tcW w:w="2360" w:type="dxa"/>
            <w:vAlign w:val="bottom"/>
            <w:tcBorders>
              <w:left w:val="single" w:sz="8" w:color="007CBA"/>
              <w:right w:val="single" w:sz="8" w:color="007CBA"/>
            </w:tcBorders>
            <w:shd w:val="clear" w:color="auto" w:fill="E5F1F8"/>
          </w:tcPr>
          <w:p>
            <w:pPr>
              <w:spacing w:after="0"/>
              <w:rPr>
                <w:sz w:val="14"/>
                <w:szCs w:val="14"/>
                <w:color w:val="auto"/>
              </w:rPr>
            </w:pPr>
          </w:p>
        </w:tc>
        <w:tc>
          <w:tcPr>
            <w:tcW w:w="8660" w:type="dxa"/>
            <w:vAlign w:val="bottom"/>
            <w:tcBorders>
              <w:right w:val="single" w:sz="8" w:color="007CBA"/>
            </w:tcBorders>
            <w:shd w:val="clear" w:color="auto" w:fill="E5F1F8"/>
          </w:tcPr>
          <w:p>
            <w:pPr>
              <w:ind w:left="200"/>
              <w:spacing w:after="0"/>
              <w:rPr>
                <w:sz w:val="20"/>
                <w:szCs w:val="20"/>
                <w:color w:val="auto"/>
              </w:rPr>
            </w:pPr>
            <w:r>
              <w:rPr>
                <w:rFonts w:ascii="Arial" w:cs="Arial" w:eastAsia="Arial" w:hAnsi="Arial"/>
                <w:sz w:val="14"/>
                <w:szCs w:val="14"/>
                <w:color w:val="auto"/>
              </w:rPr>
              <w:t>operating plan of each of our business segments and the Company as a whole. The Board also conducts periodic visits to our</w:t>
            </w:r>
          </w:p>
        </w:tc>
      </w:tr>
      <w:tr>
        <w:trPr>
          <w:trHeight w:val="178"/>
        </w:trPr>
        <w:tc>
          <w:tcPr>
            <w:tcW w:w="2360" w:type="dxa"/>
            <w:vAlign w:val="bottom"/>
            <w:tcBorders>
              <w:left w:val="single" w:sz="8" w:color="007CBA"/>
              <w:bottom w:val="single" w:sz="8" w:color="007CBA"/>
              <w:right w:val="single" w:sz="8" w:color="007CBA"/>
            </w:tcBorders>
            <w:shd w:val="clear" w:color="auto" w:fill="E5F1F8"/>
          </w:tcPr>
          <w:p>
            <w:pPr>
              <w:spacing w:after="0"/>
              <w:rPr>
                <w:sz w:val="15"/>
                <w:szCs w:val="15"/>
                <w:color w:val="auto"/>
              </w:rPr>
            </w:pPr>
          </w:p>
        </w:tc>
        <w:tc>
          <w:tcPr>
            <w:tcW w:w="8660" w:type="dxa"/>
            <w:vAlign w:val="bottom"/>
            <w:tcBorders>
              <w:bottom w:val="single" w:sz="8" w:color="007CBA"/>
              <w:right w:val="single" w:sz="8" w:color="007CBA"/>
            </w:tcBorders>
            <w:shd w:val="clear" w:color="auto" w:fill="E5F1F8"/>
          </w:tcPr>
          <w:p>
            <w:pPr>
              <w:ind w:left="200"/>
              <w:spacing w:after="0"/>
              <w:rPr>
                <w:sz w:val="20"/>
                <w:szCs w:val="20"/>
                <w:color w:val="auto"/>
              </w:rPr>
            </w:pPr>
            <w:r>
              <w:rPr>
                <w:rFonts w:ascii="Arial" w:cs="Arial" w:eastAsia="Arial" w:hAnsi="Arial"/>
                <w:sz w:val="14"/>
                <w:szCs w:val="14"/>
                <w:color w:val="auto"/>
              </w:rPr>
              <w:t>facilities as part of its regularly scheduled Board meetings.</w:t>
            </w:r>
          </w:p>
        </w:tc>
      </w:tr>
      <w:tr>
        <w:trPr>
          <w:trHeight w:val="431"/>
        </w:trPr>
        <w:tc>
          <w:tcPr>
            <w:tcW w:w="2360" w:type="dxa"/>
            <w:vAlign w:val="bottom"/>
          </w:tcPr>
          <w:p>
            <w:pPr>
              <w:spacing w:after="0"/>
              <w:rPr>
                <w:sz w:val="20"/>
                <w:szCs w:val="20"/>
                <w:color w:val="auto"/>
              </w:rPr>
            </w:pPr>
            <w:r>
              <w:rPr>
                <w:rFonts w:ascii="Arial" w:cs="Arial" w:eastAsia="Arial" w:hAnsi="Arial"/>
                <w:sz w:val="18"/>
                <w:szCs w:val="18"/>
                <w:b w:val="1"/>
                <w:bCs w:val="1"/>
                <w:color w:val="007CBA"/>
              </w:rPr>
              <w:t>Tenure Guidelines</w:t>
            </w:r>
          </w:p>
        </w:tc>
        <w:tc>
          <w:tcPr>
            <w:tcW w:w="8660" w:type="dxa"/>
            <w:vAlign w:val="bottom"/>
          </w:tcPr>
          <w:p>
            <w:pPr>
              <w:spacing w:after="0"/>
              <w:rPr>
                <w:sz w:val="24"/>
                <w:szCs w:val="24"/>
                <w:color w:val="auto"/>
              </w:rPr>
            </w:pPr>
          </w:p>
        </w:tc>
      </w:tr>
      <w:tr>
        <w:trPr>
          <w:trHeight w:val="229"/>
        </w:trPr>
        <w:tc>
          <w:tcPr>
            <w:tcW w:w="2360" w:type="dxa"/>
            <w:vAlign w:val="bottom"/>
            <w:tcBorders>
              <w:bottom w:val="single" w:sz="8" w:color="007CBA"/>
            </w:tcBorders>
          </w:tcPr>
          <w:p>
            <w:pPr>
              <w:spacing w:after="0"/>
              <w:rPr>
                <w:sz w:val="19"/>
                <w:szCs w:val="19"/>
                <w:color w:val="auto"/>
              </w:rPr>
            </w:pPr>
          </w:p>
        </w:tc>
        <w:tc>
          <w:tcPr>
            <w:tcW w:w="8660" w:type="dxa"/>
            <w:vAlign w:val="bottom"/>
            <w:tcBorders>
              <w:bottom w:val="single" w:sz="8" w:color="007CBA"/>
            </w:tcBorders>
          </w:tcPr>
          <w:p>
            <w:pPr>
              <w:spacing w:after="0"/>
              <w:rPr>
                <w:sz w:val="19"/>
                <w:szCs w:val="19"/>
                <w:color w:val="auto"/>
              </w:rPr>
            </w:pPr>
          </w:p>
        </w:tc>
      </w:tr>
      <w:tr>
        <w:trPr>
          <w:trHeight w:val="209"/>
        </w:trPr>
        <w:tc>
          <w:tcPr>
            <w:tcW w:w="2360" w:type="dxa"/>
            <w:vAlign w:val="bottom"/>
            <w:tcBorders>
              <w:left w:val="single" w:sz="8" w:color="007CBA"/>
              <w:bottom w:val="single" w:sz="8" w:color="007CBA"/>
              <w:right w:val="single" w:sz="8" w:color="007CBA"/>
            </w:tcBorders>
            <w:shd w:val="clear" w:color="auto" w:fill="E5F1F8"/>
          </w:tcPr>
          <w:p>
            <w:pPr>
              <w:ind w:left="140"/>
              <w:spacing w:after="0"/>
              <w:rPr>
                <w:sz w:val="20"/>
                <w:szCs w:val="20"/>
                <w:color w:val="auto"/>
              </w:rPr>
            </w:pPr>
            <w:r>
              <w:rPr>
                <w:rFonts w:ascii="Arial" w:cs="Arial" w:eastAsia="Arial" w:hAnsi="Arial"/>
                <w:sz w:val="14"/>
                <w:szCs w:val="14"/>
                <w:color w:val="auto"/>
              </w:rPr>
              <w:t>Mandatory Retirement Age</w:t>
            </w:r>
          </w:p>
        </w:tc>
        <w:tc>
          <w:tcPr>
            <w:tcW w:w="8660" w:type="dxa"/>
            <w:vAlign w:val="bottom"/>
            <w:tcBorders>
              <w:bottom w:val="single" w:sz="8" w:color="007CBA"/>
              <w:right w:val="single" w:sz="8" w:color="007CBA"/>
            </w:tcBorders>
            <w:shd w:val="clear" w:color="auto" w:fill="E5F1F8"/>
          </w:tcPr>
          <w:p>
            <w:pPr>
              <w:ind w:left="160"/>
              <w:spacing w:after="0"/>
              <w:rPr>
                <w:sz w:val="20"/>
                <w:szCs w:val="20"/>
                <w:color w:val="auto"/>
              </w:rPr>
            </w:pPr>
            <w:r>
              <w:rPr>
                <w:rFonts w:ascii="Arial" w:cs="Arial" w:eastAsia="Arial" w:hAnsi="Arial"/>
                <w:sz w:val="14"/>
                <w:szCs w:val="14"/>
                <w:color w:val="auto"/>
              </w:rPr>
              <w:t>Directors must retire at the annual meeting following his or her 75th birthday.</w:t>
            </w:r>
          </w:p>
        </w:tc>
      </w:tr>
      <w:tr>
        <w:trPr>
          <w:trHeight w:val="214"/>
        </w:trPr>
        <w:tc>
          <w:tcPr>
            <w:tcW w:w="2360" w:type="dxa"/>
            <w:vAlign w:val="bottom"/>
            <w:tcBorders>
              <w:left w:val="single" w:sz="8" w:color="007CBA"/>
              <w:right w:val="single" w:sz="8" w:color="007CBA"/>
            </w:tcBorders>
          </w:tcPr>
          <w:p>
            <w:pPr>
              <w:ind w:left="140"/>
              <w:spacing w:after="0"/>
              <w:rPr>
                <w:sz w:val="20"/>
                <w:szCs w:val="20"/>
                <w:color w:val="auto"/>
              </w:rPr>
            </w:pPr>
            <w:r>
              <w:rPr>
                <w:rFonts w:ascii="Arial" w:cs="Arial" w:eastAsia="Arial" w:hAnsi="Arial"/>
                <w:sz w:val="14"/>
                <w:szCs w:val="14"/>
                <w:color w:val="auto"/>
              </w:rPr>
              <w:t>Employment Change</w:t>
            </w:r>
          </w:p>
        </w:tc>
        <w:tc>
          <w:tcPr>
            <w:tcW w:w="8660" w:type="dxa"/>
            <w:vAlign w:val="bottom"/>
            <w:tcBorders>
              <w:right w:val="single" w:sz="8" w:color="007CBA"/>
            </w:tcBorders>
          </w:tcPr>
          <w:p>
            <w:pPr>
              <w:ind w:left="160"/>
              <w:spacing w:after="0"/>
              <w:rPr>
                <w:sz w:val="20"/>
                <w:szCs w:val="20"/>
                <w:color w:val="auto"/>
              </w:rPr>
            </w:pPr>
            <w:r>
              <w:rPr>
                <w:rFonts w:ascii="Arial" w:cs="Arial" w:eastAsia="Arial" w:hAnsi="Arial"/>
                <w:sz w:val="14"/>
                <w:szCs w:val="14"/>
                <w:color w:val="auto"/>
              </w:rPr>
              <w:t>Directors must report to the Chairman of the Board and Chairman of the Nominating and Corporate Governance Committee</w:t>
            </w:r>
          </w:p>
        </w:tc>
      </w:tr>
      <w:tr>
        <w:trPr>
          <w:trHeight w:val="162"/>
        </w:trPr>
        <w:tc>
          <w:tcPr>
            <w:tcW w:w="2360" w:type="dxa"/>
            <w:vAlign w:val="bottom"/>
            <w:tcBorders>
              <w:left w:val="single" w:sz="8" w:color="007CBA"/>
              <w:right w:val="single" w:sz="8" w:color="007CBA"/>
            </w:tcBorders>
          </w:tcPr>
          <w:p>
            <w:pPr>
              <w:spacing w:after="0"/>
              <w:rPr>
                <w:sz w:val="14"/>
                <w:szCs w:val="14"/>
                <w:color w:val="auto"/>
              </w:rPr>
            </w:pPr>
          </w:p>
        </w:tc>
        <w:tc>
          <w:tcPr>
            <w:tcW w:w="8660" w:type="dxa"/>
            <w:vAlign w:val="bottom"/>
            <w:tcBorders>
              <w:right w:val="single" w:sz="8" w:color="007CBA"/>
            </w:tcBorders>
          </w:tcPr>
          <w:p>
            <w:pPr>
              <w:ind w:left="160"/>
              <w:spacing w:after="0"/>
              <w:rPr>
                <w:sz w:val="20"/>
                <w:szCs w:val="20"/>
                <w:color w:val="auto"/>
              </w:rPr>
            </w:pPr>
            <w:r>
              <w:rPr>
                <w:rFonts w:ascii="Arial" w:cs="Arial" w:eastAsia="Arial" w:hAnsi="Arial"/>
                <w:sz w:val="14"/>
                <w:szCs w:val="14"/>
                <w:color w:val="auto"/>
              </w:rPr>
              <w:t>regarding any significant change in principal employment or responsibilities to assure he/she can commit the appropriate time to</w:t>
            </w:r>
          </w:p>
        </w:tc>
      </w:tr>
      <w:tr>
        <w:trPr>
          <w:trHeight w:val="178"/>
        </w:trPr>
        <w:tc>
          <w:tcPr>
            <w:tcW w:w="2360" w:type="dxa"/>
            <w:vAlign w:val="bottom"/>
            <w:tcBorders>
              <w:left w:val="single" w:sz="8" w:color="007CBA"/>
              <w:bottom w:val="single" w:sz="8" w:color="007CBA"/>
              <w:right w:val="single" w:sz="8" w:color="007CBA"/>
            </w:tcBorders>
          </w:tcPr>
          <w:p>
            <w:pPr>
              <w:spacing w:after="0"/>
              <w:rPr>
                <w:sz w:val="15"/>
                <w:szCs w:val="15"/>
                <w:color w:val="auto"/>
              </w:rPr>
            </w:pPr>
          </w:p>
        </w:tc>
        <w:tc>
          <w:tcPr>
            <w:tcW w:w="8660" w:type="dxa"/>
            <w:vAlign w:val="bottom"/>
            <w:tcBorders>
              <w:bottom w:val="single" w:sz="8" w:color="007CBA"/>
              <w:right w:val="single" w:sz="8" w:color="007CBA"/>
            </w:tcBorders>
          </w:tcPr>
          <w:p>
            <w:pPr>
              <w:ind w:left="160"/>
              <w:spacing w:after="0"/>
              <w:rPr>
                <w:sz w:val="20"/>
                <w:szCs w:val="20"/>
                <w:color w:val="auto"/>
              </w:rPr>
            </w:pPr>
            <w:r>
              <w:rPr>
                <w:rFonts w:ascii="Arial" w:cs="Arial" w:eastAsia="Arial" w:hAnsi="Arial"/>
                <w:sz w:val="14"/>
                <w:szCs w:val="14"/>
                <w:color w:val="auto"/>
              </w:rPr>
              <w:t>Board service.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3517265</wp:posOffset>
            </wp:positionH>
            <wp:positionV relativeFrom="paragraph">
              <wp:posOffset>93980</wp:posOffset>
            </wp:positionV>
            <wp:extent cx="410845" cy="2482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163" w:lineRule="exact"/>
        <w:rPr>
          <w:sz w:val="20"/>
          <w:szCs w:val="20"/>
          <w:color w:val="auto"/>
        </w:rPr>
      </w:pPr>
    </w:p>
    <w:p>
      <w:pPr>
        <w:ind w:left="640" w:hanging="430"/>
        <w:spacing w:after="0"/>
        <w:tabs>
          <w:tab w:leader="none" w:pos="640" w:val="left"/>
        </w:tabs>
        <w:numPr>
          <w:ilvl w:val="0"/>
          <w:numId w:val="33"/>
        </w:numPr>
        <w:rPr>
          <w:rFonts w:ascii="Arial" w:cs="Arial" w:eastAsia="Arial" w:hAnsi="Arial"/>
          <w:sz w:val="13"/>
          <w:szCs w:val="13"/>
          <w:b w:val="1"/>
          <w:bCs w:val="1"/>
          <w:color w:val="auto"/>
        </w:rPr>
      </w:pPr>
      <w:r>
        <w:rPr>
          <w:rFonts w:ascii="Arial" w:cs="Arial" w:eastAsia="Arial" w:hAnsi="Arial"/>
          <w:sz w:val="13"/>
          <w:szCs w:val="13"/>
          <w:color w:val="007CBA"/>
        </w:rPr>
        <w:t>2019 PROXY STATEMENT</w:t>
      </w:r>
    </w:p>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9" w:lineRule="exact"/>
        <w:rPr>
          <w:sz w:val="20"/>
          <w:szCs w:val="20"/>
          <w:color w:val="auto"/>
        </w:rPr>
      </w:pPr>
    </w:p>
    <w:p>
      <w:pPr>
        <w:jc w:val="right"/>
        <w:ind w:right="80"/>
        <w:spacing w:after="0" w:line="288" w:lineRule="exact"/>
        <w:rPr>
          <w:sz w:val="20"/>
          <w:szCs w:val="20"/>
          <w:color w:val="auto"/>
        </w:rPr>
      </w:pPr>
      <w:r>
        <w:rPr>
          <w:rFonts w:ascii="Arial" w:cs="Arial" w:eastAsia="Arial" w:hAnsi="Arial"/>
          <w:sz w:val="13"/>
          <w:szCs w:val="13"/>
          <w:color w:val="007CBA"/>
        </w:rPr>
        <w:t xml:space="preserve">The Board of Directors </w:t>
      </w:r>
      <w:r>
        <w:rPr>
          <w:rFonts w:ascii="MS PGothic" w:cs="MS PGothic" w:eastAsia="MS PGothic" w:hAnsi="MS PGothic"/>
          <w:sz w:val="25"/>
          <w:szCs w:val="25"/>
          <w:color w:val="007CBA"/>
        </w:rPr>
        <w:t>◆</w:t>
      </w: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007CBA"/>
        </w:rPr>
        <w:t>BOARD, COMMITTEE AND INDIVIDUAL</w:t>
      </w:r>
    </w:p>
    <w:p>
      <w:pPr>
        <w:spacing w:after="0" w:line="1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007CBA"/>
        </w:rPr>
        <w:t>DIRECTOR EVALUATIONS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3962400</wp:posOffset>
            </wp:positionH>
            <wp:positionV relativeFrom="paragraph">
              <wp:posOffset>111125</wp:posOffset>
            </wp:positionV>
            <wp:extent cx="2903855" cy="256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03855" cy="256095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177" w:lineRule="exact"/>
        <w:rPr>
          <w:sz w:val="20"/>
          <w:szCs w:val="20"/>
          <w:color w:val="auto"/>
        </w:rPr>
      </w:pPr>
    </w:p>
    <w:p>
      <w:pPr>
        <w:jc w:val="both"/>
        <w:ind w:left="220"/>
        <w:spacing w:after="0" w:line="247" w:lineRule="auto"/>
        <w:rPr>
          <w:sz w:val="20"/>
          <w:szCs w:val="20"/>
          <w:color w:val="auto"/>
        </w:rPr>
      </w:pPr>
      <w:r>
        <w:rPr>
          <w:rFonts w:ascii="Arial" w:cs="Arial" w:eastAsia="Arial" w:hAnsi="Arial"/>
          <w:sz w:val="16"/>
          <w:szCs w:val="16"/>
          <w:color w:val="auto"/>
        </w:rPr>
        <w:t>As a part of our continuous improvement process intended to enhance the Board’s overall effectiveness, the Board regularly evaluates its performance through self-assessments, corporate governance reviews and periodic charter reviews. Those evaluations, changes in our business strategy or operating environment, and the future needs of the Board in light of anticipated director retirements are used to identify desired backgrounds and skill sets for future Board members. The feedback solicited from Board members regarding the Board, each Committee on which they serve, and individual Board members is one of the tools used to assist the Nominating and Corporate Governance Committee in its responsibility to evaluate Board and Committee performance annually. For 2018, each director completed a written questionnaire. The questions were intended to solicit candid feedback by asking for comments. The collective ratings and comments were compiled, summarized and presented to the Nominating and Corporate Governance Committee, the Chair of which then followed-up as appropriate and shared the feedback with the full Board and the Chair of each Board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7CBA"/>
        </w:rPr>
        <w:t>Board Committees</w:t>
      </w:r>
    </w:p>
    <w:p>
      <w:pPr>
        <w:spacing w:after="0" w:line="338"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Martin Marietta’s Board of Directors has six standing Committees: the Audit Committee, the Ethics, Environment, Safety and Health Committee, the Executive Committee, the Finance Committee, the Management Development and Compensation Committee, and the Nominating and Corporate Governance Committee. Each Committee has a written charter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that describes its purposes, membership, meeting structure, authority and responsibilities. These charters are reviewed by the respective Committee on an annual basis with any recommended changes adopted upon approval by our Board. The charters of our six standing Committees are posted on our website.</w:t>
      </w:r>
    </w:p>
    <w:p>
      <w:pPr>
        <w:spacing w:after="0" w:line="200"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15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Below is a summary of our current Committee structure and membership information.</w:t>
      </w:r>
    </w:p>
    <w:p>
      <w:pPr>
        <w:spacing w:after="0" w:line="219" w:lineRule="exact"/>
        <w:rPr>
          <w:sz w:val="20"/>
          <w:szCs w:val="20"/>
          <w:color w:val="auto"/>
        </w:rPr>
      </w:pPr>
    </w:p>
    <w:tbl>
      <w:tblPr>
        <w:tblLayout w:type="fixed"/>
        <w:tblInd w:w="220" w:type="dxa"/>
        <w:tblCellMar>
          <w:top w:w="0" w:type="dxa"/>
          <w:left w:w="0" w:type="dxa"/>
          <w:bottom w:w="0" w:type="dxa"/>
          <w:right w:w="0" w:type="dxa"/>
        </w:tblCellMar>
      </w:tblPr>
      <w:tr>
        <w:trPr>
          <w:trHeight w:val="180"/>
        </w:trPr>
        <w:tc>
          <w:tcPr>
            <w:tcW w:w="3920" w:type="dxa"/>
            <w:vAlign w:val="bottom"/>
            <w:shd w:val="clear" w:color="auto" w:fill="007CBA"/>
          </w:tcPr>
          <w:p>
            <w:pPr>
              <w:spacing w:after="0"/>
              <w:rPr>
                <w:sz w:val="15"/>
                <w:szCs w:val="15"/>
                <w:color w:val="auto"/>
              </w:rPr>
            </w:pPr>
          </w:p>
        </w:tc>
        <w:tc>
          <w:tcPr>
            <w:tcW w:w="1060" w:type="dxa"/>
            <w:vAlign w:val="bottom"/>
            <w:shd w:val="clear" w:color="auto" w:fill="007CBA"/>
          </w:tcPr>
          <w:p>
            <w:pPr>
              <w:spacing w:after="0"/>
              <w:rPr>
                <w:sz w:val="15"/>
                <w:szCs w:val="15"/>
                <w:color w:val="auto"/>
              </w:rPr>
            </w:pPr>
          </w:p>
        </w:tc>
        <w:tc>
          <w:tcPr>
            <w:tcW w:w="920" w:type="dxa"/>
            <w:vAlign w:val="bottom"/>
            <w:shd w:val="clear" w:color="auto" w:fill="007CBA"/>
          </w:tcPr>
          <w:p>
            <w:pPr>
              <w:spacing w:after="0"/>
              <w:rPr>
                <w:sz w:val="15"/>
                <w:szCs w:val="15"/>
                <w:color w:val="auto"/>
              </w:rPr>
            </w:pPr>
          </w:p>
        </w:tc>
        <w:tc>
          <w:tcPr>
            <w:tcW w:w="1000" w:type="dxa"/>
            <w:vAlign w:val="bottom"/>
            <w:shd w:val="clear" w:color="auto" w:fill="007CBA"/>
          </w:tcPr>
          <w:p>
            <w:pPr>
              <w:jc w:val="center"/>
              <w:spacing w:after="0"/>
              <w:rPr>
                <w:sz w:val="20"/>
                <w:szCs w:val="20"/>
                <w:color w:val="auto"/>
              </w:rPr>
            </w:pPr>
            <w:r>
              <w:rPr>
                <w:rFonts w:ascii="Arial" w:cs="Arial" w:eastAsia="Arial" w:hAnsi="Arial"/>
                <w:sz w:val="13"/>
                <w:szCs w:val="13"/>
                <w:b w:val="1"/>
                <w:bCs w:val="1"/>
                <w:color w:val="FFFFFF"/>
                <w:w w:val="93"/>
              </w:rPr>
              <w:t>Ethics,</w:t>
            </w:r>
          </w:p>
        </w:tc>
        <w:tc>
          <w:tcPr>
            <w:tcW w:w="900" w:type="dxa"/>
            <w:vAlign w:val="bottom"/>
            <w:shd w:val="clear" w:color="auto" w:fill="007CBA"/>
          </w:tcPr>
          <w:p>
            <w:pPr>
              <w:spacing w:after="0"/>
              <w:rPr>
                <w:sz w:val="15"/>
                <w:szCs w:val="15"/>
                <w:color w:val="auto"/>
              </w:rPr>
            </w:pPr>
          </w:p>
        </w:tc>
        <w:tc>
          <w:tcPr>
            <w:tcW w:w="940" w:type="dxa"/>
            <w:vAlign w:val="bottom"/>
            <w:shd w:val="clear" w:color="auto" w:fill="007CBA"/>
          </w:tcPr>
          <w:p>
            <w:pPr>
              <w:spacing w:after="0"/>
              <w:rPr>
                <w:sz w:val="15"/>
                <w:szCs w:val="15"/>
                <w:color w:val="auto"/>
              </w:rPr>
            </w:pPr>
          </w:p>
        </w:tc>
        <w:tc>
          <w:tcPr>
            <w:tcW w:w="1120" w:type="dxa"/>
            <w:vAlign w:val="bottom"/>
            <w:shd w:val="clear" w:color="auto" w:fill="007CBA"/>
          </w:tcPr>
          <w:p>
            <w:pPr>
              <w:jc w:val="center"/>
              <w:spacing w:after="0"/>
              <w:rPr>
                <w:sz w:val="20"/>
                <w:szCs w:val="20"/>
                <w:color w:val="auto"/>
              </w:rPr>
            </w:pPr>
            <w:r>
              <w:rPr>
                <w:rFonts w:ascii="Arial" w:cs="Arial" w:eastAsia="Arial" w:hAnsi="Arial"/>
                <w:sz w:val="13"/>
                <w:szCs w:val="13"/>
                <w:b w:val="1"/>
                <w:bCs w:val="1"/>
                <w:color w:val="FFFFFF"/>
                <w:w w:val="95"/>
              </w:rPr>
              <w:t>Management</w:t>
            </w:r>
          </w:p>
        </w:tc>
        <w:tc>
          <w:tcPr>
            <w:tcW w:w="1140" w:type="dxa"/>
            <w:vAlign w:val="bottom"/>
            <w:shd w:val="clear" w:color="auto" w:fill="007CBA"/>
          </w:tcPr>
          <w:p>
            <w:pPr>
              <w:spacing w:after="0"/>
              <w:rPr>
                <w:sz w:val="15"/>
                <w:szCs w:val="15"/>
                <w:color w:val="auto"/>
              </w:rPr>
            </w:pPr>
          </w:p>
        </w:tc>
      </w:tr>
      <w:tr>
        <w:trPr>
          <w:trHeight w:val="135"/>
        </w:trPr>
        <w:tc>
          <w:tcPr>
            <w:tcW w:w="3920" w:type="dxa"/>
            <w:vAlign w:val="bottom"/>
            <w:shd w:val="clear" w:color="auto" w:fill="007CBA"/>
          </w:tcPr>
          <w:p>
            <w:pPr>
              <w:spacing w:after="0"/>
              <w:rPr>
                <w:sz w:val="11"/>
                <w:szCs w:val="11"/>
                <w:color w:val="auto"/>
              </w:rPr>
            </w:pPr>
          </w:p>
        </w:tc>
        <w:tc>
          <w:tcPr>
            <w:tcW w:w="1060" w:type="dxa"/>
            <w:vAlign w:val="bottom"/>
            <w:shd w:val="clear" w:color="auto" w:fill="007CBA"/>
          </w:tcPr>
          <w:p>
            <w:pPr>
              <w:spacing w:after="0"/>
              <w:rPr>
                <w:sz w:val="11"/>
                <w:szCs w:val="11"/>
                <w:color w:val="auto"/>
              </w:rPr>
            </w:pPr>
          </w:p>
        </w:tc>
        <w:tc>
          <w:tcPr>
            <w:tcW w:w="920" w:type="dxa"/>
            <w:vAlign w:val="bottom"/>
            <w:shd w:val="clear" w:color="auto" w:fill="007CBA"/>
          </w:tcPr>
          <w:p>
            <w:pPr>
              <w:spacing w:after="0"/>
              <w:rPr>
                <w:sz w:val="11"/>
                <w:szCs w:val="11"/>
                <w:color w:val="auto"/>
              </w:rPr>
            </w:pPr>
          </w:p>
        </w:tc>
        <w:tc>
          <w:tcPr>
            <w:tcW w:w="1000" w:type="dxa"/>
            <w:vAlign w:val="bottom"/>
            <w:shd w:val="clear" w:color="auto" w:fill="007CBA"/>
          </w:tcPr>
          <w:p>
            <w:pPr>
              <w:jc w:val="center"/>
              <w:spacing w:after="0" w:line="135" w:lineRule="exact"/>
              <w:rPr>
                <w:sz w:val="20"/>
                <w:szCs w:val="20"/>
                <w:color w:val="auto"/>
              </w:rPr>
            </w:pPr>
            <w:r>
              <w:rPr>
                <w:rFonts w:ascii="Arial" w:cs="Arial" w:eastAsia="Arial" w:hAnsi="Arial"/>
                <w:sz w:val="13"/>
                <w:szCs w:val="13"/>
                <w:b w:val="1"/>
                <w:bCs w:val="1"/>
                <w:color w:val="FFFFFF"/>
                <w:w w:val="96"/>
              </w:rPr>
              <w:t>Environment,</w:t>
            </w:r>
          </w:p>
        </w:tc>
        <w:tc>
          <w:tcPr>
            <w:tcW w:w="900" w:type="dxa"/>
            <w:vAlign w:val="bottom"/>
            <w:shd w:val="clear" w:color="auto" w:fill="007CBA"/>
          </w:tcPr>
          <w:p>
            <w:pPr>
              <w:spacing w:after="0"/>
              <w:rPr>
                <w:sz w:val="11"/>
                <w:szCs w:val="11"/>
                <w:color w:val="auto"/>
              </w:rPr>
            </w:pPr>
          </w:p>
        </w:tc>
        <w:tc>
          <w:tcPr>
            <w:tcW w:w="940" w:type="dxa"/>
            <w:vAlign w:val="bottom"/>
            <w:shd w:val="clear" w:color="auto" w:fill="007CBA"/>
          </w:tcPr>
          <w:p>
            <w:pPr>
              <w:spacing w:after="0"/>
              <w:rPr>
                <w:sz w:val="11"/>
                <w:szCs w:val="11"/>
                <w:color w:val="auto"/>
              </w:rPr>
            </w:pPr>
          </w:p>
        </w:tc>
        <w:tc>
          <w:tcPr>
            <w:tcW w:w="1120" w:type="dxa"/>
            <w:vAlign w:val="bottom"/>
            <w:shd w:val="clear" w:color="auto" w:fill="007CBA"/>
          </w:tcPr>
          <w:p>
            <w:pPr>
              <w:jc w:val="center"/>
              <w:spacing w:after="0" w:line="135" w:lineRule="exact"/>
              <w:rPr>
                <w:sz w:val="20"/>
                <w:szCs w:val="20"/>
                <w:color w:val="auto"/>
              </w:rPr>
            </w:pPr>
            <w:r>
              <w:rPr>
                <w:rFonts w:ascii="Arial" w:cs="Arial" w:eastAsia="Arial" w:hAnsi="Arial"/>
                <w:sz w:val="13"/>
                <w:szCs w:val="13"/>
                <w:b w:val="1"/>
                <w:bCs w:val="1"/>
                <w:color w:val="FFFFFF"/>
                <w:w w:val="97"/>
              </w:rPr>
              <w:t>Development</w:t>
            </w:r>
          </w:p>
        </w:tc>
        <w:tc>
          <w:tcPr>
            <w:tcW w:w="1140" w:type="dxa"/>
            <w:vAlign w:val="bottom"/>
            <w:shd w:val="clear" w:color="auto" w:fill="007CBA"/>
          </w:tcPr>
          <w:p>
            <w:pPr>
              <w:jc w:val="center"/>
              <w:spacing w:after="0" w:line="135" w:lineRule="exact"/>
              <w:rPr>
                <w:sz w:val="20"/>
                <w:szCs w:val="20"/>
                <w:color w:val="auto"/>
              </w:rPr>
            </w:pPr>
            <w:r>
              <w:rPr>
                <w:rFonts w:ascii="Arial" w:cs="Arial" w:eastAsia="Arial" w:hAnsi="Arial"/>
                <w:sz w:val="13"/>
                <w:szCs w:val="13"/>
                <w:b w:val="1"/>
                <w:bCs w:val="1"/>
                <w:color w:val="FFFFFF"/>
                <w:w w:val="97"/>
              </w:rPr>
              <w:t>Nominating</w:t>
            </w:r>
          </w:p>
        </w:tc>
      </w:tr>
      <w:tr>
        <w:trPr>
          <w:trHeight w:val="135"/>
        </w:trPr>
        <w:tc>
          <w:tcPr>
            <w:tcW w:w="3920" w:type="dxa"/>
            <w:vAlign w:val="bottom"/>
            <w:shd w:val="clear" w:color="auto" w:fill="007CBA"/>
          </w:tcPr>
          <w:p>
            <w:pPr>
              <w:spacing w:after="0"/>
              <w:rPr>
                <w:sz w:val="11"/>
                <w:szCs w:val="11"/>
                <w:color w:val="auto"/>
              </w:rPr>
            </w:pPr>
          </w:p>
        </w:tc>
        <w:tc>
          <w:tcPr>
            <w:tcW w:w="1060" w:type="dxa"/>
            <w:vAlign w:val="bottom"/>
            <w:shd w:val="clear" w:color="auto" w:fill="007CBA"/>
          </w:tcPr>
          <w:p>
            <w:pPr>
              <w:spacing w:after="0"/>
              <w:rPr>
                <w:sz w:val="11"/>
                <w:szCs w:val="11"/>
                <w:color w:val="auto"/>
              </w:rPr>
            </w:pPr>
          </w:p>
        </w:tc>
        <w:tc>
          <w:tcPr>
            <w:tcW w:w="920" w:type="dxa"/>
            <w:vAlign w:val="bottom"/>
            <w:shd w:val="clear" w:color="auto" w:fill="007CBA"/>
          </w:tcPr>
          <w:p>
            <w:pPr>
              <w:spacing w:after="0"/>
              <w:rPr>
                <w:sz w:val="11"/>
                <w:szCs w:val="11"/>
                <w:color w:val="auto"/>
              </w:rPr>
            </w:pPr>
          </w:p>
        </w:tc>
        <w:tc>
          <w:tcPr>
            <w:tcW w:w="1000" w:type="dxa"/>
            <w:vAlign w:val="bottom"/>
            <w:shd w:val="clear" w:color="auto" w:fill="007CBA"/>
          </w:tcPr>
          <w:p>
            <w:pPr>
              <w:jc w:val="center"/>
              <w:spacing w:after="0" w:line="135" w:lineRule="exact"/>
              <w:rPr>
                <w:sz w:val="20"/>
                <w:szCs w:val="20"/>
                <w:color w:val="auto"/>
              </w:rPr>
            </w:pPr>
            <w:r>
              <w:rPr>
                <w:rFonts w:ascii="Arial" w:cs="Arial" w:eastAsia="Arial" w:hAnsi="Arial"/>
                <w:sz w:val="13"/>
                <w:szCs w:val="13"/>
                <w:b w:val="1"/>
                <w:bCs w:val="1"/>
                <w:color w:val="FFFFFF"/>
                <w:w w:val="97"/>
              </w:rPr>
              <w:t>Safety and</w:t>
            </w:r>
          </w:p>
        </w:tc>
        <w:tc>
          <w:tcPr>
            <w:tcW w:w="900" w:type="dxa"/>
            <w:vAlign w:val="bottom"/>
            <w:shd w:val="clear" w:color="auto" w:fill="007CBA"/>
          </w:tcPr>
          <w:p>
            <w:pPr>
              <w:spacing w:after="0"/>
              <w:rPr>
                <w:sz w:val="11"/>
                <w:szCs w:val="11"/>
                <w:color w:val="auto"/>
              </w:rPr>
            </w:pPr>
          </w:p>
        </w:tc>
        <w:tc>
          <w:tcPr>
            <w:tcW w:w="940" w:type="dxa"/>
            <w:vAlign w:val="bottom"/>
            <w:shd w:val="clear" w:color="auto" w:fill="007CBA"/>
          </w:tcPr>
          <w:p>
            <w:pPr>
              <w:spacing w:after="0"/>
              <w:rPr>
                <w:sz w:val="11"/>
                <w:szCs w:val="11"/>
                <w:color w:val="auto"/>
              </w:rPr>
            </w:pPr>
          </w:p>
        </w:tc>
        <w:tc>
          <w:tcPr>
            <w:tcW w:w="1120" w:type="dxa"/>
            <w:vAlign w:val="bottom"/>
            <w:shd w:val="clear" w:color="auto" w:fill="007CBA"/>
          </w:tcPr>
          <w:p>
            <w:pPr>
              <w:jc w:val="center"/>
              <w:spacing w:after="0" w:line="135" w:lineRule="exact"/>
              <w:rPr>
                <w:sz w:val="20"/>
                <w:szCs w:val="20"/>
                <w:color w:val="auto"/>
              </w:rPr>
            </w:pPr>
            <w:r>
              <w:rPr>
                <w:rFonts w:ascii="Arial" w:cs="Arial" w:eastAsia="Arial" w:hAnsi="Arial"/>
                <w:sz w:val="13"/>
                <w:szCs w:val="13"/>
                <w:b w:val="1"/>
                <w:bCs w:val="1"/>
                <w:color w:val="FFFFFF"/>
                <w:w w:val="94"/>
              </w:rPr>
              <w:t>and</w:t>
            </w:r>
          </w:p>
        </w:tc>
        <w:tc>
          <w:tcPr>
            <w:tcW w:w="1140" w:type="dxa"/>
            <w:vAlign w:val="bottom"/>
            <w:shd w:val="clear" w:color="auto" w:fill="007CBA"/>
          </w:tcPr>
          <w:p>
            <w:pPr>
              <w:jc w:val="center"/>
              <w:spacing w:after="0" w:line="135" w:lineRule="exact"/>
              <w:rPr>
                <w:sz w:val="20"/>
                <w:szCs w:val="20"/>
                <w:color w:val="auto"/>
              </w:rPr>
            </w:pPr>
            <w:r>
              <w:rPr>
                <w:rFonts w:ascii="Arial" w:cs="Arial" w:eastAsia="Arial" w:hAnsi="Arial"/>
                <w:sz w:val="13"/>
                <w:szCs w:val="13"/>
                <w:b w:val="1"/>
                <w:bCs w:val="1"/>
                <w:color w:val="FFFFFF"/>
                <w:w w:val="96"/>
              </w:rPr>
              <w:t>and Corporate</w:t>
            </w:r>
          </w:p>
        </w:tc>
      </w:tr>
      <w:tr>
        <w:trPr>
          <w:trHeight w:val="143"/>
        </w:trPr>
        <w:tc>
          <w:tcPr>
            <w:tcW w:w="3920" w:type="dxa"/>
            <w:vAlign w:val="bottom"/>
            <w:shd w:val="clear" w:color="auto" w:fill="007CBA"/>
          </w:tcPr>
          <w:p>
            <w:pPr>
              <w:spacing w:after="0"/>
              <w:rPr>
                <w:sz w:val="12"/>
                <w:szCs w:val="12"/>
                <w:color w:val="auto"/>
              </w:rPr>
            </w:pPr>
          </w:p>
        </w:tc>
        <w:tc>
          <w:tcPr>
            <w:tcW w:w="1060" w:type="dxa"/>
            <w:vAlign w:val="bottom"/>
            <w:shd w:val="clear" w:color="auto" w:fill="007CBA"/>
          </w:tcPr>
          <w:p>
            <w:pPr>
              <w:jc w:val="center"/>
              <w:spacing w:after="0" w:line="144" w:lineRule="exact"/>
              <w:rPr>
                <w:sz w:val="20"/>
                <w:szCs w:val="20"/>
                <w:color w:val="auto"/>
              </w:rPr>
            </w:pPr>
            <w:r>
              <w:rPr>
                <w:rFonts w:ascii="Arial" w:cs="Arial" w:eastAsia="Arial" w:hAnsi="Arial"/>
                <w:sz w:val="13"/>
                <w:szCs w:val="13"/>
                <w:b w:val="1"/>
                <w:bCs w:val="1"/>
                <w:color w:val="FFFFFF"/>
                <w:w w:val="98"/>
              </w:rPr>
              <w:t>Independent</w:t>
            </w:r>
          </w:p>
        </w:tc>
        <w:tc>
          <w:tcPr>
            <w:tcW w:w="920" w:type="dxa"/>
            <w:vAlign w:val="bottom"/>
            <w:shd w:val="clear" w:color="auto" w:fill="007CBA"/>
          </w:tcPr>
          <w:p>
            <w:pPr>
              <w:jc w:val="center"/>
              <w:spacing w:after="0" w:line="144" w:lineRule="exact"/>
              <w:rPr>
                <w:sz w:val="20"/>
                <w:szCs w:val="20"/>
                <w:color w:val="auto"/>
              </w:rPr>
            </w:pPr>
            <w:r>
              <w:rPr>
                <w:rFonts w:ascii="Arial" w:cs="Arial" w:eastAsia="Arial" w:hAnsi="Arial"/>
                <w:sz w:val="13"/>
                <w:szCs w:val="13"/>
                <w:b w:val="1"/>
                <w:bCs w:val="1"/>
                <w:color w:val="FFFFFF"/>
                <w:w w:val="96"/>
              </w:rPr>
              <w:t>Audit</w:t>
            </w:r>
          </w:p>
        </w:tc>
        <w:tc>
          <w:tcPr>
            <w:tcW w:w="1000" w:type="dxa"/>
            <w:vAlign w:val="bottom"/>
            <w:shd w:val="clear" w:color="auto" w:fill="007CBA"/>
          </w:tcPr>
          <w:p>
            <w:pPr>
              <w:jc w:val="center"/>
              <w:spacing w:after="0" w:line="144" w:lineRule="exact"/>
              <w:rPr>
                <w:sz w:val="20"/>
                <w:szCs w:val="20"/>
                <w:color w:val="auto"/>
              </w:rPr>
            </w:pPr>
            <w:r>
              <w:rPr>
                <w:rFonts w:ascii="Arial" w:cs="Arial" w:eastAsia="Arial" w:hAnsi="Arial"/>
                <w:sz w:val="13"/>
                <w:szCs w:val="13"/>
                <w:b w:val="1"/>
                <w:bCs w:val="1"/>
                <w:color w:val="FFFFFF"/>
              </w:rPr>
              <w:t>Health</w:t>
            </w:r>
          </w:p>
        </w:tc>
        <w:tc>
          <w:tcPr>
            <w:tcW w:w="900" w:type="dxa"/>
            <w:vAlign w:val="bottom"/>
            <w:shd w:val="clear" w:color="auto" w:fill="007CBA"/>
          </w:tcPr>
          <w:p>
            <w:pPr>
              <w:jc w:val="center"/>
              <w:spacing w:after="0" w:line="144" w:lineRule="exact"/>
              <w:rPr>
                <w:sz w:val="20"/>
                <w:szCs w:val="20"/>
                <w:color w:val="auto"/>
              </w:rPr>
            </w:pPr>
            <w:r>
              <w:rPr>
                <w:rFonts w:ascii="Arial" w:cs="Arial" w:eastAsia="Arial" w:hAnsi="Arial"/>
                <w:sz w:val="13"/>
                <w:szCs w:val="13"/>
                <w:b w:val="1"/>
                <w:bCs w:val="1"/>
                <w:color w:val="FFFFFF"/>
                <w:w w:val="95"/>
              </w:rPr>
              <w:t>Executive</w:t>
            </w:r>
          </w:p>
        </w:tc>
        <w:tc>
          <w:tcPr>
            <w:tcW w:w="940" w:type="dxa"/>
            <w:vAlign w:val="bottom"/>
            <w:shd w:val="clear" w:color="auto" w:fill="007CBA"/>
          </w:tcPr>
          <w:p>
            <w:pPr>
              <w:jc w:val="center"/>
              <w:spacing w:after="0" w:line="144" w:lineRule="exact"/>
              <w:rPr>
                <w:sz w:val="20"/>
                <w:szCs w:val="20"/>
                <w:color w:val="auto"/>
              </w:rPr>
            </w:pPr>
            <w:r>
              <w:rPr>
                <w:rFonts w:ascii="Arial" w:cs="Arial" w:eastAsia="Arial" w:hAnsi="Arial"/>
                <w:sz w:val="13"/>
                <w:szCs w:val="13"/>
                <w:b w:val="1"/>
                <w:bCs w:val="1"/>
                <w:color w:val="FFFFFF"/>
                <w:w w:val="97"/>
              </w:rPr>
              <w:t>Finance</w:t>
            </w:r>
          </w:p>
        </w:tc>
        <w:tc>
          <w:tcPr>
            <w:tcW w:w="1120" w:type="dxa"/>
            <w:vAlign w:val="bottom"/>
            <w:shd w:val="clear" w:color="auto" w:fill="007CBA"/>
          </w:tcPr>
          <w:p>
            <w:pPr>
              <w:jc w:val="center"/>
              <w:spacing w:after="0" w:line="144" w:lineRule="exact"/>
              <w:rPr>
                <w:sz w:val="20"/>
                <w:szCs w:val="20"/>
                <w:color w:val="auto"/>
              </w:rPr>
            </w:pPr>
            <w:r>
              <w:rPr>
                <w:rFonts w:ascii="Arial" w:cs="Arial" w:eastAsia="Arial" w:hAnsi="Arial"/>
                <w:sz w:val="13"/>
                <w:szCs w:val="13"/>
                <w:b w:val="1"/>
                <w:bCs w:val="1"/>
                <w:color w:val="FFFFFF"/>
                <w:w w:val="97"/>
              </w:rPr>
              <w:t>Compensation</w:t>
            </w:r>
          </w:p>
        </w:tc>
        <w:tc>
          <w:tcPr>
            <w:tcW w:w="1140" w:type="dxa"/>
            <w:vAlign w:val="bottom"/>
            <w:shd w:val="clear" w:color="auto" w:fill="007CBA"/>
          </w:tcPr>
          <w:p>
            <w:pPr>
              <w:jc w:val="center"/>
              <w:spacing w:after="0" w:line="144" w:lineRule="exact"/>
              <w:rPr>
                <w:sz w:val="20"/>
                <w:szCs w:val="20"/>
                <w:color w:val="auto"/>
              </w:rPr>
            </w:pPr>
            <w:r>
              <w:rPr>
                <w:rFonts w:ascii="Arial" w:cs="Arial" w:eastAsia="Arial" w:hAnsi="Arial"/>
                <w:sz w:val="13"/>
                <w:szCs w:val="13"/>
                <w:b w:val="1"/>
                <w:bCs w:val="1"/>
                <w:color w:val="FFFFFF"/>
                <w:w w:val="95"/>
              </w:rPr>
              <w:t>Governance</w:t>
            </w:r>
          </w:p>
        </w:tc>
      </w:tr>
      <w:tr>
        <w:trPr>
          <w:trHeight w:val="162"/>
        </w:trPr>
        <w:tc>
          <w:tcPr>
            <w:tcW w:w="3920" w:type="dxa"/>
            <w:vAlign w:val="bottom"/>
            <w:shd w:val="clear" w:color="auto" w:fill="007CBA"/>
          </w:tcPr>
          <w:p>
            <w:pPr>
              <w:ind w:left="1720"/>
              <w:spacing w:after="0"/>
              <w:rPr>
                <w:sz w:val="20"/>
                <w:szCs w:val="20"/>
                <w:color w:val="auto"/>
              </w:rPr>
            </w:pPr>
            <w:r>
              <w:rPr>
                <w:rFonts w:ascii="Arial" w:cs="Arial" w:eastAsia="Arial" w:hAnsi="Arial"/>
                <w:sz w:val="13"/>
                <w:szCs w:val="13"/>
                <w:b w:val="1"/>
                <w:bCs w:val="1"/>
                <w:color w:val="FFFFFF"/>
              </w:rPr>
              <w:t>Director</w:t>
            </w:r>
          </w:p>
        </w:tc>
        <w:tc>
          <w:tcPr>
            <w:tcW w:w="1060" w:type="dxa"/>
            <w:vAlign w:val="bottom"/>
            <w:shd w:val="clear" w:color="auto" w:fill="007CBA"/>
          </w:tcPr>
          <w:p>
            <w:pPr>
              <w:jc w:val="center"/>
              <w:spacing w:after="0"/>
              <w:rPr>
                <w:sz w:val="20"/>
                <w:szCs w:val="20"/>
                <w:color w:val="auto"/>
              </w:rPr>
            </w:pPr>
            <w:r>
              <w:rPr>
                <w:rFonts w:ascii="Arial" w:cs="Arial" w:eastAsia="Arial" w:hAnsi="Arial"/>
                <w:sz w:val="13"/>
                <w:szCs w:val="13"/>
                <w:b w:val="1"/>
                <w:bCs w:val="1"/>
                <w:color w:val="FFFFFF"/>
                <w:w w:val="96"/>
              </w:rPr>
              <w:t>Director</w:t>
            </w:r>
          </w:p>
        </w:tc>
        <w:tc>
          <w:tcPr>
            <w:tcW w:w="920" w:type="dxa"/>
            <w:vAlign w:val="bottom"/>
            <w:shd w:val="clear" w:color="auto" w:fill="007CBA"/>
          </w:tcPr>
          <w:p>
            <w:pPr>
              <w:jc w:val="center"/>
              <w:spacing w:after="0"/>
              <w:rPr>
                <w:sz w:val="20"/>
                <w:szCs w:val="20"/>
                <w:color w:val="auto"/>
              </w:rPr>
            </w:pPr>
            <w:r>
              <w:rPr>
                <w:rFonts w:ascii="Arial" w:cs="Arial" w:eastAsia="Arial" w:hAnsi="Arial"/>
                <w:sz w:val="13"/>
                <w:szCs w:val="13"/>
                <w:b w:val="1"/>
                <w:bCs w:val="1"/>
                <w:color w:val="FFFFFF"/>
                <w:w w:val="95"/>
              </w:rPr>
              <w:t>Committee</w:t>
            </w:r>
          </w:p>
        </w:tc>
        <w:tc>
          <w:tcPr>
            <w:tcW w:w="1000" w:type="dxa"/>
            <w:vAlign w:val="bottom"/>
            <w:shd w:val="clear" w:color="auto" w:fill="007CBA"/>
          </w:tcPr>
          <w:p>
            <w:pPr>
              <w:jc w:val="center"/>
              <w:spacing w:after="0"/>
              <w:rPr>
                <w:sz w:val="20"/>
                <w:szCs w:val="20"/>
                <w:color w:val="auto"/>
              </w:rPr>
            </w:pPr>
            <w:r>
              <w:rPr>
                <w:rFonts w:ascii="Arial" w:cs="Arial" w:eastAsia="Arial" w:hAnsi="Arial"/>
                <w:sz w:val="13"/>
                <w:szCs w:val="13"/>
                <w:b w:val="1"/>
                <w:bCs w:val="1"/>
                <w:color w:val="FFFFFF"/>
                <w:w w:val="95"/>
              </w:rPr>
              <w:t>Committee</w:t>
            </w:r>
          </w:p>
        </w:tc>
        <w:tc>
          <w:tcPr>
            <w:tcW w:w="900" w:type="dxa"/>
            <w:vAlign w:val="bottom"/>
            <w:shd w:val="clear" w:color="auto" w:fill="007CBA"/>
          </w:tcPr>
          <w:p>
            <w:pPr>
              <w:jc w:val="center"/>
              <w:spacing w:after="0"/>
              <w:rPr>
                <w:sz w:val="20"/>
                <w:szCs w:val="20"/>
                <w:color w:val="auto"/>
              </w:rPr>
            </w:pPr>
            <w:r>
              <w:rPr>
                <w:rFonts w:ascii="Arial" w:cs="Arial" w:eastAsia="Arial" w:hAnsi="Arial"/>
                <w:sz w:val="13"/>
                <w:szCs w:val="13"/>
                <w:b w:val="1"/>
                <w:bCs w:val="1"/>
                <w:color w:val="FFFFFF"/>
                <w:w w:val="95"/>
              </w:rPr>
              <w:t>Committee</w:t>
            </w:r>
          </w:p>
        </w:tc>
        <w:tc>
          <w:tcPr>
            <w:tcW w:w="940" w:type="dxa"/>
            <w:vAlign w:val="bottom"/>
            <w:shd w:val="clear" w:color="auto" w:fill="007CBA"/>
          </w:tcPr>
          <w:p>
            <w:pPr>
              <w:jc w:val="center"/>
              <w:spacing w:after="0"/>
              <w:rPr>
                <w:sz w:val="20"/>
                <w:szCs w:val="20"/>
                <w:color w:val="auto"/>
              </w:rPr>
            </w:pPr>
            <w:r>
              <w:rPr>
                <w:rFonts w:ascii="Arial" w:cs="Arial" w:eastAsia="Arial" w:hAnsi="Arial"/>
                <w:sz w:val="13"/>
                <w:szCs w:val="13"/>
                <w:b w:val="1"/>
                <w:bCs w:val="1"/>
                <w:color w:val="FFFFFF"/>
                <w:w w:val="95"/>
              </w:rPr>
              <w:t>Committee</w:t>
            </w:r>
          </w:p>
        </w:tc>
        <w:tc>
          <w:tcPr>
            <w:tcW w:w="1120" w:type="dxa"/>
            <w:vAlign w:val="bottom"/>
            <w:shd w:val="clear" w:color="auto" w:fill="007CBA"/>
          </w:tcPr>
          <w:p>
            <w:pPr>
              <w:jc w:val="center"/>
              <w:spacing w:after="0"/>
              <w:rPr>
                <w:sz w:val="20"/>
                <w:szCs w:val="20"/>
                <w:color w:val="auto"/>
              </w:rPr>
            </w:pPr>
            <w:r>
              <w:rPr>
                <w:rFonts w:ascii="Arial" w:cs="Arial" w:eastAsia="Arial" w:hAnsi="Arial"/>
                <w:sz w:val="13"/>
                <w:szCs w:val="13"/>
                <w:b w:val="1"/>
                <w:bCs w:val="1"/>
                <w:color w:val="FFFFFF"/>
                <w:w w:val="95"/>
              </w:rPr>
              <w:t>Committee</w:t>
            </w:r>
          </w:p>
        </w:tc>
        <w:tc>
          <w:tcPr>
            <w:tcW w:w="1140" w:type="dxa"/>
            <w:vAlign w:val="bottom"/>
            <w:shd w:val="clear" w:color="auto" w:fill="007CBA"/>
          </w:tcPr>
          <w:p>
            <w:pPr>
              <w:jc w:val="center"/>
              <w:spacing w:after="0"/>
              <w:rPr>
                <w:sz w:val="20"/>
                <w:szCs w:val="20"/>
                <w:color w:val="auto"/>
              </w:rPr>
            </w:pPr>
            <w:r>
              <w:rPr>
                <w:rFonts w:ascii="Arial" w:cs="Arial" w:eastAsia="Arial" w:hAnsi="Arial"/>
                <w:sz w:val="13"/>
                <w:szCs w:val="13"/>
                <w:b w:val="1"/>
                <w:bCs w:val="1"/>
                <w:color w:val="FFFFFF"/>
                <w:w w:val="95"/>
              </w:rPr>
              <w:t>Committee</w:t>
            </w:r>
          </w:p>
        </w:tc>
      </w:tr>
      <w:tr>
        <w:trPr>
          <w:trHeight w:val="54"/>
        </w:trPr>
        <w:tc>
          <w:tcPr>
            <w:tcW w:w="3920" w:type="dxa"/>
            <w:vAlign w:val="bottom"/>
            <w:shd w:val="clear" w:color="auto" w:fill="007CBA"/>
          </w:tcPr>
          <w:p>
            <w:pPr>
              <w:spacing w:after="0"/>
              <w:rPr>
                <w:sz w:val="4"/>
                <w:szCs w:val="4"/>
                <w:color w:val="auto"/>
              </w:rPr>
            </w:pPr>
          </w:p>
        </w:tc>
        <w:tc>
          <w:tcPr>
            <w:tcW w:w="1060" w:type="dxa"/>
            <w:vAlign w:val="bottom"/>
            <w:shd w:val="clear" w:color="auto" w:fill="007CBA"/>
          </w:tcPr>
          <w:p>
            <w:pPr>
              <w:spacing w:after="0"/>
              <w:rPr>
                <w:sz w:val="4"/>
                <w:szCs w:val="4"/>
                <w:color w:val="auto"/>
              </w:rPr>
            </w:pPr>
          </w:p>
        </w:tc>
        <w:tc>
          <w:tcPr>
            <w:tcW w:w="9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3302635</wp:posOffset>
            </wp:positionH>
            <wp:positionV relativeFrom="paragraph">
              <wp:posOffset>-33655</wp:posOffset>
            </wp:positionV>
            <wp:extent cx="3820160" cy="25012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20160" cy="2501265"/>
                    </a:xfrm>
                    <a:prstGeom prst="rect">
                      <a:avLst/>
                    </a:prstGeom>
                    <a:noFill/>
                  </pic:spPr>
                </pic:pic>
              </a:graphicData>
            </a:graphic>
          </wp:anchor>
        </w:drawing>
      </w:r>
    </w:p>
    <w:tbl>
      <w:tblPr>
        <w:tblLayout w:type="fixed"/>
        <w:tblInd w:w="220" w:type="dxa"/>
        <w:tblCellMar>
          <w:top w:w="0" w:type="dxa"/>
          <w:left w:w="0" w:type="dxa"/>
          <w:bottom w:w="0" w:type="dxa"/>
          <w:right w:w="0" w:type="dxa"/>
        </w:tblCellMar>
      </w:tblPr>
      <w:tr>
        <w:trPr>
          <w:trHeight w:val="191"/>
        </w:trPr>
        <w:tc>
          <w:tcPr>
            <w:tcW w:w="394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Dorothy M. Ables</w:t>
            </w:r>
          </w:p>
        </w:tc>
        <w:tc>
          <w:tcPr>
            <w:tcW w:w="1040" w:type="dxa"/>
            <w:vAlign w:val="bottom"/>
            <w:shd w:val="clear" w:color="auto" w:fill="E5F1F8"/>
          </w:tcPr>
          <w:p>
            <w:pPr>
              <w:spacing w:after="0"/>
              <w:rPr>
                <w:sz w:val="16"/>
                <w:szCs w:val="16"/>
                <w:color w:val="auto"/>
              </w:rPr>
            </w:pPr>
          </w:p>
        </w:tc>
        <w:tc>
          <w:tcPr>
            <w:tcW w:w="1000" w:type="dxa"/>
            <w:vAlign w:val="bottom"/>
            <w:shd w:val="clear" w:color="auto" w:fill="E5F1F8"/>
          </w:tcPr>
          <w:p>
            <w:pPr>
              <w:spacing w:after="0"/>
              <w:rPr>
                <w:sz w:val="16"/>
                <w:szCs w:val="16"/>
                <w:color w:val="auto"/>
              </w:rPr>
            </w:pPr>
          </w:p>
        </w:tc>
        <w:tc>
          <w:tcPr>
            <w:tcW w:w="940" w:type="dxa"/>
            <w:vAlign w:val="bottom"/>
            <w:shd w:val="clear" w:color="auto" w:fill="E5F1F8"/>
          </w:tcPr>
          <w:p>
            <w:pPr>
              <w:spacing w:after="0"/>
              <w:rPr>
                <w:sz w:val="16"/>
                <w:szCs w:val="16"/>
                <w:color w:val="auto"/>
              </w:rPr>
            </w:pPr>
          </w:p>
        </w:tc>
        <w:tc>
          <w:tcPr>
            <w:tcW w:w="900" w:type="dxa"/>
            <w:vAlign w:val="bottom"/>
            <w:shd w:val="clear" w:color="auto" w:fill="E5F1F8"/>
          </w:tcPr>
          <w:p>
            <w:pPr>
              <w:spacing w:after="0"/>
              <w:rPr>
                <w:sz w:val="16"/>
                <w:szCs w:val="16"/>
                <w:color w:val="auto"/>
              </w:rPr>
            </w:pPr>
          </w:p>
        </w:tc>
        <w:tc>
          <w:tcPr>
            <w:tcW w:w="920" w:type="dxa"/>
            <w:vAlign w:val="bottom"/>
            <w:shd w:val="clear" w:color="auto" w:fill="E5F1F8"/>
          </w:tcPr>
          <w:p>
            <w:pPr>
              <w:spacing w:after="0"/>
              <w:rPr>
                <w:sz w:val="16"/>
                <w:szCs w:val="16"/>
                <w:color w:val="auto"/>
              </w:rPr>
            </w:pPr>
          </w:p>
        </w:tc>
        <w:tc>
          <w:tcPr>
            <w:tcW w:w="1220" w:type="dxa"/>
            <w:vAlign w:val="bottom"/>
            <w:shd w:val="clear" w:color="auto" w:fill="E5F1F8"/>
          </w:tcPr>
          <w:p>
            <w:pPr>
              <w:spacing w:after="0"/>
              <w:rPr>
                <w:sz w:val="16"/>
                <w:szCs w:val="16"/>
                <w:color w:val="auto"/>
              </w:rPr>
            </w:pPr>
          </w:p>
        </w:tc>
        <w:tc>
          <w:tcPr>
            <w:tcW w:w="780" w:type="dxa"/>
            <w:vAlign w:val="bottom"/>
            <w:shd w:val="clear" w:color="auto" w:fill="E5F1F8"/>
          </w:tcPr>
          <w:p>
            <w:pPr>
              <w:spacing w:after="0"/>
              <w:rPr>
                <w:sz w:val="16"/>
                <w:szCs w:val="16"/>
                <w:color w:val="auto"/>
              </w:rPr>
            </w:pPr>
          </w:p>
        </w:tc>
        <w:tc>
          <w:tcPr>
            <w:tcW w:w="260" w:type="dxa"/>
            <w:vAlign w:val="bottom"/>
            <w:shd w:val="clear" w:color="auto" w:fill="E5F1F8"/>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394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3"/>
                <w:szCs w:val="13"/>
                <w:i w:val="1"/>
                <w:iCs w:val="1"/>
                <w:color w:val="007CBA"/>
              </w:rPr>
              <w:t>Financial Expert</w:t>
            </w:r>
          </w:p>
        </w:tc>
        <w:tc>
          <w:tcPr>
            <w:tcW w:w="1040" w:type="dxa"/>
            <w:vAlign w:val="bottom"/>
            <w:shd w:val="clear" w:color="auto" w:fill="E5F1F8"/>
          </w:tcPr>
          <w:p>
            <w:pPr>
              <w:spacing w:after="0"/>
              <w:rPr>
                <w:sz w:val="14"/>
                <w:szCs w:val="14"/>
                <w:color w:val="auto"/>
              </w:rPr>
            </w:pPr>
          </w:p>
        </w:tc>
        <w:tc>
          <w:tcPr>
            <w:tcW w:w="1000" w:type="dxa"/>
            <w:vAlign w:val="bottom"/>
            <w:shd w:val="clear" w:color="auto" w:fill="E5F1F8"/>
          </w:tcPr>
          <w:p>
            <w:pPr>
              <w:spacing w:after="0"/>
              <w:rPr>
                <w:sz w:val="14"/>
                <w:szCs w:val="14"/>
                <w:color w:val="auto"/>
              </w:rPr>
            </w:pPr>
          </w:p>
        </w:tc>
        <w:tc>
          <w:tcPr>
            <w:tcW w:w="940" w:type="dxa"/>
            <w:vAlign w:val="bottom"/>
            <w:shd w:val="clear" w:color="auto" w:fill="E5F1F8"/>
          </w:tcPr>
          <w:p>
            <w:pPr>
              <w:spacing w:after="0"/>
              <w:rPr>
                <w:sz w:val="14"/>
                <w:szCs w:val="14"/>
                <w:color w:val="auto"/>
              </w:rPr>
            </w:pPr>
          </w:p>
        </w:tc>
        <w:tc>
          <w:tcPr>
            <w:tcW w:w="900" w:type="dxa"/>
            <w:vAlign w:val="bottom"/>
            <w:shd w:val="clear" w:color="auto" w:fill="E5F1F8"/>
          </w:tcPr>
          <w:p>
            <w:pPr>
              <w:spacing w:after="0"/>
              <w:rPr>
                <w:sz w:val="14"/>
                <w:szCs w:val="14"/>
                <w:color w:val="auto"/>
              </w:rPr>
            </w:pPr>
          </w:p>
        </w:tc>
        <w:tc>
          <w:tcPr>
            <w:tcW w:w="920" w:type="dxa"/>
            <w:vAlign w:val="bottom"/>
            <w:shd w:val="clear" w:color="auto" w:fill="E5F1F8"/>
          </w:tcPr>
          <w:p>
            <w:pPr>
              <w:spacing w:after="0"/>
              <w:rPr>
                <w:sz w:val="14"/>
                <w:szCs w:val="14"/>
                <w:color w:val="auto"/>
              </w:rPr>
            </w:pPr>
          </w:p>
        </w:tc>
        <w:tc>
          <w:tcPr>
            <w:tcW w:w="1220" w:type="dxa"/>
            <w:vAlign w:val="bottom"/>
            <w:shd w:val="clear" w:color="auto" w:fill="E5F1F8"/>
          </w:tcPr>
          <w:p>
            <w:pPr>
              <w:spacing w:after="0"/>
              <w:rPr>
                <w:sz w:val="14"/>
                <w:szCs w:val="14"/>
                <w:color w:val="auto"/>
              </w:rPr>
            </w:pPr>
          </w:p>
        </w:tc>
        <w:tc>
          <w:tcPr>
            <w:tcW w:w="780" w:type="dxa"/>
            <w:vAlign w:val="bottom"/>
            <w:shd w:val="clear" w:color="auto" w:fill="E5F1F8"/>
          </w:tcPr>
          <w:p>
            <w:pPr>
              <w:spacing w:after="0"/>
              <w:rPr>
                <w:sz w:val="14"/>
                <w:szCs w:val="14"/>
                <w:color w:val="auto"/>
              </w:rPr>
            </w:pPr>
          </w:p>
        </w:tc>
        <w:tc>
          <w:tcPr>
            <w:tcW w:w="260" w:type="dxa"/>
            <w:vAlign w:val="bottom"/>
            <w:shd w:val="clear" w:color="auto" w:fill="E5F1F8"/>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3940" w:type="dxa"/>
            <w:vAlign w:val="bottom"/>
            <w:tcBorders>
              <w:right w:val="single" w:sz="8" w:color="007CBA"/>
            </w:tcBorders>
            <w:shd w:val="clear" w:color="auto" w:fill="E5F1F8"/>
          </w:tcPr>
          <w:p>
            <w:pPr>
              <w:spacing w:after="0"/>
              <w:rPr>
                <w:sz w:val="6"/>
                <w:szCs w:val="6"/>
                <w:color w:val="auto"/>
              </w:rPr>
            </w:pPr>
          </w:p>
        </w:tc>
        <w:tc>
          <w:tcPr>
            <w:tcW w:w="1040" w:type="dxa"/>
            <w:vAlign w:val="bottom"/>
            <w:shd w:val="clear" w:color="auto" w:fill="E5F1F8"/>
          </w:tcPr>
          <w:p>
            <w:pPr>
              <w:spacing w:after="0"/>
              <w:rPr>
                <w:sz w:val="6"/>
                <w:szCs w:val="6"/>
                <w:color w:val="auto"/>
              </w:rPr>
            </w:pPr>
          </w:p>
        </w:tc>
        <w:tc>
          <w:tcPr>
            <w:tcW w:w="1000" w:type="dxa"/>
            <w:vAlign w:val="bottom"/>
            <w:shd w:val="clear" w:color="auto" w:fill="E5F1F8"/>
          </w:tcPr>
          <w:p>
            <w:pPr>
              <w:spacing w:after="0"/>
              <w:rPr>
                <w:sz w:val="6"/>
                <w:szCs w:val="6"/>
                <w:color w:val="auto"/>
              </w:rPr>
            </w:pPr>
          </w:p>
        </w:tc>
        <w:tc>
          <w:tcPr>
            <w:tcW w:w="940" w:type="dxa"/>
            <w:vAlign w:val="bottom"/>
            <w:shd w:val="clear" w:color="auto" w:fill="E5F1F8"/>
          </w:tcPr>
          <w:p>
            <w:pPr>
              <w:spacing w:after="0"/>
              <w:rPr>
                <w:sz w:val="6"/>
                <w:szCs w:val="6"/>
                <w:color w:val="auto"/>
              </w:rPr>
            </w:pPr>
          </w:p>
        </w:tc>
        <w:tc>
          <w:tcPr>
            <w:tcW w:w="900" w:type="dxa"/>
            <w:vAlign w:val="bottom"/>
            <w:shd w:val="clear" w:color="auto" w:fill="E5F1F8"/>
          </w:tcPr>
          <w:p>
            <w:pPr>
              <w:spacing w:after="0"/>
              <w:rPr>
                <w:sz w:val="6"/>
                <w:szCs w:val="6"/>
                <w:color w:val="auto"/>
              </w:rPr>
            </w:pPr>
          </w:p>
        </w:tc>
        <w:tc>
          <w:tcPr>
            <w:tcW w:w="920" w:type="dxa"/>
            <w:vAlign w:val="bottom"/>
            <w:shd w:val="clear" w:color="auto" w:fill="E5F1F8"/>
          </w:tcPr>
          <w:p>
            <w:pPr>
              <w:spacing w:after="0"/>
              <w:rPr>
                <w:sz w:val="6"/>
                <w:szCs w:val="6"/>
                <w:color w:val="auto"/>
              </w:rPr>
            </w:pPr>
          </w:p>
        </w:tc>
        <w:tc>
          <w:tcPr>
            <w:tcW w:w="1220" w:type="dxa"/>
            <w:vAlign w:val="bottom"/>
            <w:shd w:val="clear" w:color="auto" w:fill="E5F1F8"/>
          </w:tcPr>
          <w:p>
            <w:pPr>
              <w:spacing w:after="0"/>
              <w:rPr>
                <w:sz w:val="6"/>
                <w:szCs w:val="6"/>
                <w:color w:val="auto"/>
              </w:rPr>
            </w:pPr>
          </w:p>
        </w:tc>
        <w:tc>
          <w:tcPr>
            <w:tcW w:w="780" w:type="dxa"/>
            <w:vAlign w:val="bottom"/>
            <w:shd w:val="clear" w:color="auto" w:fill="E5F1F8"/>
          </w:tcPr>
          <w:p>
            <w:pPr>
              <w:spacing w:after="0"/>
              <w:rPr>
                <w:sz w:val="6"/>
                <w:szCs w:val="6"/>
                <w:color w:val="auto"/>
              </w:rPr>
            </w:pPr>
          </w:p>
        </w:tc>
        <w:tc>
          <w:tcPr>
            <w:tcW w:w="260" w:type="dxa"/>
            <w:vAlign w:val="bottom"/>
            <w:shd w:val="clear" w:color="auto" w:fill="E5F1F8"/>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394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Sue W. Cole</w:t>
            </w:r>
          </w:p>
        </w:tc>
        <w:tc>
          <w:tcPr>
            <w:tcW w:w="10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80" w:type="dxa"/>
            <w:vAlign w:val="bottom"/>
          </w:tcPr>
          <w:p>
            <w:pPr>
              <w:jc w:val="center"/>
              <w:ind w:left="68"/>
              <w:spacing w:after="0"/>
              <w:rPr>
                <w:sz w:val="20"/>
                <w:szCs w:val="20"/>
                <w:color w:val="auto"/>
              </w:rPr>
            </w:pPr>
            <w:r>
              <w:rPr>
                <w:rFonts w:ascii="Arial" w:cs="Arial" w:eastAsia="Arial" w:hAnsi="Arial"/>
                <w:sz w:val="14"/>
                <w:szCs w:val="14"/>
                <w:b w:val="1"/>
                <w:bCs w:val="1"/>
                <w:color w:val="auto"/>
              </w:rPr>
              <w:t>Chair</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3940" w:type="dxa"/>
            <w:vAlign w:val="bottom"/>
            <w:tcBorders>
              <w:right w:val="single" w:sz="8" w:color="007CBA"/>
            </w:tcBorders>
          </w:tcPr>
          <w:p>
            <w:pPr>
              <w:spacing w:after="0"/>
              <w:rPr>
                <w:sz w:val="4"/>
                <w:szCs w:val="4"/>
                <w:color w:val="auto"/>
              </w:rPr>
            </w:pPr>
          </w:p>
        </w:tc>
        <w:tc>
          <w:tcPr>
            <w:tcW w:w="10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94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Smith W. Davis</w:t>
            </w:r>
          </w:p>
        </w:tc>
        <w:tc>
          <w:tcPr>
            <w:tcW w:w="1040" w:type="dxa"/>
            <w:vAlign w:val="bottom"/>
            <w:shd w:val="clear" w:color="auto" w:fill="E5F1F8"/>
          </w:tcPr>
          <w:p>
            <w:pPr>
              <w:spacing w:after="0"/>
              <w:rPr>
                <w:sz w:val="21"/>
                <w:szCs w:val="21"/>
                <w:color w:val="auto"/>
              </w:rPr>
            </w:pPr>
          </w:p>
        </w:tc>
        <w:tc>
          <w:tcPr>
            <w:tcW w:w="1000" w:type="dxa"/>
            <w:vAlign w:val="bottom"/>
            <w:shd w:val="clear" w:color="auto" w:fill="E5F1F8"/>
          </w:tcPr>
          <w:p>
            <w:pPr>
              <w:spacing w:after="0"/>
              <w:rPr>
                <w:sz w:val="21"/>
                <w:szCs w:val="21"/>
                <w:color w:val="auto"/>
              </w:rPr>
            </w:pPr>
          </w:p>
        </w:tc>
        <w:tc>
          <w:tcPr>
            <w:tcW w:w="940" w:type="dxa"/>
            <w:vAlign w:val="bottom"/>
            <w:shd w:val="clear" w:color="auto" w:fill="E5F1F8"/>
          </w:tcPr>
          <w:p>
            <w:pPr>
              <w:spacing w:after="0"/>
              <w:rPr>
                <w:sz w:val="21"/>
                <w:szCs w:val="21"/>
                <w:color w:val="auto"/>
              </w:rPr>
            </w:pPr>
          </w:p>
        </w:tc>
        <w:tc>
          <w:tcPr>
            <w:tcW w:w="900" w:type="dxa"/>
            <w:vAlign w:val="bottom"/>
            <w:shd w:val="clear" w:color="auto" w:fill="E5F1F8"/>
          </w:tcPr>
          <w:p>
            <w:pPr>
              <w:spacing w:after="0"/>
              <w:rPr>
                <w:sz w:val="21"/>
                <w:szCs w:val="21"/>
                <w:color w:val="auto"/>
              </w:rPr>
            </w:pPr>
          </w:p>
        </w:tc>
        <w:tc>
          <w:tcPr>
            <w:tcW w:w="920" w:type="dxa"/>
            <w:vAlign w:val="bottom"/>
            <w:shd w:val="clear" w:color="auto" w:fill="E5F1F8"/>
          </w:tcPr>
          <w:p>
            <w:pPr>
              <w:spacing w:after="0"/>
              <w:rPr>
                <w:sz w:val="21"/>
                <w:szCs w:val="21"/>
                <w:color w:val="auto"/>
              </w:rPr>
            </w:pPr>
          </w:p>
        </w:tc>
        <w:tc>
          <w:tcPr>
            <w:tcW w:w="1220" w:type="dxa"/>
            <w:vAlign w:val="bottom"/>
            <w:shd w:val="clear" w:color="auto" w:fill="E5F1F8"/>
          </w:tcPr>
          <w:p>
            <w:pPr>
              <w:spacing w:after="0"/>
              <w:rPr>
                <w:sz w:val="21"/>
                <w:szCs w:val="21"/>
                <w:color w:val="auto"/>
              </w:rPr>
            </w:pPr>
          </w:p>
        </w:tc>
        <w:tc>
          <w:tcPr>
            <w:tcW w:w="780" w:type="dxa"/>
            <w:vAlign w:val="bottom"/>
            <w:shd w:val="clear" w:color="auto" w:fill="E5F1F8"/>
          </w:tcPr>
          <w:p>
            <w:pPr>
              <w:spacing w:after="0"/>
              <w:rPr>
                <w:sz w:val="21"/>
                <w:szCs w:val="21"/>
                <w:color w:val="auto"/>
              </w:rPr>
            </w:pPr>
          </w:p>
        </w:tc>
        <w:tc>
          <w:tcPr>
            <w:tcW w:w="260" w:type="dxa"/>
            <w:vAlign w:val="bottom"/>
            <w:shd w:val="clear" w:color="auto" w:fill="E5F1F8"/>
          </w:tcPr>
          <w:p>
            <w:pPr>
              <w:spacing w:after="0"/>
              <w:rPr>
                <w:sz w:val="21"/>
                <w:szCs w:val="21"/>
                <w:color w:val="auto"/>
              </w:rPr>
            </w:pPr>
          </w:p>
        </w:tc>
        <w:tc>
          <w:tcPr>
            <w:tcW w:w="0" w:type="dxa"/>
            <w:vAlign w:val="bottom"/>
          </w:tcPr>
          <w:p>
            <w:pPr>
              <w:spacing w:after="0"/>
              <w:rPr>
                <w:sz w:val="1"/>
                <w:szCs w:val="1"/>
                <w:color w:val="auto"/>
              </w:rPr>
            </w:pPr>
          </w:p>
        </w:tc>
      </w:tr>
      <w:tr>
        <w:trPr>
          <w:trHeight w:val="67"/>
        </w:trPr>
        <w:tc>
          <w:tcPr>
            <w:tcW w:w="3940" w:type="dxa"/>
            <w:vAlign w:val="bottom"/>
            <w:tcBorders>
              <w:right w:val="single" w:sz="8" w:color="007CBA"/>
            </w:tcBorders>
            <w:shd w:val="clear" w:color="auto" w:fill="E5F1F8"/>
          </w:tcPr>
          <w:p>
            <w:pPr>
              <w:spacing w:after="0"/>
              <w:rPr>
                <w:sz w:val="5"/>
                <w:szCs w:val="5"/>
                <w:color w:val="auto"/>
              </w:rPr>
            </w:pPr>
          </w:p>
        </w:tc>
        <w:tc>
          <w:tcPr>
            <w:tcW w:w="1040" w:type="dxa"/>
            <w:vAlign w:val="bottom"/>
            <w:shd w:val="clear" w:color="auto" w:fill="E5F1F8"/>
          </w:tcPr>
          <w:p>
            <w:pPr>
              <w:spacing w:after="0"/>
              <w:rPr>
                <w:sz w:val="5"/>
                <w:szCs w:val="5"/>
                <w:color w:val="auto"/>
              </w:rPr>
            </w:pPr>
          </w:p>
        </w:tc>
        <w:tc>
          <w:tcPr>
            <w:tcW w:w="1000" w:type="dxa"/>
            <w:vAlign w:val="bottom"/>
            <w:shd w:val="clear" w:color="auto" w:fill="E5F1F8"/>
          </w:tcPr>
          <w:p>
            <w:pPr>
              <w:spacing w:after="0"/>
              <w:rPr>
                <w:sz w:val="5"/>
                <w:szCs w:val="5"/>
                <w:color w:val="auto"/>
              </w:rPr>
            </w:pPr>
          </w:p>
        </w:tc>
        <w:tc>
          <w:tcPr>
            <w:tcW w:w="940" w:type="dxa"/>
            <w:vAlign w:val="bottom"/>
            <w:shd w:val="clear" w:color="auto" w:fill="E5F1F8"/>
          </w:tcPr>
          <w:p>
            <w:pPr>
              <w:spacing w:after="0"/>
              <w:rPr>
                <w:sz w:val="5"/>
                <w:szCs w:val="5"/>
                <w:color w:val="auto"/>
              </w:rPr>
            </w:pPr>
          </w:p>
        </w:tc>
        <w:tc>
          <w:tcPr>
            <w:tcW w:w="900" w:type="dxa"/>
            <w:vAlign w:val="bottom"/>
            <w:shd w:val="clear" w:color="auto" w:fill="E5F1F8"/>
          </w:tcPr>
          <w:p>
            <w:pPr>
              <w:spacing w:after="0"/>
              <w:rPr>
                <w:sz w:val="5"/>
                <w:szCs w:val="5"/>
                <w:color w:val="auto"/>
              </w:rPr>
            </w:pPr>
          </w:p>
        </w:tc>
        <w:tc>
          <w:tcPr>
            <w:tcW w:w="920" w:type="dxa"/>
            <w:vAlign w:val="bottom"/>
            <w:shd w:val="clear" w:color="auto" w:fill="E5F1F8"/>
          </w:tcPr>
          <w:p>
            <w:pPr>
              <w:spacing w:after="0"/>
              <w:rPr>
                <w:sz w:val="5"/>
                <w:szCs w:val="5"/>
                <w:color w:val="auto"/>
              </w:rPr>
            </w:pPr>
          </w:p>
        </w:tc>
        <w:tc>
          <w:tcPr>
            <w:tcW w:w="1220" w:type="dxa"/>
            <w:vAlign w:val="bottom"/>
            <w:shd w:val="clear" w:color="auto" w:fill="E5F1F8"/>
          </w:tcPr>
          <w:p>
            <w:pPr>
              <w:spacing w:after="0"/>
              <w:rPr>
                <w:sz w:val="5"/>
                <w:szCs w:val="5"/>
                <w:color w:val="auto"/>
              </w:rPr>
            </w:pPr>
          </w:p>
        </w:tc>
        <w:tc>
          <w:tcPr>
            <w:tcW w:w="780" w:type="dxa"/>
            <w:vAlign w:val="bottom"/>
            <w:shd w:val="clear" w:color="auto" w:fill="E5F1F8"/>
          </w:tcPr>
          <w:p>
            <w:pPr>
              <w:spacing w:after="0"/>
              <w:rPr>
                <w:sz w:val="5"/>
                <w:szCs w:val="5"/>
                <w:color w:val="auto"/>
              </w:rPr>
            </w:pPr>
          </w:p>
        </w:tc>
        <w:tc>
          <w:tcPr>
            <w:tcW w:w="26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394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John J. Koraleski</w:t>
            </w: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940" w:type="dxa"/>
            <w:vAlign w:val="bottom"/>
            <w:tcBorders>
              <w:right w:val="single" w:sz="8" w:color="007CBA"/>
            </w:tcBorders>
          </w:tcPr>
          <w:p>
            <w:pPr>
              <w:ind w:left="60"/>
              <w:spacing w:after="0"/>
              <w:rPr>
                <w:sz w:val="20"/>
                <w:szCs w:val="20"/>
                <w:color w:val="auto"/>
              </w:rPr>
            </w:pPr>
            <w:r>
              <w:rPr>
                <w:rFonts w:ascii="Arial" w:cs="Arial" w:eastAsia="Arial" w:hAnsi="Arial"/>
                <w:sz w:val="13"/>
                <w:szCs w:val="13"/>
                <w:i w:val="1"/>
                <w:iCs w:val="1"/>
                <w:color w:val="007CBA"/>
              </w:rPr>
              <w:t>Financial Expert</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3940" w:type="dxa"/>
            <w:vAlign w:val="bottom"/>
            <w:tcBorders>
              <w:right w:val="single" w:sz="8" w:color="007CBA"/>
            </w:tcBorders>
          </w:tcPr>
          <w:p>
            <w:pPr>
              <w:spacing w:after="0"/>
              <w:rPr>
                <w:sz w:val="6"/>
                <w:szCs w:val="6"/>
                <w:color w:val="auto"/>
              </w:rPr>
            </w:pPr>
          </w:p>
        </w:tc>
        <w:tc>
          <w:tcPr>
            <w:tcW w:w="10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9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394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C. Howard Nye*</w:t>
            </w:r>
          </w:p>
        </w:tc>
        <w:tc>
          <w:tcPr>
            <w:tcW w:w="1040" w:type="dxa"/>
            <w:vAlign w:val="bottom"/>
            <w:shd w:val="clear" w:color="auto" w:fill="E5F1F8"/>
          </w:tcPr>
          <w:p>
            <w:pPr>
              <w:spacing w:after="0"/>
              <w:rPr>
                <w:sz w:val="19"/>
                <w:szCs w:val="19"/>
                <w:color w:val="auto"/>
              </w:rPr>
            </w:pPr>
          </w:p>
        </w:tc>
        <w:tc>
          <w:tcPr>
            <w:tcW w:w="1000" w:type="dxa"/>
            <w:vAlign w:val="bottom"/>
            <w:shd w:val="clear" w:color="auto" w:fill="E5F1F8"/>
          </w:tcPr>
          <w:p>
            <w:pPr>
              <w:spacing w:after="0"/>
              <w:rPr>
                <w:sz w:val="19"/>
                <w:szCs w:val="19"/>
                <w:color w:val="auto"/>
              </w:rPr>
            </w:pPr>
          </w:p>
        </w:tc>
        <w:tc>
          <w:tcPr>
            <w:tcW w:w="940" w:type="dxa"/>
            <w:vAlign w:val="bottom"/>
            <w:shd w:val="clear" w:color="auto" w:fill="E5F1F8"/>
          </w:tcPr>
          <w:p>
            <w:pPr>
              <w:spacing w:after="0"/>
              <w:rPr>
                <w:sz w:val="19"/>
                <w:szCs w:val="19"/>
                <w:color w:val="auto"/>
              </w:rPr>
            </w:pPr>
          </w:p>
        </w:tc>
        <w:tc>
          <w:tcPr>
            <w:tcW w:w="900" w:type="dxa"/>
            <w:vAlign w:val="bottom"/>
            <w:shd w:val="clear" w:color="auto" w:fill="E5F1F8"/>
          </w:tcPr>
          <w:p>
            <w:pPr>
              <w:jc w:val="center"/>
              <w:spacing w:after="0"/>
              <w:rPr>
                <w:sz w:val="20"/>
                <w:szCs w:val="20"/>
                <w:color w:val="auto"/>
              </w:rPr>
            </w:pPr>
            <w:r>
              <w:rPr>
                <w:rFonts w:ascii="Arial" w:cs="Arial" w:eastAsia="Arial" w:hAnsi="Arial"/>
                <w:sz w:val="14"/>
                <w:szCs w:val="14"/>
                <w:b w:val="1"/>
                <w:bCs w:val="1"/>
                <w:color w:val="auto"/>
              </w:rPr>
              <w:t>Chair</w:t>
            </w:r>
          </w:p>
        </w:tc>
        <w:tc>
          <w:tcPr>
            <w:tcW w:w="920" w:type="dxa"/>
            <w:vAlign w:val="bottom"/>
            <w:shd w:val="clear" w:color="auto" w:fill="E5F1F8"/>
          </w:tcPr>
          <w:p>
            <w:pPr>
              <w:spacing w:after="0"/>
              <w:rPr>
                <w:sz w:val="19"/>
                <w:szCs w:val="19"/>
                <w:color w:val="auto"/>
              </w:rPr>
            </w:pPr>
          </w:p>
        </w:tc>
        <w:tc>
          <w:tcPr>
            <w:tcW w:w="1220" w:type="dxa"/>
            <w:vAlign w:val="bottom"/>
            <w:shd w:val="clear" w:color="auto" w:fill="E5F1F8"/>
          </w:tcPr>
          <w:p>
            <w:pPr>
              <w:spacing w:after="0"/>
              <w:rPr>
                <w:sz w:val="19"/>
                <w:szCs w:val="19"/>
                <w:color w:val="auto"/>
              </w:rPr>
            </w:pPr>
          </w:p>
        </w:tc>
        <w:tc>
          <w:tcPr>
            <w:tcW w:w="780" w:type="dxa"/>
            <w:vAlign w:val="bottom"/>
            <w:shd w:val="clear" w:color="auto" w:fill="E5F1F8"/>
          </w:tcPr>
          <w:p>
            <w:pPr>
              <w:spacing w:after="0"/>
              <w:rPr>
                <w:sz w:val="19"/>
                <w:szCs w:val="19"/>
                <w:color w:val="auto"/>
              </w:rPr>
            </w:pPr>
          </w:p>
        </w:tc>
        <w:tc>
          <w:tcPr>
            <w:tcW w:w="26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3940" w:type="dxa"/>
            <w:vAlign w:val="bottom"/>
            <w:tcBorders>
              <w:right w:val="single" w:sz="8" w:color="007CBA"/>
            </w:tcBorders>
            <w:shd w:val="clear" w:color="auto" w:fill="E5F1F8"/>
          </w:tcPr>
          <w:p>
            <w:pPr>
              <w:spacing w:after="0"/>
              <w:rPr>
                <w:sz w:val="5"/>
                <w:szCs w:val="5"/>
                <w:color w:val="auto"/>
              </w:rPr>
            </w:pPr>
          </w:p>
        </w:tc>
        <w:tc>
          <w:tcPr>
            <w:tcW w:w="1040" w:type="dxa"/>
            <w:vAlign w:val="bottom"/>
            <w:shd w:val="clear" w:color="auto" w:fill="E5F1F8"/>
          </w:tcPr>
          <w:p>
            <w:pPr>
              <w:spacing w:after="0"/>
              <w:rPr>
                <w:sz w:val="5"/>
                <w:szCs w:val="5"/>
                <w:color w:val="auto"/>
              </w:rPr>
            </w:pPr>
          </w:p>
        </w:tc>
        <w:tc>
          <w:tcPr>
            <w:tcW w:w="1000" w:type="dxa"/>
            <w:vAlign w:val="bottom"/>
            <w:shd w:val="clear" w:color="auto" w:fill="E5F1F8"/>
          </w:tcPr>
          <w:p>
            <w:pPr>
              <w:spacing w:after="0"/>
              <w:rPr>
                <w:sz w:val="5"/>
                <w:szCs w:val="5"/>
                <w:color w:val="auto"/>
              </w:rPr>
            </w:pPr>
          </w:p>
        </w:tc>
        <w:tc>
          <w:tcPr>
            <w:tcW w:w="940" w:type="dxa"/>
            <w:vAlign w:val="bottom"/>
            <w:shd w:val="clear" w:color="auto" w:fill="E5F1F8"/>
          </w:tcPr>
          <w:p>
            <w:pPr>
              <w:spacing w:after="0"/>
              <w:rPr>
                <w:sz w:val="5"/>
                <w:szCs w:val="5"/>
                <w:color w:val="auto"/>
              </w:rPr>
            </w:pPr>
          </w:p>
        </w:tc>
        <w:tc>
          <w:tcPr>
            <w:tcW w:w="900" w:type="dxa"/>
            <w:vAlign w:val="bottom"/>
            <w:shd w:val="clear" w:color="auto" w:fill="E5F1F8"/>
          </w:tcPr>
          <w:p>
            <w:pPr>
              <w:spacing w:after="0"/>
              <w:rPr>
                <w:sz w:val="5"/>
                <w:szCs w:val="5"/>
                <w:color w:val="auto"/>
              </w:rPr>
            </w:pPr>
          </w:p>
        </w:tc>
        <w:tc>
          <w:tcPr>
            <w:tcW w:w="920" w:type="dxa"/>
            <w:vAlign w:val="bottom"/>
            <w:shd w:val="clear" w:color="auto" w:fill="E5F1F8"/>
          </w:tcPr>
          <w:p>
            <w:pPr>
              <w:spacing w:after="0"/>
              <w:rPr>
                <w:sz w:val="5"/>
                <w:szCs w:val="5"/>
                <w:color w:val="auto"/>
              </w:rPr>
            </w:pPr>
          </w:p>
        </w:tc>
        <w:tc>
          <w:tcPr>
            <w:tcW w:w="1220" w:type="dxa"/>
            <w:vAlign w:val="bottom"/>
            <w:shd w:val="clear" w:color="auto" w:fill="E5F1F8"/>
          </w:tcPr>
          <w:p>
            <w:pPr>
              <w:spacing w:after="0"/>
              <w:rPr>
                <w:sz w:val="5"/>
                <w:szCs w:val="5"/>
                <w:color w:val="auto"/>
              </w:rPr>
            </w:pPr>
          </w:p>
        </w:tc>
        <w:tc>
          <w:tcPr>
            <w:tcW w:w="780" w:type="dxa"/>
            <w:vAlign w:val="bottom"/>
            <w:shd w:val="clear" w:color="auto" w:fill="E5F1F8"/>
          </w:tcPr>
          <w:p>
            <w:pPr>
              <w:spacing w:after="0"/>
              <w:rPr>
                <w:sz w:val="5"/>
                <w:szCs w:val="5"/>
                <w:color w:val="auto"/>
              </w:rPr>
            </w:pPr>
          </w:p>
        </w:tc>
        <w:tc>
          <w:tcPr>
            <w:tcW w:w="26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394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Laree E. Perez</w:t>
            </w:r>
          </w:p>
        </w:tc>
        <w:tc>
          <w:tcPr>
            <w:tcW w:w="1040" w:type="dxa"/>
            <w:vAlign w:val="bottom"/>
          </w:tcPr>
          <w:p>
            <w:pPr>
              <w:spacing w:after="0"/>
              <w:rPr>
                <w:sz w:val="18"/>
                <w:szCs w:val="18"/>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Chair</w:t>
            </w: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940" w:type="dxa"/>
            <w:vAlign w:val="bottom"/>
            <w:tcBorders>
              <w:right w:val="single" w:sz="8" w:color="007CBA"/>
            </w:tcBorders>
          </w:tcPr>
          <w:p>
            <w:pPr>
              <w:ind w:left="60"/>
              <w:spacing w:after="0"/>
              <w:rPr>
                <w:sz w:val="20"/>
                <w:szCs w:val="20"/>
                <w:color w:val="auto"/>
              </w:rPr>
            </w:pPr>
            <w:r>
              <w:rPr>
                <w:rFonts w:ascii="Arial" w:cs="Arial" w:eastAsia="Arial" w:hAnsi="Arial"/>
                <w:sz w:val="13"/>
                <w:szCs w:val="13"/>
                <w:i w:val="1"/>
                <w:iCs w:val="1"/>
                <w:color w:val="007CBA"/>
              </w:rPr>
              <w:t>Financial Expert</w:t>
            </w:r>
          </w:p>
        </w:tc>
        <w:tc>
          <w:tcPr>
            <w:tcW w:w="10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3940" w:type="dxa"/>
            <w:vAlign w:val="bottom"/>
            <w:tcBorders>
              <w:right w:val="single" w:sz="8" w:color="007CBA"/>
            </w:tcBorders>
          </w:tcPr>
          <w:p>
            <w:pPr>
              <w:spacing w:after="0"/>
              <w:rPr>
                <w:sz w:val="8"/>
                <w:szCs w:val="8"/>
                <w:color w:val="auto"/>
              </w:rPr>
            </w:pPr>
          </w:p>
        </w:tc>
        <w:tc>
          <w:tcPr>
            <w:tcW w:w="10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394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Michael J. Quillen</w:t>
            </w:r>
          </w:p>
        </w:tc>
        <w:tc>
          <w:tcPr>
            <w:tcW w:w="1040" w:type="dxa"/>
            <w:vAlign w:val="bottom"/>
            <w:shd w:val="clear" w:color="auto" w:fill="E5F1F8"/>
          </w:tcPr>
          <w:p>
            <w:pPr>
              <w:spacing w:after="0"/>
              <w:rPr>
                <w:sz w:val="18"/>
                <w:szCs w:val="18"/>
                <w:color w:val="auto"/>
              </w:rPr>
            </w:pPr>
          </w:p>
        </w:tc>
        <w:tc>
          <w:tcPr>
            <w:tcW w:w="1000" w:type="dxa"/>
            <w:vAlign w:val="bottom"/>
            <w:shd w:val="clear" w:color="auto" w:fill="E5F1F8"/>
          </w:tcPr>
          <w:p>
            <w:pPr>
              <w:spacing w:after="0"/>
              <w:rPr>
                <w:sz w:val="18"/>
                <w:szCs w:val="18"/>
                <w:color w:val="auto"/>
              </w:rPr>
            </w:pPr>
          </w:p>
        </w:tc>
        <w:tc>
          <w:tcPr>
            <w:tcW w:w="940" w:type="dxa"/>
            <w:vAlign w:val="bottom"/>
            <w:shd w:val="clear" w:color="auto" w:fill="E5F1F8"/>
          </w:tcPr>
          <w:p>
            <w:pPr>
              <w:spacing w:after="0"/>
              <w:rPr>
                <w:sz w:val="18"/>
                <w:szCs w:val="18"/>
                <w:color w:val="auto"/>
              </w:rPr>
            </w:pPr>
          </w:p>
        </w:tc>
        <w:tc>
          <w:tcPr>
            <w:tcW w:w="90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1220" w:type="dxa"/>
            <w:vAlign w:val="bottom"/>
            <w:vMerge w:val="restart"/>
            <w:shd w:val="clear" w:color="auto" w:fill="E5F1F8"/>
          </w:tcPr>
          <w:p>
            <w:pPr>
              <w:ind w:left="560"/>
              <w:spacing w:after="0"/>
              <w:rPr>
                <w:sz w:val="20"/>
                <w:szCs w:val="20"/>
                <w:color w:val="auto"/>
              </w:rPr>
            </w:pPr>
            <w:r>
              <w:rPr>
                <w:rFonts w:ascii="Arial" w:cs="Arial" w:eastAsia="Arial" w:hAnsi="Arial"/>
                <w:sz w:val="14"/>
                <w:szCs w:val="14"/>
                <w:b w:val="1"/>
                <w:bCs w:val="1"/>
                <w:color w:val="auto"/>
              </w:rPr>
              <w:t>Chair</w:t>
            </w:r>
          </w:p>
        </w:tc>
        <w:tc>
          <w:tcPr>
            <w:tcW w:w="780" w:type="dxa"/>
            <w:vAlign w:val="bottom"/>
            <w:shd w:val="clear" w:color="auto" w:fill="E5F1F8"/>
          </w:tcPr>
          <w:p>
            <w:pPr>
              <w:spacing w:after="0"/>
              <w:rPr>
                <w:sz w:val="18"/>
                <w:szCs w:val="18"/>
                <w:color w:val="auto"/>
              </w:rPr>
            </w:pPr>
          </w:p>
        </w:tc>
        <w:tc>
          <w:tcPr>
            <w:tcW w:w="260" w:type="dxa"/>
            <w:vAlign w:val="bottom"/>
            <w:shd w:val="clear" w:color="auto" w:fill="E5F1F8"/>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94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3"/>
                <w:szCs w:val="13"/>
                <w:i w:val="1"/>
                <w:iCs w:val="1"/>
                <w:color w:val="007CBA"/>
              </w:rPr>
              <w:t>Lead Independent Director</w:t>
            </w:r>
          </w:p>
        </w:tc>
        <w:tc>
          <w:tcPr>
            <w:tcW w:w="1040" w:type="dxa"/>
            <w:vAlign w:val="bottom"/>
            <w:shd w:val="clear" w:color="auto" w:fill="E5F1F8"/>
          </w:tcPr>
          <w:p>
            <w:pPr>
              <w:spacing w:after="0"/>
              <w:rPr>
                <w:sz w:val="14"/>
                <w:szCs w:val="14"/>
                <w:color w:val="auto"/>
              </w:rPr>
            </w:pPr>
          </w:p>
        </w:tc>
        <w:tc>
          <w:tcPr>
            <w:tcW w:w="1000" w:type="dxa"/>
            <w:vAlign w:val="bottom"/>
            <w:shd w:val="clear" w:color="auto" w:fill="E5F1F8"/>
          </w:tcPr>
          <w:p>
            <w:pPr>
              <w:spacing w:after="0"/>
              <w:rPr>
                <w:sz w:val="14"/>
                <w:szCs w:val="14"/>
                <w:color w:val="auto"/>
              </w:rPr>
            </w:pPr>
          </w:p>
        </w:tc>
        <w:tc>
          <w:tcPr>
            <w:tcW w:w="940" w:type="dxa"/>
            <w:vAlign w:val="bottom"/>
            <w:shd w:val="clear" w:color="auto" w:fill="E5F1F8"/>
          </w:tcPr>
          <w:p>
            <w:pPr>
              <w:spacing w:after="0"/>
              <w:rPr>
                <w:sz w:val="14"/>
                <w:szCs w:val="14"/>
                <w:color w:val="auto"/>
              </w:rPr>
            </w:pPr>
          </w:p>
        </w:tc>
        <w:tc>
          <w:tcPr>
            <w:tcW w:w="900" w:type="dxa"/>
            <w:vAlign w:val="bottom"/>
            <w:shd w:val="clear" w:color="auto" w:fill="E5F1F8"/>
          </w:tcPr>
          <w:p>
            <w:pPr>
              <w:spacing w:after="0"/>
              <w:rPr>
                <w:sz w:val="14"/>
                <w:szCs w:val="14"/>
                <w:color w:val="auto"/>
              </w:rPr>
            </w:pPr>
          </w:p>
        </w:tc>
        <w:tc>
          <w:tcPr>
            <w:tcW w:w="920" w:type="dxa"/>
            <w:vAlign w:val="bottom"/>
            <w:shd w:val="clear" w:color="auto" w:fill="E5F1F8"/>
          </w:tcPr>
          <w:p>
            <w:pPr>
              <w:spacing w:after="0"/>
              <w:rPr>
                <w:sz w:val="14"/>
                <w:szCs w:val="14"/>
                <w:color w:val="auto"/>
              </w:rPr>
            </w:pPr>
          </w:p>
        </w:tc>
        <w:tc>
          <w:tcPr>
            <w:tcW w:w="1220" w:type="dxa"/>
            <w:vAlign w:val="bottom"/>
            <w:vMerge w:val="continue"/>
            <w:shd w:val="clear" w:color="auto" w:fill="E5F1F8"/>
          </w:tcPr>
          <w:p>
            <w:pPr>
              <w:spacing w:after="0"/>
              <w:rPr>
                <w:sz w:val="14"/>
                <w:szCs w:val="14"/>
                <w:color w:val="auto"/>
              </w:rPr>
            </w:pPr>
          </w:p>
        </w:tc>
        <w:tc>
          <w:tcPr>
            <w:tcW w:w="780" w:type="dxa"/>
            <w:vAlign w:val="bottom"/>
            <w:shd w:val="clear" w:color="auto" w:fill="E5F1F8"/>
          </w:tcPr>
          <w:p>
            <w:pPr>
              <w:spacing w:after="0"/>
              <w:rPr>
                <w:sz w:val="14"/>
                <w:szCs w:val="14"/>
                <w:color w:val="auto"/>
              </w:rPr>
            </w:pPr>
          </w:p>
        </w:tc>
        <w:tc>
          <w:tcPr>
            <w:tcW w:w="260" w:type="dxa"/>
            <w:vAlign w:val="bottom"/>
            <w:shd w:val="clear" w:color="auto" w:fill="E5F1F8"/>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3940" w:type="dxa"/>
            <w:vAlign w:val="bottom"/>
            <w:tcBorders>
              <w:right w:val="single" w:sz="8" w:color="007CBA"/>
            </w:tcBorders>
            <w:shd w:val="clear" w:color="auto" w:fill="E5F1F8"/>
          </w:tcPr>
          <w:p>
            <w:pPr>
              <w:spacing w:after="0"/>
              <w:rPr>
                <w:sz w:val="8"/>
                <w:szCs w:val="8"/>
                <w:color w:val="auto"/>
              </w:rPr>
            </w:pPr>
          </w:p>
        </w:tc>
        <w:tc>
          <w:tcPr>
            <w:tcW w:w="1040" w:type="dxa"/>
            <w:vAlign w:val="bottom"/>
            <w:shd w:val="clear" w:color="auto" w:fill="E5F1F8"/>
          </w:tcPr>
          <w:p>
            <w:pPr>
              <w:spacing w:after="0"/>
              <w:rPr>
                <w:sz w:val="8"/>
                <w:szCs w:val="8"/>
                <w:color w:val="auto"/>
              </w:rPr>
            </w:pPr>
          </w:p>
        </w:tc>
        <w:tc>
          <w:tcPr>
            <w:tcW w:w="1000" w:type="dxa"/>
            <w:vAlign w:val="bottom"/>
            <w:shd w:val="clear" w:color="auto" w:fill="E5F1F8"/>
          </w:tcPr>
          <w:p>
            <w:pPr>
              <w:spacing w:after="0"/>
              <w:rPr>
                <w:sz w:val="8"/>
                <w:szCs w:val="8"/>
                <w:color w:val="auto"/>
              </w:rPr>
            </w:pPr>
          </w:p>
        </w:tc>
        <w:tc>
          <w:tcPr>
            <w:tcW w:w="940" w:type="dxa"/>
            <w:vAlign w:val="bottom"/>
            <w:shd w:val="clear" w:color="auto" w:fill="E5F1F8"/>
          </w:tcPr>
          <w:p>
            <w:pPr>
              <w:spacing w:after="0"/>
              <w:rPr>
                <w:sz w:val="8"/>
                <w:szCs w:val="8"/>
                <w:color w:val="auto"/>
              </w:rPr>
            </w:pPr>
          </w:p>
        </w:tc>
        <w:tc>
          <w:tcPr>
            <w:tcW w:w="900" w:type="dxa"/>
            <w:vAlign w:val="bottom"/>
            <w:shd w:val="clear" w:color="auto" w:fill="E5F1F8"/>
          </w:tcPr>
          <w:p>
            <w:pPr>
              <w:spacing w:after="0"/>
              <w:rPr>
                <w:sz w:val="8"/>
                <w:szCs w:val="8"/>
                <w:color w:val="auto"/>
              </w:rPr>
            </w:pPr>
          </w:p>
        </w:tc>
        <w:tc>
          <w:tcPr>
            <w:tcW w:w="920" w:type="dxa"/>
            <w:vAlign w:val="bottom"/>
            <w:shd w:val="clear" w:color="auto" w:fill="E5F1F8"/>
          </w:tcPr>
          <w:p>
            <w:pPr>
              <w:spacing w:after="0"/>
              <w:rPr>
                <w:sz w:val="8"/>
                <w:szCs w:val="8"/>
                <w:color w:val="auto"/>
              </w:rPr>
            </w:pPr>
          </w:p>
        </w:tc>
        <w:tc>
          <w:tcPr>
            <w:tcW w:w="1220" w:type="dxa"/>
            <w:vAlign w:val="bottom"/>
            <w:shd w:val="clear" w:color="auto" w:fill="E5F1F8"/>
          </w:tcPr>
          <w:p>
            <w:pPr>
              <w:spacing w:after="0"/>
              <w:rPr>
                <w:sz w:val="8"/>
                <w:szCs w:val="8"/>
                <w:color w:val="auto"/>
              </w:rPr>
            </w:pPr>
          </w:p>
        </w:tc>
        <w:tc>
          <w:tcPr>
            <w:tcW w:w="780" w:type="dxa"/>
            <w:vAlign w:val="bottom"/>
            <w:shd w:val="clear" w:color="auto" w:fill="E5F1F8"/>
          </w:tcPr>
          <w:p>
            <w:pPr>
              <w:spacing w:after="0"/>
              <w:rPr>
                <w:sz w:val="8"/>
                <w:szCs w:val="8"/>
                <w:color w:val="auto"/>
              </w:rPr>
            </w:pPr>
          </w:p>
        </w:tc>
        <w:tc>
          <w:tcPr>
            <w:tcW w:w="260" w:type="dxa"/>
            <w:vAlign w:val="bottom"/>
            <w:shd w:val="clear" w:color="auto" w:fill="E5F1F8"/>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394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Dennis L. Rediker</w:t>
            </w: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Chair</w:t>
            </w: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940" w:type="dxa"/>
            <w:vAlign w:val="bottom"/>
            <w:tcBorders>
              <w:right w:val="single" w:sz="8" w:color="007CBA"/>
            </w:tcBorders>
          </w:tcPr>
          <w:p>
            <w:pPr>
              <w:ind w:left="60"/>
              <w:spacing w:after="0"/>
              <w:rPr>
                <w:sz w:val="20"/>
                <w:szCs w:val="20"/>
                <w:color w:val="auto"/>
              </w:rPr>
            </w:pPr>
            <w:r>
              <w:rPr>
                <w:rFonts w:ascii="Arial" w:cs="Arial" w:eastAsia="Arial" w:hAnsi="Arial"/>
                <w:sz w:val="13"/>
                <w:szCs w:val="13"/>
                <w:i w:val="1"/>
                <w:iCs w:val="1"/>
                <w:color w:val="007CBA"/>
              </w:rPr>
              <w:t>Financial Expert</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3940" w:type="dxa"/>
            <w:vAlign w:val="bottom"/>
            <w:tcBorders>
              <w:right w:val="single" w:sz="8" w:color="007CBA"/>
            </w:tcBorders>
          </w:tcPr>
          <w:p>
            <w:pPr>
              <w:spacing w:after="0"/>
              <w:rPr>
                <w:sz w:val="8"/>
                <w:szCs w:val="8"/>
                <w:color w:val="auto"/>
              </w:rPr>
            </w:pPr>
          </w:p>
        </w:tc>
        <w:tc>
          <w:tcPr>
            <w:tcW w:w="10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394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Donald W. Slager</w:t>
            </w:r>
          </w:p>
        </w:tc>
        <w:tc>
          <w:tcPr>
            <w:tcW w:w="1040" w:type="dxa"/>
            <w:vAlign w:val="bottom"/>
            <w:shd w:val="clear" w:color="auto" w:fill="E5F1F8"/>
          </w:tcPr>
          <w:p>
            <w:pPr>
              <w:spacing w:after="0"/>
              <w:rPr>
                <w:sz w:val="21"/>
                <w:szCs w:val="21"/>
                <w:color w:val="auto"/>
              </w:rPr>
            </w:pPr>
          </w:p>
        </w:tc>
        <w:tc>
          <w:tcPr>
            <w:tcW w:w="1000" w:type="dxa"/>
            <w:vAlign w:val="bottom"/>
            <w:shd w:val="clear" w:color="auto" w:fill="E5F1F8"/>
          </w:tcPr>
          <w:p>
            <w:pPr>
              <w:spacing w:after="0"/>
              <w:rPr>
                <w:sz w:val="21"/>
                <w:szCs w:val="21"/>
                <w:color w:val="auto"/>
              </w:rPr>
            </w:pPr>
          </w:p>
        </w:tc>
        <w:tc>
          <w:tcPr>
            <w:tcW w:w="940" w:type="dxa"/>
            <w:vAlign w:val="bottom"/>
            <w:shd w:val="clear" w:color="auto" w:fill="E5F1F8"/>
          </w:tcPr>
          <w:p>
            <w:pPr>
              <w:spacing w:after="0"/>
              <w:rPr>
                <w:sz w:val="21"/>
                <w:szCs w:val="21"/>
                <w:color w:val="auto"/>
              </w:rPr>
            </w:pPr>
          </w:p>
        </w:tc>
        <w:tc>
          <w:tcPr>
            <w:tcW w:w="900" w:type="dxa"/>
            <w:vAlign w:val="bottom"/>
            <w:shd w:val="clear" w:color="auto" w:fill="E5F1F8"/>
          </w:tcPr>
          <w:p>
            <w:pPr>
              <w:spacing w:after="0"/>
              <w:rPr>
                <w:sz w:val="21"/>
                <w:szCs w:val="21"/>
                <w:color w:val="auto"/>
              </w:rPr>
            </w:pPr>
          </w:p>
        </w:tc>
        <w:tc>
          <w:tcPr>
            <w:tcW w:w="920" w:type="dxa"/>
            <w:vAlign w:val="bottom"/>
            <w:shd w:val="clear" w:color="auto" w:fill="E5F1F8"/>
          </w:tcPr>
          <w:p>
            <w:pPr>
              <w:spacing w:after="0"/>
              <w:rPr>
                <w:sz w:val="21"/>
                <w:szCs w:val="21"/>
                <w:color w:val="auto"/>
              </w:rPr>
            </w:pPr>
          </w:p>
        </w:tc>
        <w:tc>
          <w:tcPr>
            <w:tcW w:w="1220" w:type="dxa"/>
            <w:vAlign w:val="bottom"/>
            <w:shd w:val="clear" w:color="auto" w:fill="E5F1F8"/>
          </w:tcPr>
          <w:p>
            <w:pPr>
              <w:spacing w:after="0"/>
              <w:rPr>
                <w:sz w:val="21"/>
                <w:szCs w:val="21"/>
                <w:color w:val="auto"/>
              </w:rPr>
            </w:pPr>
          </w:p>
        </w:tc>
        <w:tc>
          <w:tcPr>
            <w:tcW w:w="780" w:type="dxa"/>
            <w:vAlign w:val="bottom"/>
            <w:shd w:val="clear" w:color="auto" w:fill="E5F1F8"/>
          </w:tcPr>
          <w:p>
            <w:pPr>
              <w:spacing w:after="0"/>
              <w:rPr>
                <w:sz w:val="21"/>
                <w:szCs w:val="21"/>
                <w:color w:val="auto"/>
              </w:rPr>
            </w:pPr>
          </w:p>
        </w:tc>
        <w:tc>
          <w:tcPr>
            <w:tcW w:w="260" w:type="dxa"/>
            <w:vAlign w:val="bottom"/>
            <w:shd w:val="clear" w:color="auto" w:fill="E5F1F8"/>
          </w:tcPr>
          <w:p>
            <w:pPr>
              <w:spacing w:after="0"/>
              <w:rPr>
                <w:sz w:val="21"/>
                <w:szCs w:val="21"/>
                <w:color w:val="auto"/>
              </w:rPr>
            </w:pPr>
          </w:p>
        </w:tc>
        <w:tc>
          <w:tcPr>
            <w:tcW w:w="0" w:type="dxa"/>
            <w:vAlign w:val="bottom"/>
          </w:tcPr>
          <w:p>
            <w:pPr>
              <w:spacing w:after="0"/>
              <w:rPr>
                <w:sz w:val="1"/>
                <w:szCs w:val="1"/>
                <w:color w:val="auto"/>
              </w:rPr>
            </w:pPr>
          </w:p>
        </w:tc>
      </w:tr>
      <w:tr>
        <w:trPr>
          <w:trHeight w:val="67"/>
        </w:trPr>
        <w:tc>
          <w:tcPr>
            <w:tcW w:w="3940" w:type="dxa"/>
            <w:vAlign w:val="bottom"/>
            <w:tcBorders>
              <w:right w:val="single" w:sz="8" w:color="007CBA"/>
            </w:tcBorders>
            <w:shd w:val="clear" w:color="auto" w:fill="E5F1F8"/>
          </w:tcPr>
          <w:p>
            <w:pPr>
              <w:spacing w:after="0"/>
              <w:rPr>
                <w:sz w:val="5"/>
                <w:szCs w:val="5"/>
                <w:color w:val="auto"/>
              </w:rPr>
            </w:pPr>
          </w:p>
        </w:tc>
        <w:tc>
          <w:tcPr>
            <w:tcW w:w="1040" w:type="dxa"/>
            <w:vAlign w:val="bottom"/>
            <w:shd w:val="clear" w:color="auto" w:fill="E5F1F8"/>
          </w:tcPr>
          <w:p>
            <w:pPr>
              <w:spacing w:after="0"/>
              <w:rPr>
                <w:sz w:val="5"/>
                <w:szCs w:val="5"/>
                <w:color w:val="auto"/>
              </w:rPr>
            </w:pPr>
          </w:p>
        </w:tc>
        <w:tc>
          <w:tcPr>
            <w:tcW w:w="1000" w:type="dxa"/>
            <w:vAlign w:val="bottom"/>
            <w:shd w:val="clear" w:color="auto" w:fill="E5F1F8"/>
          </w:tcPr>
          <w:p>
            <w:pPr>
              <w:spacing w:after="0"/>
              <w:rPr>
                <w:sz w:val="5"/>
                <w:szCs w:val="5"/>
                <w:color w:val="auto"/>
              </w:rPr>
            </w:pPr>
          </w:p>
        </w:tc>
        <w:tc>
          <w:tcPr>
            <w:tcW w:w="940" w:type="dxa"/>
            <w:vAlign w:val="bottom"/>
            <w:shd w:val="clear" w:color="auto" w:fill="E5F1F8"/>
          </w:tcPr>
          <w:p>
            <w:pPr>
              <w:spacing w:after="0"/>
              <w:rPr>
                <w:sz w:val="5"/>
                <w:szCs w:val="5"/>
                <w:color w:val="auto"/>
              </w:rPr>
            </w:pPr>
          </w:p>
        </w:tc>
        <w:tc>
          <w:tcPr>
            <w:tcW w:w="900" w:type="dxa"/>
            <w:vAlign w:val="bottom"/>
            <w:shd w:val="clear" w:color="auto" w:fill="E5F1F8"/>
          </w:tcPr>
          <w:p>
            <w:pPr>
              <w:spacing w:after="0"/>
              <w:rPr>
                <w:sz w:val="5"/>
                <w:szCs w:val="5"/>
                <w:color w:val="auto"/>
              </w:rPr>
            </w:pPr>
          </w:p>
        </w:tc>
        <w:tc>
          <w:tcPr>
            <w:tcW w:w="920" w:type="dxa"/>
            <w:vAlign w:val="bottom"/>
            <w:shd w:val="clear" w:color="auto" w:fill="E5F1F8"/>
          </w:tcPr>
          <w:p>
            <w:pPr>
              <w:spacing w:after="0"/>
              <w:rPr>
                <w:sz w:val="5"/>
                <w:szCs w:val="5"/>
                <w:color w:val="auto"/>
              </w:rPr>
            </w:pPr>
          </w:p>
        </w:tc>
        <w:tc>
          <w:tcPr>
            <w:tcW w:w="1220" w:type="dxa"/>
            <w:vAlign w:val="bottom"/>
            <w:shd w:val="clear" w:color="auto" w:fill="E5F1F8"/>
          </w:tcPr>
          <w:p>
            <w:pPr>
              <w:spacing w:after="0"/>
              <w:rPr>
                <w:sz w:val="5"/>
                <w:szCs w:val="5"/>
                <w:color w:val="auto"/>
              </w:rPr>
            </w:pPr>
          </w:p>
        </w:tc>
        <w:tc>
          <w:tcPr>
            <w:tcW w:w="780" w:type="dxa"/>
            <w:vAlign w:val="bottom"/>
            <w:shd w:val="clear" w:color="auto" w:fill="E5F1F8"/>
          </w:tcPr>
          <w:p>
            <w:pPr>
              <w:spacing w:after="0"/>
              <w:rPr>
                <w:sz w:val="5"/>
                <w:szCs w:val="5"/>
                <w:color w:val="auto"/>
              </w:rPr>
            </w:pPr>
          </w:p>
        </w:tc>
        <w:tc>
          <w:tcPr>
            <w:tcW w:w="26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394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Stephen P. Zelnak, Jr.</w:t>
            </w:r>
          </w:p>
        </w:tc>
        <w:tc>
          <w:tcPr>
            <w:tcW w:w="10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Chair</w:t>
            </w:r>
          </w:p>
        </w:tc>
        <w:tc>
          <w:tcPr>
            <w:tcW w:w="1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3940" w:type="dxa"/>
            <w:vAlign w:val="bottom"/>
            <w:tcBorders>
              <w:right w:val="single" w:sz="8" w:color="007CBA"/>
            </w:tcBorders>
          </w:tcPr>
          <w:p>
            <w:pPr>
              <w:spacing w:after="0"/>
              <w:rPr>
                <w:sz w:val="4"/>
                <w:szCs w:val="4"/>
                <w:color w:val="auto"/>
              </w:rPr>
            </w:pPr>
          </w:p>
        </w:tc>
        <w:tc>
          <w:tcPr>
            <w:tcW w:w="10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94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4"/>
                <w:szCs w:val="14"/>
                <w:b w:val="1"/>
                <w:bCs w:val="1"/>
                <w:color w:val="FFFFFF"/>
              </w:rPr>
              <w:t>Number of Meetings</w:t>
            </w:r>
          </w:p>
        </w:tc>
        <w:tc>
          <w:tcPr>
            <w:tcW w:w="1040" w:type="dxa"/>
            <w:vAlign w:val="bottom"/>
            <w:shd w:val="clear" w:color="auto" w:fill="007CBA"/>
          </w:tcPr>
          <w:p>
            <w:pPr>
              <w:spacing w:after="0"/>
              <w:rPr>
                <w:sz w:val="18"/>
                <w:szCs w:val="18"/>
                <w:color w:val="auto"/>
              </w:rPr>
            </w:pPr>
          </w:p>
        </w:tc>
        <w:tc>
          <w:tcPr>
            <w:tcW w:w="1000" w:type="dxa"/>
            <w:vAlign w:val="bottom"/>
            <w:vMerge w:val="restart"/>
            <w:shd w:val="clear" w:color="auto" w:fill="007CBA"/>
          </w:tcPr>
          <w:p>
            <w:pPr>
              <w:jc w:val="right"/>
              <w:ind w:right="408"/>
              <w:spacing w:after="0"/>
              <w:rPr>
                <w:sz w:val="20"/>
                <w:szCs w:val="20"/>
                <w:color w:val="auto"/>
              </w:rPr>
            </w:pPr>
            <w:r>
              <w:rPr>
                <w:rFonts w:ascii="Arial" w:cs="Arial" w:eastAsia="Arial" w:hAnsi="Arial"/>
                <w:sz w:val="14"/>
                <w:szCs w:val="14"/>
                <w:b w:val="1"/>
                <w:bCs w:val="1"/>
                <w:color w:val="FFFFFF"/>
              </w:rPr>
              <w:t>8</w:t>
            </w:r>
          </w:p>
        </w:tc>
        <w:tc>
          <w:tcPr>
            <w:tcW w:w="940" w:type="dxa"/>
            <w:vAlign w:val="bottom"/>
            <w:vMerge w:val="restart"/>
            <w:shd w:val="clear" w:color="auto" w:fill="007CBA"/>
          </w:tcPr>
          <w:p>
            <w:pPr>
              <w:jc w:val="right"/>
              <w:ind w:right="388"/>
              <w:spacing w:after="0"/>
              <w:rPr>
                <w:sz w:val="20"/>
                <w:szCs w:val="20"/>
                <w:color w:val="auto"/>
              </w:rPr>
            </w:pPr>
            <w:r>
              <w:rPr>
                <w:rFonts w:ascii="Arial" w:cs="Arial" w:eastAsia="Arial" w:hAnsi="Arial"/>
                <w:sz w:val="14"/>
                <w:szCs w:val="14"/>
                <w:b w:val="1"/>
                <w:bCs w:val="1"/>
                <w:color w:val="FFFFFF"/>
              </w:rPr>
              <w:t>2</w:t>
            </w:r>
          </w:p>
        </w:tc>
        <w:tc>
          <w:tcPr>
            <w:tcW w:w="900" w:type="dxa"/>
            <w:vAlign w:val="bottom"/>
            <w:vMerge w:val="restart"/>
            <w:shd w:val="clear" w:color="auto" w:fill="007CBA"/>
          </w:tcPr>
          <w:p>
            <w:pPr>
              <w:jc w:val="right"/>
              <w:ind w:right="348"/>
              <w:spacing w:after="0"/>
              <w:rPr>
                <w:sz w:val="20"/>
                <w:szCs w:val="20"/>
                <w:color w:val="auto"/>
              </w:rPr>
            </w:pPr>
            <w:r>
              <w:rPr>
                <w:rFonts w:ascii="Arial" w:cs="Arial" w:eastAsia="Arial" w:hAnsi="Arial"/>
                <w:sz w:val="14"/>
                <w:szCs w:val="14"/>
                <w:b w:val="1"/>
                <w:bCs w:val="1"/>
                <w:color w:val="FFFFFF"/>
              </w:rPr>
              <w:t>0</w:t>
            </w:r>
          </w:p>
        </w:tc>
        <w:tc>
          <w:tcPr>
            <w:tcW w:w="920" w:type="dxa"/>
            <w:vAlign w:val="bottom"/>
            <w:vMerge w:val="restart"/>
            <w:shd w:val="clear" w:color="auto" w:fill="007CBA"/>
          </w:tcPr>
          <w:p>
            <w:pPr>
              <w:jc w:val="right"/>
              <w:ind w:right="348"/>
              <w:spacing w:after="0"/>
              <w:rPr>
                <w:sz w:val="20"/>
                <w:szCs w:val="20"/>
                <w:color w:val="auto"/>
              </w:rPr>
            </w:pPr>
            <w:r>
              <w:rPr>
                <w:rFonts w:ascii="Arial" w:cs="Arial" w:eastAsia="Arial" w:hAnsi="Arial"/>
                <w:sz w:val="14"/>
                <w:szCs w:val="14"/>
                <w:b w:val="1"/>
                <w:bCs w:val="1"/>
                <w:color w:val="FFFFFF"/>
              </w:rPr>
              <w:t>4</w:t>
            </w:r>
          </w:p>
        </w:tc>
        <w:tc>
          <w:tcPr>
            <w:tcW w:w="1220" w:type="dxa"/>
            <w:vAlign w:val="bottom"/>
            <w:vMerge w:val="restart"/>
            <w:shd w:val="clear" w:color="auto" w:fill="007CBA"/>
          </w:tcPr>
          <w:p>
            <w:pPr>
              <w:ind w:left="560"/>
              <w:spacing w:after="0"/>
              <w:rPr>
                <w:sz w:val="20"/>
                <w:szCs w:val="20"/>
                <w:color w:val="auto"/>
              </w:rPr>
            </w:pPr>
            <w:r>
              <w:rPr>
                <w:rFonts w:ascii="Arial" w:cs="Arial" w:eastAsia="Arial" w:hAnsi="Arial"/>
                <w:sz w:val="14"/>
                <w:szCs w:val="14"/>
                <w:b w:val="1"/>
                <w:bCs w:val="1"/>
                <w:color w:val="FFFFFF"/>
              </w:rPr>
              <w:t>4</w:t>
            </w:r>
          </w:p>
        </w:tc>
        <w:tc>
          <w:tcPr>
            <w:tcW w:w="780" w:type="dxa"/>
            <w:vAlign w:val="bottom"/>
            <w:vMerge w:val="restart"/>
            <w:shd w:val="clear" w:color="auto" w:fill="007CBA"/>
          </w:tcPr>
          <w:p>
            <w:pPr>
              <w:jc w:val="right"/>
              <w:ind w:right="208"/>
              <w:spacing w:after="0"/>
              <w:rPr>
                <w:sz w:val="20"/>
                <w:szCs w:val="20"/>
                <w:color w:val="auto"/>
              </w:rPr>
            </w:pPr>
            <w:r>
              <w:rPr>
                <w:rFonts w:ascii="Arial" w:cs="Arial" w:eastAsia="Arial" w:hAnsi="Arial"/>
                <w:sz w:val="14"/>
                <w:szCs w:val="14"/>
                <w:b w:val="1"/>
                <w:bCs w:val="1"/>
                <w:color w:val="FFFFFF"/>
              </w:rPr>
              <w:t>6</w:t>
            </w:r>
          </w:p>
        </w:tc>
        <w:tc>
          <w:tcPr>
            <w:tcW w:w="260" w:type="dxa"/>
            <w:vAlign w:val="bottom"/>
            <w:shd w:val="clear" w:color="auto" w:fill="007CBA"/>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3940" w:type="dxa"/>
            <w:vAlign w:val="bottom"/>
            <w:tcBorders>
              <w:right w:val="single" w:sz="8" w:color="007CBA"/>
            </w:tcBorders>
            <w:vMerge w:val="restart"/>
            <w:shd w:val="clear" w:color="auto" w:fill="007CBA"/>
          </w:tcPr>
          <w:p>
            <w:pPr>
              <w:ind w:left="60"/>
              <w:spacing w:after="0"/>
              <w:rPr>
                <w:sz w:val="20"/>
                <w:szCs w:val="20"/>
                <w:color w:val="auto"/>
              </w:rPr>
            </w:pPr>
            <w:r>
              <w:rPr>
                <w:rFonts w:ascii="Arial" w:cs="Arial" w:eastAsia="Arial" w:hAnsi="Arial"/>
                <w:sz w:val="14"/>
                <w:szCs w:val="14"/>
                <w:b w:val="1"/>
                <w:bCs w:val="1"/>
                <w:color w:val="FFFFFF"/>
              </w:rPr>
              <w:t>in 2018</w:t>
            </w:r>
          </w:p>
        </w:tc>
        <w:tc>
          <w:tcPr>
            <w:tcW w:w="1040" w:type="dxa"/>
            <w:vAlign w:val="bottom"/>
            <w:shd w:val="clear" w:color="auto" w:fill="007CBA"/>
          </w:tcPr>
          <w:p>
            <w:pPr>
              <w:spacing w:after="0"/>
              <w:rPr>
                <w:sz w:val="10"/>
                <w:szCs w:val="10"/>
                <w:color w:val="auto"/>
              </w:rPr>
            </w:pPr>
          </w:p>
        </w:tc>
        <w:tc>
          <w:tcPr>
            <w:tcW w:w="1000" w:type="dxa"/>
            <w:vAlign w:val="bottom"/>
            <w:vMerge w:val="continue"/>
            <w:shd w:val="clear" w:color="auto" w:fill="007CBA"/>
          </w:tcPr>
          <w:p>
            <w:pPr>
              <w:spacing w:after="0"/>
              <w:rPr>
                <w:sz w:val="10"/>
                <w:szCs w:val="10"/>
                <w:color w:val="auto"/>
              </w:rPr>
            </w:pPr>
          </w:p>
        </w:tc>
        <w:tc>
          <w:tcPr>
            <w:tcW w:w="940" w:type="dxa"/>
            <w:vAlign w:val="bottom"/>
            <w:vMerge w:val="continue"/>
            <w:shd w:val="clear" w:color="auto" w:fill="007CBA"/>
          </w:tcPr>
          <w:p>
            <w:pPr>
              <w:spacing w:after="0"/>
              <w:rPr>
                <w:sz w:val="10"/>
                <w:szCs w:val="10"/>
                <w:color w:val="auto"/>
              </w:rPr>
            </w:pPr>
          </w:p>
        </w:tc>
        <w:tc>
          <w:tcPr>
            <w:tcW w:w="900" w:type="dxa"/>
            <w:vAlign w:val="bottom"/>
            <w:vMerge w:val="continue"/>
            <w:shd w:val="clear" w:color="auto" w:fill="007CBA"/>
          </w:tcPr>
          <w:p>
            <w:pPr>
              <w:spacing w:after="0"/>
              <w:rPr>
                <w:sz w:val="10"/>
                <w:szCs w:val="10"/>
                <w:color w:val="auto"/>
              </w:rPr>
            </w:pPr>
          </w:p>
        </w:tc>
        <w:tc>
          <w:tcPr>
            <w:tcW w:w="920" w:type="dxa"/>
            <w:vAlign w:val="bottom"/>
            <w:vMerge w:val="continue"/>
            <w:shd w:val="clear" w:color="auto" w:fill="007CBA"/>
          </w:tcPr>
          <w:p>
            <w:pPr>
              <w:spacing w:after="0"/>
              <w:rPr>
                <w:sz w:val="10"/>
                <w:szCs w:val="10"/>
                <w:color w:val="auto"/>
              </w:rPr>
            </w:pPr>
          </w:p>
        </w:tc>
        <w:tc>
          <w:tcPr>
            <w:tcW w:w="1220" w:type="dxa"/>
            <w:vAlign w:val="bottom"/>
            <w:vMerge w:val="continue"/>
            <w:shd w:val="clear" w:color="auto" w:fill="007CBA"/>
          </w:tcPr>
          <w:p>
            <w:pPr>
              <w:spacing w:after="0"/>
              <w:rPr>
                <w:sz w:val="10"/>
                <w:szCs w:val="10"/>
                <w:color w:val="auto"/>
              </w:rPr>
            </w:pPr>
          </w:p>
        </w:tc>
        <w:tc>
          <w:tcPr>
            <w:tcW w:w="780" w:type="dxa"/>
            <w:vAlign w:val="bottom"/>
            <w:vMerge w:val="continue"/>
            <w:shd w:val="clear" w:color="auto" w:fill="007CBA"/>
          </w:tcPr>
          <w:p>
            <w:pPr>
              <w:spacing w:after="0"/>
              <w:rPr>
                <w:sz w:val="10"/>
                <w:szCs w:val="10"/>
                <w:color w:val="auto"/>
              </w:rPr>
            </w:pPr>
          </w:p>
        </w:tc>
        <w:tc>
          <w:tcPr>
            <w:tcW w:w="260" w:type="dxa"/>
            <w:vAlign w:val="bottom"/>
            <w:shd w:val="clear" w:color="auto" w:fill="007CBA"/>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3940" w:type="dxa"/>
            <w:vAlign w:val="bottom"/>
            <w:tcBorders>
              <w:right w:val="single" w:sz="8" w:color="007CBA"/>
            </w:tcBorders>
            <w:vMerge w:val="continue"/>
            <w:shd w:val="clear" w:color="auto" w:fill="007CBA"/>
          </w:tcPr>
          <w:p>
            <w:pPr>
              <w:spacing w:after="0"/>
              <w:rPr>
                <w:sz w:val="4"/>
                <w:szCs w:val="4"/>
                <w:color w:val="auto"/>
              </w:rPr>
            </w:pPr>
          </w:p>
        </w:tc>
        <w:tc>
          <w:tcPr>
            <w:tcW w:w="1040" w:type="dxa"/>
            <w:vAlign w:val="bottom"/>
            <w:shd w:val="clear" w:color="auto" w:fill="007CBA"/>
          </w:tcPr>
          <w:p>
            <w:pPr>
              <w:spacing w:after="0"/>
              <w:rPr>
                <w:sz w:val="4"/>
                <w:szCs w:val="4"/>
                <w:color w:val="auto"/>
              </w:rPr>
            </w:pPr>
          </w:p>
        </w:tc>
        <w:tc>
          <w:tcPr>
            <w:tcW w:w="1000" w:type="dxa"/>
            <w:vAlign w:val="bottom"/>
            <w:shd w:val="clear" w:color="auto" w:fill="007CBA"/>
          </w:tcPr>
          <w:p>
            <w:pPr>
              <w:spacing w:after="0"/>
              <w:rPr>
                <w:sz w:val="4"/>
                <w:szCs w:val="4"/>
                <w:color w:val="auto"/>
              </w:rPr>
            </w:pPr>
          </w:p>
        </w:tc>
        <w:tc>
          <w:tcPr>
            <w:tcW w:w="940" w:type="dxa"/>
            <w:vAlign w:val="bottom"/>
            <w:shd w:val="clear" w:color="auto" w:fill="007CBA"/>
          </w:tcPr>
          <w:p>
            <w:pPr>
              <w:spacing w:after="0"/>
              <w:rPr>
                <w:sz w:val="4"/>
                <w:szCs w:val="4"/>
                <w:color w:val="auto"/>
              </w:rPr>
            </w:pPr>
          </w:p>
        </w:tc>
        <w:tc>
          <w:tcPr>
            <w:tcW w:w="900" w:type="dxa"/>
            <w:vAlign w:val="bottom"/>
            <w:shd w:val="clear" w:color="auto" w:fill="007CBA"/>
          </w:tcPr>
          <w:p>
            <w:pPr>
              <w:spacing w:after="0"/>
              <w:rPr>
                <w:sz w:val="4"/>
                <w:szCs w:val="4"/>
                <w:color w:val="auto"/>
              </w:rPr>
            </w:pPr>
          </w:p>
        </w:tc>
        <w:tc>
          <w:tcPr>
            <w:tcW w:w="920" w:type="dxa"/>
            <w:vAlign w:val="bottom"/>
            <w:shd w:val="clear" w:color="auto" w:fill="007CBA"/>
          </w:tcPr>
          <w:p>
            <w:pPr>
              <w:spacing w:after="0"/>
              <w:rPr>
                <w:sz w:val="4"/>
                <w:szCs w:val="4"/>
                <w:color w:val="auto"/>
              </w:rPr>
            </w:pPr>
          </w:p>
        </w:tc>
        <w:tc>
          <w:tcPr>
            <w:tcW w:w="1220" w:type="dxa"/>
            <w:vAlign w:val="bottom"/>
            <w:shd w:val="clear" w:color="auto" w:fill="007CBA"/>
          </w:tcPr>
          <w:p>
            <w:pPr>
              <w:spacing w:after="0"/>
              <w:rPr>
                <w:sz w:val="4"/>
                <w:szCs w:val="4"/>
                <w:color w:val="auto"/>
              </w:rPr>
            </w:pPr>
          </w:p>
        </w:tc>
        <w:tc>
          <w:tcPr>
            <w:tcW w:w="780" w:type="dxa"/>
            <w:vAlign w:val="bottom"/>
            <w:shd w:val="clear" w:color="auto" w:fill="007CBA"/>
          </w:tcPr>
          <w:p>
            <w:pPr>
              <w:spacing w:after="0"/>
              <w:rPr>
                <w:sz w:val="4"/>
                <w:szCs w:val="4"/>
                <w:color w:val="auto"/>
              </w:rPr>
            </w:pPr>
          </w:p>
        </w:tc>
        <w:tc>
          <w:tcPr>
            <w:tcW w:w="260" w:type="dxa"/>
            <w:vAlign w:val="bottom"/>
            <w:shd w:val="clear" w:color="auto" w:fill="007CBA"/>
          </w:tcPr>
          <w:p>
            <w:pPr>
              <w:spacing w:after="0"/>
              <w:rPr>
                <w:sz w:val="4"/>
                <w:szCs w:val="4"/>
                <w:color w:val="auto"/>
              </w:rPr>
            </w:pPr>
          </w:p>
        </w:tc>
        <w:tc>
          <w:tcPr>
            <w:tcW w:w="0" w:type="dxa"/>
            <w:vAlign w:val="bottom"/>
          </w:tcPr>
          <w:p>
            <w:pPr>
              <w:spacing w:after="0"/>
              <w:rPr>
                <w:sz w:val="1"/>
                <w:szCs w:val="1"/>
                <w:color w:val="auto"/>
              </w:rPr>
            </w:pPr>
          </w:p>
        </w:tc>
      </w:tr>
      <w:tr>
        <w:trPr>
          <w:trHeight w:val="67"/>
        </w:trPr>
        <w:tc>
          <w:tcPr>
            <w:tcW w:w="3940" w:type="dxa"/>
            <w:vAlign w:val="bottom"/>
            <w:tcBorders>
              <w:right w:val="single" w:sz="8" w:color="007CBA"/>
            </w:tcBorders>
            <w:shd w:val="clear" w:color="auto" w:fill="007CBA"/>
          </w:tcPr>
          <w:p>
            <w:pPr>
              <w:spacing w:after="0"/>
              <w:rPr>
                <w:sz w:val="5"/>
                <w:szCs w:val="5"/>
                <w:color w:val="auto"/>
              </w:rPr>
            </w:pPr>
          </w:p>
        </w:tc>
        <w:tc>
          <w:tcPr>
            <w:tcW w:w="1040" w:type="dxa"/>
            <w:vAlign w:val="bottom"/>
            <w:shd w:val="clear" w:color="auto" w:fill="007CBA"/>
          </w:tcPr>
          <w:p>
            <w:pPr>
              <w:spacing w:after="0"/>
              <w:rPr>
                <w:sz w:val="5"/>
                <w:szCs w:val="5"/>
                <w:color w:val="auto"/>
              </w:rPr>
            </w:pPr>
          </w:p>
        </w:tc>
        <w:tc>
          <w:tcPr>
            <w:tcW w:w="1000" w:type="dxa"/>
            <w:vAlign w:val="bottom"/>
            <w:shd w:val="clear" w:color="auto" w:fill="007CBA"/>
          </w:tcPr>
          <w:p>
            <w:pPr>
              <w:spacing w:after="0"/>
              <w:rPr>
                <w:sz w:val="5"/>
                <w:szCs w:val="5"/>
                <w:color w:val="auto"/>
              </w:rPr>
            </w:pPr>
          </w:p>
        </w:tc>
        <w:tc>
          <w:tcPr>
            <w:tcW w:w="940" w:type="dxa"/>
            <w:vAlign w:val="bottom"/>
            <w:shd w:val="clear" w:color="auto" w:fill="007CBA"/>
          </w:tcPr>
          <w:p>
            <w:pPr>
              <w:spacing w:after="0"/>
              <w:rPr>
                <w:sz w:val="5"/>
                <w:szCs w:val="5"/>
                <w:color w:val="auto"/>
              </w:rPr>
            </w:pPr>
          </w:p>
        </w:tc>
        <w:tc>
          <w:tcPr>
            <w:tcW w:w="900" w:type="dxa"/>
            <w:vAlign w:val="bottom"/>
            <w:shd w:val="clear" w:color="auto" w:fill="007CBA"/>
          </w:tcPr>
          <w:p>
            <w:pPr>
              <w:spacing w:after="0"/>
              <w:rPr>
                <w:sz w:val="5"/>
                <w:szCs w:val="5"/>
                <w:color w:val="auto"/>
              </w:rPr>
            </w:pPr>
          </w:p>
        </w:tc>
        <w:tc>
          <w:tcPr>
            <w:tcW w:w="920" w:type="dxa"/>
            <w:vAlign w:val="bottom"/>
            <w:shd w:val="clear" w:color="auto" w:fill="007CBA"/>
          </w:tcPr>
          <w:p>
            <w:pPr>
              <w:spacing w:after="0"/>
              <w:rPr>
                <w:sz w:val="5"/>
                <w:szCs w:val="5"/>
                <w:color w:val="auto"/>
              </w:rPr>
            </w:pPr>
          </w:p>
        </w:tc>
        <w:tc>
          <w:tcPr>
            <w:tcW w:w="1220" w:type="dxa"/>
            <w:vAlign w:val="bottom"/>
            <w:shd w:val="clear" w:color="auto" w:fill="007CBA"/>
          </w:tcPr>
          <w:p>
            <w:pPr>
              <w:spacing w:after="0"/>
              <w:rPr>
                <w:sz w:val="5"/>
                <w:szCs w:val="5"/>
                <w:color w:val="auto"/>
              </w:rPr>
            </w:pPr>
          </w:p>
        </w:tc>
        <w:tc>
          <w:tcPr>
            <w:tcW w:w="780" w:type="dxa"/>
            <w:vAlign w:val="bottom"/>
            <w:shd w:val="clear" w:color="auto" w:fill="007CBA"/>
          </w:tcPr>
          <w:p>
            <w:pPr>
              <w:spacing w:after="0"/>
              <w:rPr>
                <w:sz w:val="5"/>
                <w:szCs w:val="5"/>
                <w:color w:val="auto"/>
              </w:rPr>
            </w:pPr>
          </w:p>
        </w:tc>
        <w:tc>
          <w:tcPr>
            <w:tcW w:w="260" w:type="dxa"/>
            <w:vAlign w:val="bottom"/>
            <w:shd w:val="clear" w:color="auto" w:fill="007CBA"/>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4980" w:type="dxa"/>
            <w:vAlign w:val="bottom"/>
            <w:gridSpan w:val="2"/>
          </w:tcPr>
          <w:p>
            <w:pPr>
              <w:spacing w:after="0"/>
              <w:rPr>
                <w:sz w:val="20"/>
                <w:szCs w:val="20"/>
                <w:color w:val="auto"/>
              </w:rPr>
            </w:pPr>
            <w:r>
              <w:rPr>
                <w:rFonts w:ascii="Arial" w:cs="Arial" w:eastAsia="Arial" w:hAnsi="Arial"/>
                <w:sz w:val="14"/>
                <w:szCs w:val="14"/>
                <w:color w:val="auto"/>
              </w:rPr>
              <w:t>* Mr. Nye is the only member of management who sits on the Board.</w:t>
            </w:r>
          </w:p>
        </w:tc>
        <w:tc>
          <w:tcPr>
            <w:tcW w:w="10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3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0" w:type="dxa"/>
            <w:vAlign w:val="bottom"/>
            <w:gridSpan w:val="2"/>
          </w:tcPr>
          <w:p>
            <w:pPr>
              <w:ind w:left="300"/>
              <w:spacing w:after="0"/>
              <w:rPr>
                <w:sz w:val="20"/>
                <w:szCs w:val="20"/>
                <w:color w:val="auto"/>
              </w:rPr>
            </w:pPr>
            <w:r>
              <w:rPr>
                <w:rFonts w:ascii="Arial" w:cs="Arial" w:eastAsia="Arial" w:hAnsi="Arial"/>
                <w:sz w:val="13"/>
                <w:szCs w:val="13"/>
                <w:color w:val="007CBA"/>
              </w:rPr>
              <w:t>2019 PROXY STATEMENT</w:t>
            </w:r>
          </w:p>
        </w:tc>
        <w:tc>
          <w:tcPr>
            <w:tcW w:w="260" w:type="dxa"/>
            <w:vAlign w:val="bottom"/>
          </w:tcPr>
          <w:p>
            <w:pPr>
              <w:jc w:val="right"/>
              <w:spacing w:after="0"/>
              <w:rPr>
                <w:sz w:val="20"/>
                <w:szCs w:val="20"/>
                <w:color w:val="auto"/>
              </w:rPr>
            </w:pPr>
            <w:r>
              <w:rPr>
                <w:rFonts w:ascii="Arial" w:cs="Arial" w:eastAsia="Arial" w:hAnsi="Arial"/>
                <w:sz w:val="13"/>
                <w:szCs w:val="13"/>
                <w:b w:val="1"/>
                <w:bCs w:val="1"/>
                <w:color w:val="auto"/>
              </w:rPr>
              <w:t>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2926080</wp:posOffset>
            </wp:positionH>
            <wp:positionV relativeFrom="paragraph">
              <wp:posOffset>-2961640</wp:posOffset>
            </wp:positionV>
            <wp:extent cx="102870" cy="1111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2870" cy="111125"/>
                    </a:xfrm>
                    <a:prstGeom prst="rect">
                      <a:avLst/>
                    </a:prstGeom>
                    <a:noFill/>
                  </pic:spPr>
                </pic:pic>
              </a:graphicData>
            </a:graphic>
          </wp:anchor>
        </w:drawing>
        <w:drawing>
          <wp:anchor simplePos="0" relativeHeight="251657728" behindDoc="1" locked="0" layoutInCell="0" allowOverlap="1">
            <wp:simplePos x="0" y="0"/>
            <wp:positionH relativeFrom="column">
              <wp:posOffset>2943225</wp:posOffset>
            </wp:positionH>
            <wp:positionV relativeFrom="paragraph">
              <wp:posOffset>-2755900</wp:posOffset>
            </wp:positionV>
            <wp:extent cx="68580" cy="768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2926080</wp:posOffset>
            </wp:positionH>
            <wp:positionV relativeFrom="paragraph">
              <wp:posOffset>-2567305</wp:posOffset>
            </wp:positionV>
            <wp:extent cx="102870" cy="1111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2870" cy="111125"/>
                    </a:xfrm>
                    <a:prstGeom prst="rect">
                      <a:avLst/>
                    </a:prstGeom>
                    <a:noFill/>
                  </pic:spPr>
                </pic:pic>
              </a:graphicData>
            </a:graphic>
          </wp:anchor>
        </w:drawing>
        <w:drawing>
          <wp:anchor simplePos="0" relativeHeight="251657728" behindDoc="1" locked="0" layoutInCell="0" allowOverlap="1">
            <wp:simplePos x="0" y="0"/>
            <wp:positionH relativeFrom="column">
              <wp:posOffset>2943225</wp:posOffset>
            </wp:positionH>
            <wp:positionV relativeFrom="paragraph">
              <wp:posOffset>-2293620</wp:posOffset>
            </wp:positionV>
            <wp:extent cx="68580" cy="768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2943225</wp:posOffset>
            </wp:positionH>
            <wp:positionV relativeFrom="paragraph">
              <wp:posOffset>-1822450</wp:posOffset>
            </wp:positionV>
            <wp:extent cx="68580" cy="768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2926080</wp:posOffset>
            </wp:positionH>
            <wp:positionV relativeFrom="paragraph">
              <wp:posOffset>-1522730</wp:posOffset>
            </wp:positionV>
            <wp:extent cx="102870" cy="1111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2870" cy="111125"/>
                    </a:xfrm>
                    <a:prstGeom prst="rect">
                      <a:avLst/>
                    </a:prstGeom>
                    <a:noFill/>
                  </pic:spPr>
                </pic:pic>
              </a:graphicData>
            </a:graphic>
          </wp:anchor>
        </w:drawing>
        <w:drawing>
          <wp:anchor simplePos="0" relativeHeight="251657728" behindDoc="1" locked="0" layoutInCell="0" allowOverlap="1">
            <wp:simplePos x="0" y="0"/>
            <wp:positionH relativeFrom="column">
              <wp:posOffset>2943225</wp:posOffset>
            </wp:positionH>
            <wp:positionV relativeFrom="paragraph">
              <wp:posOffset>-1223010</wp:posOffset>
            </wp:positionV>
            <wp:extent cx="68580" cy="768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2926080</wp:posOffset>
            </wp:positionH>
            <wp:positionV relativeFrom="paragraph">
              <wp:posOffset>-1000125</wp:posOffset>
            </wp:positionV>
            <wp:extent cx="102870" cy="1111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2870" cy="111125"/>
                    </a:xfrm>
                    <a:prstGeom prst="rect">
                      <a:avLst/>
                    </a:prstGeom>
                    <a:noFill/>
                  </pic:spPr>
                </pic:pic>
              </a:graphicData>
            </a:graphic>
          </wp:anchor>
        </w:drawing>
        <w:drawing>
          <wp:anchor simplePos="0" relativeHeight="251657728" behindDoc="1" locked="0" layoutInCell="0" allowOverlap="1">
            <wp:simplePos x="0" y="0"/>
            <wp:positionH relativeFrom="column">
              <wp:posOffset>2943225</wp:posOffset>
            </wp:positionH>
            <wp:positionV relativeFrom="paragraph">
              <wp:posOffset>-803275</wp:posOffset>
            </wp:positionV>
            <wp:extent cx="68580" cy="768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-117475</wp:posOffset>
            </wp:positionV>
            <wp:extent cx="410845" cy="2482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9" w:lineRule="exact"/>
        <w:rPr>
          <w:sz w:val="20"/>
          <w:szCs w:val="20"/>
          <w:color w:val="auto"/>
        </w:rPr>
      </w:pPr>
    </w:p>
    <w:p>
      <w:pPr>
        <w:ind w:left="220"/>
        <w:spacing w:after="0" w:line="288" w:lineRule="exact"/>
        <w:rPr>
          <w:sz w:val="20"/>
          <w:szCs w:val="20"/>
          <w:color w:val="auto"/>
        </w:rPr>
      </w:pPr>
      <w:r>
        <w:rPr>
          <w:rFonts w:ascii="Arial" w:cs="Arial" w:eastAsia="Arial" w:hAnsi="Arial"/>
          <w:sz w:val="13"/>
          <w:szCs w:val="13"/>
          <w:color w:val="007CBA"/>
        </w:rPr>
        <w:t xml:space="preserve">The Board of Directors </w:t>
      </w:r>
      <w:r>
        <w:rPr>
          <w:rFonts w:ascii="MS PGothic" w:cs="MS PGothic" w:eastAsia="MS PGothic" w:hAnsi="MS PGothic"/>
          <w:sz w:val="25"/>
          <w:szCs w:val="25"/>
          <w:color w:val="007CBA"/>
        </w:rPr>
        <w:t>◆</w:t>
      </w:r>
      <w:r>
        <w:rPr>
          <w:rFonts w:ascii="Arial" w:cs="Arial" w:eastAsia="Arial" w:hAnsi="Arial"/>
          <w:sz w:val="13"/>
          <w:szCs w:val="13"/>
          <w:color w:val="007CBA"/>
        </w:rPr>
        <w:t xml:space="preserve"> </w:t>
      </w:r>
      <w:r>
        <w:rPr>
          <w:rFonts w:ascii="Arial" w:cs="Arial" w:eastAsia="Arial" w:hAnsi="Arial"/>
          <w:sz w:val="13"/>
          <w:szCs w:val="13"/>
          <w:color w:val="000000"/>
        </w:rPr>
        <w:t>Board Committees</w:t>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both"/>
        <w:ind w:left="220"/>
        <w:spacing w:after="0" w:line="256"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Executive Committee</w:t>
      </w:r>
      <w:r>
        <w:rPr>
          <w:rFonts w:ascii="Arial" w:cs="Arial" w:eastAsia="Arial" w:hAnsi="Arial"/>
          <w:sz w:val="16"/>
          <w:szCs w:val="16"/>
          <w:color w:val="auto"/>
        </w:rPr>
        <w:t xml:space="preserve"> held no meetings during 2018. It has the authority to act during the intervals between the meetings of the Board of Directors and may exercise the powers of the Board in the management of the business and affairs of Martin Marietta as may be authorized by the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auto"/>
        </w:rPr>
        <w:t>except to the extent such powers are by statute, the Articles of Incorporation or Bylaws reserved to the full Board. The Committee’s current members are Directors Nye (Chair), Koraleski, and Quillen.</w:t>
      </w:r>
    </w:p>
    <w:p>
      <w:pPr>
        <w:spacing w:after="0" w:line="579" w:lineRule="exact"/>
        <w:rPr>
          <w:sz w:val="20"/>
          <w:szCs w:val="20"/>
          <w:color w:val="auto"/>
        </w:rPr>
      </w:pPr>
    </w:p>
    <w:p>
      <w:pPr>
        <w:sectPr>
          <w:pgSz w:w="11900" w:h="16838" w:orient="portrait"/>
          <w:cols w:equalWidth="0" w:num="2">
            <w:col w:w="5500" w:space="320"/>
            <w:col w:w="5440"/>
          </w:cols>
          <w:pgMar w:left="240" w:top="459" w:right="399" w:bottom="1440" w:gutter="0" w:footer="0" w:header="0"/>
          <w:type w:val="continuous"/>
        </w:sectPr>
      </w:pPr>
    </w:p>
    <w:p>
      <w:pPr>
        <w:spacing w:after="0" w:line="14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primary responsibilities, membership and meeting information for our other standing Committees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151765</wp:posOffset>
            </wp:positionV>
            <wp:extent cx="7023735" cy="46342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23735" cy="4634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3660" w:type="dxa"/>
            <w:vAlign w:val="bottom"/>
            <w:tcBorders>
              <w:right w:val="single" w:sz="8" w:color="007CBA"/>
            </w:tcBorders>
          </w:tcPr>
          <w:p>
            <w:pPr>
              <w:ind w:left="220"/>
              <w:spacing w:after="0"/>
              <w:rPr>
                <w:sz w:val="20"/>
                <w:szCs w:val="20"/>
                <w:color w:val="auto"/>
              </w:rPr>
            </w:pPr>
            <w:r>
              <w:rPr>
                <w:rFonts w:ascii="Arial" w:cs="Arial" w:eastAsia="Arial" w:hAnsi="Arial"/>
                <w:sz w:val="14"/>
                <w:szCs w:val="14"/>
                <w:b w:val="1"/>
                <w:bCs w:val="1"/>
                <w:i w:val="1"/>
                <w:iCs w:val="1"/>
                <w:color w:val="007CBA"/>
              </w:rPr>
              <w:t>Current Members:</w:t>
            </w:r>
          </w:p>
        </w:tc>
        <w:tc>
          <w:tcPr>
            <w:tcW w:w="3740" w:type="dxa"/>
            <w:vAlign w:val="bottom"/>
            <w:tcBorders>
              <w:right w:val="single" w:sz="8" w:color="007CBA"/>
            </w:tcBorders>
          </w:tcPr>
          <w:p>
            <w:pPr>
              <w:spacing w:after="0"/>
              <w:rPr>
                <w:sz w:val="20"/>
                <w:szCs w:val="20"/>
                <w:color w:val="auto"/>
              </w:rPr>
            </w:pPr>
          </w:p>
        </w:tc>
        <w:tc>
          <w:tcPr>
            <w:tcW w:w="3640" w:type="dxa"/>
            <w:vAlign w:val="bottom"/>
          </w:tcPr>
          <w:p>
            <w:pPr>
              <w:spacing w:after="0"/>
              <w:rPr>
                <w:sz w:val="20"/>
                <w:szCs w:val="20"/>
                <w:color w:val="auto"/>
              </w:rPr>
            </w:pPr>
          </w:p>
        </w:tc>
      </w:tr>
      <w:tr>
        <w:trPr>
          <w:trHeight w:val="171"/>
        </w:trPr>
        <w:tc>
          <w:tcPr>
            <w:tcW w:w="3660" w:type="dxa"/>
            <w:vAlign w:val="bottom"/>
            <w:tcBorders>
              <w:right w:val="single" w:sz="8" w:color="007CBA"/>
            </w:tcBorders>
          </w:tcPr>
          <w:p>
            <w:pPr>
              <w:ind w:left="220"/>
              <w:spacing w:after="0"/>
              <w:rPr>
                <w:sz w:val="20"/>
                <w:szCs w:val="20"/>
                <w:color w:val="auto"/>
              </w:rPr>
            </w:pPr>
            <w:r>
              <w:rPr>
                <w:rFonts w:ascii="Arial" w:cs="Arial" w:eastAsia="Arial" w:hAnsi="Arial"/>
                <w:sz w:val="14"/>
                <w:szCs w:val="14"/>
                <w:color w:val="auto"/>
              </w:rPr>
              <w:t>Laree E. Perez (Chair)</w:t>
            </w:r>
          </w:p>
        </w:tc>
        <w:tc>
          <w:tcPr>
            <w:tcW w:w="3740" w:type="dxa"/>
            <w:vAlign w:val="bottom"/>
            <w:tcBorders>
              <w:right w:val="single" w:sz="8" w:color="007CBA"/>
            </w:tcBorders>
          </w:tcPr>
          <w:p>
            <w:pPr>
              <w:jc w:val="center"/>
              <w:ind w:left="108"/>
              <w:spacing w:after="0"/>
              <w:rPr>
                <w:sz w:val="20"/>
                <w:szCs w:val="20"/>
                <w:color w:val="auto"/>
              </w:rPr>
            </w:pPr>
            <w:r>
              <w:rPr>
                <w:rFonts w:ascii="Arial" w:cs="Arial" w:eastAsia="Arial" w:hAnsi="Arial"/>
                <w:sz w:val="14"/>
                <w:szCs w:val="14"/>
                <w:b w:val="1"/>
                <w:bCs w:val="1"/>
                <w:i w:val="1"/>
                <w:iCs w:val="1"/>
                <w:color w:val="007CBA"/>
              </w:rPr>
              <w:t>Meetings in 2018:</w:t>
            </w:r>
          </w:p>
        </w:tc>
        <w:tc>
          <w:tcPr>
            <w:tcW w:w="3640" w:type="dxa"/>
            <w:vAlign w:val="bottom"/>
          </w:tcPr>
          <w:p>
            <w:pPr>
              <w:jc w:val="center"/>
              <w:ind w:left="88"/>
              <w:spacing w:after="0"/>
              <w:rPr>
                <w:sz w:val="20"/>
                <w:szCs w:val="20"/>
                <w:color w:val="auto"/>
              </w:rPr>
            </w:pPr>
            <w:r>
              <w:rPr>
                <w:rFonts w:ascii="Arial" w:cs="Arial" w:eastAsia="Arial" w:hAnsi="Arial"/>
                <w:sz w:val="14"/>
                <w:szCs w:val="14"/>
                <w:b w:val="1"/>
                <w:bCs w:val="1"/>
                <w:i w:val="1"/>
                <w:iCs w:val="1"/>
                <w:color w:val="007CBA"/>
              </w:rPr>
              <w:t>Average Attendance in 2018:</w:t>
            </w:r>
          </w:p>
        </w:tc>
      </w:tr>
      <w:tr>
        <w:trPr>
          <w:trHeight w:val="153"/>
        </w:trPr>
        <w:tc>
          <w:tcPr>
            <w:tcW w:w="3660" w:type="dxa"/>
            <w:vAlign w:val="bottom"/>
            <w:tcBorders>
              <w:right w:val="single" w:sz="8" w:color="007CBA"/>
            </w:tcBorders>
          </w:tcPr>
          <w:p>
            <w:pPr>
              <w:ind w:left="220"/>
              <w:spacing w:after="0" w:line="153" w:lineRule="exact"/>
              <w:rPr>
                <w:sz w:val="20"/>
                <w:szCs w:val="20"/>
                <w:color w:val="auto"/>
              </w:rPr>
            </w:pPr>
            <w:r>
              <w:rPr>
                <w:rFonts w:ascii="Arial" w:cs="Arial" w:eastAsia="Arial" w:hAnsi="Arial"/>
                <w:sz w:val="14"/>
                <w:szCs w:val="14"/>
                <w:color w:val="auto"/>
              </w:rPr>
              <w:t>Dorothy M. Ables</w:t>
            </w:r>
          </w:p>
        </w:tc>
        <w:tc>
          <w:tcPr>
            <w:tcW w:w="3740" w:type="dxa"/>
            <w:vAlign w:val="bottom"/>
            <w:tcBorders>
              <w:right w:val="single" w:sz="8" w:color="007CBA"/>
            </w:tcBorders>
          </w:tcPr>
          <w:p>
            <w:pPr>
              <w:jc w:val="right"/>
              <w:ind w:right="1668"/>
              <w:spacing w:after="0" w:line="153" w:lineRule="exact"/>
              <w:rPr>
                <w:sz w:val="20"/>
                <w:szCs w:val="20"/>
                <w:color w:val="auto"/>
              </w:rPr>
            </w:pPr>
            <w:r>
              <w:rPr>
                <w:rFonts w:ascii="Arial" w:cs="Arial" w:eastAsia="Arial" w:hAnsi="Arial"/>
                <w:sz w:val="14"/>
                <w:szCs w:val="14"/>
                <w:color w:val="auto"/>
              </w:rPr>
              <w:t>8</w:t>
            </w:r>
          </w:p>
        </w:tc>
        <w:tc>
          <w:tcPr>
            <w:tcW w:w="3640" w:type="dxa"/>
            <w:vAlign w:val="bottom"/>
          </w:tcPr>
          <w:p>
            <w:pPr>
              <w:jc w:val="right"/>
              <w:ind w:right="1488"/>
              <w:spacing w:after="0" w:line="153" w:lineRule="exact"/>
              <w:rPr>
                <w:sz w:val="20"/>
                <w:szCs w:val="20"/>
                <w:color w:val="auto"/>
              </w:rPr>
            </w:pPr>
            <w:r>
              <w:rPr>
                <w:rFonts w:ascii="Arial" w:cs="Arial" w:eastAsia="Arial" w:hAnsi="Arial"/>
                <w:sz w:val="14"/>
                <w:szCs w:val="14"/>
                <w:color w:val="auto"/>
              </w:rPr>
              <w:t>100%</w:t>
            </w:r>
          </w:p>
        </w:tc>
      </w:tr>
      <w:tr>
        <w:trPr>
          <w:trHeight w:val="162"/>
        </w:trPr>
        <w:tc>
          <w:tcPr>
            <w:tcW w:w="3660" w:type="dxa"/>
            <w:vAlign w:val="bottom"/>
            <w:tcBorders>
              <w:right w:val="single" w:sz="8" w:color="007CBA"/>
            </w:tcBorders>
          </w:tcPr>
          <w:p>
            <w:pPr>
              <w:ind w:left="220"/>
              <w:spacing w:after="0"/>
              <w:rPr>
                <w:sz w:val="20"/>
                <w:szCs w:val="20"/>
                <w:color w:val="auto"/>
              </w:rPr>
            </w:pPr>
            <w:r>
              <w:rPr>
                <w:rFonts w:ascii="Arial" w:cs="Arial" w:eastAsia="Arial" w:hAnsi="Arial"/>
                <w:sz w:val="14"/>
                <w:szCs w:val="14"/>
                <w:color w:val="auto"/>
              </w:rPr>
              <w:t>John J. Koraleski</w:t>
            </w:r>
          </w:p>
        </w:tc>
        <w:tc>
          <w:tcPr>
            <w:tcW w:w="3740" w:type="dxa"/>
            <w:vAlign w:val="bottom"/>
            <w:tcBorders>
              <w:right w:val="single" w:sz="8" w:color="007CBA"/>
            </w:tcBorders>
          </w:tcPr>
          <w:p>
            <w:pPr>
              <w:spacing w:after="0"/>
              <w:rPr>
                <w:sz w:val="14"/>
                <w:szCs w:val="14"/>
                <w:color w:val="auto"/>
              </w:rPr>
            </w:pPr>
          </w:p>
        </w:tc>
        <w:tc>
          <w:tcPr>
            <w:tcW w:w="3640" w:type="dxa"/>
            <w:vAlign w:val="bottom"/>
          </w:tcPr>
          <w:p>
            <w:pPr>
              <w:spacing w:after="0"/>
              <w:rPr>
                <w:sz w:val="14"/>
                <w:szCs w:val="14"/>
                <w:color w:val="auto"/>
              </w:rPr>
            </w:pPr>
          </w:p>
        </w:tc>
      </w:tr>
      <w:tr>
        <w:trPr>
          <w:trHeight w:val="171"/>
        </w:trPr>
        <w:tc>
          <w:tcPr>
            <w:tcW w:w="3660" w:type="dxa"/>
            <w:vAlign w:val="bottom"/>
            <w:tcBorders>
              <w:bottom w:val="single" w:sz="8" w:color="007CBA"/>
              <w:right w:val="single" w:sz="8" w:color="007CBA"/>
            </w:tcBorders>
          </w:tcPr>
          <w:p>
            <w:pPr>
              <w:ind w:left="220"/>
              <w:spacing w:after="0"/>
              <w:rPr>
                <w:sz w:val="20"/>
                <w:szCs w:val="20"/>
                <w:color w:val="auto"/>
              </w:rPr>
            </w:pPr>
            <w:r>
              <w:rPr>
                <w:rFonts w:ascii="Arial" w:cs="Arial" w:eastAsia="Arial" w:hAnsi="Arial"/>
                <w:sz w:val="14"/>
                <w:szCs w:val="14"/>
                <w:color w:val="auto"/>
              </w:rPr>
              <w:t>Dennis L. Rediker</w:t>
            </w:r>
          </w:p>
        </w:tc>
        <w:tc>
          <w:tcPr>
            <w:tcW w:w="3740" w:type="dxa"/>
            <w:vAlign w:val="bottom"/>
            <w:tcBorders>
              <w:bottom w:val="single" w:sz="8" w:color="007CBA"/>
              <w:right w:val="single" w:sz="8" w:color="007CBA"/>
            </w:tcBorders>
          </w:tcPr>
          <w:p>
            <w:pPr>
              <w:spacing w:after="0"/>
              <w:rPr>
                <w:sz w:val="14"/>
                <w:szCs w:val="14"/>
                <w:color w:val="auto"/>
              </w:rPr>
            </w:pPr>
          </w:p>
        </w:tc>
        <w:tc>
          <w:tcPr>
            <w:tcW w:w="3640" w:type="dxa"/>
            <w:vAlign w:val="bottom"/>
            <w:tcBorders>
              <w:bottom w:val="single" w:sz="8" w:color="007CBA"/>
            </w:tcBorders>
          </w:tcPr>
          <w:p>
            <w:pPr>
              <w:spacing w:after="0"/>
              <w:rPr>
                <w:sz w:val="14"/>
                <w:szCs w:val="14"/>
                <w:color w:val="auto"/>
              </w:rPr>
            </w:pPr>
          </w:p>
        </w:tc>
      </w:tr>
      <w:tr>
        <w:trPr>
          <w:trHeight w:val="238"/>
        </w:trPr>
        <w:tc>
          <w:tcPr>
            <w:tcW w:w="3660" w:type="dxa"/>
            <w:vAlign w:val="bottom"/>
          </w:tcPr>
          <w:p>
            <w:pPr>
              <w:ind w:left="220"/>
              <w:spacing w:after="0"/>
              <w:rPr>
                <w:sz w:val="20"/>
                <w:szCs w:val="20"/>
                <w:color w:val="auto"/>
              </w:rPr>
            </w:pPr>
            <w:r>
              <w:rPr>
                <w:rFonts w:ascii="Arial" w:cs="Arial" w:eastAsia="Arial" w:hAnsi="Arial"/>
                <w:sz w:val="14"/>
                <w:szCs w:val="14"/>
                <w:b w:val="1"/>
                <w:bCs w:val="1"/>
                <w:i w:val="1"/>
                <w:iCs w:val="1"/>
                <w:color w:val="007CBA"/>
              </w:rPr>
              <w:t>Primary Responsibilities:</w:t>
            </w:r>
          </w:p>
        </w:tc>
        <w:tc>
          <w:tcPr>
            <w:tcW w:w="3740" w:type="dxa"/>
            <w:vAlign w:val="bottom"/>
          </w:tcPr>
          <w:p>
            <w:pPr>
              <w:spacing w:after="0"/>
              <w:rPr>
                <w:sz w:val="20"/>
                <w:szCs w:val="20"/>
                <w:color w:val="auto"/>
              </w:rPr>
            </w:pPr>
          </w:p>
        </w:tc>
        <w:tc>
          <w:tcPr>
            <w:tcW w:w="3640" w:type="dxa"/>
            <w:vAlign w:val="bottom"/>
          </w:tcPr>
          <w:p>
            <w:pPr>
              <w:spacing w:after="0"/>
              <w:rPr>
                <w:sz w:val="20"/>
                <w:szCs w:val="20"/>
                <w:color w:val="auto"/>
              </w:rPr>
            </w:pPr>
          </w:p>
        </w:tc>
      </w:tr>
    </w:tbl>
    <w:p>
      <w:pPr>
        <w:spacing w:after="0" w:line="71" w:lineRule="exact"/>
        <w:rPr>
          <w:sz w:val="20"/>
          <w:szCs w:val="20"/>
          <w:color w:val="auto"/>
        </w:rPr>
      </w:pPr>
    </w:p>
    <w:p>
      <w:pPr>
        <w:ind w:left="660" w:hanging="221"/>
        <w:spacing w:after="0"/>
        <w:tabs>
          <w:tab w:leader="none" w:pos="660" w:val="left"/>
        </w:tabs>
        <w:numPr>
          <w:ilvl w:val="0"/>
          <w:numId w:val="34"/>
        </w:numPr>
        <w:rPr>
          <w:rFonts w:ascii="Arial" w:cs="Arial" w:eastAsia="Arial" w:hAnsi="Arial"/>
          <w:sz w:val="14"/>
          <w:szCs w:val="14"/>
          <w:color w:val="007CBA"/>
        </w:rPr>
      </w:pPr>
      <w:r>
        <w:rPr>
          <w:rFonts w:ascii="Arial" w:cs="Arial" w:eastAsia="Arial" w:hAnsi="Arial"/>
          <w:sz w:val="14"/>
          <w:szCs w:val="14"/>
          <w:color w:val="auto"/>
        </w:rPr>
        <w:t>Reviews our significant accounting principles, policies and practices in reporting our financial results under generally accepted accounting principles.</w:t>
      </w:r>
    </w:p>
    <w:p>
      <w:pPr>
        <w:spacing w:after="0" w:line="81" w:lineRule="exact"/>
        <w:rPr>
          <w:rFonts w:ascii="Arial" w:cs="Arial" w:eastAsia="Arial" w:hAnsi="Arial"/>
          <w:sz w:val="14"/>
          <w:szCs w:val="14"/>
          <w:color w:val="007CBA"/>
        </w:rPr>
      </w:pPr>
    </w:p>
    <w:p>
      <w:pPr>
        <w:ind w:left="660" w:hanging="221"/>
        <w:spacing w:after="0"/>
        <w:tabs>
          <w:tab w:leader="none" w:pos="660" w:val="left"/>
        </w:tabs>
        <w:numPr>
          <w:ilvl w:val="0"/>
          <w:numId w:val="34"/>
        </w:numPr>
        <w:rPr>
          <w:rFonts w:ascii="Arial" w:cs="Arial" w:eastAsia="Arial" w:hAnsi="Arial"/>
          <w:sz w:val="14"/>
          <w:szCs w:val="14"/>
          <w:color w:val="007CBA"/>
        </w:rPr>
      </w:pPr>
      <w:r>
        <w:rPr>
          <w:rFonts w:ascii="Arial" w:cs="Arial" w:eastAsia="Arial" w:hAnsi="Arial"/>
          <w:sz w:val="14"/>
          <w:szCs w:val="14"/>
          <w:color w:val="auto"/>
        </w:rPr>
        <w:t>Reviews our annual audited financial statements and related disclosures.</w:t>
      </w:r>
    </w:p>
    <w:p>
      <w:pPr>
        <w:spacing w:after="0" w:line="81" w:lineRule="exact"/>
        <w:rPr>
          <w:rFonts w:ascii="Arial" w:cs="Arial" w:eastAsia="Arial" w:hAnsi="Arial"/>
          <w:sz w:val="14"/>
          <w:szCs w:val="14"/>
          <w:color w:val="007CBA"/>
        </w:rPr>
      </w:pPr>
    </w:p>
    <w:p>
      <w:pPr>
        <w:ind w:left="660" w:hanging="221"/>
        <w:spacing w:after="0"/>
        <w:tabs>
          <w:tab w:leader="none" w:pos="660" w:val="left"/>
        </w:tabs>
        <w:numPr>
          <w:ilvl w:val="0"/>
          <w:numId w:val="34"/>
        </w:numPr>
        <w:rPr>
          <w:rFonts w:ascii="Arial" w:cs="Arial" w:eastAsia="Arial" w:hAnsi="Arial"/>
          <w:sz w:val="14"/>
          <w:szCs w:val="14"/>
          <w:color w:val="007CBA"/>
        </w:rPr>
      </w:pPr>
      <w:r>
        <w:rPr>
          <w:rFonts w:ascii="Arial" w:cs="Arial" w:eastAsia="Arial" w:hAnsi="Arial"/>
          <w:sz w:val="14"/>
          <w:szCs w:val="14"/>
          <w:color w:val="auto"/>
        </w:rPr>
        <w:t>Reviews management letters or internal control reports, and reviews our system of internal control over financial reporting.</w:t>
      </w:r>
    </w:p>
    <w:p>
      <w:pPr>
        <w:spacing w:after="0" w:line="81" w:lineRule="exact"/>
        <w:rPr>
          <w:rFonts w:ascii="Arial" w:cs="Arial" w:eastAsia="Arial" w:hAnsi="Arial"/>
          <w:sz w:val="14"/>
          <w:szCs w:val="14"/>
          <w:color w:val="007CBA"/>
        </w:rPr>
      </w:pPr>
    </w:p>
    <w:p>
      <w:pPr>
        <w:ind w:left="660" w:hanging="221"/>
        <w:spacing w:after="0"/>
        <w:tabs>
          <w:tab w:leader="none" w:pos="660" w:val="left"/>
        </w:tabs>
        <w:numPr>
          <w:ilvl w:val="0"/>
          <w:numId w:val="34"/>
        </w:numPr>
        <w:rPr>
          <w:rFonts w:ascii="Arial" w:cs="Arial" w:eastAsia="Arial" w:hAnsi="Arial"/>
          <w:sz w:val="14"/>
          <w:szCs w:val="14"/>
          <w:color w:val="007CBA"/>
        </w:rPr>
      </w:pPr>
      <w:r>
        <w:rPr>
          <w:rFonts w:ascii="Arial" w:cs="Arial" w:eastAsia="Arial" w:hAnsi="Arial"/>
          <w:sz w:val="14"/>
          <w:szCs w:val="14"/>
          <w:color w:val="auto"/>
        </w:rPr>
        <w:t>Appoints, retains and oversees the work of the independent accountants.</w:t>
      </w:r>
    </w:p>
    <w:p>
      <w:pPr>
        <w:spacing w:after="0" w:line="81" w:lineRule="exact"/>
        <w:rPr>
          <w:rFonts w:ascii="Arial" w:cs="Arial" w:eastAsia="Arial" w:hAnsi="Arial"/>
          <w:sz w:val="14"/>
          <w:szCs w:val="14"/>
          <w:color w:val="007CBA"/>
        </w:rPr>
      </w:pPr>
    </w:p>
    <w:p>
      <w:pPr>
        <w:ind w:left="660" w:hanging="221"/>
        <w:spacing w:after="0"/>
        <w:tabs>
          <w:tab w:leader="none" w:pos="660" w:val="left"/>
        </w:tabs>
        <w:numPr>
          <w:ilvl w:val="0"/>
          <w:numId w:val="34"/>
        </w:numPr>
        <w:rPr>
          <w:rFonts w:ascii="Arial" w:cs="Arial" w:eastAsia="Arial" w:hAnsi="Arial"/>
          <w:sz w:val="14"/>
          <w:szCs w:val="14"/>
          <w:color w:val="007CBA"/>
        </w:rPr>
      </w:pPr>
      <w:r>
        <w:rPr>
          <w:rFonts w:ascii="Arial" w:cs="Arial" w:eastAsia="Arial" w:hAnsi="Arial"/>
          <w:sz w:val="14"/>
          <w:szCs w:val="14"/>
          <w:color w:val="auto"/>
        </w:rPr>
        <w:t>Reviews the effectiveness of the independent audit effort.</w:t>
      </w:r>
    </w:p>
    <w:p>
      <w:pPr>
        <w:spacing w:after="0" w:line="81" w:lineRule="exact"/>
        <w:rPr>
          <w:rFonts w:ascii="Arial" w:cs="Arial" w:eastAsia="Arial" w:hAnsi="Arial"/>
          <w:sz w:val="14"/>
          <w:szCs w:val="14"/>
          <w:color w:val="007CBA"/>
        </w:rPr>
      </w:pPr>
    </w:p>
    <w:p>
      <w:pPr>
        <w:ind w:left="660" w:hanging="221"/>
        <w:spacing w:after="0"/>
        <w:tabs>
          <w:tab w:leader="none" w:pos="660" w:val="left"/>
        </w:tabs>
        <w:numPr>
          <w:ilvl w:val="0"/>
          <w:numId w:val="34"/>
        </w:numPr>
        <w:rPr>
          <w:rFonts w:ascii="Arial" w:cs="Arial" w:eastAsia="Arial" w:hAnsi="Arial"/>
          <w:sz w:val="14"/>
          <w:szCs w:val="14"/>
          <w:color w:val="007CBA"/>
        </w:rPr>
      </w:pPr>
      <w:r>
        <w:rPr>
          <w:rFonts w:ascii="Arial" w:cs="Arial" w:eastAsia="Arial" w:hAnsi="Arial"/>
          <w:sz w:val="14"/>
          <w:szCs w:val="14"/>
          <w:color w:val="auto"/>
        </w:rPr>
        <w:t>Pre-approves audit and permissible non-audit services provided by the independent registered public accounting firm.</w:t>
      </w:r>
    </w:p>
    <w:p>
      <w:pPr>
        <w:spacing w:after="0" w:line="81" w:lineRule="exact"/>
        <w:rPr>
          <w:rFonts w:ascii="Arial" w:cs="Arial" w:eastAsia="Arial" w:hAnsi="Arial"/>
          <w:sz w:val="14"/>
          <w:szCs w:val="14"/>
          <w:color w:val="007CBA"/>
        </w:rPr>
      </w:pPr>
    </w:p>
    <w:p>
      <w:pPr>
        <w:ind w:left="660" w:hanging="221"/>
        <w:spacing w:after="0"/>
        <w:tabs>
          <w:tab w:leader="none" w:pos="660" w:val="left"/>
        </w:tabs>
        <w:numPr>
          <w:ilvl w:val="0"/>
          <w:numId w:val="34"/>
        </w:numPr>
        <w:rPr>
          <w:rFonts w:ascii="Arial" w:cs="Arial" w:eastAsia="Arial" w:hAnsi="Arial"/>
          <w:sz w:val="14"/>
          <w:szCs w:val="14"/>
          <w:color w:val="007CBA"/>
        </w:rPr>
      </w:pPr>
      <w:r>
        <w:rPr>
          <w:rFonts w:ascii="Arial" w:cs="Arial" w:eastAsia="Arial" w:hAnsi="Arial"/>
          <w:sz w:val="14"/>
          <w:szCs w:val="14"/>
          <w:color w:val="auto"/>
        </w:rPr>
        <w:t>Reviews our interim financial results for each fiscal quarter.</w:t>
      </w:r>
    </w:p>
    <w:p>
      <w:pPr>
        <w:spacing w:after="0" w:line="81" w:lineRule="exact"/>
        <w:rPr>
          <w:rFonts w:ascii="Arial" w:cs="Arial" w:eastAsia="Arial" w:hAnsi="Arial"/>
          <w:sz w:val="14"/>
          <w:szCs w:val="14"/>
          <w:color w:val="007CBA"/>
        </w:rPr>
      </w:pPr>
    </w:p>
    <w:p>
      <w:pPr>
        <w:ind w:left="660" w:hanging="221"/>
        <w:spacing w:after="0"/>
        <w:tabs>
          <w:tab w:leader="none" w:pos="660" w:val="left"/>
        </w:tabs>
        <w:numPr>
          <w:ilvl w:val="0"/>
          <w:numId w:val="34"/>
        </w:numPr>
        <w:rPr>
          <w:rFonts w:ascii="Arial" w:cs="Arial" w:eastAsia="Arial" w:hAnsi="Arial"/>
          <w:sz w:val="14"/>
          <w:szCs w:val="14"/>
          <w:color w:val="007CBA"/>
        </w:rPr>
      </w:pPr>
      <w:r>
        <w:rPr>
          <w:rFonts w:ascii="Arial" w:cs="Arial" w:eastAsia="Arial" w:hAnsi="Arial"/>
          <w:sz w:val="14"/>
          <w:szCs w:val="14"/>
          <w:color w:val="auto"/>
        </w:rPr>
        <w:t>Reviews the qualifications and the plan and scope of work of the corporate internal audit function.</w:t>
      </w:r>
    </w:p>
    <w:p>
      <w:pPr>
        <w:spacing w:after="0" w:line="81" w:lineRule="exact"/>
        <w:rPr>
          <w:rFonts w:ascii="Arial" w:cs="Arial" w:eastAsia="Arial" w:hAnsi="Arial"/>
          <w:sz w:val="14"/>
          <w:szCs w:val="14"/>
          <w:color w:val="007CBA"/>
        </w:rPr>
      </w:pPr>
    </w:p>
    <w:p>
      <w:pPr>
        <w:ind w:left="660" w:hanging="221"/>
        <w:spacing w:after="0"/>
        <w:tabs>
          <w:tab w:leader="none" w:pos="660" w:val="left"/>
        </w:tabs>
        <w:numPr>
          <w:ilvl w:val="0"/>
          <w:numId w:val="34"/>
        </w:numPr>
        <w:rPr>
          <w:rFonts w:ascii="Arial" w:cs="Arial" w:eastAsia="Arial" w:hAnsi="Arial"/>
          <w:sz w:val="14"/>
          <w:szCs w:val="14"/>
          <w:color w:val="007CBA"/>
        </w:rPr>
      </w:pPr>
      <w:r>
        <w:rPr>
          <w:rFonts w:ascii="Arial" w:cs="Arial" w:eastAsia="Arial" w:hAnsi="Arial"/>
          <w:sz w:val="14"/>
          <w:szCs w:val="14"/>
          <w:color w:val="auto"/>
        </w:rPr>
        <w:t>Reviews and discusses the reports of our internal audit group.</w:t>
      </w:r>
    </w:p>
    <w:p>
      <w:pPr>
        <w:spacing w:after="0" w:line="81" w:lineRule="exact"/>
        <w:rPr>
          <w:rFonts w:ascii="Arial" w:cs="Arial" w:eastAsia="Arial" w:hAnsi="Arial"/>
          <w:sz w:val="14"/>
          <w:szCs w:val="14"/>
          <w:color w:val="007CBA"/>
        </w:rPr>
      </w:pPr>
    </w:p>
    <w:p>
      <w:pPr>
        <w:ind w:left="660" w:hanging="221"/>
        <w:spacing w:after="0"/>
        <w:tabs>
          <w:tab w:leader="none" w:pos="660" w:val="left"/>
        </w:tabs>
        <w:numPr>
          <w:ilvl w:val="0"/>
          <w:numId w:val="34"/>
        </w:numPr>
        <w:rPr>
          <w:rFonts w:ascii="Arial" w:cs="Arial" w:eastAsia="Arial" w:hAnsi="Arial"/>
          <w:sz w:val="14"/>
          <w:szCs w:val="14"/>
          <w:color w:val="007CBA"/>
        </w:rPr>
      </w:pPr>
      <w:r>
        <w:rPr>
          <w:rFonts w:ascii="Arial" w:cs="Arial" w:eastAsia="Arial" w:hAnsi="Arial"/>
          <w:sz w:val="14"/>
          <w:szCs w:val="14"/>
          <w:color w:val="auto"/>
        </w:rPr>
        <w:t>Reviews and discusses management’s assessment of the effectiveness of Martin Marietta’s system of internal control over financial reporting.</w:t>
      </w:r>
    </w:p>
    <w:p>
      <w:pPr>
        <w:spacing w:after="0" w:line="81" w:lineRule="exact"/>
        <w:rPr>
          <w:rFonts w:ascii="Arial" w:cs="Arial" w:eastAsia="Arial" w:hAnsi="Arial"/>
          <w:sz w:val="14"/>
          <w:szCs w:val="14"/>
          <w:color w:val="007CBA"/>
        </w:rPr>
      </w:pPr>
    </w:p>
    <w:p>
      <w:pPr>
        <w:ind w:left="660" w:hanging="221"/>
        <w:spacing w:after="0"/>
        <w:tabs>
          <w:tab w:leader="none" w:pos="660" w:val="left"/>
        </w:tabs>
        <w:numPr>
          <w:ilvl w:val="0"/>
          <w:numId w:val="34"/>
        </w:numPr>
        <w:rPr>
          <w:rFonts w:ascii="Arial" w:cs="Arial" w:eastAsia="Arial" w:hAnsi="Arial"/>
          <w:sz w:val="14"/>
          <w:szCs w:val="14"/>
          <w:color w:val="007CBA"/>
        </w:rPr>
      </w:pPr>
      <w:r>
        <w:rPr>
          <w:rFonts w:ascii="Arial" w:cs="Arial" w:eastAsia="Arial" w:hAnsi="Arial"/>
          <w:sz w:val="14"/>
          <w:szCs w:val="14"/>
          <w:color w:val="auto"/>
        </w:rPr>
        <w:t>Discusses Martin Marietta’s earnings press releases, as well as financial information and earnings guidance provided to analysts, investors and rating agencies.</w:t>
      </w:r>
    </w:p>
    <w:p>
      <w:pPr>
        <w:spacing w:after="0" w:line="81" w:lineRule="exact"/>
        <w:rPr>
          <w:rFonts w:ascii="Arial" w:cs="Arial" w:eastAsia="Arial" w:hAnsi="Arial"/>
          <w:sz w:val="14"/>
          <w:szCs w:val="14"/>
          <w:color w:val="007CBA"/>
        </w:rPr>
      </w:pPr>
    </w:p>
    <w:p>
      <w:pPr>
        <w:ind w:left="660" w:hanging="221"/>
        <w:spacing w:after="0"/>
        <w:tabs>
          <w:tab w:leader="none" w:pos="660" w:val="left"/>
        </w:tabs>
        <w:numPr>
          <w:ilvl w:val="0"/>
          <w:numId w:val="34"/>
        </w:numPr>
        <w:rPr>
          <w:rFonts w:ascii="Arial" w:cs="Arial" w:eastAsia="Arial" w:hAnsi="Arial"/>
          <w:sz w:val="14"/>
          <w:szCs w:val="14"/>
          <w:color w:val="007CBA"/>
        </w:rPr>
      </w:pPr>
      <w:r>
        <w:rPr>
          <w:rFonts w:ascii="Arial" w:cs="Arial" w:eastAsia="Arial" w:hAnsi="Arial"/>
          <w:sz w:val="14"/>
          <w:szCs w:val="14"/>
          <w:color w:val="auto"/>
        </w:rPr>
        <w:t>Discusses matters related to risk assessment and risk management and how the process is handled by management.</w:t>
      </w:r>
    </w:p>
    <w:p>
      <w:pPr>
        <w:spacing w:after="0" w:line="81" w:lineRule="exact"/>
        <w:rPr>
          <w:rFonts w:ascii="Arial" w:cs="Arial" w:eastAsia="Arial" w:hAnsi="Arial"/>
          <w:sz w:val="14"/>
          <w:szCs w:val="14"/>
          <w:color w:val="007CBA"/>
        </w:rPr>
      </w:pPr>
    </w:p>
    <w:p>
      <w:pPr>
        <w:ind w:left="660" w:hanging="221"/>
        <w:spacing w:after="0"/>
        <w:tabs>
          <w:tab w:leader="none" w:pos="660" w:val="left"/>
        </w:tabs>
        <w:numPr>
          <w:ilvl w:val="0"/>
          <w:numId w:val="34"/>
        </w:numPr>
        <w:rPr>
          <w:rFonts w:ascii="Arial" w:cs="Arial" w:eastAsia="Arial" w:hAnsi="Arial"/>
          <w:sz w:val="14"/>
          <w:szCs w:val="14"/>
          <w:color w:val="007CBA"/>
        </w:rPr>
      </w:pPr>
      <w:r>
        <w:rPr>
          <w:rFonts w:ascii="Arial" w:cs="Arial" w:eastAsia="Arial" w:hAnsi="Arial"/>
          <w:sz w:val="14"/>
          <w:szCs w:val="14"/>
          <w:color w:val="auto"/>
        </w:rPr>
        <w:t>Reviews and oversees related party transactions.</w:t>
      </w:r>
    </w:p>
    <w:p>
      <w:pPr>
        <w:spacing w:after="0" w:line="81" w:lineRule="exact"/>
        <w:rPr>
          <w:rFonts w:ascii="Arial" w:cs="Arial" w:eastAsia="Arial" w:hAnsi="Arial"/>
          <w:sz w:val="14"/>
          <w:szCs w:val="14"/>
          <w:color w:val="007CBA"/>
        </w:rPr>
      </w:pPr>
    </w:p>
    <w:p>
      <w:pPr>
        <w:ind w:left="660" w:hanging="221"/>
        <w:spacing w:after="0"/>
        <w:tabs>
          <w:tab w:leader="none" w:pos="660" w:val="left"/>
        </w:tabs>
        <w:numPr>
          <w:ilvl w:val="0"/>
          <w:numId w:val="34"/>
        </w:numPr>
        <w:rPr>
          <w:rFonts w:ascii="Arial" w:cs="Arial" w:eastAsia="Arial" w:hAnsi="Arial"/>
          <w:sz w:val="14"/>
          <w:szCs w:val="14"/>
          <w:color w:val="007CBA"/>
        </w:rPr>
      </w:pPr>
      <w:r>
        <w:rPr>
          <w:rFonts w:ascii="Arial" w:cs="Arial" w:eastAsia="Arial" w:hAnsi="Arial"/>
          <w:sz w:val="14"/>
          <w:szCs w:val="14"/>
          <w:color w:val="auto"/>
        </w:rPr>
        <w:t>Reviews complaints regarding accounting, internal controls or auditing matters.</w:t>
      </w:r>
    </w:p>
    <w:p>
      <w:pPr>
        <w:spacing w:after="0" w:line="81" w:lineRule="exact"/>
        <w:rPr>
          <w:rFonts w:ascii="Arial" w:cs="Arial" w:eastAsia="Arial" w:hAnsi="Arial"/>
          <w:sz w:val="14"/>
          <w:szCs w:val="14"/>
          <w:color w:val="007CBA"/>
        </w:rPr>
      </w:pPr>
    </w:p>
    <w:p>
      <w:pPr>
        <w:ind w:left="660" w:hanging="221"/>
        <w:spacing w:after="0"/>
        <w:tabs>
          <w:tab w:leader="none" w:pos="660" w:val="left"/>
        </w:tabs>
        <w:numPr>
          <w:ilvl w:val="0"/>
          <w:numId w:val="34"/>
        </w:numPr>
        <w:rPr>
          <w:rFonts w:ascii="Arial" w:cs="Arial" w:eastAsia="Arial" w:hAnsi="Arial"/>
          <w:sz w:val="14"/>
          <w:szCs w:val="14"/>
          <w:color w:val="007CBA"/>
        </w:rPr>
      </w:pPr>
      <w:r>
        <w:rPr>
          <w:rFonts w:ascii="Arial" w:cs="Arial" w:eastAsia="Arial" w:hAnsi="Arial"/>
          <w:sz w:val="14"/>
          <w:szCs w:val="14"/>
          <w:color w:val="auto"/>
        </w:rPr>
        <w:t>Considers allegations of possible financial fraud or other financial improprieties.</w:t>
      </w:r>
    </w:p>
    <w:p>
      <w:pPr>
        <w:spacing w:after="0" w:line="81" w:lineRule="exact"/>
        <w:rPr>
          <w:rFonts w:ascii="Arial" w:cs="Arial" w:eastAsia="Arial" w:hAnsi="Arial"/>
          <w:sz w:val="14"/>
          <w:szCs w:val="14"/>
          <w:color w:val="007CBA"/>
        </w:rPr>
      </w:pPr>
    </w:p>
    <w:p>
      <w:pPr>
        <w:ind w:left="660" w:hanging="221"/>
        <w:spacing w:after="0"/>
        <w:tabs>
          <w:tab w:leader="none" w:pos="660" w:val="left"/>
        </w:tabs>
        <w:numPr>
          <w:ilvl w:val="0"/>
          <w:numId w:val="34"/>
        </w:numPr>
        <w:rPr>
          <w:rFonts w:ascii="Arial" w:cs="Arial" w:eastAsia="Arial" w:hAnsi="Arial"/>
          <w:sz w:val="14"/>
          <w:szCs w:val="14"/>
          <w:color w:val="007CBA"/>
        </w:rPr>
      </w:pPr>
      <w:r>
        <w:rPr>
          <w:rFonts w:ascii="Arial" w:cs="Arial" w:eastAsia="Arial" w:hAnsi="Arial"/>
          <w:sz w:val="14"/>
          <w:szCs w:val="14"/>
          <w:color w:val="auto"/>
        </w:rPr>
        <w:t>Reviews annually the adequacy of the Committee charter and recommends proposed changes to the Board.</w:t>
      </w:r>
    </w:p>
    <w:p>
      <w:pPr>
        <w:spacing w:after="0" w:line="81" w:lineRule="exact"/>
        <w:rPr>
          <w:rFonts w:ascii="Arial" w:cs="Arial" w:eastAsia="Arial" w:hAnsi="Arial"/>
          <w:sz w:val="14"/>
          <w:szCs w:val="14"/>
          <w:color w:val="007CBA"/>
        </w:rPr>
      </w:pPr>
    </w:p>
    <w:p>
      <w:pPr>
        <w:ind w:left="660" w:hanging="221"/>
        <w:spacing w:after="0"/>
        <w:tabs>
          <w:tab w:leader="none" w:pos="660" w:val="left"/>
        </w:tabs>
        <w:numPr>
          <w:ilvl w:val="0"/>
          <w:numId w:val="34"/>
        </w:numPr>
        <w:rPr>
          <w:rFonts w:ascii="Arial" w:cs="Arial" w:eastAsia="Arial" w:hAnsi="Arial"/>
          <w:sz w:val="14"/>
          <w:szCs w:val="14"/>
          <w:color w:val="007CBA"/>
        </w:rPr>
      </w:pPr>
      <w:r>
        <w:rPr>
          <w:rFonts w:ascii="Arial" w:cs="Arial" w:eastAsia="Arial" w:hAnsi="Arial"/>
          <w:sz w:val="14"/>
          <w:szCs w:val="14"/>
          <w:color w:val="auto"/>
        </w:rPr>
        <w:t>Prepares the annual Audit Committee Report to be included in the proxy statement.</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007CBA"/>
        </w:rPr>
        <w:t>Other Governance Matters:</w:t>
      </w:r>
    </w:p>
    <w:p>
      <w:pPr>
        <w:spacing w:after="0" w:line="17"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All four members of the Audit Committee, including the Chair, are audit committee financial experts under applicable SEC regulations.</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The Chair of the Audit Committee is an independent Director.</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Chair of the Audit Committee has experience serving as a Chair and member of other public company Audit Committees.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All members satisfy the audit committee experience and independence standards required by the New York Stock Exchange (NYSE).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3517265</wp:posOffset>
            </wp:positionH>
            <wp:positionV relativeFrom="paragraph">
              <wp:posOffset>108585</wp:posOffset>
            </wp:positionV>
            <wp:extent cx="410845" cy="2482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186" w:lineRule="exact"/>
        <w:rPr>
          <w:sz w:val="20"/>
          <w:szCs w:val="20"/>
          <w:color w:val="auto"/>
        </w:rPr>
      </w:pPr>
    </w:p>
    <w:p>
      <w:pPr>
        <w:ind w:left="640" w:hanging="430"/>
        <w:spacing w:after="0"/>
        <w:tabs>
          <w:tab w:leader="none" w:pos="640" w:val="left"/>
        </w:tabs>
        <w:numPr>
          <w:ilvl w:val="0"/>
          <w:numId w:val="35"/>
        </w:numPr>
        <w:rPr>
          <w:rFonts w:ascii="Arial" w:cs="Arial" w:eastAsia="Arial" w:hAnsi="Arial"/>
          <w:sz w:val="13"/>
          <w:szCs w:val="13"/>
          <w:b w:val="1"/>
          <w:bCs w:val="1"/>
          <w:color w:val="auto"/>
        </w:rPr>
      </w:pPr>
      <w:r>
        <w:rPr>
          <w:rFonts w:ascii="Arial" w:cs="Arial" w:eastAsia="Arial" w:hAnsi="Arial"/>
          <w:sz w:val="13"/>
          <w:szCs w:val="13"/>
          <w:color w:val="007CBA"/>
        </w:rPr>
        <w:t>2019 PROXY STATEMENT</w:t>
      </w:r>
    </w:p>
    <w:p>
      <w:pPr>
        <w:sectPr>
          <w:pgSz w:w="11900" w:h="16838" w:orient="portrait"/>
          <w:cols w:equalWidth="0" w:num="1">
            <w:col w:w="11260"/>
          </w:cols>
          <w:pgMar w:left="240" w:top="459" w:right="39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9" w:lineRule="exact"/>
        <w:rPr>
          <w:sz w:val="20"/>
          <w:szCs w:val="20"/>
          <w:color w:val="auto"/>
        </w:rPr>
      </w:pPr>
    </w:p>
    <w:p>
      <w:pPr>
        <w:ind w:left="8400"/>
        <w:spacing w:after="0" w:line="288" w:lineRule="exact"/>
        <w:rPr>
          <w:sz w:val="20"/>
          <w:szCs w:val="20"/>
          <w:color w:val="auto"/>
        </w:rPr>
      </w:pPr>
      <w:r>
        <w:rPr>
          <w:rFonts w:ascii="Arial" w:cs="Arial" w:eastAsia="Arial" w:hAnsi="Arial"/>
          <w:sz w:val="13"/>
          <w:szCs w:val="13"/>
          <w:color w:val="auto"/>
        </w:rPr>
        <w:t xml:space="preserve">Board Committees </w:t>
      </w:r>
      <w:r>
        <w:rPr>
          <w:rFonts w:ascii="MS PGothic" w:cs="MS PGothic" w:eastAsia="MS PGothic" w:hAnsi="MS PGothic"/>
          <w:sz w:val="25"/>
          <w:szCs w:val="25"/>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278130</wp:posOffset>
            </wp:positionV>
            <wp:extent cx="7023735" cy="2321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23735" cy="2321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3880" w:type="dxa"/>
            <w:vAlign w:val="bottom"/>
            <w:tcBorders>
              <w:right w:val="single" w:sz="8" w:color="007CBA"/>
            </w:tcBorders>
          </w:tcPr>
          <w:p>
            <w:pPr>
              <w:ind w:left="220"/>
              <w:spacing w:after="0"/>
              <w:rPr>
                <w:sz w:val="20"/>
                <w:szCs w:val="20"/>
                <w:color w:val="auto"/>
              </w:rPr>
            </w:pPr>
            <w:r>
              <w:rPr>
                <w:rFonts w:ascii="Arial" w:cs="Arial" w:eastAsia="Arial" w:hAnsi="Arial"/>
                <w:sz w:val="14"/>
                <w:szCs w:val="14"/>
                <w:b w:val="1"/>
                <w:bCs w:val="1"/>
                <w:i w:val="1"/>
                <w:iCs w:val="1"/>
                <w:color w:val="007CBA"/>
              </w:rPr>
              <w:t>Current Members:</w:t>
            </w:r>
          </w:p>
        </w:tc>
        <w:tc>
          <w:tcPr>
            <w:tcW w:w="3640" w:type="dxa"/>
            <w:vAlign w:val="bottom"/>
            <w:tcBorders>
              <w:right w:val="single" w:sz="8" w:color="007CBA"/>
            </w:tcBorders>
          </w:tcPr>
          <w:p>
            <w:pPr>
              <w:spacing w:after="0"/>
              <w:rPr>
                <w:sz w:val="20"/>
                <w:szCs w:val="20"/>
                <w:color w:val="auto"/>
              </w:rPr>
            </w:pPr>
          </w:p>
        </w:tc>
        <w:tc>
          <w:tcPr>
            <w:tcW w:w="3540" w:type="dxa"/>
            <w:vAlign w:val="bottom"/>
          </w:tcPr>
          <w:p>
            <w:pPr>
              <w:spacing w:after="0"/>
              <w:rPr>
                <w:sz w:val="20"/>
                <w:szCs w:val="20"/>
                <w:color w:val="auto"/>
              </w:rPr>
            </w:pPr>
          </w:p>
        </w:tc>
      </w:tr>
      <w:tr>
        <w:trPr>
          <w:trHeight w:val="171"/>
        </w:trPr>
        <w:tc>
          <w:tcPr>
            <w:tcW w:w="3880" w:type="dxa"/>
            <w:vAlign w:val="bottom"/>
            <w:tcBorders>
              <w:right w:val="single" w:sz="8" w:color="007CBA"/>
            </w:tcBorders>
          </w:tcPr>
          <w:p>
            <w:pPr>
              <w:ind w:left="220"/>
              <w:spacing w:after="0"/>
              <w:rPr>
                <w:sz w:val="20"/>
                <w:szCs w:val="20"/>
                <w:color w:val="auto"/>
              </w:rPr>
            </w:pPr>
            <w:r>
              <w:rPr>
                <w:rFonts w:ascii="Arial" w:cs="Arial" w:eastAsia="Arial" w:hAnsi="Arial"/>
                <w:sz w:val="14"/>
                <w:szCs w:val="14"/>
                <w:color w:val="auto"/>
              </w:rPr>
              <w:t>Dennis L. Rediker (Chair)</w:t>
            </w:r>
          </w:p>
        </w:tc>
        <w:tc>
          <w:tcPr>
            <w:tcW w:w="3640" w:type="dxa"/>
            <w:vAlign w:val="bottom"/>
            <w:tcBorders>
              <w:right w:val="single" w:sz="8" w:color="007CBA"/>
            </w:tcBorders>
          </w:tcPr>
          <w:p>
            <w:pPr>
              <w:jc w:val="center"/>
              <w:ind w:left="8"/>
              <w:spacing w:after="0"/>
              <w:rPr>
                <w:sz w:val="20"/>
                <w:szCs w:val="20"/>
                <w:color w:val="auto"/>
              </w:rPr>
            </w:pPr>
            <w:r>
              <w:rPr>
                <w:rFonts w:ascii="Arial" w:cs="Arial" w:eastAsia="Arial" w:hAnsi="Arial"/>
                <w:sz w:val="14"/>
                <w:szCs w:val="14"/>
                <w:b w:val="1"/>
                <w:bCs w:val="1"/>
                <w:i w:val="1"/>
                <w:iCs w:val="1"/>
                <w:color w:val="007CBA"/>
              </w:rPr>
              <w:t>Meetings in 2018:</w:t>
            </w:r>
          </w:p>
        </w:tc>
        <w:tc>
          <w:tcPr>
            <w:tcW w:w="3540" w:type="dxa"/>
            <w:vAlign w:val="bottom"/>
          </w:tcPr>
          <w:p>
            <w:pPr>
              <w:jc w:val="center"/>
              <w:spacing w:after="0"/>
              <w:rPr>
                <w:sz w:val="20"/>
                <w:szCs w:val="20"/>
                <w:color w:val="auto"/>
              </w:rPr>
            </w:pPr>
            <w:r>
              <w:rPr>
                <w:rFonts w:ascii="Arial" w:cs="Arial" w:eastAsia="Arial" w:hAnsi="Arial"/>
                <w:sz w:val="14"/>
                <w:szCs w:val="14"/>
                <w:b w:val="1"/>
                <w:bCs w:val="1"/>
                <w:i w:val="1"/>
                <w:iCs w:val="1"/>
                <w:color w:val="007CBA"/>
              </w:rPr>
              <w:t>Average Attendance in 2018:</w:t>
            </w:r>
          </w:p>
        </w:tc>
      </w:tr>
      <w:tr>
        <w:trPr>
          <w:trHeight w:val="162"/>
        </w:trPr>
        <w:tc>
          <w:tcPr>
            <w:tcW w:w="3880" w:type="dxa"/>
            <w:vAlign w:val="bottom"/>
            <w:tcBorders>
              <w:right w:val="single" w:sz="8" w:color="007CBA"/>
            </w:tcBorders>
          </w:tcPr>
          <w:p>
            <w:pPr>
              <w:ind w:left="220"/>
              <w:spacing w:after="0"/>
              <w:rPr>
                <w:sz w:val="20"/>
                <w:szCs w:val="20"/>
                <w:color w:val="auto"/>
              </w:rPr>
            </w:pPr>
            <w:r>
              <w:rPr>
                <w:rFonts w:ascii="Arial" w:cs="Arial" w:eastAsia="Arial" w:hAnsi="Arial"/>
                <w:sz w:val="14"/>
                <w:szCs w:val="14"/>
                <w:color w:val="auto"/>
              </w:rPr>
              <w:t>Smith W. Davis</w:t>
            </w:r>
          </w:p>
        </w:tc>
        <w:tc>
          <w:tcPr>
            <w:tcW w:w="3640" w:type="dxa"/>
            <w:vAlign w:val="bottom"/>
            <w:tcBorders>
              <w:right w:val="single" w:sz="8" w:color="007CBA"/>
            </w:tcBorders>
          </w:tcPr>
          <w:p>
            <w:pPr>
              <w:jc w:val="right"/>
              <w:ind w:right="1668"/>
              <w:spacing w:after="0"/>
              <w:rPr>
                <w:sz w:val="20"/>
                <w:szCs w:val="20"/>
                <w:color w:val="auto"/>
              </w:rPr>
            </w:pPr>
            <w:r>
              <w:rPr>
                <w:rFonts w:ascii="Arial" w:cs="Arial" w:eastAsia="Arial" w:hAnsi="Arial"/>
                <w:sz w:val="14"/>
                <w:szCs w:val="14"/>
                <w:color w:val="auto"/>
              </w:rPr>
              <w:t>2</w:t>
            </w:r>
          </w:p>
        </w:tc>
        <w:tc>
          <w:tcPr>
            <w:tcW w:w="3540" w:type="dxa"/>
            <w:vAlign w:val="bottom"/>
          </w:tcPr>
          <w:p>
            <w:pPr>
              <w:jc w:val="right"/>
              <w:ind w:right="1488"/>
              <w:spacing w:after="0"/>
              <w:rPr>
                <w:sz w:val="20"/>
                <w:szCs w:val="20"/>
                <w:color w:val="auto"/>
              </w:rPr>
            </w:pPr>
            <w:r>
              <w:rPr>
                <w:rFonts w:ascii="Arial" w:cs="Arial" w:eastAsia="Arial" w:hAnsi="Arial"/>
                <w:sz w:val="14"/>
                <w:szCs w:val="14"/>
                <w:color w:val="auto"/>
              </w:rPr>
              <w:t>100%</w:t>
            </w:r>
          </w:p>
        </w:tc>
      </w:tr>
      <w:tr>
        <w:trPr>
          <w:trHeight w:val="153"/>
        </w:trPr>
        <w:tc>
          <w:tcPr>
            <w:tcW w:w="3880" w:type="dxa"/>
            <w:vAlign w:val="bottom"/>
            <w:tcBorders>
              <w:right w:val="single" w:sz="8" w:color="007CBA"/>
            </w:tcBorders>
          </w:tcPr>
          <w:p>
            <w:pPr>
              <w:ind w:left="220"/>
              <w:spacing w:after="0" w:line="153" w:lineRule="exact"/>
              <w:rPr>
                <w:sz w:val="20"/>
                <w:szCs w:val="20"/>
                <w:color w:val="auto"/>
              </w:rPr>
            </w:pPr>
            <w:r>
              <w:rPr>
                <w:rFonts w:ascii="Arial" w:cs="Arial" w:eastAsia="Arial" w:hAnsi="Arial"/>
                <w:sz w:val="14"/>
                <w:szCs w:val="14"/>
                <w:color w:val="auto"/>
              </w:rPr>
              <w:t>Laree E. Perez</w:t>
            </w:r>
          </w:p>
        </w:tc>
        <w:tc>
          <w:tcPr>
            <w:tcW w:w="3640" w:type="dxa"/>
            <w:vAlign w:val="bottom"/>
            <w:tcBorders>
              <w:right w:val="single" w:sz="8" w:color="007CBA"/>
            </w:tcBorders>
          </w:tcPr>
          <w:p>
            <w:pPr>
              <w:spacing w:after="0"/>
              <w:rPr>
                <w:sz w:val="13"/>
                <w:szCs w:val="13"/>
                <w:color w:val="auto"/>
              </w:rPr>
            </w:pPr>
          </w:p>
        </w:tc>
        <w:tc>
          <w:tcPr>
            <w:tcW w:w="3540" w:type="dxa"/>
            <w:vAlign w:val="bottom"/>
          </w:tcPr>
          <w:p>
            <w:pPr>
              <w:spacing w:after="0"/>
              <w:rPr>
                <w:sz w:val="13"/>
                <w:szCs w:val="13"/>
                <w:color w:val="auto"/>
              </w:rPr>
            </w:pPr>
          </w:p>
        </w:tc>
      </w:tr>
      <w:tr>
        <w:trPr>
          <w:trHeight w:val="171"/>
        </w:trPr>
        <w:tc>
          <w:tcPr>
            <w:tcW w:w="3880" w:type="dxa"/>
            <w:vAlign w:val="bottom"/>
            <w:tcBorders>
              <w:bottom w:val="single" w:sz="8" w:color="007CBA"/>
              <w:right w:val="single" w:sz="8" w:color="007CBA"/>
            </w:tcBorders>
          </w:tcPr>
          <w:p>
            <w:pPr>
              <w:ind w:left="220"/>
              <w:spacing w:after="0"/>
              <w:rPr>
                <w:sz w:val="20"/>
                <w:szCs w:val="20"/>
                <w:color w:val="auto"/>
              </w:rPr>
            </w:pPr>
            <w:r>
              <w:rPr>
                <w:rFonts w:ascii="Arial" w:cs="Arial" w:eastAsia="Arial" w:hAnsi="Arial"/>
                <w:sz w:val="14"/>
                <w:szCs w:val="14"/>
                <w:color w:val="auto"/>
              </w:rPr>
              <w:t>Stephen P. Zelnak, Jr.</w:t>
            </w:r>
          </w:p>
        </w:tc>
        <w:tc>
          <w:tcPr>
            <w:tcW w:w="3640" w:type="dxa"/>
            <w:vAlign w:val="bottom"/>
            <w:tcBorders>
              <w:bottom w:val="single" w:sz="8" w:color="007CBA"/>
              <w:right w:val="single" w:sz="8" w:color="007CBA"/>
            </w:tcBorders>
          </w:tcPr>
          <w:p>
            <w:pPr>
              <w:spacing w:after="0"/>
              <w:rPr>
                <w:sz w:val="14"/>
                <w:szCs w:val="14"/>
                <w:color w:val="auto"/>
              </w:rPr>
            </w:pPr>
          </w:p>
        </w:tc>
        <w:tc>
          <w:tcPr>
            <w:tcW w:w="3540" w:type="dxa"/>
            <w:vAlign w:val="bottom"/>
            <w:tcBorders>
              <w:bottom w:val="single" w:sz="8" w:color="007CBA"/>
            </w:tcBorders>
          </w:tcPr>
          <w:p>
            <w:pPr>
              <w:spacing w:after="0"/>
              <w:rPr>
                <w:sz w:val="14"/>
                <w:szCs w:val="14"/>
                <w:color w:val="auto"/>
              </w:rPr>
            </w:pPr>
          </w:p>
        </w:tc>
      </w:tr>
      <w:tr>
        <w:trPr>
          <w:trHeight w:val="238"/>
        </w:trPr>
        <w:tc>
          <w:tcPr>
            <w:tcW w:w="3880" w:type="dxa"/>
            <w:vAlign w:val="bottom"/>
          </w:tcPr>
          <w:p>
            <w:pPr>
              <w:ind w:left="220"/>
              <w:spacing w:after="0"/>
              <w:rPr>
                <w:sz w:val="20"/>
                <w:szCs w:val="20"/>
                <w:color w:val="auto"/>
              </w:rPr>
            </w:pPr>
            <w:r>
              <w:rPr>
                <w:rFonts w:ascii="Arial" w:cs="Arial" w:eastAsia="Arial" w:hAnsi="Arial"/>
                <w:sz w:val="14"/>
                <w:szCs w:val="14"/>
                <w:b w:val="1"/>
                <w:bCs w:val="1"/>
                <w:i w:val="1"/>
                <w:iCs w:val="1"/>
                <w:color w:val="007CBA"/>
              </w:rPr>
              <w:t>Primary Responsibilities:</w:t>
            </w:r>
          </w:p>
        </w:tc>
        <w:tc>
          <w:tcPr>
            <w:tcW w:w="3640" w:type="dxa"/>
            <w:vAlign w:val="bottom"/>
          </w:tcPr>
          <w:p>
            <w:pPr>
              <w:spacing w:after="0"/>
              <w:rPr>
                <w:sz w:val="20"/>
                <w:szCs w:val="20"/>
                <w:color w:val="auto"/>
              </w:rPr>
            </w:pPr>
          </w:p>
        </w:tc>
        <w:tc>
          <w:tcPr>
            <w:tcW w:w="3540" w:type="dxa"/>
            <w:vAlign w:val="bottom"/>
          </w:tcPr>
          <w:p>
            <w:pPr>
              <w:spacing w:after="0"/>
              <w:rPr>
                <w:sz w:val="20"/>
                <w:szCs w:val="20"/>
                <w:color w:val="auto"/>
              </w:rPr>
            </w:pPr>
          </w:p>
        </w:tc>
      </w:tr>
    </w:tbl>
    <w:p>
      <w:pPr>
        <w:spacing w:after="0" w:line="43" w:lineRule="exact"/>
        <w:rPr>
          <w:sz w:val="20"/>
          <w:szCs w:val="20"/>
          <w:color w:val="auto"/>
        </w:rPr>
      </w:pPr>
    </w:p>
    <w:p>
      <w:pPr>
        <w:jc w:val="both"/>
        <w:ind w:left="660" w:right="60" w:hanging="221"/>
        <w:spacing w:after="0" w:line="260" w:lineRule="auto"/>
        <w:tabs>
          <w:tab w:leader="none" w:pos="667" w:val="left"/>
        </w:tabs>
        <w:numPr>
          <w:ilvl w:val="0"/>
          <w:numId w:val="36"/>
        </w:numPr>
        <w:rPr>
          <w:rFonts w:ascii="Arial" w:cs="Arial" w:eastAsia="Arial" w:hAnsi="Arial"/>
          <w:sz w:val="14"/>
          <w:szCs w:val="14"/>
          <w:color w:val="007CBA"/>
        </w:rPr>
      </w:pPr>
      <w:r>
        <w:rPr>
          <w:rFonts w:ascii="Arial" w:cs="Arial" w:eastAsia="Arial" w:hAnsi="Arial"/>
          <w:sz w:val="14"/>
          <w:szCs w:val="14"/>
          <w:color w:val="auto"/>
        </w:rPr>
        <w:t xml:space="preserve">Monitors compliance with our </w:t>
      </w:r>
      <w:r>
        <w:rPr>
          <w:rFonts w:ascii="Arial" w:cs="Arial" w:eastAsia="Arial" w:hAnsi="Arial"/>
          <w:sz w:val="14"/>
          <w:szCs w:val="14"/>
          <w:i w:val="1"/>
          <w:iCs w:val="1"/>
          <w:color w:val="auto"/>
        </w:rPr>
        <w:t>Code of Ethical Business Conduct</w:t>
      </w:r>
      <w:r>
        <w:rPr>
          <w:rFonts w:ascii="Arial" w:cs="Arial" w:eastAsia="Arial" w:hAnsi="Arial"/>
          <w:sz w:val="14"/>
          <w:szCs w:val="14"/>
          <w:color w:val="auto"/>
        </w:rPr>
        <w:t xml:space="preserve"> and reviews all matters presented to it by the Corporate Ethics Officer concerning the ethical practices of Martin Marietta and its Directors, officers, and employees, including conflicts or potential conflicts of interest between Martin Marietta and any of its Directors, officers, and employees.</w:t>
      </w:r>
    </w:p>
    <w:p>
      <w:pPr>
        <w:spacing w:after="0" w:line="39" w:lineRule="exact"/>
        <w:rPr>
          <w:rFonts w:ascii="Arial" w:cs="Arial" w:eastAsia="Arial" w:hAnsi="Arial"/>
          <w:sz w:val="14"/>
          <w:szCs w:val="14"/>
          <w:color w:val="007CBA"/>
        </w:rPr>
      </w:pPr>
    </w:p>
    <w:p>
      <w:pPr>
        <w:ind w:left="660" w:hanging="221"/>
        <w:spacing w:after="0"/>
        <w:tabs>
          <w:tab w:leader="none" w:pos="660" w:val="left"/>
        </w:tabs>
        <w:numPr>
          <w:ilvl w:val="0"/>
          <w:numId w:val="36"/>
        </w:numPr>
        <w:rPr>
          <w:rFonts w:ascii="Arial" w:cs="Arial" w:eastAsia="Arial" w:hAnsi="Arial"/>
          <w:sz w:val="14"/>
          <w:szCs w:val="14"/>
          <w:b w:val="1"/>
          <w:bCs w:val="1"/>
          <w:color w:val="007CBA"/>
        </w:rPr>
      </w:pPr>
      <w:r>
        <w:rPr>
          <w:rFonts w:ascii="Arial" w:cs="Arial" w:eastAsia="Arial" w:hAnsi="Arial"/>
          <w:sz w:val="14"/>
          <w:szCs w:val="14"/>
          <w:b w:val="1"/>
          <w:bCs w:val="1"/>
          <w:color w:val="auto"/>
        </w:rPr>
        <w:t>Reviews and discusses our sustainability efforts and annual Sustainability Report.</w:t>
      </w:r>
    </w:p>
    <w:p>
      <w:pPr>
        <w:spacing w:after="0" w:line="99" w:lineRule="exact"/>
        <w:rPr>
          <w:rFonts w:ascii="Arial" w:cs="Arial" w:eastAsia="Arial" w:hAnsi="Arial"/>
          <w:sz w:val="14"/>
          <w:szCs w:val="14"/>
          <w:b w:val="1"/>
          <w:bCs w:val="1"/>
          <w:color w:val="007CBA"/>
        </w:rPr>
      </w:pPr>
    </w:p>
    <w:p>
      <w:pPr>
        <w:ind w:left="660" w:hanging="221"/>
        <w:spacing w:after="0"/>
        <w:tabs>
          <w:tab w:leader="none" w:pos="660" w:val="left"/>
        </w:tabs>
        <w:numPr>
          <w:ilvl w:val="0"/>
          <w:numId w:val="36"/>
        </w:numPr>
        <w:rPr>
          <w:rFonts w:ascii="Arial" w:cs="Arial" w:eastAsia="Arial" w:hAnsi="Arial"/>
          <w:sz w:val="14"/>
          <w:szCs w:val="14"/>
          <w:color w:val="007CBA"/>
        </w:rPr>
      </w:pPr>
      <w:r>
        <w:rPr>
          <w:rFonts w:ascii="Arial" w:cs="Arial" w:eastAsia="Arial" w:hAnsi="Arial"/>
          <w:sz w:val="14"/>
          <w:szCs w:val="14"/>
          <w:color w:val="auto"/>
        </w:rPr>
        <w:t>Reviews and monitors the adequacy of our policies and procedures and organizational structure for ensuring compliance with environmental laws and regulations.</w:t>
      </w:r>
    </w:p>
    <w:p>
      <w:pPr>
        <w:spacing w:after="0" w:line="81" w:lineRule="exact"/>
        <w:rPr>
          <w:rFonts w:ascii="Arial" w:cs="Arial" w:eastAsia="Arial" w:hAnsi="Arial"/>
          <w:sz w:val="14"/>
          <w:szCs w:val="14"/>
          <w:color w:val="007CBA"/>
        </w:rPr>
      </w:pPr>
    </w:p>
    <w:p>
      <w:pPr>
        <w:ind w:left="660" w:hanging="221"/>
        <w:spacing w:after="0"/>
        <w:tabs>
          <w:tab w:leader="none" w:pos="660" w:val="left"/>
        </w:tabs>
        <w:numPr>
          <w:ilvl w:val="0"/>
          <w:numId w:val="36"/>
        </w:numPr>
        <w:rPr>
          <w:rFonts w:ascii="Arial" w:cs="Arial" w:eastAsia="Arial" w:hAnsi="Arial"/>
          <w:sz w:val="14"/>
          <w:szCs w:val="14"/>
          <w:color w:val="007CBA"/>
        </w:rPr>
      </w:pPr>
      <w:r>
        <w:rPr>
          <w:rFonts w:ascii="Arial" w:cs="Arial" w:eastAsia="Arial" w:hAnsi="Arial"/>
          <w:sz w:val="14"/>
          <w:szCs w:val="14"/>
          <w:color w:val="auto"/>
        </w:rPr>
        <w:t>Reviews matters relating to our health and safety programs and performance.</w:t>
      </w:r>
    </w:p>
    <w:p>
      <w:pPr>
        <w:spacing w:after="0" w:line="81" w:lineRule="exact"/>
        <w:rPr>
          <w:rFonts w:ascii="Arial" w:cs="Arial" w:eastAsia="Arial" w:hAnsi="Arial"/>
          <w:sz w:val="14"/>
          <w:szCs w:val="14"/>
          <w:color w:val="007CBA"/>
        </w:rPr>
      </w:pPr>
    </w:p>
    <w:p>
      <w:pPr>
        <w:ind w:left="660" w:hanging="221"/>
        <w:spacing w:after="0"/>
        <w:tabs>
          <w:tab w:leader="none" w:pos="660" w:val="left"/>
        </w:tabs>
        <w:numPr>
          <w:ilvl w:val="0"/>
          <w:numId w:val="36"/>
        </w:numPr>
        <w:rPr>
          <w:rFonts w:ascii="Arial" w:cs="Arial" w:eastAsia="Arial" w:hAnsi="Arial"/>
          <w:sz w:val="14"/>
          <w:szCs w:val="14"/>
          <w:color w:val="007CBA"/>
        </w:rPr>
      </w:pPr>
      <w:r>
        <w:rPr>
          <w:rFonts w:ascii="Arial" w:cs="Arial" w:eastAsia="Arial" w:hAnsi="Arial"/>
          <w:sz w:val="14"/>
          <w:szCs w:val="14"/>
          <w:color w:val="auto"/>
        </w:rPr>
        <w:t>Reviews annually the adequacy of the Committee charter and recommends proposed changes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194310</wp:posOffset>
            </wp:positionV>
            <wp:extent cx="6989445" cy="7366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89445" cy="736600"/>
                    </a:xfrm>
                    <a:prstGeom prst="rect">
                      <a:avLst/>
                    </a:prstGeom>
                    <a:noFill/>
                  </pic:spPr>
                </pic:pic>
              </a:graphicData>
            </a:graphic>
          </wp:anchor>
        </w:drawing>
      </w:r>
    </w:p>
    <w:p>
      <w:pPr>
        <w:spacing w:after="0" w:line="286" w:lineRule="exact"/>
        <w:rPr>
          <w:sz w:val="20"/>
          <w:szCs w:val="20"/>
          <w:color w:val="auto"/>
        </w:rPr>
      </w:pPr>
    </w:p>
    <w:tbl>
      <w:tblPr>
        <w:tblLayout w:type="fixed"/>
        <w:tblInd w:w="220" w:type="dxa"/>
        <w:tblCellMar>
          <w:top w:w="0" w:type="dxa"/>
          <w:left w:w="0" w:type="dxa"/>
          <w:bottom w:w="0" w:type="dxa"/>
          <w:right w:w="0" w:type="dxa"/>
        </w:tblCellMar>
      </w:tblPr>
      <w:tr>
        <w:trPr>
          <w:trHeight w:val="1160"/>
        </w:trPr>
        <w:tc>
          <w:tcPr>
            <w:tcW w:w="3860" w:type="dxa"/>
            <w:vAlign w:val="bottom"/>
            <w:tcBorders>
              <w:right w:val="single" w:sz="8" w:color="007CBA"/>
            </w:tcBorders>
            <w:shd w:val="clear" w:color="auto" w:fill="007CBA"/>
          </w:tcPr>
          <w:p>
            <w:pPr>
              <w:spacing w:after="0"/>
              <w:rPr>
                <w:sz w:val="24"/>
                <w:szCs w:val="24"/>
                <w:color w:val="auto"/>
              </w:rPr>
            </w:pPr>
          </w:p>
        </w:tc>
        <w:tc>
          <w:tcPr>
            <w:tcW w:w="3660" w:type="dxa"/>
            <w:vAlign w:val="bottom"/>
            <w:tcBorders>
              <w:right w:val="single" w:sz="8" w:color="007CBA"/>
            </w:tcBorders>
            <w:shd w:val="clear" w:color="auto" w:fill="007CBA"/>
          </w:tcPr>
          <w:p>
            <w:pPr>
              <w:spacing w:after="0"/>
              <w:rPr>
                <w:sz w:val="24"/>
                <w:szCs w:val="24"/>
                <w:color w:val="auto"/>
              </w:rPr>
            </w:pPr>
          </w:p>
        </w:tc>
        <w:tc>
          <w:tcPr>
            <w:tcW w:w="3480" w:type="dxa"/>
            <w:vAlign w:val="bottom"/>
            <w:shd w:val="clear" w:color="auto" w:fill="007CBA"/>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60" w:type="dxa"/>
            <w:vAlign w:val="bottom"/>
            <w:tcBorders>
              <w:right w:val="single" w:sz="8" w:color="007CBA"/>
            </w:tcBorders>
          </w:tcPr>
          <w:p>
            <w:pPr>
              <w:ind w:left="220"/>
              <w:spacing w:after="0"/>
              <w:rPr>
                <w:sz w:val="20"/>
                <w:szCs w:val="20"/>
                <w:color w:val="auto"/>
              </w:rPr>
            </w:pPr>
            <w:r>
              <w:rPr>
                <w:rFonts w:ascii="Arial" w:cs="Arial" w:eastAsia="Arial" w:hAnsi="Arial"/>
                <w:sz w:val="14"/>
                <w:szCs w:val="14"/>
                <w:b w:val="1"/>
                <w:bCs w:val="1"/>
                <w:i w:val="1"/>
                <w:iCs w:val="1"/>
                <w:color w:val="007CBA"/>
              </w:rPr>
              <w:t>Current Members:</w:t>
            </w:r>
          </w:p>
        </w:tc>
        <w:tc>
          <w:tcPr>
            <w:tcW w:w="3660" w:type="dxa"/>
            <w:vAlign w:val="bottom"/>
            <w:tcBorders>
              <w:right w:val="single" w:sz="8" w:color="007CBA"/>
            </w:tcBorders>
            <w:vMerge w:val="restart"/>
          </w:tcPr>
          <w:p>
            <w:pPr>
              <w:jc w:val="center"/>
              <w:ind w:left="8"/>
              <w:spacing w:after="0"/>
              <w:rPr>
                <w:sz w:val="20"/>
                <w:szCs w:val="20"/>
                <w:color w:val="auto"/>
              </w:rPr>
            </w:pPr>
            <w:r>
              <w:rPr>
                <w:rFonts w:ascii="Arial" w:cs="Arial" w:eastAsia="Arial" w:hAnsi="Arial"/>
                <w:sz w:val="14"/>
                <w:szCs w:val="14"/>
                <w:b w:val="1"/>
                <w:bCs w:val="1"/>
                <w:i w:val="1"/>
                <w:iCs w:val="1"/>
                <w:color w:val="007CBA"/>
              </w:rPr>
              <w:t>Meetings in 2018:</w:t>
            </w:r>
          </w:p>
        </w:tc>
        <w:tc>
          <w:tcPr>
            <w:tcW w:w="3500" w:type="dxa"/>
            <w:vAlign w:val="bottom"/>
            <w:gridSpan w:val="2"/>
            <w:vMerge w:val="restart"/>
          </w:tcPr>
          <w:p>
            <w:pPr>
              <w:jc w:val="center"/>
              <w:spacing w:after="0"/>
              <w:rPr>
                <w:sz w:val="20"/>
                <w:szCs w:val="20"/>
                <w:color w:val="auto"/>
              </w:rPr>
            </w:pPr>
            <w:r>
              <w:rPr>
                <w:rFonts w:ascii="Arial" w:cs="Arial" w:eastAsia="Arial" w:hAnsi="Arial"/>
                <w:sz w:val="14"/>
                <w:szCs w:val="14"/>
                <w:b w:val="1"/>
                <w:bCs w:val="1"/>
                <w:i w:val="1"/>
                <w:iCs w:val="1"/>
                <w:color w:val="007CBA"/>
              </w:rPr>
              <w:t>Average Attendance in 2018:</w:t>
            </w:r>
          </w:p>
        </w:tc>
        <w:tc>
          <w:tcPr>
            <w:tcW w:w="0" w:type="dxa"/>
            <w:vAlign w:val="bottom"/>
          </w:tcPr>
          <w:p>
            <w:pPr>
              <w:spacing w:after="0"/>
              <w:rPr>
                <w:sz w:val="1"/>
                <w:szCs w:val="1"/>
                <w:color w:val="auto"/>
              </w:rPr>
            </w:pPr>
          </w:p>
        </w:tc>
      </w:tr>
      <w:tr>
        <w:trPr>
          <w:trHeight w:val="130"/>
        </w:trPr>
        <w:tc>
          <w:tcPr>
            <w:tcW w:w="3860" w:type="dxa"/>
            <w:vAlign w:val="bottom"/>
            <w:tcBorders>
              <w:right w:val="single" w:sz="8" w:color="007CBA"/>
            </w:tcBorders>
          </w:tcPr>
          <w:p>
            <w:pPr>
              <w:ind w:left="220"/>
              <w:spacing w:after="0" w:line="131" w:lineRule="exact"/>
              <w:rPr>
                <w:sz w:val="20"/>
                <w:szCs w:val="20"/>
                <w:color w:val="auto"/>
              </w:rPr>
            </w:pPr>
            <w:r>
              <w:rPr>
                <w:rFonts w:ascii="Arial" w:cs="Arial" w:eastAsia="Arial" w:hAnsi="Arial"/>
                <w:sz w:val="14"/>
                <w:szCs w:val="14"/>
                <w:color w:val="auto"/>
              </w:rPr>
              <w:t>Stephen P. Zelnak, Jr. (Chair)</w:t>
            </w:r>
          </w:p>
        </w:tc>
        <w:tc>
          <w:tcPr>
            <w:tcW w:w="3660" w:type="dxa"/>
            <w:vAlign w:val="bottom"/>
            <w:tcBorders>
              <w:right w:val="single" w:sz="8" w:color="007CBA"/>
            </w:tcBorders>
            <w:vMerge w:val="continue"/>
          </w:tcPr>
          <w:p>
            <w:pPr>
              <w:spacing w:after="0"/>
              <w:rPr>
                <w:sz w:val="11"/>
                <w:szCs w:val="11"/>
                <w:color w:val="auto"/>
              </w:rPr>
            </w:pPr>
          </w:p>
        </w:tc>
        <w:tc>
          <w:tcPr>
            <w:tcW w:w="35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3860" w:type="dxa"/>
            <w:vAlign w:val="bottom"/>
            <w:tcBorders>
              <w:right w:val="single" w:sz="8" w:color="007CBA"/>
            </w:tcBorders>
          </w:tcPr>
          <w:p>
            <w:pPr>
              <w:ind w:left="220"/>
              <w:spacing w:after="0"/>
              <w:rPr>
                <w:sz w:val="20"/>
                <w:szCs w:val="20"/>
                <w:color w:val="auto"/>
              </w:rPr>
            </w:pPr>
            <w:r>
              <w:rPr>
                <w:rFonts w:ascii="Arial" w:cs="Arial" w:eastAsia="Arial" w:hAnsi="Arial"/>
                <w:sz w:val="14"/>
                <w:szCs w:val="14"/>
                <w:color w:val="auto"/>
              </w:rPr>
              <w:t>Michael J. Quillen</w:t>
            </w:r>
          </w:p>
        </w:tc>
        <w:tc>
          <w:tcPr>
            <w:tcW w:w="3660" w:type="dxa"/>
            <w:vAlign w:val="bottom"/>
            <w:tcBorders>
              <w:right w:val="single" w:sz="8" w:color="007CBA"/>
            </w:tcBorders>
          </w:tcPr>
          <w:p>
            <w:pPr>
              <w:jc w:val="right"/>
              <w:ind w:right="1668"/>
              <w:spacing w:after="0"/>
              <w:rPr>
                <w:sz w:val="20"/>
                <w:szCs w:val="20"/>
                <w:color w:val="auto"/>
              </w:rPr>
            </w:pPr>
            <w:r>
              <w:rPr>
                <w:rFonts w:ascii="Arial" w:cs="Arial" w:eastAsia="Arial" w:hAnsi="Arial"/>
                <w:sz w:val="14"/>
                <w:szCs w:val="14"/>
                <w:color w:val="auto"/>
              </w:rPr>
              <w:t>4</w:t>
            </w:r>
          </w:p>
        </w:tc>
        <w:tc>
          <w:tcPr>
            <w:tcW w:w="3480" w:type="dxa"/>
            <w:vAlign w:val="bottom"/>
          </w:tcPr>
          <w:p>
            <w:pPr>
              <w:jc w:val="right"/>
              <w:ind w:right="1468"/>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860" w:type="dxa"/>
            <w:vAlign w:val="bottom"/>
            <w:tcBorders>
              <w:bottom w:val="single" w:sz="8" w:color="007CBA"/>
              <w:right w:val="single" w:sz="8" w:color="007CBA"/>
            </w:tcBorders>
          </w:tcPr>
          <w:p>
            <w:pPr>
              <w:ind w:left="220"/>
              <w:spacing w:after="0"/>
              <w:rPr>
                <w:sz w:val="20"/>
                <w:szCs w:val="20"/>
                <w:color w:val="auto"/>
              </w:rPr>
            </w:pPr>
            <w:r>
              <w:rPr>
                <w:rFonts w:ascii="Arial" w:cs="Arial" w:eastAsia="Arial" w:hAnsi="Arial"/>
                <w:sz w:val="14"/>
                <w:szCs w:val="14"/>
                <w:color w:val="auto"/>
              </w:rPr>
              <w:t>Donald W. Slager</w:t>
            </w:r>
          </w:p>
        </w:tc>
        <w:tc>
          <w:tcPr>
            <w:tcW w:w="3660" w:type="dxa"/>
            <w:vAlign w:val="bottom"/>
            <w:tcBorders>
              <w:bottom w:val="single" w:sz="8" w:color="007CBA"/>
              <w:right w:val="single" w:sz="8" w:color="007CBA"/>
            </w:tcBorders>
          </w:tcPr>
          <w:p>
            <w:pPr>
              <w:spacing w:after="0"/>
              <w:rPr>
                <w:sz w:val="14"/>
                <w:szCs w:val="14"/>
                <w:color w:val="auto"/>
              </w:rPr>
            </w:pPr>
          </w:p>
        </w:tc>
        <w:tc>
          <w:tcPr>
            <w:tcW w:w="3480" w:type="dxa"/>
            <w:vAlign w:val="bottom"/>
            <w:tcBorders>
              <w:bottom w:val="single" w:sz="8" w:color="007CBA"/>
            </w:tcBorders>
          </w:tcPr>
          <w:p>
            <w:pPr>
              <w:spacing w:after="0"/>
              <w:rPr>
                <w:sz w:val="14"/>
                <w:szCs w:val="14"/>
                <w:color w:val="auto"/>
              </w:rPr>
            </w:pPr>
          </w:p>
        </w:tc>
        <w:tc>
          <w:tcPr>
            <w:tcW w:w="20" w:type="dxa"/>
            <w:vAlign w:val="bottom"/>
            <w:tcBorders>
              <w:bottom w:val="single" w:sz="8" w:color="007CB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-470535</wp:posOffset>
            </wp:positionV>
            <wp:extent cx="6998335" cy="14560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8335" cy="1456055"/>
                    </a:xfrm>
                    <a:prstGeom prst="rect">
                      <a:avLst/>
                    </a:prstGeom>
                    <a:noFill/>
                  </pic:spPr>
                </pic:pic>
              </a:graphicData>
            </a:graphic>
          </wp:anchor>
        </w:drawing>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007CBA"/>
        </w:rPr>
        <w:t>Primary Responsibilities:</w:t>
      </w:r>
    </w:p>
    <w:p>
      <w:pPr>
        <w:spacing w:after="0" w:line="17" w:lineRule="exact"/>
        <w:rPr>
          <w:sz w:val="20"/>
          <w:szCs w:val="20"/>
          <w:color w:val="auto"/>
        </w:rPr>
      </w:pPr>
    </w:p>
    <w:p>
      <w:pPr>
        <w:ind w:left="660" w:hanging="221"/>
        <w:spacing w:after="0"/>
        <w:tabs>
          <w:tab w:leader="none" w:pos="660" w:val="left"/>
        </w:tabs>
        <w:numPr>
          <w:ilvl w:val="0"/>
          <w:numId w:val="37"/>
        </w:numPr>
        <w:rPr>
          <w:rFonts w:ascii="Arial" w:cs="Arial" w:eastAsia="Arial" w:hAnsi="Arial"/>
          <w:sz w:val="14"/>
          <w:szCs w:val="14"/>
          <w:color w:val="007CBA"/>
        </w:rPr>
      </w:pPr>
      <w:r>
        <w:rPr>
          <w:rFonts w:ascii="Arial" w:cs="Arial" w:eastAsia="Arial" w:hAnsi="Arial"/>
          <w:sz w:val="14"/>
          <w:szCs w:val="14"/>
          <w:color w:val="auto"/>
        </w:rPr>
        <w:t>Provides general oversight relating to the management of our financial affairs.</w:t>
      </w:r>
    </w:p>
    <w:p>
      <w:pPr>
        <w:spacing w:after="0" w:line="81" w:lineRule="exact"/>
        <w:rPr>
          <w:rFonts w:ascii="Arial" w:cs="Arial" w:eastAsia="Arial" w:hAnsi="Arial"/>
          <w:sz w:val="14"/>
          <w:szCs w:val="14"/>
          <w:color w:val="007CBA"/>
        </w:rPr>
      </w:pPr>
    </w:p>
    <w:p>
      <w:pPr>
        <w:ind w:left="660" w:hanging="221"/>
        <w:spacing w:after="0"/>
        <w:tabs>
          <w:tab w:leader="none" w:pos="660" w:val="left"/>
        </w:tabs>
        <w:numPr>
          <w:ilvl w:val="0"/>
          <w:numId w:val="37"/>
        </w:numPr>
        <w:rPr>
          <w:rFonts w:ascii="Arial" w:cs="Arial" w:eastAsia="Arial" w:hAnsi="Arial"/>
          <w:sz w:val="14"/>
          <w:szCs w:val="14"/>
          <w:color w:val="007CBA"/>
        </w:rPr>
      </w:pPr>
      <w:r>
        <w:rPr>
          <w:rFonts w:ascii="Arial" w:cs="Arial" w:eastAsia="Arial" w:hAnsi="Arial"/>
          <w:sz w:val="14"/>
          <w:szCs w:val="14"/>
          <w:color w:val="auto"/>
        </w:rPr>
        <w:t>Reviews and approves establishment of lines of credit or other short-term borrowing arrangements and investing excess working capital funds on a short-term basis.</w:t>
      </w:r>
    </w:p>
    <w:p>
      <w:pPr>
        <w:spacing w:after="0" w:line="81" w:lineRule="exact"/>
        <w:rPr>
          <w:rFonts w:ascii="Arial" w:cs="Arial" w:eastAsia="Arial" w:hAnsi="Arial"/>
          <w:sz w:val="14"/>
          <w:szCs w:val="14"/>
          <w:color w:val="007CBA"/>
        </w:rPr>
      </w:pPr>
    </w:p>
    <w:p>
      <w:pPr>
        <w:ind w:left="660" w:right="100" w:hanging="221"/>
        <w:spacing w:after="0" w:line="257" w:lineRule="auto"/>
        <w:tabs>
          <w:tab w:leader="none" w:pos="667" w:val="left"/>
        </w:tabs>
        <w:numPr>
          <w:ilvl w:val="0"/>
          <w:numId w:val="37"/>
        </w:numPr>
        <w:rPr>
          <w:rFonts w:ascii="Arial" w:cs="Arial" w:eastAsia="Arial" w:hAnsi="Arial"/>
          <w:sz w:val="14"/>
          <w:szCs w:val="14"/>
          <w:color w:val="007CBA"/>
        </w:rPr>
      </w:pPr>
      <w:r>
        <w:rPr>
          <w:rFonts w:ascii="Arial" w:cs="Arial" w:eastAsia="Arial" w:hAnsi="Arial"/>
          <w:sz w:val="14"/>
          <w:szCs w:val="14"/>
          <w:color w:val="auto"/>
        </w:rPr>
        <w:t>Reviews and makes recommendations to the Board concerning changes to capital structure, including the incurrence of long-term debt, issuance of equity securities, share repurchases, and the payment of dividends, as well as capital expenditures.</w:t>
      </w:r>
    </w:p>
    <w:p>
      <w:pPr>
        <w:spacing w:after="0" w:line="59" w:lineRule="exact"/>
        <w:rPr>
          <w:rFonts w:ascii="Arial" w:cs="Arial" w:eastAsia="Arial" w:hAnsi="Arial"/>
          <w:sz w:val="14"/>
          <w:szCs w:val="14"/>
          <w:color w:val="007CBA"/>
        </w:rPr>
      </w:pPr>
    </w:p>
    <w:p>
      <w:pPr>
        <w:ind w:left="660" w:hanging="221"/>
        <w:spacing w:after="0"/>
        <w:tabs>
          <w:tab w:leader="none" w:pos="660" w:val="left"/>
        </w:tabs>
        <w:numPr>
          <w:ilvl w:val="0"/>
          <w:numId w:val="37"/>
        </w:numPr>
        <w:rPr>
          <w:rFonts w:ascii="Arial" w:cs="Arial" w:eastAsia="Arial" w:hAnsi="Arial"/>
          <w:sz w:val="14"/>
          <w:szCs w:val="14"/>
          <w:color w:val="007CBA"/>
        </w:rPr>
      </w:pPr>
      <w:r>
        <w:rPr>
          <w:rFonts w:ascii="Arial" w:cs="Arial" w:eastAsia="Arial" w:hAnsi="Arial"/>
          <w:sz w:val="14"/>
          <w:szCs w:val="14"/>
          <w:color w:val="auto"/>
        </w:rPr>
        <w:t>Approves our charitable contributions budget.</w:t>
      </w:r>
    </w:p>
    <w:p>
      <w:pPr>
        <w:spacing w:after="0" w:line="81" w:lineRule="exact"/>
        <w:rPr>
          <w:rFonts w:ascii="Arial" w:cs="Arial" w:eastAsia="Arial" w:hAnsi="Arial"/>
          <w:sz w:val="14"/>
          <w:szCs w:val="14"/>
          <w:color w:val="007CBA"/>
        </w:rPr>
      </w:pPr>
    </w:p>
    <w:p>
      <w:pPr>
        <w:ind w:left="660" w:hanging="221"/>
        <w:spacing w:after="0"/>
        <w:tabs>
          <w:tab w:leader="none" w:pos="660" w:val="left"/>
        </w:tabs>
        <w:numPr>
          <w:ilvl w:val="0"/>
          <w:numId w:val="37"/>
        </w:numPr>
        <w:rPr>
          <w:rFonts w:ascii="Arial" w:cs="Arial" w:eastAsia="Arial" w:hAnsi="Arial"/>
          <w:sz w:val="14"/>
          <w:szCs w:val="14"/>
          <w:color w:val="007CBA"/>
        </w:rPr>
      </w:pPr>
      <w:r>
        <w:rPr>
          <w:rFonts w:ascii="Arial" w:cs="Arial" w:eastAsia="Arial" w:hAnsi="Arial"/>
          <w:sz w:val="14"/>
          <w:szCs w:val="14"/>
          <w:color w:val="auto"/>
        </w:rPr>
        <w:t>Reviews annually the adequacy of the Committee charter and recommends proposed changes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3439795</wp:posOffset>
            </wp:positionH>
            <wp:positionV relativeFrom="paragraph">
              <wp:posOffset>125730</wp:posOffset>
            </wp:positionV>
            <wp:extent cx="410845" cy="2482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197" w:lineRule="exact"/>
        <w:rPr>
          <w:sz w:val="20"/>
          <w:szCs w:val="20"/>
          <w:color w:val="auto"/>
        </w:rPr>
      </w:pPr>
    </w:p>
    <w:tbl>
      <w:tblPr>
        <w:tblLayout w:type="fixed"/>
        <w:tblInd w:w="926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2019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13</w:t>
            </w:r>
          </w:p>
        </w:tc>
      </w:tr>
    </w:tbl>
    <w:p>
      <w:pPr>
        <w:sectPr>
          <w:pgSz w:w="11900" w:h="16838" w:orient="portrait"/>
          <w:cols w:equalWidth="0" w:num="1">
            <w:col w:w="11280"/>
          </w:cols>
          <w:pgMar w:left="240" w:top="459" w:right="3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9" w:lineRule="exact"/>
        <w:rPr>
          <w:sz w:val="20"/>
          <w:szCs w:val="20"/>
          <w:color w:val="auto"/>
        </w:rPr>
      </w:pPr>
    </w:p>
    <w:p>
      <w:pPr>
        <w:ind w:left="220"/>
        <w:spacing w:after="0" w:line="288" w:lineRule="exact"/>
        <w:rPr>
          <w:sz w:val="20"/>
          <w:szCs w:val="20"/>
          <w:color w:val="auto"/>
        </w:rPr>
      </w:pPr>
      <w:r>
        <w:rPr>
          <w:rFonts w:ascii="Arial" w:cs="Arial" w:eastAsia="Arial" w:hAnsi="Arial"/>
          <w:sz w:val="13"/>
          <w:szCs w:val="13"/>
          <w:color w:val="007CBA"/>
        </w:rPr>
        <w:t xml:space="preserve">The Board of Directors </w:t>
      </w:r>
      <w:r>
        <w:rPr>
          <w:rFonts w:ascii="MS PGothic" w:cs="MS PGothic" w:eastAsia="MS PGothic" w:hAnsi="MS PGothic"/>
          <w:sz w:val="25"/>
          <w:szCs w:val="25"/>
          <w:color w:val="007CBA"/>
        </w:rPr>
        <w:t>◆</w:t>
      </w:r>
      <w:r>
        <w:rPr>
          <w:rFonts w:ascii="Arial" w:cs="Arial" w:eastAsia="Arial" w:hAnsi="Arial"/>
          <w:sz w:val="13"/>
          <w:szCs w:val="13"/>
          <w:color w:val="007CBA"/>
        </w:rPr>
        <w:t xml:space="preserve"> </w:t>
      </w:r>
      <w:r>
        <w:rPr>
          <w:rFonts w:ascii="Arial" w:cs="Arial" w:eastAsia="Arial" w:hAnsi="Arial"/>
          <w:sz w:val="13"/>
          <w:szCs w:val="13"/>
          <w:color w:val="000000"/>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278130</wp:posOffset>
            </wp:positionV>
            <wp:extent cx="7023735" cy="3597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23735" cy="3597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3900" w:type="dxa"/>
            <w:vAlign w:val="bottom"/>
            <w:tcBorders>
              <w:right w:val="single" w:sz="8" w:color="007CBA"/>
            </w:tcBorders>
          </w:tcPr>
          <w:p>
            <w:pPr>
              <w:ind w:left="220"/>
              <w:spacing w:after="0"/>
              <w:rPr>
                <w:sz w:val="20"/>
                <w:szCs w:val="20"/>
                <w:color w:val="auto"/>
              </w:rPr>
            </w:pPr>
            <w:r>
              <w:rPr>
                <w:rFonts w:ascii="Arial" w:cs="Arial" w:eastAsia="Arial" w:hAnsi="Arial"/>
                <w:sz w:val="14"/>
                <w:szCs w:val="14"/>
                <w:b w:val="1"/>
                <w:bCs w:val="1"/>
                <w:i w:val="1"/>
                <w:iCs w:val="1"/>
                <w:color w:val="007CBA"/>
              </w:rPr>
              <w:t>Current Members:</w:t>
            </w:r>
          </w:p>
        </w:tc>
        <w:tc>
          <w:tcPr>
            <w:tcW w:w="3800" w:type="dxa"/>
            <w:vAlign w:val="bottom"/>
            <w:tcBorders>
              <w:right w:val="single" w:sz="8" w:color="007CBA"/>
            </w:tcBorders>
            <w:vMerge w:val="restart"/>
          </w:tcPr>
          <w:p>
            <w:pPr>
              <w:jc w:val="center"/>
              <w:ind w:left="128"/>
              <w:spacing w:after="0"/>
              <w:rPr>
                <w:sz w:val="20"/>
                <w:szCs w:val="20"/>
                <w:color w:val="auto"/>
              </w:rPr>
            </w:pPr>
            <w:r>
              <w:rPr>
                <w:rFonts w:ascii="Arial" w:cs="Arial" w:eastAsia="Arial" w:hAnsi="Arial"/>
                <w:sz w:val="14"/>
                <w:szCs w:val="14"/>
                <w:b w:val="1"/>
                <w:bCs w:val="1"/>
                <w:i w:val="1"/>
                <w:iCs w:val="1"/>
                <w:color w:val="007CBA"/>
              </w:rPr>
              <w:t>Meetings in 2018:</w:t>
            </w:r>
          </w:p>
        </w:tc>
        <w:tc>
          <w:tcPr>
            <w:tcW w:w="3340" w:type="dxa"/>
            <w:vAlign w:val="bottom"/>
            <w:vMerge w:val="restart"/>
          </w:tcPr>
          <w:p>
            <w:pPr>
              <w:jc w:val="center"/>
              <w:spacing w:after="0"/>
              <w:rPr>
                <w:sz w:val="20"/>
                <w:szCs w:val="20"/>
                <w:color w:val="auto"/>
              </w:rPr>
            </w:pPr>
            <w:r>
              <w:rPr>
                <w:rFonts w:ascii="Arial" w:cs="Arial" w:eastAsia="Arial" w:hAnsi="Arial"/>
                <w:sz w:val="14"/>
                <w:szCs w:val="14"/>
                <w:b w:val="1"/>
                <w:bCs w:val="1"/>
                <w:i w:val="1"/>
                <w:iCs w:val="1"/>
                <w:color w:val="007CBA"/>
              </w:rPr>
              <w:t>Average Attendance in 2018:</w:t>
            </w:r>
          </w:p>
        </w:tc>
        <w:tc>
          <w:tcPr>
            <w:tcW w:w="0" w:type="dxa"/>
            <w:vAlign w:val="bottom"/>
          </w:tcPr>
          <w:p>
            <w:pPr>
              <w:spacing w:after="0"/>
              <w:rPr>
                <w:sz w:val="1"/>
                <w:szCs w:val="1"/>
                <w:color w:val="auto"/>
              </w:rPr>
            </w:pPr>
          </w:p>
        </w:tc>
      </w:tr>
      <w:tr>
        <w:trPr>
          <w:trHeight w:val="130"/>
        </w:trPr>
        <w:tc>
          <w:tcPr>
            <w:tcW w:w="3900" w:type="dxa"/>
            <w:vAlign w:val="bottom"/>
            <w:tcBorders>
              <w:right w:val="single" w:sz="8" w:color="007CBA"/>
            </w:tcBorders>
          </w:tcPr>
          <w:p>
            <w:pPr>
              <w:ind w:left="220"/>
              <w:spacing w:after="0" w:line="131" w:lineRule="exact"/>
              <w:rPr>
                <w:sz w:val="20"/>
                <w:szCs w:val="20"/>
                <w:color w:val="auto"/>
              </w:rPr>
            </w:pPr>
            <w:r>
              <w:rPr>
                <w:rFonts w:ascii="Arial" w:cs="Arial" w:eastAsia="Arial" w:hAnsi="Arial"/>
                <w:sz w:val="14"/>
                <w:szCs w:val="14"/>
                <w:color w:val="auto"/>
              </w:rPr>
              <w:t>Michael J. Quillen (Chair)</w:t>
            </w:r>
          </w:p>
        </w:tc>
        <w:tc>
          <w:tcPr>
            <w:tcW w:w="3800" w:type="dxa"/>
            <w:vAlign w:val="bottom"/>
            <w:tcBorders>
              <w:right w:val="single" w:sz="8" w:color="007CBA"/>
            </w:tcBorders>
            <w:vMerge w:val="continue"/>
          </w:tcPr>
          <w:p>
            <w:pPr>
              <w:spacing w:after="0"/>
              <w:rPr>
                <w:sz w:val="11"/>
                <w:szCs w:val="11"/>
                <w:color w:val="auto"/>
              </w:rPr>
            </w:pPr>
          </w:p>
        </w:tc>
        <w:tc>
          <w:tcPr>
            <w:tcW w:w="3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3900" w:type="dxa"/>
            <w:vAlign w:val="bottom"/>
            <w:tcBorders>
              <w:right w:val="single" w:sz="8" w:color="007CBA"/>
            </w:tcBorders>
          </w:tcPr>
          <w:p>
            <w:pPr>
              <w:ind w:left="220"/>
              <w:spacing w:after="0"/>
              <w:rPr>
                <w:sz w:val="20"/>
                <w:szCs w:val="20"/>
                <w:color w:val="auto"/>
              </w:rPr>
            </w:pPr>
            <w:r>
              <w:rPr>
                <w:rFonts w:ascii="Arial" w:cs="Arial" w:eastAsia="Arial" w:hAnsi="Arial"/>
                <w:sz w:val="14"/>
                <w:szCs w:val="14"/>
                <w:color w:val="auto"/>
              </w:rPr>
              <w:t>Sue W. Cole</w:t>
            </w:r>
          </w:p>
        </w:tc>
        <w:tc>
          <w:tcPr>
            <w:tcW w:w="3800" w:type="dxa"/>
            <w:vAlign w:val="bottom"/>
            <w:tcBorders>
              <w:right w:val="single" w:sz="8" w:color="007CBA"/>
            </w:tcBorders>
          </w:tcPr>
          <w:p>
            <w:pPr>
              <w:jc w:val="right"/>
              <w:ind w:right="1688"/>
              <w:spacing w:after="0"/>
              <w:rPr>
                <w:sz w:val="20"/>
                <w:szCs w:val="20"/>
                <w:color w:val="auto"/>
              </w:rPr>
            </w:pPr>
            <w:r>
              <w:rPr>
                <w:rFonts w:ascii="Arial" w:cs="Arial" w:eastAsia="Arial" w:hAnsi="Arial"/>
                <w:sz w:val="14"/>
                <w:szCs w:val="14"/>
                <w:color w:val="auto"/>
              </w:rPr>
              <w:t>4</w:t>
            </w:r>
          </w:p>
        </w:tc>
        <w:tc>
          <w:tcPr>
            <w:tcW w:w="3340" w:type="dxa"/>
            <w:vAlign w:val="bottom"/>
          </w:tcPr>
          <w:p>
            <w:pPr>
              <w:jc w:val="right"/>
              <w:ind w:right="138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71"/>
        </w:trPr>
        <w:tc>
          <w:tcPr>
            <w:tcW w:w="3900" w:type="dxa"/>
            <w:vAlign w:val="bottom"/>
            <w:tcBorders>
              <w:bottom w:val="single" w:sz="8" w:color="007CBA"/>
              <w:right w:val="single" w:sz="8" w:color="007CBA"/>
            </w:tcBorders>
          </w:tcPr>
          <w:p>
            <w:pPr>
              <w:ind w:left="220"/>
              <w:spacing w:after="0"/>
              <w:rPr>
                <w:sz w:val="20"/>
                <w:szCs w:val="20"/>
                <w:color w:val="auto"/>
              </w:rPr>
            </w:pPr>
            <w:r>
              <w:rPr>
                <w:rFonts w:ascii="Arial" w:cs="Arial" w:eastAsia="Arial" w:hAnsi="Arial"/>
                <w:sz w:val="14"/>
                <w:szCs w:val="14"/>
                <w:color w:val="auto"/>
              </w:rPr>
              <w:t>John J. Koraleski</w:t>
            </w:r>
          </w:p>
        </w:tc>
        <w:tc>
          <w:tcPr>
            <w:tcW w:w="3800" w:type="dxa"/>
            <w:vAlign w:val="bottom"/>
            <w:tcBorders>
              <w:bottom w:val="single" w:sz="8" w:color="007CBA"/>
              <w:right w:val="single" w:sz="8" w:color="007CBA"/>
            </w:tcBorders>
          </w:tcPr>
          <w:p>
            <w:pPr>
              <w:spacing w:after="0"/>
              <w:rPr>
                <w:sz w:val="14"/>
                <w:szCs w:val="14"/>
                <w:color w:val="auto"/>
              </w:rPr>
            </w:pPr>
          </w:p>
        </w:tc>
        <w:tc>
          <w:tcPr>
            <w:tcW w:w="3340" w:type="dxa"/>
            <w:vAlign w:val="bottom"/>
            <w:tcBorders>
              <w:bottom w:val="single" w:sz="8" w:color="007CBA"/>
            </w:tcBorders>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900" w:type="dxa"/>
            <w:vAlign w:val="bottom"/>
          </w:tcPr>
          <w:p>
            <w:pPr>
              <w:ind w:left="220"/>
              <w:spacing w:after="0"/>
              <w:rPr>
                <w:sz w:val="20"/>
                <w:szCs w:val="20"/>
                <w:color w:val="auto"/>
              </w:rPr>
            </w:pPr>
            <w:r>
              <w:rPr>
                <w:rFonts w:ascii="Arial" w:cs="Arial" w:eastAsia="Arial" w:hAnsi="Arial"/>
                <w:sz w:val="14"/>
                <w:szCs w:val="14"/>
                <w:b w:val="1"/>
                <w:bCs w:val="1"/>
                <w:i w:val="1"/>
                <w:iCs w:val="1"/>
                <w:color w:val="007CBA"/>
              </w:rPr>
              <w:t>Primary Responsibilities:</w:t>
            </w:r>
          </w:p>
        </w:tc>
        <w:tc>
          <w:tcPr>
            <w:tcW w:w="38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660" w:hanging="221"/>
        <w:spacing w:after="0"/>
        <w:tabs>
          <w:tab w:leader="none" w:pos="660" w:val="left"/>
        </w:tabs>
        <w:numPr>
          <w:ilvl w:val="0"/>
          <w:numId w:val="38"/>
        </w:numPr>
        <w:rPr>
          <w:rFonts w:ascii="Arial" w:cs="Arial" w:eastAsia="Arial" w:hAnsi="Arial"/>
          <w:sz w:val="14"/>
          <w:szCs w:val="14"/>
          <w:color w:val="007CBA"/>
        </w:rPr>
      </w:pPr>
      <w:r>
        <w:rPr>
          <w:rFonts w:ascii="Arial" w:cs="Arial" w:eastAsia="Arial" w:hAnsi="Arial"/>
          <w:sz w:val="14"/>
          <w:szCs w:val="14"/>
          <w:color w:val="auto"/>
        </w:rPr>
        <w:t>Establishes an overall strategy with respect to compensation for officers and management to enable Martin Marietta to attract and retain qualified employees.</w:t>
      </w:r>
    </w:p>
    <w:p>
      <w:pPr>
        <w:spacing w:after="0" w:line="81" w:lineRule="exact"/>
        <w:rPr>
          <w:rFonts w:ascii="Arial" w:cs="Arial" w:eastAsia="Arial" w:hAnsi="Arial"/>
          <w:sz w:val="14"/>
          <w:szCs w:val="14"/>
          <w:color w:val="007CBA"/>
        </w:rPr>
      </w:pPr>
    </w:p>
    <w:p>
      <w:pPr>
        <w:ind w:left="660" w:hanging="221"/>
        <w:spacing w:after="0"/>
        <w:tabs>
          <w:tab w:leader="none" w:pos="660" w:val="left"/>
        </w:tabs>
        <w:numPr>
          <w:ilvl w:val="0"/>
          <w:numId w:val="38"/>
        </w:numPr>
        <w:rPr>
          <w:rFonts w:ascii="Arial" w:cs="Arial" w:eastAsia="Arial" w:hAnsi="Arial"/>
          <w:sz w:val="14"/>
          <w:szCs w:val="14"/>
          <w:color w:val="007CBA"/>
        </w:rPr>
      </w:pPr>
      <w:r>
        <w:rPr>
          <w:rFonts w:ascii="Arial" w:cs="Arial" w:eastAsia="Arial" w:hAnsi="Arial"/>
          <w:sz w:val="14"/>
          <w:szCs w:val="14"/>
          <w:color w:val="auto"/>
        </w:rPr>
        <w:t>Reviews and oversees executive succession and management development plans.</w:t>
      </w:r>
    </w:p>
    <w:p>
      <w:pPr>
        <w:spacing w:after="0" w:line="81" w:lineRule="exact"/>
        <w:rPr>
          <w:rFonts w:ascii="Arial" w:cs="Arial" w:eastAsia="Arial" w:hAnsi="Arial"/>
          <w:sz w:val="14"/>
          <w:szCs w:val="14"/>
          <w:color w:val="007CBA"/>
        </w:rPr>
      </w:pPr>
    </w:p>
    <w:p>
      <w:pPr>
        <w:ind w:left="660" w:right="60" w:hanging="221"/>
        <w:spacing w:after="0" w:line="257" w:lineRule="auto"/>
        <w:tabs>
          <w:tab w:leader="none" w:pos="667" w:val="left"/>
        </w:tabs>
        <w:numPr>
          <w:ilvl w:val="0"/>
          <w:numId w:val="38"/>
        </w:numPr>
        <w:rPr>
          <w:rFonts w:ascii="Arial" w:cs="Arial" w:eastAsia="Arial" w:hAnsi="Arial"/>
          <w:sz w:val="14"/>
          <w:szCs w:val="14"/>
          <w:color w:val="007CBA"/>
        </w:rPr>
      </w:pPr>
      <w:r>
        <w:rPr>
          <w:rFonts w:ascii="Arial" w:cs="Arial" w:eastAsia="Arial" w:hAnsi="Arial"/>
          <w:sz w:val="14"/>
          <w:szCs w:val="14"/>
          <w:color w:val="auto"/>
        </w:rPr>
        <w:t>Reviews and approves management’s assessment of the performance of executive officers, and reviews and approves the salary, incentive compensation, and other compensation of such officers.</w:t>
      </w:r>
    </w:p>
    <w:p>
      <w:pPr>
        <w:spacing w:after="0" w:line="59" w:lineRule="exact"/>
        <w:rPr>
          <w:rFonts w:ascii="Arial" w:cs="Arial" w:eastAsia="Arial" w:hAnsi="Arial"/>
          <w:sz w:val="14"/>
          <w:szCs w:val="14"/>
          <w:color w:val="007CBA"/>
        </w:rPr>
      </w:pPr>
    </w:p>
    <w:p>
      <w:pPr>
        <w:ind w:left="660" w:hanging="221"/>
        <w:spacing w:after="0"/>
        <w:tabs>
          <w:tab w:leader="none" w:pos="660" w:val="left"/>
        </w:tabs>
        <w:numPr>
          <w:ilvl w:val="0"/>
          <w:numId w:val="38"/>
        </w:numPr>
        <w:rPr>
          <w:rFonts w:ascii="Arial" w:cs="Arial" w:eastAsia="Arial" w:hAnsi="Arial"/>
          <w:sz w:val="14"/>
          <w:szCs w:val="14"/>
          <w:color w:val="007CBA"/>
        </w:rPr>
      </w:pPr>
      <w:r>
        <w:rPr>
          <w:rFonts w:ascii="Arial" w:cs="Arial" w:eastAsia="Arial" w:hAnsi="Arial"/>
          <w:sz w:val="14"/>
          <w:szCs w:val="14"/>
          <w:color w:val="auto"/>
        </w:rPr>
        <w:t>Approves and administers our equity and other plans relating to compensation of Martin Marietta’s directors and executive officers.</w:t>
      </w:r>
    </w:p>
    <w:p>
      <w:pPr>
        <w:spacing w:after="0" w:line="81" w:lineRule="exact"/>
        <w:rPr>
          <w:rFonts w:ascii="Arial" w:cs="Arial" w:eastAsia="Arial" w:hAnsi="Arial"/>
          <w:sz w:val="14"/>
          <w:szCs w:val="14"/>
          <w:color w:val="007CBA"/>
        </w:rPr>
      </w:pPr>
    </w:p>
    <w:p>
      <w:pPr>
        <w:ind w:left="660" w:right="60" w:hanging="221"/>
        <w:spacing w:after="0" w:line="257" w:lineRule="auto"/>
        <w:tabs>
          <w:tab w:leader="none" w:pos="667" w:val="left"/>
        </w:tabs>
        <w:numPr>
          <w:ilvl w:val="0"/>
          <w:numId w:val="38"/>
        </w:numPr>
        <w:rPr>
          <w:rFonts w:ascii="Arial" w:cs="Arial" w:eastAsia="Arial" w:hAnsi="Arial"/>
          <w:sz w:val="14"/>
          <w:szCs w:val="14"/>
          <w:color w:val="007CBA"/>
        </w:rPr>
      </w:pPr>
      <w:r>
        <w:rPr>
          <w:rFonts w:ascii="Arial" w:cs="Arial" w:eastAsia="Arial" w:hAnsi="Arial"/>
          <w:sz w:val="14"/>
          <w:szCs w:val="14"/>
          <w:color w:val="auto"/>
        </w:rPr>
        <w:t>Reviews and discusses the Compensation Discussion and Analysis and produces a compensation committee report as required by the SEC to be included in this proxy statement.</w:t>
      </w:r>
    </w:p>
    <w:p>
      <w:pPr>
        <w:spacing w:after="0" w:line="59" w:lineRule="exact"/>
        <w:rPr>
          <w:rFonts w:ascii="Arial" w:cs="Arial" w:eastAsia="Arial" w:hAnsi="Arial"/>
          <w:sz w:val="14"/>
          <w:szCs w:val="14"/>
          <w:color w:val="007CBA"/>
        </w:rPr>
      </w:pPr>
    </w:p>
    <w:p>
      <w:pPr>
        <w:ind w:left="660" w:hanging="221"/>
        <w:spacing w:after="0"/>
        <w:tabs>
          <w:tab w:leader="none" w:pos="660" w:val="left"/>
        </w:tabs>
        <w:numPr>
          <w:ilvl w:val="0"/>
          <w:numId w:val="38"/>
        </w:numPr>
        <w:rPr>
          <w:rFonts w:ascii="Arial" w:cs="Arial" w:eastAsia="Arial" w:hAnsi="Arial"/>
          <w:sz w:val="14"/>
          <w:szCs w:val="14"/>
          <w:color w:val="007CBA"/>
        </w:rPr>
      </w:pPr>
      <w:r>
        <w:rPr>
          <w:rFonts w:ascii="Arial" w:cs="Arial" w:eastAsia="Arial" w:hAnsi="Arial"/>
          <w:sz w:val="14"/>
          <w:szCs w:val="14"/>
          <w:color w:val="auto"/>
        </w:rPr>
        <w:t>Provides oversight of our Benefit Plan Committee, which administers Martin Marietta’s defined benefit and contribution plans.</w:t>
      </w:r>
    </w:p>
    <w:p>
      <w:pPr>
        <w:spacing w:after="0" w:line="81" w:lineRule="exact"/>
        <w:rPr>
          <w:rFonts w:ascii="Arial" w:cs="Arial" w:eastAsia="Arial" w:hAnsi="Arial"/>
          <w:sz w:val="14"/>
          <w:szCs w:val="14"/>
          <w:color w:val="007CBA"/>
        </w:rPr>
      </w:pPr>
    </w:p>
    <w:p>
      <w:pPr>
        <w:ind w:left="660" w:right="60" w:hanging="221"/>
        <w:spacing w:after="0" w:line="257" w:lineRule="auto"/>
        <w:tabs>
          <w:tab w:leader="none" w:pos="667" w:val="left"/>
        </w:tabs>
        <w:numPr>
          <w:ilvl w:val="0"/>
          <w:numId w:val="38"/>
        </w:numPr>
        <w:rPr>
          <w:rFonts w:ascii="Arial" w:cs="Arial" w:eastAsia="Arial" w:hAnsi="Arial"/>
          <w:sz w:val="14"/>
          <w:szCs w:val="14"/>
          <w:color w:val="007CBA"/>
        </w:rPr>
      </w:pPr>
      <w:r>
        <w:rPr>
          <w:rFonts w:ascii="Arial" w:cs="Arial" w:eastAsia="Arial" w:hAnsi="Arial"/>
          <w:sz w:val="14"/>
          <w:szCs w:val="14"/>
          <w:color w:val="auto"/>
        </w:rPr>
        <w:t>Reviews and approves the goals and objectives for the CEO’s compensation, evaluates the CEO’s performance in light of those goals and objectives, and determines and approves the CEO’s compensation.</w:t>
      </w:r>
    </w:p>
    <w:p>
      <w:pPr>
        <w:spacing w:after="0" w:line="59" w:lineRule="exact"/>
        <w:rPr>
          <w:rFonts w:ascii="Arial" w:cs="Arial" w:eastAsia="Arial" w:hAnsi="Arial"/>
          <w:sz w:val="14"/>
          <w:szCs w:val="14"/>
          <w:color w:val="007CBA"/>
        </w:rPr>
      </w:pPr>
    </w:p>
    <w:p>
      <w:pPr>
        <w:ind w:left="660" w:hanging="221"/>
        <w:spacing w:after="0"/>
        <w:tabs>
          <w:tab w:leader="none" w:pos="660" w:val="left"/>
        </w:tabs>
        <w:numPr>
          <w:ilvl w:val="0"/>
          <w:numId w:val="38"/>
        </w:numPr>
        <w:rPr>
          <w:rFonts w:ascii="Arial" w:cs="Arial" w:eastAsia="Arial" w:hAnsi="Arial"/>
          <w:sz w:val="14"/>
          <w:szCs w:val="14"/>
          <w:color w:val="007CBA"/>
        </w:rPr>
      </w:pPr>
      <w:r>
        <w:rPr>
          <w:rFonts w:ascii="Arial" w:cs="Arial" w:eastAsia="Arial" w:hAnsi="Arial"/>
          <w:sz w:val="14"/>
          <w:szCs w:val="14"/>
          <w:color w:val="auto"/>
        </w:rPr>
        <w:t>Makes recommendations to the Board on changes in the compensation of non-employee directors.</w:t>
      </w:r>
    </w:p>
    <w:p>
      <w:pPr>
        <w:spacing w:after="0" w:line="81" w:lineRule="exact"/>
        <w:rPr>
          <w:rFonts w:ascii="Arial" w:cs="Arial" w:eastAsia="Arial" w:hAnsi="Arial"/>
          <w:sz w:val="14"/>
          <w:szCs w:val="14"/>
          <w:color w:val="007CBA"/>
        </w:rPr>
      </w:pPr>
    </w:p>
    <w:p>
      <w:pPr>
        <w:ind w:left="660" w:hanging="221"/>
        <w:spacing w:after="0"/>
        <w:tabs>
          <w:tab w:leader="none" w:pos="660" w:val="left"/>
        </w:tabs>
        <w:numPr>
          <w:ilvl w:val="0"/>
          <w:numId w:val="38"/>
        </w:numPr>
        <w:rPr>
          <w:rFonts w:ascii="Arial" w:cs="Arial" w:eastAsia="Arial" w:hAnsi="Arial"/>
          <w:sz w:val="14"/>
          <w:szCs w:val="14"/>
          <w:color w:val="007CBA"/>
        </w:rPr>
      </w:pPr>
      <w:r>
        <w:rPr>
          <w:rFonts w:ascii="Arial" w:cs="Arial" w:eastAsia="Arial" w:hAnsi="Arial"/>
          <w:sz w:val="14"/>
          <w:szCs w:val="14"/>
          <w:color w:val="auto"/>
        </w:rPr>
        <w:t>Reviews annually the adequacy of the Committee charter and recommends proposed changes to the Board.</w:t>
      </w:r>
    </w:p>
    <w:p>
      <w:pPr>
        <w:spacing w:after="0" w:line="81" w:lineRule="exact"/>
        <w:rPr>
          <w:rFonts w:ascii="Arial" w:cs="Arial" w:eastAsia="Arial" w:hAnsi="Arial"/>
          <w:sz w:val="14"/>
          <w:szCs w:val="14"/>
          <w:color w:val="007CBA"/>
        </w:rPr>
      </w:pPr>
    </w:p>
    <w:p>
      <w:pPr>
        <w:ind w:left="660" w:right="60" w:hanging="221"/>
        <w:spacing w:after="0" w:line="257" w:lineRule="auto"/>
        <w:tabs>
          <w:tab w:leader="none" w:pos="667" w:val="left"/>
        </w:tabs>
        <w:numPr>
          <w:ilvl w:val="0"/>
          <w:numId w:val="38"/>
        </w:numPr>
        <w:rPr>
          <w:rFonts w:ascii="Arial" w:cs="Arial" w:eastAsia="Arial" w:hAnsi="Arial"/>
          <w:sz w:val="14"/>
          <w:szCs w:val="14"/>
          <w:color w:val="007CBA"/>
        </w:rPr>
      </w:pPr>
      <w:r>
        <w:rPr>
          <w:rFonts w:ascii="Arial" w:cs="Arial" w:eastAsia="Arial" w:hAnsi="Arial"/>
          <w:sz w:val="14"/>
          <w:szCs w:val="14"/>
          <w:color w:val="auto"/>
        </w:rPr>
        <w:t>Has the authority, in its sole discretion, to retain, pay, and terminate any consulting firm, if any, used to assist in evaluating director, chief executive officer, or senior executive compensation.</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007CBA"/>
        </w:rPr>
        <w:t>Other Governance Matters:</w:t>
      </w:r>
    </w:p>
    <w:p>
      <w:pPr>
        <w:spacing w:after="0" w:line="17" w:lineRule="exact"/>
        <w:rPr>
          <w:sz w:val="20"/>
          <w:szCs w:val="20"/>
          <w:color w:val="auto"/>
        </w:rPr>
      </w:pPr>
    </w:p>
    <w:p>
      <w:pPr>
        <w:ind w:left="440" w:right="400"/>
        <w:spacing w:after="0" w:line="257" w:lineRule="auto"/>
        <w:rPr>
          <w:sz w:val="20"/>
          <w:szCs w:val="20"/>
          <w:color w:val="auto"/>
        </w:rPr>
      </w:pPr>
      <w:r>
        <w:rPr>
          <w:rFonts w:ascii="Arial" w:cs="Arial" w:eastAsia="Arial" w:hAnsi="Arial"/>
          <w:sz w:val="14"/>
          <w:szCs w:val="14"/>
          <w:color w:val="auto"/>
        </w:rPr>
        <w:t xml:space="preserve">All members are non-employee, independent Directors, as required by the rules of the NYSE, the Martin Marietta </w:t>
      </w:r>
      <w:r>
        <w:rPr>
          <w:rFonts w:ascii="Arial" w:cs="Arial" w:eastAsia="Arial" w:hAnsi="Arial"/>
          <w:sz w:val="14"/>
          <w:szCs w:val="14"/>
          <w:i w:val="1"/>
          <w:iCs w:val="1"/>
          <w:color w:val="auto"/>
        </w:rPr>
        <w:t>Guidelines for Director’s Independence</w:t>
      </w:r>
      <w:r>
        <w:rPr>
          <w:rFonts w:ascii="Arial" w:cs="Arial" w:eastAsia="Arial" w:hAnsi="Arial"/>
          <w:sz w:val="14"/>
          <w:szCs w:val="14"/>
          <w:color w:val="auto"/>
        </w:rPr>
        <w:t>, applicable rules of the Securities and Exchange Commission (SEC), and the Committee’s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274955</wp:posOffset>
            </wp:positionV>
            <wp:extent cx="6998335" cy="28613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8335" cy="2861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3900" w:type="dxa"/>
            <w:vAlign w:val="bottom"/>
            <w:tcBorders>
              <w:right w:val="single" w:sz="8" w:color="007CBA"/>
            </w:tcBorders>
          </w:tcPr>
          <w:p>
            <w:pPr>
              <w:ind w:left="220"/>
              <w:spacing w:after="0"/>
              <w:rPr>
                <w:sz w:val="20"/>
                <w:szCs w:val="20"/>
                <w:color w:val="auto"/>
              </w:rPr>
            </w:pPr>
            <w:r>
              <w:rPr>
                <w:rFonts w:ascii="Arial" w:cs="Arial" w:eastAsia="Arial" w:hAnsi="Arial"/>
                <w:sz w:val="14"/>
                <w:szCs w:val="14"/>
                <w:b w:val="1"/>
                <w:bCs w:val="1"/>
                <w:i w:val="1"/>
                <w:iCs w:val="1"/>
                <w:color w:val="007CBA"/>
              </w:rPr>
              <w:t>Current Members:</w:t>
            </w:r>
          </w:p>
        </w:tc>
        <w:tc>
          <w:tcPr>
            <w:tcW w:w="3780" w:type="dxa"/>
            <w:vAlign w:val="bottom"/>
            <w:tcBorders>
              <w:right w:val="single" w:sz="8" w:color="007CBA"/>
            </w:tcBorders>
            <w:vMerge w:val="restart"/>
          </w:tcPr>
          <w:p>
            <w:pPr>
              <w:jc w:val="center"/>
              <w:ind w:left="108"/>
              <w:spacing w:after="0"/>
              <w:rPr>
                <w:sz w:val="20"/>
                <w:szCs w:val="20"/>
                <w:color w:val="auto"/>
              </w:rPr>
            </w:pPr>
            <w:r>
              <w:rPr>
                <w:rFonts w:ascii="Arial" w:cs="Arial" w:eastAsia="Arial" w:hAnsi="Arial"/>
                <w:sz w:val="14"/>
                <w:szCs w:val="14"/>
                <w:b w:val="1"/>
                <w:bCs w:val="1"/>
                <w:i w:val="1"/>
                <w:iCs w:val="1"/>
                <w:color w:val="007CBA"/>
              </w:rPr>
              <w:t>Meetings in 2018:</w:t>
            </w:r>
          </w:p>
        </w:tc>
        <w:tc>
          <w:tcPr>
            <w:tcW w:w="3340" w:type="dxa"/>
            <w:vAlign w:val="bottom"/>
            <w:vMerge w:val="restart"/>
          </w:tcPr>
          <w:p>
            <w:pPr>
              <w:jc w:val="center"/>
              <w:spacing w:after="0"/>
              <w:rPr>
                <w:sz w:val="20"/>
                <w:szCs w:val="20"/>
                <w:color w:val="auto"/>
              </w:rPr>
            </w:pPr>
            <w:r>
              <w:rPr>
                <w:rFonts w:ascii="Arial" w:cs="Arial" w:eastAsia="Arial" w:hAnsi="Arial"/>
                <w:sz w:val="14"/>
                <w:szCs w:val="14"/>
                <w:b w:val="1"/>
                <w:bCs w:val="1"/>
                <w:i w:val="1"/>
                <w:iCs w:val="1"/>
                <w:color w:val="007CBA"/>
              </w:rPr>
              <w:t>Average Attendance in 2018:</w:t>
            </w:r>
          </w:p>
        </w:tc>
        <w:tc>
          <w:tcPr>
            <w:tcW w:w="0" w:type="dxa"/>
            <w:vAlign w:val="bottom"/>
          </w:tcPr>
          <w:p>
            <w:pPr>
              <w:spacing w:after="0"/>
              <w:rPr>
                <w:sz w:val="1"/>
                <w:szCs w:val="1"/>
                <w:color w:val="auto"/>
              </w:rPr>
            </w:pPr>
          </w:p>
        </w:tc>
      </w:tr>
      <w:tr>
        <w:trPr>
          <w:trHeight w:val="130"/>
        </w:trPr>
        <w:tc>
          <w:tcPr>
            <w:tcW w:w="3900" w:type="dxa"/>
            <w:vAlign w:val="bottom"/>
            <w:tcBorders>
              <w:right w:val="single" w:sz="8" w:color="007CBA"/>
            </w:tcBorders>
          </w:tcPr>
          <w:p>
            <w:pPr>
              <w:ind w:left="220"/>
              <w:spacing w:after="0" w:line="131" w:lineRule="exact"/>
              <w:rPr>
                <w:sz w:val="20"/>
                <w:szCs w:val="20"/>
                <w:color w:val="auto"/>
              </w:rPr>
            </w:pPr>
            <w:r>
              <w:rPr>
                <w:rFonts w:ascii="Arial" w:cs="Arial" w:eastAsia="Arial" w:hAnsi="Arial"/>
                <w:sz w:val="14"/>
                <w:szCs w:val="14"/>
                <w:color w:val="auto"/>
              </w:rPr>
              <w:t>Sue W. Cole (Chair)</w:t>
            </w:r>
          </w:p>
        </w:tc>
        <w:tc>
          <w:tcPr>
            <w:tcW w:w="3780" w:type="dxa"/>
            <w:vAlign w:val="bottom"/>
            <w:tcBorders>
              <w:right w:val="single" w:sz="8" w:color="007CBA"/>
            </w:tcBorders>
            <w:vMerge w:val="continue"/>
          </w:tcPr>
          <w:p>
            <w:pPr>
              <w:spacing w:after="0"/>
              <w:rPr>
                <w:sz w:val="11"/>
                <w:szCs w:val="11"/>
                <w:color w:val="auto"/>
              </w:rPr>
            </w:pPr>
          </w:p>
        </w:tc>
        <w:tc>
          <w:tcPr>
            <w:tcW w:w="3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3900" w:type="dxa"/>
            <w:vAlign w:val="bottom"/>
            <w:tcBorders>
              <w:right w:val="single" w:sz="8" w:color="007CBA"/>
            </w:tcBorders>
          </w:tcPr>
          <w:p>
            <w:pPr>
              <w:ind w:left="220"/>
              <w:spacing w:after="0"/>
              <w:rPr>
                <w:sz w:val="20"/>
                <w:szCs w:val="20"/>
                <w:color w:val="auto"/>
              </w:rPr>
            </w:pPr>
            <w:r>
              <w:rPr>
                <w:rFonts w:ascii="Arial" w:cs="Arial" w:eastAsia="Arial" w:hAnsi="Arial"/>
                <w:sz w:val="14"/>
                <w:szCs w:val="14"/>
                <w:color w:val="auto"/>
              </w:rPr>
              <w:t>Smith W. Davis</w:t>
            </w:r>
          </w:p>
        </w:tc>
        <w:tc>
          <w:tcPr>
            <w:tcW w:w="3780" w:type="dxa"/>
            <w:vAlign w:val="bottom"/>
            <w:tcBorders>
              <w:right w:val="single" w:sz="8" w:color="007CBA"/>
            </w:tcBorders>
          </w:tcPr>
          <w:p>
            <w:pPr>
              <w:jc w:val="right"/>
              <w:ind w:right="1688"/>
              <w:spacing w:after="0"/>
              <w:rPr>
                <w:sz w:val="20"/>
                <w:szCs w:val="20"/>
                <w:color w:val="auto"/>
              </w:rPr>
            </w:pPr>
            <w:r>
              <w:rPr>
                <w:rFonts w:ascii="Arial" w:cs="Arial" w:eastAsia="Arial" w:hAnsi="Arial"/>
                <w:sz w:val="14"/>
                <w:szCs w:val="14"/>
                <w:color w:val="auto"/>
              </w:rPr>
              <w:t>6</w:t>
            </w:r>
          </w:p>
        </w:tc>
        <w:tc>
          <w:tcPr>
            <w:tcW w:w="3340" w:type="dxa"/>
            <w:vAlign w:val="bottom"/>
          </w:tcPr>
          <w:p>
            <w:pPr>
              <w:jc w:val="right"/>
              <w:ind w:right="140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71"/>
        </w:trPr>
        <w:tc>
          <w:tcPr>
            <w:tcW w:w="3900" w:type="dxa"/>
            <w:vAlign w:val="bottom"/>
            <w:tcBorders>
              <w:bottom w:val="single" w:sz="8" w:color="007CBA"/>
              <w:right w:val="single" w:sz="8" w:color="007CBA"/>
            </w:tcBorders>
          </w:tcPr>
          <w:p>
            <w:pPr>
              <w:ind w:left="220"/>
              <w:spacing w:after="0"/>
              <w:rPr>
                <w:sz w:val="20"/>
                <w:szCs w:val="20"/>
                <w:color w:val="auto"/>
              </w:rPr>
            </w:pPr>
            <w:r>
              <w:rPr>
                <w:rFonts w:ascii="Arial" w:cs="Arial" w:eastAsia="Arial" w:hAnsi="Arial"/>
                <w:sz w:val="14"/>
                <w:szCs w:val="14"/>
                <w:color w:val="auto"/>
              </w:rPr>
              <w:t>Donald W. Slager</w:t>
            </w:r>
          </w:p>
        </w:tc>
        <w:tc>
          <w:tcPr>
            <w:tcW w:w="3780" w:type="dxa"/>
            <w:vAlign w:val="bottom"/>
            <w:tcBorders>
              <w:bottom w:val="single" w:sz="8" w:color="007CBA"/>
              <w:right w:val="single" w:sz="8" w:color="007CBA"/>
            </w:tcBorders>
          </w:tcPr>
          <w:p>
            <w:pPr>
              <w:spacing w:after="0"/>
              <w:rPr>
                <w:sz w:val="14"/>
                <w:szCs w:val="14"/>
                <w:color w:val="auto"/>
              </w:rPr>
            </w:pPr>
          </w:p>
        </w:tc>
        <w:tc>
          <w:tcPr>
            <w:tcW w:w="3340" w:type="dxa"/>
            <w:vAlign w:val="bottom"/>
            <w:tcBorders>
              <w:bottom w:val="single" w:sz="8" w:color="007CBA"/>
            </w:tcBorders>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900" w:type="dxa"/>
            <w:vAlign w:val="bottom"/>
          </w:tcPr>
          <w:p>
            <w:pPr>
              <w:ind w:left="220"/>
              <w:spacing w:after="0"/>
              <w:rPr>
                <w:sz w:val="20"/>
                <w:szCs w:val="20"/>
                <w:color w:val="auto"/>
              </w:rPr>
            </w:pPr>
            <w:r>
              <w:rPr>
                <w:rFonts w:ascii="Arial" w:cs="Arial" w:eastAsia="Arial" w:hAnsi="Arial"/>
                <w:sz w:val="14"/>
                <w:szCs w:val="14"/>
                <w:b w:val="1"/>
                <w:bCs w:val="1"/>
                <w:i w:val="1"/>
                <w:iCs w:val="1"/>
                <w:color w:val="007CBA"/>
              </w:rPr>
              <w:t>Primary Responsibilities:</w:t>
            </w:r>
          </w:p>
        </w:tc>
        <w:tc>
          <w:tcPr>
            <w:tcW w:w="37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660" w:right="400" w:hanging="221"/>
        <w:spacing w:after="0" w:line="257" w:lineRule="auto"/>
        <w:tabs>
          <w:tab w:leader="none" w:pos="667" w:val="left"/>
        </w:tabs>
        <w:numPr>
          <w:ilvl w:val="0"/>
          <w:numId w:val="39"/>
        </w:numPr>
        <w:rPr>
          <w:rFonts w:ascii="Arial" w:cs="Arial" w:eastAsia="Arial" w:hAnsi="Arial"/>
          <w:sz w:val="14"/>
          <w:szCs w:val="14"/>
          <w:color w:val="007CBA"/>
        </w:rPr>
      </w:pPr>
      <w:r>
        <w:rPr>
          <w:rFonts w:ascii="Arial" w:cs="Arial" w:eastAsia="Arial" w:hAnsi="Arial"/>
          <w:sz w:val="14"/>
          <w:szCs w:val="14"/>
          <w:color w:val="auto"/>
        </w:rPr>
        <w:t>Develops criteria for nominating and appointing directors, including Board size and composition, corporate governance policies, and individual director expertise, attributes and skills.</w:t>
      </w:r>
    </w:p>
    <w:p>
      <w:pPr>
        <w:spacing w:after="0" w:line="59" w:lineRule="exact"/>
        <w:rPr>
          <w:rFonts w:ascii="Arial" w:cs="Arial" w:eastAsia="Arial" w:hAnsi="Arial"/>
          <w:sz w:val="14"/>
          <w:szCs w:val="14"/>
          <w:color w:val="007CBA"/>
        </w:rPr>
      </w:pPr>
    </w:p>
    <w:p>
      <w:pPr>
        <w:ind w:left="660" w:hanging="221"/>
        <w:spacing w:after="0"/>
        <w:tabs>
          <w:tab w:leader="none" w:pos="660" w:val="left"/>
        </w:tabs>
        <w:numPr>
          <w:ilvl w:val="0"/>
          <w:numId w:val="39"/>
        </w:numPr>
        <w:rPr>
          <w:rFonts w:ascii="Arial" w:cs="Arial" w:eastAsia="Arial" w:hAnsi="Arial"/>
          <w:sz w:val="14"/>
          <w:szCs w:val="14"/>
          <w:color w:val="007CBA"/>
        </w:rPr>
      </w:pPr>
      <w:r>
        <w:rPr>
          <w:rFonts w:ascii="Arial" w:cs="Arial" w:eastAsia="Arial" w:hAnsi="Arial"/>
          <w:sz w:val="14"/>
          <w:szCs w:val="14"/>
          <w:color w:val="auto"/>
        </w:rPr>
        <w:t>Recommends to the Board the individuals to be nominated as directors.</w:t>
      </w:r>
    </w:p>
    <w:p>
      <w:pPr>
        <w:spacing w:after="0" w:line="81" w:lineRule="exact"/>
        <w:rPr>
          <w:rFonts w:ascii="Arial" w:cs="Arial" w:eastAsia="Arial" w:hAnsi="Arial"/>
          <w:sz w:val="14"/>
          <w:szCs w:val="14"/>
          <w:color w:val="007CBA"/>
        </w:rPr>
      </w:pPr>
    </w:p>
    <w:p>
      <w:pPr>
        <w:ind w:left="660" w:hanging="221"/>
        <w:spacing w:after="0"/>
        <w:tabs>
          <w:tab w:leader="none" w:pos="660" w:val="left"/>
        </w:tabs>
        <w:numPr>
          <w:ilvl w:val="0"/>
          <w:numId w:val="39"/>
        </w:numPr>
        <w:rPr>
          <w:rFonts w:ascii="Arial" w:cs="Arial" w:eastAsia="Arial" w:hAnsi="Arial"/>
          <w:sz w:val="14"/>
          <w:szCs w:val="14"/>
          <w:color w:val="007CBA"/>
        </w:rPr>
      </w:pPr>
      <w:r>
        <w:rPr>
          <w:rFonts w:ascii="Arial" w:cs="Arial" w:eastAsia="Arial" w:hAnsi="Arial"/>
          <w:sz w:val="14"/>
          <w:szCs w:val="14"/>
          <w:color w:val="auto"/>
        </w:rPr>
        <w:t>Recommends to the Board the appointees to be selected for service on the Board Committees.</w:t>
      </w:r>
    </w:p>
    <w:p>
      <w:pPr>
        <w:spacing w:after="0" w:line="81" w:lineRule="exact"/>
        <w:rPr>
          <w:rFonts w:ascii="Arial" w:cs="Arial" w:eastAsia="Arial" w:hAnsi="Arial"/>
          <w:sz w:val="14"/>
          <w:szCs w:val="14"/>
          <w:color w:val="007CBA"/>
        </w:rPr>
      </w:pPr>
    </w:p>
    <w:p>
      <w:pPr>
        <w:ind w:left="660" w:hanging="221"/>
        <w:spacing w:after="0"/>
        <w:tabs>
          <w:tab w:leader="none" w:pos="660" w:val="left"/>
        </w:tabs>
        <w:numPr>
          <w:ilvl w:val="0"/>
          <w:numId w:val="39"/>
        </w:numPr>
        <w:rPr>
          <w:rFonts w:ascii="Arial" w:cs="Arial" w:eastAsia="Arial" w:hAnsi="Arial"/>
          <w:sz w:val="14"/>
          <w:szCs w:val="14"/>
          <w:color w:val="007CBA"/>
        </w:rPr>
      </w:pPr>
      <w:r>
        <w:rPr>
          <w:rFonts w:ascii="Arial" w:cs="Arial" w:eastAsia="Arial" w:hAnsi="Arial"/>
          <w:sz w:val="14"/>
          <w:szCs w:val="14"/>
          <w:color w:val="auto"/>
        </w:rPr>
        <w:t>Oversees an annual review of the performance of the Board and each Committee.</w:t>
      </w:r>
    </w:p>
    <w:p>
      <w:pPr>
        <w:spacing w:after="0" w:line="81" w:lineRule="exact"/>
        <w:rPr>
          <w:rFonts w:ascii="Arial" w:cs="Arial" w:eastAsia="Arial" w:hAnsi="Arial"/>
          <w:sz w:val="14"/>
          <w:szCs w:val="14"/>
          <w:color w:val="007CBA"/>
        </w:rPr>
      </w:pPr>
    </w:p>
    <w:p>
      <w:pPr>
        <w:ind w:left="660" w:hanging="221"/>
        <w:spacing w:after="0"/>
        <w:tabs>
          <w:tab w:leader="none" w:pos="660" w:val="left"/>
        </w:tabs>
        <w:numPr>
          <w:ilvl w:val="0"/>
          <w:numId w:val="39"/>
        </w:numPr>
        <w:rPr>
          <w:rFonts w:ascii="Arial" w:cs="Arial" w:eastAsia="Arial" w:hAnsi="Arial"/>
          <w:sz w:val="14"/>
          <w:szCs w:val="14"/>
          <w:color w:val="007CBA"/>
        </w:rPr>
      </w:pPr>
      <w:r>
        <w:rPr>
          <w:rFonts w:ascii="Arial" w:cs="Arial" w:eastAsia="Arial" w:hAnsi="Arial"/>
          <w:sz w:val="14"/>
          <w:szCs w:val="14"/>
          <w:color w:val="auto"/>
        </w:rPr>
        <w:t>Reviews annually the adequacy of the Committee charter and recommends proposed changes to the Board.</w:t>
      </w:r>
    </w:p>
    <w:p>
      <w:pPr>
        <w:spacing w:after="0" w:line="81" w:lineRule="exact"/>
        <w:rPr>
          <w:rFonts w:ascii="Arial" w:cs="Arial" w:eastAsia="Arial" w:hAnsi="Arial"/>
          <w:sz w:val="14"/>
          <w:szCs w:val="14"/>
          <w:color w:val="007CBA"/>
        </w:rPr>
      </w:pPr>
    </w:p>
    <w:p>
      <w:pPr>
        <w:ind w:left="660" w:hanging="221"/>
        <w:spacing w:after="0"/>
        <w:tabs>
          <w:tab w:leader="none" w:pos="660" w:val="left"/>
        </w:tabs>
        <w:numPr>
          <w:ilvl w:val="0"/>
          <w:numId w:val="39"/>
        </w:numPr>
        <w:rPr>
          <w:rFonts w:ascii="Arial" w:cs="Arial" w:eastAsia="Arial" w:hAnsi="Arial"/>
          <w:sz w:val="14"/>
          <w:szCs w:val="14"/>
          <w:color w:val="007CBA"/>
        </w:rPr>
      </w:pPr>
      <w:r>
        <w:rPr>
          <w:rFonts w:ascii="Arial" w:cs="Arial" w:eastAsia="Arial" w:hAnsi="Arial"/>
          <w:sz w:val="14"/>
          <w:szCs w:val="14"/>
          <w:color w:val="auto"/>
        </w:rPr>
        <w:t>Oversees the development and implementation of a set of corporate governance principles applicable to Martin Marietta.</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007CBA"/>
        </w:rPr>
        <w:t>Other Governance Matters:</w:t>
      </w:r>
    </w:p>
    <w:p>
      <w:pPr>
        <w:spacing w:after="0" w:line="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All members are non-employee, independent Directors, as required by the rules of the NYSE.</w:t>
      </w:r>
    </w:p>
    <w:p>
      <w:pPr>
        <w:spacing w:after="0" w:line="68" w:lineRule="exact"/>
        <w:rPr>
          <w:sz w:val="20"/>
          <w:szCs w:val="20"/>
          <w:color w:val="auto"/>
        </w:rPr>
      </w:pPr>
    </w:p>
    <w:p>
      <w:pPr>
        <w:jc w:val="both"/>
        <w:ind w:left="440" w:right="160"/>
        <w:spacing w:after="0" w:line="260" w:lineRule="auto"/>
        <w:rPr>
          <w:sz w:val="20"/>
          <w:szCs w:val="20"/>
          <w:color w:val="auto"/>
        </w:rPr>
      </w:pPr>
      <w:r>
        <w:rPr>
          <w:rFonts w:ascii="Arial" w:cs="Arial" w:eastAsia="Arial" w:hAnsi="Arial"/>
          <w:sz w:val="14"/>
          <w:szCs w:val="14"/>
          <w:color w:val="auto"/>
        </w:rPr>
        <w:t xml:space="preserve">Upon recommendation of this Committee, the Board of Directors has adopted a set of </w:t>
      </w:r>
      <w:r>
        <w:rPr>
          <w:rFonts w:ascii="Arial" w:cs="Arial" w:eastAsia="Arial" w:hAnsi="Arial"/>
          <w:sz w:val="14"/>
          <w:szCs w:val="14"/>
          <w:i w:val="1"/>
          <w:iCs w:val="1"/>
          <w:color w:val="auto"/>
        </w:rPr>
        <w:t>Corporate Governance Guidelines</w:t>
      </w:r>
      <w:r>
        <w:rPr>
          <w:rFonts w:ascii="Arial" w:cs="Arial" w:eastAsia="Arial" w:hAnsi="Arial"/>
          <w:sz w:val="14"/>
          <w:szCs w:val="14"/>
          <w:color w:val="auto"/>
        </w:rPr>
        <w:t xml:space="preserve"> for Martin Marietta. The Guidelines are posted and available for public viewing on our website at </w:t>
      </w:r>
      <w:r>
        <w:rPr>
          <w:rFonts w:ascii="Arial" w:cs="Arial" w:eastAsia="Arial" w:hAnsi="Arial"/>
          <w:sz w:val="14"/>
          <w:szCs w:val="14"/>
          <w:i w:val="1"/>
          <w:iCs w:val="1"/>
          <w:color w:val="auto"/>
        </w:rPr>
        <w:t>ir.martinmarietta.com/investor-relations/corporate-governance</w:t>
      </w:r>
      <w:r>
        <w:rPr>
          <w:rFonts w:ascii="Arial" w:cs="Arial" w:eastAsia="Arial" w:hAnsi="Arial"/>
          <w:sz w:val="14"/>
          <w:szCs w:val="14"/>
          <w:color w:val="auto"/>
        </w:rPr>
        <w:t>. A copy may also be obtained upon request from Martin Marietta’s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3517265</wp:posOffset>
            </wp:positionH>
            <wp:positionV relativeFrom="paragraph">
              <wp:posOffset>170180</wp:posOffset>
            </wp:positionV>
            <wp:extent cx="410845" cy="2482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283" w:lineRule="exact"/>
        <w:rPr>
          <w:sz w:val="20"/>
          <w:szCs w:val="20"/>
          <w:color w:val="auto"/>
        </w:rPr>
      </w:pPr>
    </w:p>
    <w:p>
      <w:pPr>
        <w:ind w:left="640" w:hanging="430"/>
        <w:spacing w:after="0"/>
        <w:tabs>
          <w:tab w:leader="none" w:pos="640" w:val="left"/>
        </w:tabs>
        <w:numPr>
          <w:ilvl w:val="0"/>
          <w:numId w:val="40"/>
        </w:numPr>
        <w:rPr>
          <w:rFonts w:ascii="Arial" w:cs="Arial" w:eastAsia="Arial" w:hAnsi="Arial"/>
          <w:sz w:val="13"/>
          <w:szCs w:val="13"/>
          <w:b w:val="1"/>
          <w:bCs w:val="1"/>
          <w:color w:val="auto"/>
        </w:rPr>
      </w:pPr>
      <w:r>
        <w:rPr>
          <w:rFonts w:ascii="Arial" w:cs="Arial" w:eastAsia="Arial" w:hAnsi="Arial"/>
          <w:sz w:val="13"/>
          <w:szCs w:val="13"/>
          <w:color w:val="007CBA"/>
        </w:rPr>
        <w:t>2019 PROXY STATEMENT</w:t>
      </w:r>
    </w:p>
    <w:p>
      <w:pPr>
        <w:sectPr>
          <w:pgSz w:w="11900" w:h="16838" w:orient="portrait"/>
          <w:cols w:equalWidth="0" w:num="1">
            <w:col w:w="11260"/>
          </w:cols>
          <w:pgMar w:left="240" w:top="459" w:right="3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20"/>
        <w:spacing w:after="0"/>
        <w:rPr>
          <w:sz w:val="20"/>
          <w:szCs w:val="20"/>
          <w:color w:val="auto"/>
        </w:rPr>
      </w:pPr>
      <w:r>
        <w:rPr>
          <w:rFonts w:ascii="Arial" w:cs="Arial" w:eastAsia="Arial" w:hAnsi="Arial"/>
          <w:sz w:val="43"/>
          <w:szCs w:val="43"/>
          <w:color w:val="auto"/>
        </w:rPr>
        <w:t>Proposal No. 1</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7CBA"/>
        </w:rPr>
        <w:t>Election of Directors</w:t>
      </w:r>
    </w:p>
    <w:p>
      <w:pPr>
        <w:spacing w:after="0" w:line="257" w:lineRule="exact"/>
        <w:rPr>
          <w:sz w:val="20"/>
          <w:szCs w:val="20"/>
          <w:color w:val="auto"/>
        </w:rPr>
      </w:pPr>
    </w:p>
    <w:p>
      <w:pPr>
        <w:ind w:left="220"/>
        <w:spacing w:after="0" w:line="260" w:lineRule="auto"/>
        <w:rPr>
          <w:sz w:val="20"/>
          <w:szCs w:val="20"/>
          <w:color w:val="auto"/>
        </w:rPr>
      </w:pPr>
      <w:r>
        <w:rPr>
          <w:rFonts w:ascii="Arial" w:cs="Arial" w:eastAsia="Arial" w:hAnsi="Arial"/>
          <w:sz w:val="16"/>
          <w:szCs w:val="16"/>
          <w:color w:val="auto"/>
        </w:rPr>
        <w:t>The following sets forth the age, experience, key attributes and other biographical information for each member of the Board of Directors who is a nominee for election for a one-year term until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139700</wp:posOffset>
            </wp:positionV>
            <wp:extent cx="1122045" cy="14560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22045" cy="145605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20"/>
        <w:spacing w:after="0" w:line="219" w:lineRule="exact"/>
        <w:rPr>
          <w:sz w:val="20"/>
          <w:szCs w:val="20"/>
          <w:color w:val="auto"/>
        </w:rPr>
      </w:pPr>
      <w:r>
        <w:rPr>
          <w:rFonts w:ascii="MS PGothic" w:cs="MS PGothic" w:eastAsia="MS PGothic" w:hAnsi="MS PGothic"/>
          <w:sz w:val="19"/>
          <w:szCs w:val="19"/>
          <w:color w:val="007CBA"/>
        </w:rPr>
        <w:t>◆</w:t>
      </w:r>
      <w:r>
        <w:rPr>
          <w:rFonts w:ascii="Arial" w:cs="Arial" w:eastAsia="Arial" w:hAnsi="Arial"/>
          <w:sz w:val="19"/>
          <w:szCs w:val="19"/>
          <w:b w:val="1"/>
          <w:bCs w:val="1"/>
          <w:color w:val="007CBA"/>
        </w:rPr>
        <w:t>DOROTHY M.</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007CBA"/>
        </w:rPr>
        <w:t>ABLES</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2018</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61</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66040</wp:posOffset>
            </wp:positionV>
            <wp:extent cx="308610" cy="3086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811530</wp:posOffset>
            </wp:positionV>
            <wp:extent cx="1122045" cy="14560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22045" cy="14560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Ms. Ables joined the Martin Marietta Board in November 2018. Ms. Ables held a number of executive positions with Spectra Energy and predecessor companies, including serving from 2008 to 2017 as the Chief Administrative Officer of Spectra Energy Corp., a global energy infrastructure company, where she was responsible for human resources, information technology, support services, community relations and audit services. Prior to that, she served as Vice President of Audit Services and Chief Ethics and Compliance Officer for Spectra Energy and Senior Vice President and Chief Financial Officer for Duke Energy Gas Transmission. Spectra Energy was a Fortune 500 Company and one of North America’s leading pipeline and midstream companies prior to its acquisition by Enbridge Inc. in 2017. Ms. Ables started her career in the audit department of Peat, Marwick, Mitchell &amp; Co.</w:t>
      </w:r>
    </w:p>
    <w:p>
      <w:pPr>
        <w:spacing w:after="0" w:line="11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Ms. Ables serves as an Independent Director of Cabot Oil &amp; Gas Corporation, an independent oil and gas company, where she is a member of the Audit Committee and Compensation Committee. She served as a Director of Spectra Energy Partners, an affiliate of Spectra Energy Corp., from 2013 to 2017. Ms. Ables attended the University of Texas at Austin where she earned a Bachelor of Business Administration degree in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-1364615</wp:posOffset>
            </wp:positionH>
            <wp:positionV relativeFrom="paragraph">
              <wp:posOffset>787400</wp:posOffset>
            </wp:positionV>
            <wp:extent cx="69894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b w:val="1"/>
          <w:bCs w:val="1"/>
          <w:i w:val="1"/>
          <w:iCs w:val="1"/>
          <w:color w:val="007CBA"/>
        </w:rPr>
        <w:t>Key attributes, experience and skills:</w:t>
      </w:r>
    </w:p>
    <w:p>
      <w:pPr>
        <w:spacing w:after="0" w:line="40" w:lineRule="exact"/>
        <w:rPr>
          <w:sz w:val="20"/>
          <w:szCs w:val="20"/>
          <w:color w:val="auto"/>
        </w:rPr>
      </w:pPr>
    </w:p>
    <w:p>
      <w:pPr>
        <w:ind w:left="260" w:right="140" w:hanging="174"/>
        <w:spacing w:after="0" w:line="249" w:lineRule="auto"/>
        <w:tabs>
          <w:tab w:leader="none" w:pos="260" w:val="left"/>
        </w:tabs>
        <w:numPr>
          <w:ilvl w:val="0"/>
          <w:numId w:val="41"/>
        </w:numPr>
        <w:rPr>
          <w:rFonts w:ascii="Arial" w:cs="Arial" w:eastAsia="Arial" w:hAnsi="Arial"/>
          <w:sz w:val="16"/>
          <w:szCs w:val="16"/>
          <w:color w:val="007CBA"/>
        </w:rPr>
      </w:pPr>
      <w:r>
        <w:rPr>
          <w:rFonts w:ascii="Arial" w:cs="Arial" w:eastAsia="Arial" w:hAnsi="Arial"/>
          <w:sz w:val="16"/>
          <w:szCs w:val="16"/>
          <w:color w:val="auto"/>
        </w:rPr>
        <w:t>Financial expertise acquired through serving as CFO of Duke Energy Gas Transmission and as Vice President of Audit Services of Spectra Energy Corp.</w:t>
      </w:r>
    </w:p>
    <w:p>
      <w:pPr>
        <w:spacing w:after="0" w:line="68" w:lineRule="exact"/>
        <w:rPr>
          <w:rFonts w:ascii="Arial" w:cs="Arial" w:eastAsia="Arial" w:hAnsi="Arial"/>
          <w:sz w:val="16"/>
          <w:szCs w:val="16"/>
          <w:color w:val="007CBA"/>
        </w:rPr>
      </w:pPr>
    </w:p>
    <w:p>
      <w:pPr>
        <w:ind w:left="260" w:right="160" w:hanging="174"/>
        <w:spacing w:after="0" w:line="249" w:lineRule="auto"/>
        <w:tabs>
          <w:tab w:leader="none" w:pos="260" w:val="left"/>
        </w:tabs>
        <w:numPr>
          <w:ilvl w:val="0"/>
          <w:numId w:val="41"/>
        </w:numPr>
        <w:rPr>
          <w:rFonts w:ascii="Arial" w:cs="Arial" w:eastAsia="Arial" w:hAnsi="Arial"/>
          <w:sz w:val="16"/>
          <w:szCs w:val="16"/>
          <w:color w:val="007CBA"/>
        </w:rPr>
      </w:pPr>
      <w:r>
        <w:rPr>
          <w:rFonts w:ascii="Arial" w:cs="Arial" w:eastAsia="Arial" w:hAnsi="Arial"/>
          <w:sz w:val="16"/>
          <w:szCs w:val="16"/>
          <w:color w:val="auto"/>
        </w:rPr>
        <w:t>Valuable business leadership in human resources, information technology, community relations, finance and financial statements</w:t>
      </w:r>
    </w:p>
    <w:p>
      <w:pPr>
        <w:spacing w:after="0" w:line="70" w:lineRule="exact"/>
        <w:rPr>
          <w:rFonts w:ascii="Arial" w:cs="Arial" w:eastAsia="Arial" w:hAnsi="Arial"/>
          <w:sz w:val="16"/>
          <w:szCs w:val="16"/>
          <w:color w:val="007CBA"/>
        </w:rPr>
      </w:pPr>
    </w:p>
    <w:p>
      <w:pPr>
        <w:ind w:left="260" w:right="280" w:hanging="174"/>
        <w:spacing w:after="0" w:line="250" w:lineRule="auto"/>
        <w:tabs>
          <w:tab w:leader="none" w:pos="260" w:val="left"/>
        </w:tabs>
        <w:numPr>
          <w:ilvl w:val="0"/>
          <w:numId w:val="41"/>
        </w:numPr>
        <w:rPr>
          <w:rFonts w:ascii="Arial" w:cs="Arial" w:eastAsia="Arial" w:hAnsi="Arial"/>
          <w:sz w:val="16"/>
          <w:szCs w:val="16"/>
          <w:color w:val="007CBA"/>
        </w:rPr>
      </w:pPr>
      <w:r>
        <w:rPr>
          <w:rFonts w:ascii="Arial" w:cs="Arial" w:eastAsia="Arial" w:hAnsi="Arial"/>
          <w:sz w:val="16"/>
          <w:szCs w:val="16"/>
          <w:color w:val="auto"/>
        </w:rPr>
        <w:t>Strong leadership skills and familiarity with Texas, an important state for the Company</w:t>
      </w:r>
    </w:p>
    <w:p>
      <w:pPr>
        <w:spacing w:after="0" w:line="393" w:lineRule="exact"/>
        <w:rPr>
          <w:sz w:val="20"/>
          <w:szCs w:val="20"/>
          <w:color w:val="auto"/>
        </w:rPr>
      </w:pPr>
    </w:p>
    <w:p>
      <w:pPr>
        <w:sectPr>
          <w:pgSz w:w="11900" w:h="16838" w:orient="portrait"/>
          <w:cols w:equalWidth="0" w:num="3">
            <w:col w:w="1760" w:space="600"/>
            <w:col w:w="6080" w:space="260"/>
            <w:col w:w="2520"/>
          </w:cols>
          <w:pgMar w:left="24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20"/>
        <w:spacing w:after="0" w:line="219" w:lineRule="exact"/>
        <w:rPr>
          <w:sz w:val="20"/>
          <w:szCs w:val="20"/>
          <w:color w:val="auto"/>
        </w:rPr>
      </w:pPr>
      <w:r>
        <w:rPr>
          <w:rFonts w:ascii="MS PGothic" w:cs="MS PGothic" w:eastAsia="MS PGothic" w:hAnsi="MS PGothic"/>
          <w:sz w:val="19"/>
          <w:szCs w:val="19"/>
          <w:color w:val="007CBA"/>
        </w:rPr>
        <w:t>◆</w:t>
      </w:r>
      <w:r>
        <w:rPr>
          <w:rFonts w:ascii="Arial" w:cs="Arial" w:eastAsia="Arial" w:hAnsi="Arial"/>
          <w:sz w:val="19"/>
          <w:szCs w:val="19"/>
          <w:b w:val="1"/>
          <w:bCs w:val="1"/>
          <w:color w:val="007CBA"/>
        </w:rPr>
        <w:t>SUE W. COLE</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2002</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68</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66040</wp:posOffset>
            </wp:positionV>
            <wp:extent cx="745490" cy="3086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45490"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Ms. Cole is the managing partner of SAGE Leadership &amp; Strategy, LLC, an advisory firm for businesses, organizations and individuals relating to strategy, governance and leadership development. Ms. Cole was previously a principal of Granville Capital Inc., a registered investment advisor, from 2006 to 2011, and before that she was the Regional CEO, Mid-Atlantic Region, of U.S. Trust Company, N.A., where she was responsible for the overall strategic direction, growth, and leadership of its North Carolina, Philadelphia and Washington, D.C. offices. Ms. Cole previously held various positions in the U.S. Trust Company, N.A. and its predecessors. Ms. Cole serves as Chair of the Compensation Committee of Biscuitville, Inc., where she was previously Chairman of the Board. Ms. Cole has previously served on the public-company board of UNIFI, Inc. She has also been active in community and charitable organizations, including previously serving as Chairman of the North Carolina Chamber of Commerce, on the Investment Committee of the University of North Carolina at Greensboro and as a member on the North Carolina Economic Development Board. Ms. Cole attended the University of North Carolina at Greensboro where she earned a Bachelor of Science degree in Business Administration and a Masters in Business Administration in 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b w:val="1"/>
          <w:bCs w:val="1"/>
          <w:i w:val="1"/>
          <w:iCs w:val="1"/>
          <w:color w:val="007CBA"/>
        </w:rPr>
        <w:t>Key attributes, experience and skills:</w:t>
      </w:r>
    </w:p>
    <w:p>
      <w:pPr>
        <w:spacing w:after="0" w:line="40" w:lineRule="exact"/>
        <w:rPr>
          <w:sz w:val="20"/>
          <w:szCs w:val="20"/>
          <w:color w:val="auto"/>
        </w:rPr>
      </w:pPr>
    </w:p>
    <w:p>
      <w:pPr>
        <w:ind w:left="260" w:right="100" w:hanging="174"/>
        <w:spacing w:after="0" w:line="249" w:lineRule="auto"/>
        <w:tabs>
          <w:tab w:leader="none" w:pos="260" w:val="left"/>
        </w:tabs>
        <w:numPr>
          <w:ilvl w:val="0"/>
          <w:numId w:val="42"/>
        </w:numPr>
        <w:rPr>
          <w:rFonts w:ascii="Arial" w:cs="Arial" w:eastAsia="Arial" w:hAnsi="Arial"/>
          <w:sz w:val="16"/>
          <w:szCs w:val="16"/>
          <w:color w:val="007CBA"/>
        </w:rPr>
      </w:pPr>
      <w:r>
        <w:rPr>
          <w:rFonts w:ascii="Arial" w:cs="Arial" w:eastAsia="Arial" w:hAnsi="Arial"/>
          <w:sz w:val="16"/>
          <w:szCs w:val="16"/>
          <w:color w:val="auto"/>
        </w:rPr>
        <w:t>Valuable experience in executive compensation, corporate governance, human resources, finance and financial statements, and customer service</w:t>
      </w:r>
    </w:p>
    <w:p>
      <w:pPr>
        <w:spacing w:after="0" w:line="68" w:lineRule="exact"/>
        <w:rPr>
          <w:rFonts w:ascii="Arial" w:cs="Arial" w:eastAsia="Arial" w:hAnsi="Arial"/>
          <w:sz w:val="16"/>
          <w:szCs w:val="16"/>
          <w:color w:val="007CBA"/>
        </w:rPr>
      </w:pPr>
    </w:p>
    <w:p>
      <w:pPr>
        <w:ind w:left="260" w:right="120" w:hanging="174"/>
        <w:spacing w:after="0" w:line="250" w:lineRule="auto"/>
        <w:tabs>
          <w:tab w:leader="none" w:pos="260" w:val="left"/>
        </w:tabs>
        <w:numPr>
          <w:ilvl w:val="0"/>
          <w:numId w:val="42"/>
        </w:numPr>
        <w:rPr>
          <w:rFonts w:ascii="Arial" w:cs="Arial" w:eastAsia="Arial" w:hAnsi="Arial"/>
          <w:sz w:val="16"/>
          <w:szCs w:val="16"/>
          <w:color w:val="007CBA"/>
        </w:rPr>
      </w:pPr>
      <w:r>
        <w:rPr>
          <w:rFonts w:ascii="Arial" w:cs="Arial" w:eastAsia="Arial" w:hAnsi="Arial"/>
          <w:sz w:val="16"/>
          <w:szCs w:val="16"/>
          <w:color w:val="auto"/>
        </w:rPr>
        <w:t>Chief executive officer of several financial services businesses as well as several non-profit organizations</w:t>
      </w:r>
    </w:p>
    <w:p>
      <w:pPr>
        <w:spacing w:after="0" w:line="69" w:lineRule="exact"/>
        <w:rPr>
          <w:rFonts w:ascii="Arial" w:cs="Arial" w:eastAsia="Arial" w:hAnsi="Arial"/>
          <w:sz w:val="16"/>
          <w:szCs w:val="16"/>
          <w:color w:val="007CBA"/>
        </w:rPr>
      </w:pPr>
    </w:p>
    <w:p>
      <w:pPr>
        <w:ind w:left="260" w:right="100" w:hanging="174"/>
        <w:spacing w:after="0" w:line="250" w:lineRule="auto"/>
        <w:tabs>
          <w:tab w:leader="none" w:pos="260" w:val="left"/>
        </w:tabs>
        <w:numPr>
          <w:ilvl w:val="0"/>
          <w:numId w:val="42"/>
        </w:numPr>
        <w:rPr>
          <w:rFonts w:ascii="Arial" w:cs="Arial" w:eastAsia="Arial" w:hAnsi="Arial"/>
          <w:sz w:val="16"/>
          <w:szCs w:val="16"/>
          <w:color w:val="007CBA"/>
        </w:rPr>
      </w:pPr>
      <w:r>
        <w:rPr>
          <w:rFonts w:ascii="Arial" w:cs="Arial" w:eastAsia="Arial" w:hAnsi="Arial"/>
          <w:sz w:val="16"/>
          <w:szCs w:val="16"/>
          <w:color w:val="auto"/>
        </w:rPr>
        <w:t>Strong leadership skills and familiarity with North Carolina, an important state for the Company</w:t>
      </w:r>
    </w:p>
    <w:p>
      <w:pPr>
        <w:spacing w:after="0" w:line="339" w:lineRule="exact"/>
        <w:rPr>
          <w:sz w:val="20"/>
          <w:szCs w:val="20"/>
          <w:color w:val="auto"/>
        </w:rPr>
      </w:pPr>
    </w:p>
    <w:p>
      <w:pPr>
        <w:sectPr>
          <w:pgSz w:w="11900" w:h="16838" w:orient="portrait"/>
          <w:cols w:equalWidth="0" w:num="3">
            <w:col w:w="1780" w:space="580"/>
            <w:col w:w="6080" w:space="260"/>
            <w:col w:w="2520"/>
          </w:cols>
          <w:pgMar w:left="240" w:top="459" w:right="439"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286385</wp:posOffset>
            </wp:positionV>
            <wp:extent cx="7040880" cy="5397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40880" cy="539750"/>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920115</wp:posOffset>
            </wp:positionV>
            <wp:extent cx="410845" cy="2482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926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2019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15</w:t>
            </w:r>
          </w:p>
        </w:tc>
      </w:tr>
    </w:tbl>
    <w:p>
      <w:pPr>
        <w:sectPr>
          <w:pgSz w:w="11900" w:h="16838" w:orient="portrait"/>
          <w:cols w:equalWidth="0" w:num="1">
            <w:col w:w="11220"/>
          </w:cols>
          <w:pgMar w:left="240" w:top="459" w:right="4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9" w:lineRule="exact"/>
        <w:rPr>
          <w:sz w:val="20"/>
          <w:szCs w:val="20"/>
          <w:color w:val="auto"/>
        </w:rPr>
      </w:pPr>
    </w:p>
    <w:p>
      <w:pPr>
        <w:ind w:left="220"/>
        <w:spacing w:after="0" w:line="288" w:lineRule="exact"/>
        <w:rPr>
          <w:sz w:val="20"/>
          <w:szCs w:val="20"/>
          <w:color w:val="auto"/>
        </w:rPr>
      </w:pPr>
      <w:r>
        <w:rPr>
          <w:rFonts w:ascii="Arial" w:cs="Arial" w:eastAsia="Arial" w:hAnsi="Arial"/>
          <w:sz w:val="13"/>
          <w:szCs w:val="13"/>
          <w:color w:val="007CBA"/>
        </w:rPr>
        <w:t xml:space="preserve">Proposal 1: Election of Directors </w:t>
      </w:r>
      <w:r>
        <w:rPr>
          <w:rFonts w:ascii="MS PGothic" w:cs="MS PGothic" w:eastAsia="MS PGothic" w:hAnsi="MS PGothic"/>
          <w:sz w:val="25"/>
          <w:szCs w:val="25"/>
          <w:color w:val="007CBA"/>
        </w:rPr>
        <w:t>◆</w:t>
      </w:r>
      <w:r>
        <w:rPr>
          <w:rFonts w:ascii="Arial" w:cs="Arial" w:eastAsia="Arial" w:hAnsi="Arial"/>
          <w:sz w:val="13"/>
          <w:szCs w:val="13"/>
          <w:color w:val="007CBA"/>
        </w:rPr>
        <w:t xml:space="preserve"> </w:t>
      </w:r>
      <w:r>
        <w:rPr>
          <w:rFonts w:ascii="Arial" w:cs="Arial" w:eastAsia="Arial" w:hAnsi="Arial"/>
          <w:sz w:val="13"/>
          <w:szCs w:val="13"/>
          <w:color w:val="000000"/>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278130</wp:posOffset>
            </wp:positionV>
            <wp:extent cx="1122045" cy="14560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22045" cy="14560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both"/>
        <w:ind w:left="2360"/>
        <w:spacing w:after="0" w:line="247" w:lineRule="auto"/>
        <w:rPr>
          <w:sz w:val="20"/>
          <w:szCs w:val="20"/>
          <w:color w:val="auto"/>
        </w:rPr>
      </w:pPr>
      <w:r>
        <w:rPr>
          <w:rFonts w:ascii="Arial" w:cs="Arial" w:eastAsia="Arial" w:hAnsi="Arial"/>
          <w:sz w:val="16"/>
          <w:szCs w:val="16"/>
          <w:color w:val="auto"/>
        </w:rPr>
        <w:t>Mr. Davis is a senior partner at Akin Gump Strauss Hauer &amp; Feld LLP, an international law firm, where he provides counsel on a wide variety of legislative and regulatory matters, including those before a variety of congressional committees. Mr. Davis joined Akin Gump in 1979 and his practice has included advising on legal matters relating to environmental issues, financial institutions, mergers and acquisitions, and pension reform. Mr. Davis also has served on the law firm’s compensation and management committees. Prior to joining Akin Gump, Mr. Davis served as a counsel to the House Judiciary Committee. Mr. Davis attended Yale University where he received a Bachelors of Arts degree, magna cum laude and Yale Law School where he received his Juris Doctor degree.</w:t>
      </w:r>
    </w:p>
    <w:p>
      <w:pPr>
        <w:spacing w:after="0" w:line="200" w:lineRule="exact"/>
        <w:rPr>
          <w:sz w:val="20"/>
          <w:szCs w:val="20"/>
          <w:color w:val="auto"/>
        </w:rPr>
      </w:pPr>
    </w:p>
    <w:p>
      <w:pPr>
        <w:spacing w:after="0" w:line="271" w:lineRule="exact"/>
        <w:rPr>
          <w:sz w:val="20"/>
          <w:szCs w:val="20"/>
          <w:color w:val="auto"/>
        </w:rPr>
      </w:pPr>
    </w:p>
    <w:p>
      <w:pPr>
        <w:ind w:left="220"/>
        <w:spacing w:after="0" w:line="253" w:lineRule="exact"/>
        <w:rPr>
          <w:sz w:val="20"/>
          <w:szCs w:val="20"/>
          <w:color w:val="auto"/>
        </w:rPr>
      </w:pPr>
      <w:r>
        <w:rPr>
          <w:rFonts w:ascii="MS PGothic" w:cs="MS PGothic" w:eastAsia="MS PGothic" w:hAnsi="MS PGothic"/>
          <w:sz w:val="22"/>
          <w:szCs w:val="22"/>
          <w:color w:val="007CBA"/>
        </w:rPr>
        <w:t>◆</w:t>
      </w:r>
      <w:r>
        <w:rPr>
          <w:rFonts w:ascii="Arial" w:cs="Arial" w:eastAsia="Arial" w:hAnsi="Arial"/>
          <w:sz w:val="22"/>
          <w:szCs w:val="22"/>
          <w:b w:val="1"/>
          <w:bCs w:val="1"/>
          <w:color w:val="007CBA"/>
        </w:rPr>
        <w:t>SMITH W. DAVIS</w:t>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2018</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71</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648335</wp:posOffset>
            </wp:positionV>
            <wp:extent cx="698944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66040</wp:posOffset>
            </wp:positionV>
            <wp:extent cx="745490" cy="3086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45490"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b w:val="1"/>
          <w:bCs w:val="1"/>
          <w:i w:val="1"/>
          <w:iCs w:val="1"/>
          <w:color w:val="007CBA"/>
        </w:rPr>
        <w:t>Key attributes, experience and skills:</w:t>
      </w:r>
    </w:p>
    <w:p>
      <w:pPr>
        <w:spacing w:after="0" w:line="40" w:lineRule="exact"/>
        <w:rPr>
          <w:sz w:val="20"/>
          <w:szCs w:val="20"/>
          <w:color w:val="auto"/>
        </w:rPr>
      </w:pPr>
    </w:p>
    <w:p>
      <w:pPr>
        <w:ind w:left="260" w:right="100" w:hanging="174"/>
        <w:spacing w:after="0" w:line="253" w:lineRule="auto"/>
        <w:tabs>
          <w:tab w:leader="none" w:pos="260" w:val="left"/>
        </w:tabs>
        <w:numPr>
          <w:ilvl w:val="0"/>
          <w:numId w:val="43"/>
        </w:numPr>
        <w:rPr>
          <w:rFonts w:ascii="Arial" w:cs="Arial" w:eastAsia="Arial" w:hAnsi="Arial"/>
          <w:sz w:val="16"/>
          <w:szCs w:val="16"/>
          <w:color w:val="007CBA"/>
        </w:rPr>
      </w:pPr>
      <w:r>
        <w:rPr>
          <w:rFonts w:ascii="Arial" w:cs="Arial" w:eastAsia="Arial" w:hAnsi="Arial"/>
          <w:sz w:val="16"/>
          <w:szCs w:val="16"/>
          <w:color w:val="auto"/>
        </w:rPr>
        <w:t>Extensive experience in legal, compliance, and corporate governance</w:t>
      </w:r>
    </w:p>
    <w:p>
      <w:pPr>
        <w:spacing w:after="0" w:line="65" w:lineRule="exact"/>
        <w:rPr>
          <w:rFonts w:ascii="Arial" w:cs="Arial" w:eastAsia="Arial" w:hAnsi="Arial"/>
          <w:sz w:val="16"/>
          <w:szCs w:val="16"/>
          <w:color w:val="007CBA"/>
        </w:rPr>
      </w:pPr>
    </w:p>
    <w:p>
      <w:pPr>
        <w:ind w:left="260" w:right="20" w:hanging="174"/>
        <w:spacing w:after="0" w:line="248" w:lineRule="auto"/>
        <w:tabs>
          <w:tab w:leader="none" w:pos="260" w:val="left"/>
        </w:tabs>
        <w:numPr>
          <w:ilvl w:val="0"/>
          <w:numId w:val="43"/>
        </w:numPr>
        <w:rPr>
          <w:rFonts w:ascii="Arial" w:cs="Arial" w:eastAsia="Arial" w:hAnsi="Arial"/>
          <w:sz w:val="16"/>
          <w:szCs w:val="16"/>
          <w:color w:val="007CBA"/>
        </w:rPr>
      </w:pPr>
      <w:r>
        <w:rPr>
          <w:rFonts w:ascii="Arial" w:cs="Arial" w:eastAsia="Arial" w:hAnsi="Arial"/>
          <w:sz w:val="16"/>
          <w:szCs w:val="16"/>
          <w:color w:val="auto"/>
        </w:rPr>
        <w:t>Strong leadership skills and expertise in governmental and regulatory issues, safety, health and environmental matters, mergers and acquisitions, executive compensation, financial affairs, and risk assessment</w:t>
      </w:r>
    </w:p>
    <w:p>
      <w:pPr>
        <w:spacing w:after="0" w:line="70" w:lineRule="exact"/>
        <w:rPr>
          <w:rFonts w:ascii="Arial" w:cs="Arial" w:eastAsia="Arial" w:hAnsi="Arial"/>
          <w:sz w:val="16"/>
          <w:szCs w:val="16"/>
          <w:color w:val="007CBA"/>
        </w:rPr>
      </w:pPr>
    </w:p>
    <w:p>
      <w:pPr>
        <w:ind w:left="260" w:right="120" w:hanging="174"/>
        <w:spacing w:after="0" w:line="253" w:lineRule="auto"/>
        <w:tabs>
          <w:tab w:leader="none" w:pos="260" w:val="left"/>
        </w:tabs>
        <w:numPr>
          <w:ilvl w:val="0"/>
          <w:numId w:val="43"/>
        </w:numPr>
        <w:rPr>
          <w:rFonts w:ascii="Arial" w:cs="Arial" w:eastAsia="Arial" w:hAnsi="Arial"/>
          <w:sz w:val="16"/>
          <w:szCs w:val="16"/>
          <w:color w:val="007CBA"/>
        </w:rPr>
      </w:pPr>
      <w:r>
        <w:rPr>
          <w:rFonts w:ascii="Arial" w:cs="Arial" w:eastAsia="Arial" w:hAnsi="Arial"/>
          <w:sz w:val="16"/>
          <w:szCs w:val="16"/>
          <w:color w:val="auto"/>
        </w:rPr>
        <w:t>Brings new perspective to the Board on diversity and corporate citizenship</w:t>
      </w:r>
    </w:p>
    <w:p>
      <w:pPr>
        <w:spacing w:after="0" w:line="416" w:lineRule="exact"/>
        <w:rPr>
          <w:sz w:val="20"/>
          <w:szCs w:val="20"/>
          <w:color w:val="auto"/>
        </w:rPr>
      </w:pPr>
    </w:p>
    <w:p>
      <w:pPr>
        <w:sectPr>
          <w:pgSz w:w="11900" w:h="16838" w:orient="portrait"/>
          <w:cols w:equalWidth="0" w:num="2">
            <w:col w:w="8440" w:space="260"/>
            <w:col w:w="2500"/>
          </w:cols>
          <w:pgMar w:left="24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line="253" w:lineRule="exact"/>
        <w:rPr>
          <w:sz w:val="20"/>
          <w:szCs w:val="20"/>
          <w:color w:val="auto"/>
        </w:rPr>
      </w:pPr>
      <w:r>
        <w:rPr>
          <w:rFonts w:ascii="MS PGothic" w:cs="MS PGothic" w:eastAsia="MS PGothic" w:hAnsi="MS PGothic"/>
          <w:sz w:val="22"/>
          <w:szCs w:val="22"/>
          <w:color w:val="007CBA"/>
        </w:rPr>
        <w:t>◆</w:t>
      </w:r>
      <w:r>
        <w:rPr>
          <w:rFonts w:ascii="Arial" w:cs="Arial" w:eastAsia="Arial" w:hAnsi="Arial"/>
          <w:sz w:val="22"/>
          <w:szCs w:val="22"/>
          <w:b w:val="1"/>
          <w:bCs w:val="1"/>
          <w:color w:val="007CBA"/>
        </w:rPr>
        <w:t>JOHN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-1663065</wp:posOffset>
            </wp:positionV>
            <wp:extent cx="1122045" cy="14560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22045" cy="1456055"/>
                    </a:xfrm>
                    <a:prstGeom prst="rect">
                      <a:avLst/>
                    </a:prstGeom>
                    <a:noFill/>
                  </pic:spPr>
                </pic:pic>
              </a:graphicData>
            </a:graphic>
          </wp:anchor>
        </w:drawing>
      </w:r>
    </w:p>
    <w:p>
      <w:pPr>
        <w:spacing w:after="0" w:line="25"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007CBA"/>
        </w:rPr>
        <w:t>KORALESKI</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2016</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68</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66040</wp:posOffset>
            </wp:positionV>
            <wp:extent cx="1182370" cy="3086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82370"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Mr. Koraleski joined the Martin Marietta Board in 2016. Mr. Koraleski served from February 2015 through his retirement in September 2015 as executive Chairman of the Board of the Union Pacific Corporation (UP), which through its subsidiaries operates North America’s premier railroad franchise, covering 23 states across the western two-thirds of the United States. Prior to that, he was named President and Chief Executive Officer of the UP in March 2012, elected as a Director of the UP in July 2012 and appointed Chairman of the Board in 2014. Since joining the Union Pacific (Railroad) in 1972, Mr. Koraleski held a number of executive positions in the UP and the Railroad, including, Executive Vice President – Marketing and Sales from 1999 to 2012, Executive Vice President – Finance and Information Technology, Chief Financial Officer and Controller. Mr. Koraleski served as the Chairman of The Bridges Investment Fund, Inc., a general equity fund whose primary investment objective is to seek long-term capital appreciation, from 2005 through March 2012 and is a past Chairman of the Association of American Railroads. Mr. Koraleski earned a Bachelor’s and Master’s degree in business administration from the University of Nebraska at Omaha.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-1364615</wp:posOffset>
            </wp:positionH>
            <wp:positionV relativeFrom="paragraph">
              <wp:posOffset>1621155</wp:posOffset>
            </wp:positionV>
            <wp:extent cx="7040880" cy="5397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40880" cy="539750"/>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2254885</wp:posOffset>
            </wp:positionV>
            <wp:extent cx="410845" cy="2482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b w:val="1"/>
          <w:bCs w:val="1"/>
          <w:i w:val="1"/>
          <w:iCs w:val="1"/>
          <w:color w:val="007CBA"/>
        </w:rPr>
        <w:t>Key attributes, experience and skills:</w:t>
      </w:r>
    </w:p>
    <w:p>
      <w:pPr>
        <w:spacing w:after="0" w:line="40" w:lineRule="exact"/>
        <w:rPr>
          <w:sz w:val="20"/>
          <w:szCs w:val="20"/>
          <w:color w:val="auto"/>
        </w:rPr>
      </w:pPr>
    </w:p>
    <w:p>
      <w:pPr>
        <w:ind w:left="260" w:hanging="174"/>
        <w:spacing w:after="0" w:line="249" w:lineRule="auto"/>
        <w:tabs>
          <w:tab w:leader="none" w:pos="260" w:val="left"/>
        </w:tabs>
        <w:numPr>
          <w:ilvl w:val="0"/>
          <w:numId w:val="44"/>
        </w:numPr>
        <w:rPr>
          <w:rFonts w:ascii="Arial" w:cs="Arial" w:eastAsia="Arial" w:hAnsi="Arial"/>
          <w:sz w:val="16"/>
          <w:szCs w:val="16"/>
          <w:color w:val="007CBA"/>
        </w:rPr>
      </w:pPr>
      <w:r>
        <w:rPr>
          <w:rFonts w:ascii="Arial" w:cs="Arial" w:eastAsia="Arial" w:hAnsi="Arial"/>
          <w:sz w:val="16"/>
          <w:szCs w:val="16"/>
          <w:color w:val="auto"/>
        </w:rPr>
        <w:t>Experience with the demands and challenges associated with managing a large publicly-traded organization from his experience as Chairman and CEO of Union Pacific</w:t>
      </w:r>
    </w:p>
    <w:p>
      <w:pPr>
        <w:spacing w:after="0" w:line="68" w:lineRule="exact"/>
        <w:rPr>
          <w:rFonts w:ascii="Arial" w:cs="Arial" w:eastAsia="Arial" w:hAnsi="Arial"/>
          <w:sz w:val="16"/>
          <w:szCs w:val="16"/>
          <w:color w:val="007CBA"/>
        </w:rPr>
      </w:pPr>
    </w:p>
    <w:p>
      <w:pPr>
        <w:ind w:left="260" w:right="40" w:hanging="174"/>
        <w:spacing w:after="0" w:line="249" w:lineRule="auto"/>
        <w:tabs>
          <w:tab w:leader="none" w:pos="260" w:val="left"/>
        </w:tabs>
        <w:numPr>
          <w:ilvl w:val="0"/>
          <w:numId w:val="44"/>
        </w:numPr>
        <w:rPr>
          <w:rFonts w:ascii="Arial" w:cs="Arial" w:eastAsia="Arial" w:hAnsi="Arial"/>
          <w:sz w:val="16"/>
          <w:szCs w:val="16"/>
          <w:color w:val="007CBA"/>
        </w:rPr>
      </w:pPr>
      <w:r>
        <w:rPr>
          <w:rFonts w:ascii="Arial" w:cs="Arial" w:eastAsia="Arial" w:hAnsi="Arial"/>
          <w:sz w:val="16"/>
          <w:szCs w:val="16"/>
          <w:color w:val="auto"/>
        </w:rPr>
        <w:t>Extensive knowledge of financial system management, public company accounting, disclosure requirements and financial markets</w:t>
      </w:r>
    </w:p>
    <w:p>
      <w:pPr>
        <w:spacing w:after="0" w:line="70" w:lineRule="exact"/>
        <w:rPr>
          <w:rFonts w:ascii="Arial" w:cs="Arial" w:eastAsia="Arial" w:hAnsi="Arial"/>
          <w:sz w:val="16"/>
          <w:szCs w:val="16"/>
          <w:color w:val="007CBA"/>
        </w:rPr>
      </w:pPr>
    </w:p>
    <w:p>
      <w:pPr>
        <w:ind w:left="260" w:right="140" w:hanging="174"/>
        <w:spacing w:after="0" w:line="250" w:lineRule="auto"/>
        <w:tabs>
          <w:tab w:leader="none" w:pos="260" w:val="left"/>
        </w:tabs>
        <w:numPr>
          <w:ilvl w:val="0"/>
          <w:numId w:val="44"/>
        </w:numPr>
        <w:rPr>
          <w:rFonts w:ascii="Arial" w:cs="Arial" w:eastAsia="Arial" w:hAnsi="Arial"/>
          <w:sz w:val="16"/>
          <w:szCs w:val="16"/>
          <w:color w:val="007CBA"/>
        </w:rPr>
      </w:pPr>
      <w:r>
        <w:rPr>
          <w:rFonts w:ascii="Arial" w:cs="Arial" w:eastAsia="Arial" w:hAnsi="Arial"/>
          <w:sz w:val="16"/>
          <w:szCs w:val="16"/>
          <w:color w:val="auto"/>
        </w:rPr>
        <w:t>Valuable expertise in talent management, compensation, governance and succession planning</w:t>
      </w:r>
    </w:p>
    <w:p>
      <w:pPr>
        <w:spacing w:after="0" w:line="69" w:lineRule="exact"/>
        <w:rPr>
          <w:rFonts w:ascii="Arial" w:cs="Arial" w:eastAsia="Arial" w:hAnsi="Arial"/>
          <w:sz w:val="16"/>
          <w:szCs w:val="16"/>
          <w:color w:val="007CBA"/>
        </w:rPr>
      </w:pPr>
    </w:p>
    <w:p>
      <w:pPr>
        <w:ind w:left="260" w:right="100" w:hanging="174"/>
        <w:spacing w:after="0" w:line="253" w:lineRule="auto"/>
        <w:tabs>
          <w:tab w:leader="none" w:pos="260" w:val="left"/>
        </w:tabs>
        <w:numPr>
          <w:ilvl w:val="0"/>
          <w:numId w:val="44"/>
        </w:numPr>
        <w:rPr>
          <w:rFonts w:ascii="Arial" w:cs="Arial" w:eastAsia="Arial" w:hAnsi="Arial"/>
          <w:sz w:val="16"/>
          <w:szCs w:val="16"/>
          <w:color w:val="007CBA"/>
        </w:rPr>
      </w:pPr>
      <w:r>
        <w:rPr>
          <w:rFonts w:ascii="Arial" w:cs="Arial" w:eastAsia="Arial" w:hAnsi="Arial"/>
          <w:sz w:val="16"/>
          <w:szCs w:val="16"/>
          <w:color w:val="auto"/>
        </w:rPr>
        <w:t>Understanding of complex logistic operations, safety and rail operations</w:t>
      </w:r>
    </w:p>
    <w:p>
      <w:pPr>
        <w:spacing w:after="0" w:line="65" w:lineRule="exact"/>
        <w:rPr>
          <w:rFonts w:ascii="Arial" w:cs="Arial" w:eastAsia="Arial" w:hAnsi="Arial"/>
          <w:sz w:val="16"/>
          <w:szCs w:val="16"/>
          <w:color w:val="007CBA"/>
        </w:rPr>
      </w:pPr>
    </w:p>
    <w:p>
      <w:pPr>
        <w:ind w:left="260" w:right="180" w:hanging="174"/>
        <w:spacing w:after="0" w:line="250" w:lineRule="auto"/>
        <w:tabs>
          <w:tab w:leader="none" w:pos="260" w:val="left"/>
        </w:tabs>
        <w:numPr>
          <w:ilvl w:val="0"/>
          <w:numId w:val="44"/>
        </w:numPr>
        <w:rPr>
          <w:rFonts w:ascii="Arial" w:cs="Arial" w:eastAsia="Arial" w:hAnsi="Arial"/>
          <w:sz w:val="16"/>
          <w:szCs w:val="16"/>
          <w:color w:val="007CBA"/>
        </w:rPr>
      </w:pPr>
      <w:r>
        <w:rPr>
          <w:rFonts w:ascii="Arial" w:cs="Arial" w:eastAsia="Arial" w:hAnsi="Arial"/>
          <w:sz w:val="16"/>
          <w:szCs w:val="16"/>
          <w:color w:val="auto"/>
        </w:rPr>
        <w:t>Broad strategic analysis and experience with acquisitions, integration, marketing and information technologies</w:t>
      </w:r>
    </w:p>
    <w:p>
      <w:pPr>
        <w:spacing w:after="0" w:line="200" w:lineRule="exact"/>
        <w:rPr>
          <w:sz w:val="20"/>
          <w:szCs w:val="20"/>
          <w:color w:val="auto"/>
        </w:rPr>
      </w:pPr>
    </w:p>
    <w:p>
      <w:pPr>
        <w:sectPr>
          <w:pgSz w:w="11900" w:h="16838" w:orient="portrait"/>
          <w:cols w:equalWidth="0" w:num="3">
            <w:col w:w="1760" w:space="600"/>
            <w:col w:w="6080" w:space="260"/>
            <w:col w:w="2500"/>
          </w:cols>
          <w:pgMar w:left="240" w:top="459"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40" w:hanging="430"/>
        <w:spacing w:after="0"/>
        <w:tabs>
          <w:tab w:leader="none" w:pos="640" w:val="left"/>
        </w:tabs>
        <w:numPr>
          <w:ilvl w:val="0"/>
          <w:numId w:val="45"/>
        </w:numPr>
        <w:rPr>
          <w:rFonts w:ascii="Arial" w:cs="Arial" w:eastAsia="Arial" w:hAnsi="Arial"/>
          <w:sz w:val="12"/>
          <w:szCs w:val="12"/>
          <w:b w:val="1"/>
          <w:bCs w:val="1"/>
          <w:color w:val="auto"/>
        </w:rPr>
      </w:pPr>
      <w:r>
        <w:rPr>
          <w:rFonts w:ascii="Arial" w:cs="Arial" w:eastAsia="Arial" w:hAnsi="Arial"/>
          <w:sz w:val="12"/>
          <w:szCs w:val="12"/>
          <w:color w:val="007CBA"/>
        </w:rPr>
        <w:t>2019 PROXY STATEMENT</w:t>
      </w:r>
    </w:p>
    <w:p>
      <w:pPr>
        <w:sectPr>
          <w:pgSz w:w="11900" w:h="16838" w:orient="portrait"/>
          <w:cols w:equalWidth="0" w:num="1">
            <w:col w:w="11200"/>
          </w:cols>
          <w:pgMar w:left="240" w:top="459" w:right="45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9" w:lineRule="exact"/>
        <w:rPr>
          <w:sz w:val="20"/>
          <w:szCs w:val="20"/>
          <w:color w:val="auto"/>
        </w:rPr>
      </w:pPr>
    </w:p>
    <w:p>
      <w:pPr>
        <w:jc w:val="right"/>
        <w:spacing w:after="0" w:line="288" w:lineRule="exact"/>
        <w:rPr>
          <w:sz w:val="20"/>
          <w:szCs w:val="20"/>
          <w:color w:val="auto"/>
        </w:rPr>
      </w:pPr>
      <w:r>
        <w:rPr>
          <w:rFonts w:ascii="Arial" w:cs="Arial" w:eastAsia="Arial" w:hAnsi="Arial"/>
          <w:sz w:val="13"/>
          <w:szCs w:val="13"/>
          <w:color w:val="auto"/>
        </w:rPr>
        <w:t xml:space="preserve">Director Nominees </w:t>
      </w:r>
      <w:r>
        <w:rPr>
          <w:rFonts w:ascii="MS PGothic" w:cs="MS PGothic" w:eastAsia="MS PGothic" w:hAnsi="MS PGothic"/>
          <w:sz w:val="25"/>
          <w:szCs w:val="25"/>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Proposal 1: Election of Directors</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spacing w:after="0" w:line="219" w:lineRule="exact"/>
        <w:rPr>
          <w:sz w:val="20"/>
          <w:szCs w:val="20"/>
          <w:color w:val="auto"/>
        </w:rPr>
      </w:pPr>
      <w:r>
        <w:rPr>
          <w:rFonts w:ascii="MS PGothic" w:cs="MS PGothic" w:eastAsia="MS PGothic" w:hAnsi="MS PGothic"/>
          <w:sz w:val="19"/>
          <w:szCs w:val="19"/>
          <w:color w:val="007CBA"/>
        </w:rPr>
        <w:t>◆</w:t>
      </w:r>
      <w:r>
        <w:rPr>
          <w:rFonts w:ascii="Arial" w:cs="Arial" w:eastAsia="Arial" w:hAnsi="Arial"/>
          <w:sz w:val="19"/>
          <w:szCs w:val="19"/>
          <w:b w:val="1"/>
          <w:bCs w:val="1"/>
          <w:color w:val="007CBA"/>
        </w:rPr>
        <w:t>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-1640840</wp:posOffset>
            </wp:positionV>
            <wp:extent cx="1122045" cy="14560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22045" cy="1456055"/>
                    </a:xfrm>
                    <a:prstGeom prst="rect">
                      <a:avLst/>
                    </a:prstGeom>
                    <a:noFill/>
                  </pic:spPr>
                </pic:pic>
              </a:graphicData>
            </a:graphic>
          </wp:anchor>
        </w:drawing>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2010</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56</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Chairman of the Board</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66040</wp:posOffset>
            </wp:positionV>
            <wp:extent cx="308610" cy="3086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08610" cy="30861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Mr. Nye has served as Chairman of the Board since 2014 and as President and Chief Executive Officer of Martin Marietta since January 1, 2010. He previously served as President and Chief Operating Officer of Martin Marietta from August 2006 to 2009. From 2003 to 2006, Mr. Nye served as Executive Vice President of Hanson Aggregates North America, a producer of aggregates for the construction industry, and in other managerial roles since 1993. Mr. Nye is also currently an independent Director of General Dynamics (NYSE: GD), an American aerospace and defense multinational corporation and the world’s fifth-largest defense contractor. Mr. Nye has also been active in a number of various business, civic, and education organizations, including serving as Chairman of the Steering Committee, as a member of the Executive Committee and Nominating &amp; Leadership Development Committee and past Chairman of the Board of Directors of the National Stone, Sand &amp; Gravel Association, Vice Chairman of the Board of Directors of the American Road &amp; Transportation Builders Association (ARTBA), and a member of the Board of Directors of the United States Chamber of Commerce. Mr. Nye was previously a member of the Board of CREE, Inc., until October 2018. Mr. Nye has also been a gubernatorial appointee to the North Carolina Mining Commission. Mr. Nye received a Bachelor’s degree from Duke University and a Juris Doctor degree from Wake Forest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-1440815</wp:posOffset>
            </wp:positionH>
            <wp:positionV relativeFrom="paragraph">
              <wp:posOffset>849630</wp:posOffset>
            </wp:positionV>
            <wp:extent cx="698944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b w:val="1"/>
          <w:bCs w:val="1"/>
          <w:i w:val="1"/>
          <w:iCs w:val="1"/>
          <w:color w:val="007CBA"/>
        </w:rPr>
        <w:t>Key attributes, experience and skills:</w:t>
      </w:r>
    </w:p>
    <w:p>
      <w:pPr>
        <w:spacing w:after="0" w:line="40" w:lineRule="exact"/>
        <w:rPr>
          <w:sz w:val="20"/>
          <w:szCs w:val="20"/>
          <w:color w:val="auto"/>
        </w:rPr>
      </w:pPr>
    </w:p>
    <w:p>
      <w:pPr>
        <w:ind w:left="260" w:right="280" w:hanging="174"/>
        <w:spacing w:after="0" w:line="253" w:lineRule="auto"/>
        <w:tabs>
          <w:tab w:leader="none" w:pos="260" w:val="left"/>
        </w:tabs>
        <w:numPr>
          <w:ilvl w:val="0"/>
          <w:numId w:val="46"/>
        </w:numPr>
        <w:rPr>
          <w:rFonts w:ascii="Arial" w:cs="Arial" w:eastAsia="Arial" w:hAnsi="Arial"/>
          <w:sz w:val="16"/>
          <w:szCs w:val="16"/>
          <w:color w:val="007CBA"/>
        </w:rPr>
      </w:pPr>
      <w:r>
        <w:rPr>
          <w:rFonts w:ascii="Arial" w:cs="Arial" w:eastAsia="Arial" w:hAnsi="Arial"/>
          <w:sz w:val="16"/>
          <w:szCs w:val="16"/>
          <w:color w:val="auto"/>
        </w:rPr>
        <w:t>Extensive knowledge of the construction aggregates industry</w:t>
      </w:r>
    </w:p>
    <w:p>
      <w:pPr>
        <w:spacing w:after="0" w:line="65" w:lineRule="exact"/>
        <w:rPr>
          <w:rFonts w:ascii="Arial" w:cs="Arial" w:eastAsia="Arial" w:hAnsi="Arial"/>
          <w:sz w:val="16"/>
          <w:szCs w:val="16"/>
          <w:color w:val="007CBA"/>
        </w:rPr>
      </w:pPr>
    </w:p>
    <w:p>
      <w:pPr>
        <w:ind w:left="260" w:hanging="174"/>
        <w:spacing w:after="0" w:line="249" w:lineRule="auto"/>
        <w:tabs>
          <w:tab w:leader="none" w:pos="260" w:val="left"/>
        </w:tabs>
        <w:numPr>
          <w:ilvl w:val="0"/>
          <w:numId w:val="46"/>
        </w:numPr>
        <w:rPr>
          <w:rFonts w:ascii="Arial" w:cs="Arial" w:eastAsia="Arial" w:hAnsi="Arial"/>
          <w:sz w:val="16"/>
          <w:szCs w:val="16"/>
          <w:color w:val="007CBA"/>
        </w:rPr>
      </w:pPr>
      <w:r>
        <w:rPr>
          <w:rFonts w:ascii="Arial" w:cs="Arial" w:eastAsia="Arial" w:hAnsi="Arial"/>
          <w:sz w:val="16"/>
          <w:szCs w:val="16"/>
          <w:color w:val="auto"/>
        </w:rPr>
        <w:t>Extensive leadership, business, operating, marketing, mergers and acquisitions, legal, customer-relations, and safety and environmental experience</w:t>
      </w:r>
    </w:p>
    <w:p>
      <w:pPr>
        <w:spacing w:after="0" w:line="259" w:lineRule="exact"/>
        <w:rPr>
          <w:rFonts w:ascii="Arial" w:cs="Arial" w:eastAsia="Arial" w:hAnsi="Arial"/>
          <w:sz w:val="16"/>
          <w:szCs w:val="16"/>
          <w:color w:val="007CBA"/>
        </w:rPr>
      </w:pPr>
    </w:p>
    <w:p>
      <w:pPr>
        <w:ind w:left="260" w:right="40" w:hanging="174"/>
        <w:spacing w:after="0" w:line="249" w:lineRule="auto"/>
        <w:tabs>
          <w:tab w:leader="none" w:pos="260" w:val="left"/>
        </w:tabs>
        <w:numPr>
          <w:ilvl w:val="0"/>
          <w:numId w:val="46"/>
        </w:numPr>
        <w:rPr>
          <w:rFonts w:ascii="Arial" w:cs="Arial" w:eastAsia="Arial" w:hAnsi="Arial"/>
          <w:sz w:val="16"/>
          <w:szCs w:val="16"/>
          <w:color w:val="007CBA"/>
        </w:rPr>
      </w:pPr>
      <w:r>
        <w:rPr>
          <w:rFonts w:ascii="Arial" w:cs="Arial" w:eastAsia="Arial" w:hAnsi="Arial"/>
          <w:sz w:val="16"/>
          <w:szCs w:val="16"/>
          <w:color w:val="auto"/>
        </w:rPr>
        <w:t>Understands the competitive nature of the business and has strong management skills, broad executive experience, and corporate governance expertise</w:t>
      </w:r>
    </w:p>
    <w:p>
      <w:pPr>
        <w:spacing w:after="0" w:line="68" w:lineRule="exact"/>
        <w:rPr>
          <w:rFonts w:ascii="Arial" w:cs="Arial" w:eastAsia="Arial" w:hAnsi="Arial"/>
          <w:sz w:val="16"/>
          <w:szCs w:val="16"/>
          <w:color w:val="007CBA"/>
        </w:rPr>
      </w:pPr>
    </w:p>
    <w:p>
      <w:pPr>
        <w:ind w:left="260" w:hanging="174"/>
        <w:spacing w:after="0" w:line="260" w:lineRule="auto"/>
        <w:tabs>
          <w:tab w:leader="none" w:pos="260" w:val="left"/>
        </w:tabs>
        <w:numPr>
          <w:ilvl w:val="0"/>
          <w:numId w:val="46"/>
        </w:numPr>
        <w:rPr>
          <w:rFonts w:ascii="Arial" w:cs="Arial" w:eastAsia="Arial" w:hAnsi="Arial"/>
          <w:sz w:val="16"/>
          <w:szCs w:val="16"/>
          <w:color w:val="007CBA"/>
        </w:rPr>
      </w:pPr>
      <w:r>
        <w:rPr>
          <w:rFonts w:ascii="Arial" w:cs="Arial" w:eastAsia="Arial" w:hAnsi="Arial"/>
          <w:sz w:val="16"/>
          <w:szCs w:val="16"/>
          <w:color w:val="auto"/>
        </w:rPr>
        <w:t>Broad strategic vision for the future growth of Martin Marietta</w:t>
      </w:r>
    </w:p>
    <w:p>
      <w:pPr>
        <w:spacing w:after="0" w:line="792" w:lineRule="exact"/>
        <w:rPr>
          <w:sz w:val="20"/>
          <w:szCs w:val="20"/>
          <w:color w:val="auto"/>
        </w:rPr>
      </w:pPr>
    </w:p>
    <w:p>
      <w:pPr>
        <w:sectPr>
          <w:pgSz w:w="11900" w:h="16838" w:orient="portrait"/>
          <w:cols w:equalWidth="0" w:num="3">
            <w:col w:w="2140" w:space="340"/>
            <w:col w:w="5980" w:space="240"/>
            <w:col w:w="2520"/>
          </w:cols>
          <w:pgMar w:left="24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spacing w:after="0" w:line="219" w:lineRule="exact"/>
        <w:rPr>
          <w:sz w:val="20"/>
          <w:szCs w:val="20"/>
          <w:color w:val="auto"/>
        </w:rPr>
      </w:pPr>
      <w:r>
        <w:rPr>
          <w:rFonts w:ascii="MS PGothic" w:cs="MS PGothic" w:eastAsia="MS PGothic" w:hAnsi="MS PGothic"/>
          <w:sz w:val="19"/>
          <w:szCs w:val="19"/>
          <w:color w:val="007CBA"/>
        </w:rPr>
        <w:t>◆</w:t>
      </w:r>
      <w:r>
        <w:rPr>
          <w:rFonts w:ascii="Arial" w:cs="Arial" w:eastAsia="Arial" w:hAnsi="Arial"/>
          <w:sz w:val="19"/>
          <w:szCs w:val="19"/>
          <w:b w:val="1"/>
          <w:bCs w:val="1"/>
          <w:color w:val="007CBA"/>
        </w:rPr>
        <w:t>LAREE E. PEREZ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-1640840</wp:posOffset>
            </wp:positionV>
            <wp:extent cx="1122045" cy="14560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22045" cy="1456055"/>
                    </a:xfrm>
                    <a:prstGeom prst="rect">
                      <a:avLst/>
                    </a:prstGeom>
                    <a:noFill/>
                  </pic:spPr>
                </pic:pic>
              </a:graphicData>
            </a:graphic>
          </wp:anchor>
        </w:drawing>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2004</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65</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66040</wp:posOffset>
            </wp:positionV>
            <wp:extent cx="745490" cy="3086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45490"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Ms. Perez is an investment consultant with DeRoy &amp; Devereaux, an independent investment adviser, where she has provided client consulting services since 2015. She was previously Owner and Managing Partner of The Medallion Company, LLC, a consulting firm, from 2003 to 2015. Ms. Perez was previously a Director of GenOn Energy, Inc., one of the largest power producers in the United States, from 2002 to 2012, and served as the Chairman of the Audit Committee of GenOn Energy, Inc. from 2002 to 2007 and a member of its Audit and Risk and Finance Oversight Committees from 2008 to 2012. Previously, she was Vice President of Loomis, Sayles &amp; Company, L.P. and co-founder, President and Chief Executive Officer of Medallion Investment Company, Inc. In addition to civic and charitable organizations, Ms. Perez recently served as Vice Chairman of the Board of Regents at Baylor University and previously served on the Board of Trustees of New Mexico State University, where she was also Chairman of the Board. Ms. Perez earned a Bachelor’s degree from Baylor University in Finance and Economics.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b w:val="1"/>
          <w:bCs w:val="1"/>
          <w:i w:val="1"/>
          <w:iCs w:val="1"/>
          <w:color w:val="007CBA"/>
        </w:rPr>
        <w:t>Key attributes, experience and skills:</w:t>
      </w:r>
    </w:p>
    <w:p>
      <w:pPr>
        <w:spacing w:after="0" w:line="40" w:lineRule="exact"/>
        <w:rPr>
          <w:sz w:val="20"/>
          <w:szCs w:val="20"/>
          <w:color w:val="auto"/>
        </w:rPr>
      </w:pPr>
    </w:p>
    <w:p>
      <w:pPr>
        <w:ind w:left="260" w:right="140" w:hanging="174"/>
        <w:spacing w:after="0" w:line="253" w:lineRule="auto"/>
        <w:tabs>
          <w:tab w:leader="none" w:pos="260" w:val="left"/>
        </w:tabs>
        <w:numPr>
          <w:ilvl w:val="0"/>
          <w:numId w:val="47"/>
        </w:numPr>
        <w:rPr>
          <w:rFonts w:ascii="Arial" w:cs="Arial" w:eastAsia="Arial" w:hAnsi="Arial"/>
          <w:sz w:val="16"/>
          <w:szCs w:val="16"/>
          <w:color w:val="007CBA"/>
        </w:rPr>
      </w:pPr>
      <w:r>
        <w:rPr>
          <w:rFonts w:ascii="Arial" w:cs="Arial" w:eastAsia="Arial" w:hAnsi="Arial"/>
          <w:sz w:val="16"/>
          <w:szCs w:val="16"/>
          <w:color w:val="auto"/>
        </w:rPr>
        <w:t>Significant business, financial and private investment experience</w:t>
      </w:r>
    </w:p>
    <w:p>
      <w:pPr>
        <w:spacing w:after="0" w:line="65" w:lineRule="exact"/>
        <w:rPr>
          <w:rFonts w:ascii="Arial" w:cs="Arial" w:eastAsia="Arial" w:hAnsi="Arial"/>
          <w:sz w:val="16"/>
          <w:szCs w:val="16"/>
          <w:color w:val="007CBA"/>
        </w:rPr>
      </w:pPr>
    </w:p>
    <w:p>
      <w:pPr>
        <w:ind w:left="260" w:right="20" w:hanging="174"/>
        <w:spacing w:after="0" w:line="249" w:lineRule="auto"/>
        <w:tabs>
          <w:tab w:leader="none" w:pos="260" w:val="left"/>
        </w:tabs>
        <w:numPr>
          <w:ilvl w:val="0"/>
          <w:numId w:val="47"/>
        </w:numPr>
        <w:rPr>
          <w:rFonts w:ascii="Arial" w:cs="Arial" w:eastAsia="Arial" w:hAnsi="Arial"/>
          <w:sz w:val="16"/>
          <w:szCs w:val="16"/>
          <w:color w:val="007CBA"/>
        </w:rPr>
      </w:pPr>
      <w:r>
        <w:rPr>
          <w:rFonts w:ascii="Arial" w:cs="Arial" w:eastAsia="Arial" w:hAnsi="Arial"/>
          <w:sz w:val="16"/>
          <w:szCs w:val="16"/>
          <w:color w:val="auto"/>
        </w:rPr>
        <w:t>Significant expertise with respect to financial statements, corporate finance, accounting and capital markets, mergers and acquisitions, and strategic analysis</w:t>
      </w:r>
    </w:p>
    <w:p>
      <w:pPr>
        <w:spacing w:after="0" w:line="68" w:lineRule="exact"/>
        <w:rPr>
          <w:rFonts w:ascii="Arial" w:cs="Arial" w:eastAsia="Arial" w:hAnsi="Arial"/>
          <w:sz w:val="16"/>
          <w:szCs w:val="16"/>
          <w:color w:val="007CBA"/>
        </w:rPr>
      </w:pPr>
    </w:p>
    <w:p>
      <w:pPr>
        <w:ind w:left="260" w:right="500" w:hanging="174"/>
        <w:spacing w:after="0" w:line="260" w:lineRule="auto"/>
        <w:tabs>
          <w:tab w:leader="none" w:pos="260" w:val="left"/>
        </w:tabs>
        <w:numPr>
          <w:ilvl w:val="0"/>
          <w:numId w:val="47"/>
        </w:numPr>
        <w:rPr>
          <w:rFonts w:ascii="Arial" w:cs="Arial" w:eastAsia="Arial" w:hAnsi="Arial"/>
          <w:sz w:val="16"/>
          <w:szCs w:val="16"/>
          <w:color w:val="007CBA"/>
        </w:rPr>
      </w:pPr>
      <w:r>
        <w:rPr>
          <w:rFonts w:ascii="Arial" w:cs="Arial" w:eastAsia="Arial" w:hAnsi="Arial"/>
          <w:sz w:val="16"/>
          <w:szCs w:val="16"/>
          <w:color w:val="auto"/>
        </w:rPr>
        <w:t>Insight into auditing best practices</w:t>
      </w:r>
    </w:p>
    <w:p>
      <w:pPr>
        <w:spacing w:after="0" w:line="60" w:lineRule="exact"/>
        <w:rPr>
          <w:rFonts w:ascii="Arial" w:cs="Arial" w:eastAsia="Arial" w:hAnsi="Arial"/>
          <w:sz w:val="16"/>
          <w:szCs w:val="16"/>
          <w:color w:val="007CBA"/>
        </w:rPr>
      </w:pPr>
    </w:p>
    <w:p>
      <w:pPr>
        <w:ind w:left="260" w:right="280" w:hanging="174"/>
        <w:spacing w:after="0" w:line="260" w:lineRule="auto"/>
        <w:tabs>
          <w:tab w:leader="none" w:pos="260" w:val="left"/>
        </w:tabs>
        <w:numPr>
          <w:ilvl w:val="0"/>
          <w:numId w:val="47"/>
        </w:numPr>
        <w:rPr>
          <w:rFonts w:ascii="Arial" w:cs="Arial" w:eastAsia="Arial" w:hAnsi="Arial"/>
          <w:sz w:val="16"/>
          <w:szCs w:val="16"/>
          <w:color w:val="007CBA"/>
        </w:rPr>
      </w:pPr>
      <w:r>
        <w:rPr>
          <w:rFonts w:ascii="Arial" w:cs="Arial" w:eastAsia="Arial" w:hAnsi="Arial"/>
          <w:sz w:val="16"/>
          <w:szCs w:val="16"/>
          <w:color w:val="auto"/>
        </w:rPr>
        <w:t>Familiarity with the southwestern United States</w:t>
      </w:r>
    </w:p>
    <w:p>
      <w:pPr>
        <w:spacing w:after="0" w:line="518" w:lineRule="exact"/>
        <w:rPr>
          <w:sz w:val="20"/>
          <w:szCs w:val="20"/>
          <w:color w:val="auto"/>
        </w:rPr>
      </w:pPr>
    </w:p>
    <w:p>
      <w:pPr>
        <w:sectPr>
          <w:pgSz w:w="11900" w:h="16838" w:orient="portrait"/>
          <w:cols w:equalWidth="0" w:num="3">
            <w:col w:w="2140" w:space="340"/>
            <w:col w:w="5980" w:space="240"/>
            <w:col w:w="2520"/>
          </w:cols>
          <w:pgMar w:left="240" w:top="459" w:right="439"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1339850</wp:posOffset>
            </wp:positionV>
            <wp:extent cx="7040880" cy="5397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40880" cy="539750"/>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1973580</wp:posOffset>
            </wp:positionV>
            <wp:extent cx="410845" cy="2482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926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2019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17</w:t>
            </w:r>
          </w:p>
        </w:tc>
      </w:tr>
    </w:tbl>
    <w:p>
      <w:pPr>
        <w:sectPr>
          <w:pgSz w:w="11900" w:h="16838" w:orient="portrait"/>
          <w:cols w:equalWidth="0" w:num="1">
            <w:col w:w="11220"/>
          </w:cols>
          <w:pgMar w:left="240" w:top="459" w:right="439" w:bottom="1440" w:gutter="0" w:footer="0" w:header="0"/>
          <w:type w:val="continuous"/>
        </w:sectPr>
      </w:pPr>
    </w:p>
    <w:bookmarkStart w:id="22" w:name="page23"/>
    <w:bookmarkEnd w:id="2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80"/>
          </w:cols>
          <w:pgMar w:left="240" w:top="459" w:right="47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ind w:left="220"/>
        <w:spacing w:after="0"/>
        <w:rPr>
          <w:sz w:val="20"/>
          <w:szCs w:val="20"/>
          <w:color w:val="auto"/>
        </w:rPr>
      </w:pPr>
      <w:r>
        <w:rPr>
          <w:rFonts w:ascii="Arial" w:cs="Arial" w:eastAsia="Arial" w:hAnsi="Arial"/>
          <w:sz w:val="13"/>
          <w:szCs w:val="13"/>
          <w:color w:val="007CBA"/>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513715</wp:posOffset>
            </wp:positionV>
            <wp:extent cx="1122045" cy="14560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22045" cy="145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20"/>
        <w:spacing w:after="0" w:line="253" w:lineRule="exact"/>
        <w:rPr>
          <w:sz w:val="20"/>
          <w:szCs w:val="20"/>
          <w:color w:val="auto"/>
        </w:rPr>
      </w:pPr>
      <w:r>
        <w:rPr>
          <w:rFonts w:ascii="MS PGothic" w:cs="MS PGothic" w:eastAsia="MS PGothic" w:hAnsi="MS PGothic"/>
          <w:sz w:val="22"/>
          <w:szCs w:val="22"/>
          <w:color w:val="007CBA"/>
        </w:rPr>
        <w:t>◆</w:t>
      </w:r>
      <w:r>
        <w:rPr>
          <w:rFonts w:ascii="Arial" w:cs="Arial" w:eastAsia="Arial" w:hAnsi="Arial"/>
          <w:sz w:val="22"/>
          <w:szCs w:val="22"/>
          <w:b w:val="1"/>
          <w:bCs w:val="1"/>
          <w:color w:val="007CBA"/>
        </w:rPr>
        <w:t>MICHAEL J.</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007CBA"/>
        </w:rPr>
        <w:t>QUILLEN</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ind w:left="268" w:hanging="268"/>
        <w:spacing w:after="0"/>
        <w:tabs>
          <w:tab w:leader="none" w:pos="268" w:val="left"/>
        </w:tabs>
        <w:numPr>
          <w:ilvl w:val="0"/>
          <w:numId w:val="48"/>
        </w:numPr>
        <w:rPr>
          <w:rFonts w:ascii="MS PGothic" w:cs="MS PGothic" w:eastAsia="MS PGothic" w:hAnsi="MS PGothic"/>
          <w:sz w:val="25"/>
          <w:szCs w:val="25"/>
          <w:color w:val="007CBA"/>
        </w:rPr>
      </w:pPr>
      <w:r>
        <w:rPr>
          <w:rFonts w:ascii="Arial" w:cs="Arial" w:eastAsia="Arial" w:hAnsi="Arial"/>
          <w:sz w:val="13"/>
          <w:szCs w:val="13"/>
          <w:color w:val="auto"/>
        </w:rPr>
        <w:t>Director Nominees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268"/>
        <w:spacing w:after="0" w:line="247" w:lineRule="auto"/>
        <w:rPr>
          <w:sz w:val="20"/>
          <w:szCs w:val="20"/>
          <w:color w:val="auto"/>
        </w:rPr>
      </w:pPr>
      <w:r>
        <w:rPr>
          <w:rFonts w:ascii="Arial" w:cs="Arial" w:eastAsia="Arial" w:hAnsi="Arial"/>
          <w:sz w:val="16"/>
          <w:szCs w:val="16"/>
          <w:color w:val="auto"/>
        </w:rPr>
        <w:t>Mr. Quillen was the founder and served as Chief Executive Officer of Alpha Natural Resources, Inc. (ANR), a leading Appalachian coal supplier, since its formation in 2004 until its merger with Foundation Coal Holdings, Inc. in July 2009, and served as President and Chairman of ANR from 2006 to 2009, and non-Executive Chairman until May 2012. Mr. Quillen held senior executive positions in the coal industry throughout his career at Pittston/Pittston Coal Sales Corp., AMVEST Corporation, NERCO Coal Corporation, Addington, Inc. and Mid-Vol Leasing, Inc. He has also served as Chairman (Rector) of the Board of Visitors of Virginia Polytechnic Institute and State University from July 2012 to June 2018. He was Chairman of the Audit and Finance Committee of Virginia Polytechnic Institute and State University from July 2010 to June 2012. He also served on the Virginia Port Authority from 2003 to 2012 and as Chairman from July 2011 to December 2012. Mr. Quillen attended Virginia Polytechnic Institute and State University, earning both Bachelor’s and Master’s degrees in Civil Engineering.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800"/>
        <w:spacing w:after="0" w:line="286" w:lineRule="auto"/>
        <w:rPr>
          <w:sz w:val="20"/>
          <w:szCs w:val="20"/>
          <w:color w:val="auto"/>
        </w:rPr>
      </w:pPr>
      <w:r>
        <w:rPr>
          <w:rFonts w:ascii="Arial" w:cs="Arial" w:eastAsia="Arial" w:hAnsi="Arial"/>
          <w:sz w:val="16"/>
          <w:szCs w:val="16"/>
          <w:b w:val="1"/>
          <w:bCs w:val="1"/>
          <w:i w:val="1"/>
          <w:iCs w:val="1"/>
          <w:color w:val="007CBA"/>
        </w:rPr>
        <w:t>Key attributes, experience and skills:</w:t>
      </w:r>
    </w:p>
    <w:p>
      <w:pPr>
        <w:spacing w:after="0" w:line="4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Valuable business, leadership,</w:t>
      </w:r>
    </w:p>
    <w:p>
      <w:pPr>
        <w:spacing w:after="0" w:line="5" w:lineRule="exact"/>
        <w:rPr>
          <w:sz w:val="20"/>
          <w:szCs w:val="20"/>
          <w:color w:val="auto"/>
        </w:rPr>
      </w:pPr>
    </w:p>
    <w:p>
      <w:pPr>
        <w:ind w:left="260" w:right="220"/>
        <w:spacing w:after="0" w:line="253" w:lineRule="auto"/>
        <w:rPr>
          <w:sz w:val="20"/>
          <w:szCs w:val="20"/>
          <w:color w:val="auto"/>
        </w:rPr>
      </w:pPr>
      <w:r>
        <w:rPr>
          <w:rFonts w:ascii="Arial" w:cs="Arial" w:eastAsia="Arial" w:hAnsi="Arial"/>
          <w:sz w:val="16"/>
          <w:szCs w:val="16"/>
          <w:color w:val="auto"/>
        </w:rPr>
        <w:t>management, financial, and mergers and acquisitions experience</w:t>
      </w:r>
    </w:p>
    <w:p>
      <w:pPr>
        <w:spacing w:after="0" w:line="66" w:lineRule="exact"/>
        <w:rPr>
          <w:sz w:val="20"/>
          <w:szCs w:val="20"/>
          <w:color w:val="auto"/>
        </w:rPr>
      </w:pPr>
    </w:p>
    <w:p>
      <w:pPr>
        <w:ind w:left="80"/>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Extensive experience related</w:t>
      </w:r>
    </w:p>
    <w:p>
      <w:pPr>
        <w:spacing w:after="0" w:line="5" w:lineRule="exact"/>
        <w:rPr>
          <w:sz w:val="20"/>
          <w:szCs w:val="20"/>
          <w:color w:val="auto"/>
        </w:rPr>
      </w:pPr>
    </w:p>
    <w:p>
      <w:pPr>
        <w:ind w:left="260" w:right="160"/>
        <w:spacing w:after="0" w:line="250" w:lineRule="auto"/>
        <w:rPr>
          <w:sz w:val="20"/>
          <w:szCs w:val="20"/>
          <w:color w:val="auto"/>
        </w:rPr>
      </w:pPr>
      <w:r>
        <w:rPr>
          <w:rFonts w:ascii="Arial" w:cs="Arial" w:eastAsia="Arial" w:hAnsi="Arial"/>
          <w:sz w:val="16"/>
          <w:szCs w:val="16"/>
          <w:color w:val="auto"/>
        </w:rPr>
        <w:t>to mining companies, governmental and regulatory issues, safety, health and environmental matters</w:t>
      </w:r>
    </w:p>
    <w:p>
      <w:pPr>
        <w:spacing w:after="0" w:line="70" w:lineRule="exact"/>
        <w:rPr>
          <w:sz w:val="20"/>
          <w:szCs w:val="20"/>
          <w:color w:val="auto"/>
        </w:rPr>
      </w:pPr>
    </w:p>
    <w:p>
      <w:pPr>
        <w:ind w:left="80"/>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Tremendous insight and</w:t>
      </w:r>
    </w:p>
    <w:p>
      <w:pPr>
        <w:spacing w:after="0" w:line="5" w:lineRule="exact"/>
        <w:rPr>
          <w:sz w:val="20"/>
          <w:szCs w:val="20"/>
          <w:color w:val="auto"/>
        </w:rPr>
      </w:pPr>
    </w:p>
    <w:p>
      <w:pPr>
        <w:ind w:left="260"/>
        <w:spacing w:after="0" w:line="253" w:lineRule="auto"/>
        <w:rPr>
          <w:sz w:val="20"/>
          <w:szCs w:val="20"/>
          <w:color w:val="auto"/>
        </w:rPr>
      </w:pPr>
      <w:r>
        <w:rPr>
          <w:rFonts w:ascii="Arial" w:cs="Arial" w:eastAsia="Arial" w:hAnsi="Arial"/>
          <w:sz w:val="16"/>
          <w:szCs w:val="16"/>
          <w:color w:val="auto"/>
        </w:rPr>
        <w:t>expertise with respect to strategic analysis, the natural resources industry, and energy</w:t>
      </w:r>
    </w:p>
    <w:p>
      <w:pPr>
        <w:spacing w:after="0" w:line="46" w:lineRule="exact"/>
        <w:rPr>
          <w:sz w:val="20"/>
          <w:szCs w:val="20"/>
          <w:color w:val="auto"/>
        </w:rPr>
      </w:pPr>
    </w:p>
    <w:p>
      <w:pPr>
        <w:sectPr>
          <w:pgSz w:w="11900" w:h="16838" w:orient="portrait"/>
          <w:cols w:equalWidth="0" w:num="3">
            <w:col w:w="2140" w:space="72"/>
            <w:col w:w="6248" w:space="240"/>
            <w:col w:w="2480"/>
          </w:cols>
          <w:pgMar w:left="240" w:top="459" w:right="479" w:bottom="1440" w:gutter="0" w:footer="0" w:header="0"/>
          <w:type w:val="continuous"/>
        </w:sectPr>
      </w:pPr>
    </w:p>
    <w:p>
      <w:pPr>
        <w:ind w:left="2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2008</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70</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Lead Independent Director</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66040</wp:posOffset>
            </wp:positionV>
            <wp:extent cx="1182370" cy="3086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82370" cy="30861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448945</wp:posOffset>
            </wp:positionV>
            <wp:extent cx="1122045" cy="14560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22045" cy="14560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Wealth of knowledge related to</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transportation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-5441315</wp:posOffset>
            </wp:positionH>
            <wp:positionV relativeFrom="paragraph">
              <wp:posOffset>1149985</wp:posOffset>
            </wp:positionV>
            <wp:extent cx="698944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600" w:lineRule="exact"/>
        <w:rPr>
          <w:sz w:val="20"/>
          <w:szCs w:val="20"/>
          <w:color w:val="auto"/>
        </w:rPr>
      </w:pPr>
    </w:p>
    <w:p>
      <w:pPr>
        <w:sectPr>
          <w:pgSz w:w="11900" w:h="16838" w:orient="portrait"/>
          <w:cols w:equalWidth="0" w:num="2">
            <w:col w:w="8060" w:space="720"/>
            <w:col w:w="2400"/>
          </w:cols>
          <w:pgMar w:left="240" w:top="459"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left="60"/>
        <w:spacing w:after="0" w:line="219" w:lineRule="exact"/>
        <w:rPr>
          <w:sz w:val="20"/>
          <w:szCs w:val="20"/>
          <w:color w:val="auto"/>
        </w:rPr>
      </w:pPr>
      <w:r>
        <w:rPr>
          <w:rFonts w:ascii="MS PGothic" w:cs="MS PGothic" w:eastAsia="MS PGothic" w:hAnsi="MS PGothic"/>
          <w:sz w:val="19"/>
          <w:szCs w:val="19"/>
          <w:color w:val="007CBA"/>
        </w:rPr>
        <w:t>◆</w:t>
      </w:r>
      <w:r>
        <w:rPr>
          <w:rFonts w:ascii="Arial" w:cs="Arial" w:eastAsia="Arial" w:hAnsi="Arial"/>
          <w:sz w:val="19"/>
          <w:szCs w:val="19"/>
          <w:b w:val="1"/>
          <w:bCs w:val="1"/>
          <w:color w:val="007CBA"/>
        </w:rPr>
        <w:t>DONALD W.</w:t>
      </w:r>
    </w:p>
    <w:p>
      <w:pPr>
        <w:spacing w:after="0" w:line="79" w:lineRule="exact"/>
        <w:rPr>
          <w:sz w:val="20"/>
          <w:szCs w:val="20"/>
          <w:color w:val="auto"/>
        </w:rPr>
      </w:pPr>
    </w:p>
    <w:p>
      <w:pPr>
        <w:jc w:val="center"/>
        <w:ind w:left="40"/>
        <w:spacing w:after="0"/>
        <w:rPr>
          <w:sz w:val="20"/>
          <w:szCs w:val="20"/>
          <w:color w:val="auto"/>
        </w:rPr>
      </w:pPr>
      <w:r>
        <w:rPr>
          <w:rFonts w:ascii="Arial" w:cs="Arial" w:eastAsia="Arial" w:hAnsi="Arial"/>
          <w:sz w:val="22"/>
          <w:szCs w:val="22"/>
          <w:b w:val="1"/>
          <w:bCs w:val="1"/>
          <w:color w:val="007CBA"/>
        </w:rPr>
        <w:t>SLAGER</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2016</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57</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66040</wp:posOffset>
            </wp:positionV>
            <wp:extent cx="745490" cy="3086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45490"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Mr. Slager serves as President and Chief Executive Officer of Republic Services, Inc., a service provider in the non-hazardous solid waste industry, holding this position since January 2011. Prior to this, he served as President and Chief Operating Officer of Republic from December 2008 until his promotion to CEO. Prior to that, Mr. Slager served in the same capacity for Allied Waste Industries, Inc. (Allied Waste), from 2005 to 2008, prior to its merger with Republic Services. Mr. Slager was Executive Vice President and Chief Operating Officer of Allied Waste between 2003 and 2004. Prior to that, Mr. Slager held varying positions of increasing responsibility with Allied Waste. Mr. Slager also has served as a Director of Republic since 2010. Mr. Slager previously served as an independent Director of UTi Worldwide Inc. (UTi) from 2009 to January 2016, where he served as Chairman of the Nominating and Corporate Governance Committee and as a member of both the Compensation and Risk Committees. UTi, a former NYSE listed company, was an international, non-asset-based supply chain services and solutions company providing air and ocean freight forwarding, contract logistics, customs brokerage, distribution, inbound logistics, truckload brokerage and other supply chain management services until it was acquired by DSV A/S, a third-party logistics services provider, in January 2016. Mr. Slager has completed the Northwestern University Kellogg School Advanced Executive Program and holds a certificate from the Stanford University Board Consortium Development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-1440815</wp:posOffset>
            </wp:positionH>
            <wp:positionV relativeFrom="paragraph">
              <wp:posOffset>977265</wp:posOffset>
            </wp:positionV>
            <wp:extent cx="7040880" cy="5397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40880" cy="539750"/>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1611630</wp:posOffset>
            </wp:positionV>
            <wp:extent cx="410845" cy="2482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b w:val="1"/>
          <w:bCs w:val="1"/>
          <w:i w:val="1"/>
          <w:iCs w:val="1"/>
          <w:color w:val="007CBA"/>
        </w:rPr>
        <w:t>Key attributes, experience and skills:</w:t>
      </w:r>
    </w:p>
    <w:p>
      <w:pPr>
        <w:spacing w:after="0" w:line="40" w:lineRule="exact"/>
        <w:rPr>
          <w:sz w:val="20"/>
          <w:szCs w:val="20"/>
          <w:color w:val="auto"/>
        </w:rPr>
      </w:pPr>
    </w:p>
    <w:p>
      <w:pPr>
        <w:ind w:left="260" w:right="60" w:hanging="174"/>
        <w:spacing w:after="0" w:line="260" w:lineRule="auto"/>
        <w:tabs>
          <w:tab w:leader="none" w:pos="260" w:val="left"/>
        </w:tabs>
        <w:numPr>
          <w:ilvl w:val="0"/>
          <w:numId w:val="49"/>
        </w:numPr>
        <w:rPr>
          <w:rFonts w:ascii="Arial" w:cs="Arial" w:eastAsia="Arial" w:hAnsi="Arial"/>
          <w:sz w:val="16"/>
          <w:szCs w:val="16"/>
          <w:color w:val="007CBA"/>
        </w:rPr>
      </w:pPr>
      <w:r>
        <w:rPr>
          <w:rFonts w:ascii="Arial" w:cs="Arial" w:eastAsia="Arial" w:hAnsi="Arial"/>
          <w:sz w:val="16"/>
          <w:szCs w:val="16"/>
          <w:color w:val="auto"/>
        </w:rPr>
        <w:t>More than 14 years of C-Suite experience</w:t>
      </w:r>
    </w:p>
    <w:p>
      <w:pPr>
        <w:spacing w:after="0" w:line="60" w:lineRule="exact"/>
        <w:rPr>
          <w:rFonts w:ascii="Arial" w:cs="Arial" w:eastAsia="Arial" w:hAnsi="Arial"/>
          <w:sz w:val="16"/>
          <w:szCs w:val="16"/>
          <w:color w:val="007CBA"/>
        </w:rPr>
      </w:pPr>
    </w:p>
    <w:p>
      <w:pPr>
        <w:ind w:left="260" w:right="60" w:hanging="174"/>
        <w:spacing w:after="0" w:line="250" w:lineRule="auto"/>
        <w:tabs>
          <w:tab w:leader="none" w:pos="260" w:val="left"/>
        </w:tabs>
        <w:numPr>
          <w:ilvl w:val="0"/>
          <w:numId w:val="49"/>
        </w:numPr>
        <w:rPr>
          <w:rFonts w:ascii="Arial" w:cs="Arial" w:eastAsia="Arial" w:hAnsi="Arial"/>
          <w:sz w:val="16"/>
          <w:szCs w:val="16"/>
          <w:color w:val="007CBA"/>
        </w:rPr>
      </w:pPr>
      <w:r>
        <w:rPr>
          <w:rFonts w:ascii="Arial" w:cs="Arial" w:eastAsia="Arial" w:hAnsi="Arial"/>
          <w:sz w:val="16"/>
          <w:szCs w:val="16"/>
          <w:color w:val="auto"/>
        </w:rPr>
        <w:t>More than 27 years of general management experience in a complex, capital intensive and logistics business</w:t>
      </w:r>
    </w:p>
    <w:p>
      <w:pPr>
        <w:spacing w:after="0" w:line="69" w:lineRule="exact"/>
        <w:rPr>
          <w:rFonts w:ascii="Arial" w:cs="Arial" w:eastAsia="Arial" w:hAnsi="Arial"/>
          <w:sz w:val="16"/>
          <w:szCs w:val="16"/>
          <w:color w:val="007CBA"/>
        </w:rPr>
      </w:pPr>
    </w:p>
    <w:p>
      <w:pPr>
        <w:ind w:left="260" w:right="340" w:hanging="174"/>
        <w:spacing w:after="0" w:line="250" w:lineRule="auto"/>
        <w:tabs>
          <w:tab w:leader="none" w:pos="260" w:val="left"/>
        </w:tabs>
        <w:numPr>
          <w:ilvl w:val="0"/>
          <w:numId w:val="49"/>
        </w:numPr>
        <w:rPr>
          <w:rFonts w:ascii="Arial" w:cs="Arial" w:eastAsia="Arial" w:hAnsi="Arial"/>
          <w:sz w:val="16"/>
          <w:szCs w:val="16"/>
          <w:color w:val="007CBA"/>
        </w:rPr>
      </w:pPr>
      <w:r>
        <w:rPr>
          <w:rFonts w:ascii="Arial" w:cs="Arial" w:eastAsia="Arial" w:hAnsi="Arial"/>
          <w:sz w:val="16"/>
          <w:szCs w:val="16"/>
          <w:color w:val="auto"/>
        </w:rPr>
        <w:t>Extensive experience in mergers and acquisitions, integration, and strategic development and analysis</w:t>
      </w:r>
    </w:p>
    <w:p>
      <w:pPr>
        <w:spacing w:after="0" w:line="69" w:lineRule="exact"/>
        <w:rPr>
          <w:rFonts w:ascii="Arial" w:cs="Arial" w:eastAsia="Arial" w:hAnsi="Arial"/>
          <w:sz w:val="16"/>
          <w:szCs w:val="16"/>
          <w:color w:val="007CBA"/>
        </w:rPr>
      </w:pPr>
    </w:p>
    <w:p>
      <w:pPr>
        <w:jc w:val="both"/>
        <w:ind w:left="260" w:right="140" w:hanging="174"/>
        <w:spacing w:after="0" w:line="253" w:lineRule="auto"/>
        <w:tabs>
          <w:tab w:leader="none" w:pos="260" w:val="left"/>
        </w:tabs>
        <w:numPr>
          <w:ilvl w:val="0"/>
          <w:numId w:val="49"/>
        </w:numPr>
        <w:rPr>
          <w:rFonts w:ascii="Arial" w:cs="Arial" w:eastAsia="Arial" w:hAnsi="Arial"/>
          <w:sz w:val="16"/>
          <w:szCs w:val="16"/>
          <w:color w:val="007CBA"/>
        </w:rPr>
      </w:pPr>
      <w:r>
        <w:rPr>
          <w:rFonts w:ascii="Arial" w:cs="Arial" w:eastAsia="Arial" w:hAnsi="Arial"/>
          <w:sz w:val="16"/>
          <w:szCs w:val="16"/>
          <w:color w:val="auto"/>
        </w:rPr>
        <w:t>Valuable experience from his membership on two publicly-traded board of directors</w:t>
      </w:r>
    </w:p>
    <w:p>
      <w:pPr>
        <w:spacing w:after="0" w:line="815" w:lineRule="exact"/>
        <w:rPr>
          <w:sz w:val="20"/>
          <w:szCs w:val="20"/>
          <w:color w:val="auto"/>
        </w:rPr>
      </w:pPr>
    </w:p>
    <w:p>
      <w:pPr>
        <w:sectPr>
          <w:pgSz w:w="11900" w:h="16838" w:orient="portrait"/>
          <w:cols w:equalWidth="0" w:num="3">
            <w:col w:w="1760" w:space="720"/>
            <w:col w:w="5980" w:space="240"/>
            <w:col w:w="2480"/>
          </w:cols>
          <w:pgMar w:left="240" w:top="459"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40" w:hanging="430"/>
        <w:spacing w:after="0"/>
        <w:tabs>
          <w:tab w:leader="none" w:pos="640" w:val="left"/>
        </w:tabs>
        <w:numPr>
          <w:ilvl w:val="0"/>
          <w:numId w:val="50"/>
        </w:numPr>
        <w:rPr>
          <w:rFonts w:ascii="Arial" w:cs="Arial" w:eastAsia="Arial" w:hAnsi="Arial"/>
          <w:sz w:val="12"/>
          <w:szCs w:val="12"/>
          <w:b w:val="1"/>
          <w:bCs w:val="1"/>
          <w:color w:val="auto"/>
        </w:rPr>
      </w:pPr>
      <w:r>
        <w:rPr>
          <w:rFonts w:ascii="Arial" w:cs="Arial" w:eastAsia="Arial" w:hAnsi="Arial"/>
          <w:sz w:val="12"/>
          <w:szCs w:val="12"/>
          <w:color w:val="007CBA"/>
        </w:rPr>
        <w:t>2019 PROXY STATEMENT</w:t>
      </w:r>
    </w:p>
    <w:p>
      <w:pPr>
        <w:sectPr>
          <w:pgSz w:w="11900" w:h="16838" w:orient="portrait"/>
          <w:cols w:equalWidth="0" w:num="1">
            <w:col w:w="11180"/>
          </w:cols>
          <w:pgMar w:left="240" w:top="459" w:right="47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9" w:lineRule="exact"/>
        <w:rPr>
          <w:sz w:val="20"/>
          <w:szCs w:val="20"/>
          <w:color w:val="auto"/>
        </w:rPr>
      </w:pPr>
    </w:p>
    <w:p>
      <w:pPr>
        <w:jc w:val="right"/>
        <w:spacing w:after="0" w:line="288" w:lineRule="exact"/>
        <w:rPr>
          <w:sz w:val="20"/>
          <w:szCs w:val="20"/>
          <w:color w:val="auto"/>
        </w:rPr>
      </w:pPr>
      <w:r>
        <w:rPr>
          <w:rFonts w:ascii="Arial" w:cs="Arial" w:eastAsia="Arial" w:hAnsi="Arial"/>
          <w:sz w:val="13"/>
          <w:szCs w:val="13"/>
          <w:color w:val="auto"/>
        </w:rPr>
        <w:t xml:space="preserve">Director Nominees </w:t>
      </w:r>
      <w:r>
        <w:rPr>
          <w:rFonts w:ascii="MS PGothic" w:cs="MS PGothic" w:eastAsia="MS PGothic" w:hAnsi="MS PGothic"/>
          <w:sz w:val="25"/>
          <w:szCs w:val="25"/>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Proposal 1: Election of Directors</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spacing w:after="0" w:line="253" w:lineRule="exact"/>
        <w:rPr>
          <w:sz w:val="20"/>
          <w:szCs w:val="20"/>
          <w:color w:val="auto"/>
        </w:rPr>
      </w:pPr>
      <w:r>
        <w:rPr>
          <w:rFonts w:ascii="MS PGothic" w:cs="MS PGothic" w:eastAsia="MS PGothic" w:hAnsi="MS PGothic"/>
          <w:sz w:val="22"/>
          <w:szCs w:val="22"/>
          <w:color w:val="007CBA"/>
        </w:rPr>
        <w:t>◆</w:t>
      </w:r>
      <w:r>
        <w:rPr>
          <w:rFonts w:ascii="Arial" w:cs="Arial" w:eastAsia="Arial" w:hAnsi="Arial"/>
          <w:sz w:val="22"/>
          <w:szCs w:val="22"/>
          <w:b w:val="1"/>
          <w:bCs w:val="1"/>
          <w:color w:val="007CBA"/>
        </w:rPr>
        <w:t>STEPHEN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-1663065</wp:posOffset>
            </wp:positionV>
            <wp:extent cx="1122045" cy="14560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22045" cy="1456055"/>
                    </a:xfrm>
                    <a:prstGeom prst="rect">
                      <a:avLst/>
                    </a:prstGeom>
                    <a:noFill/>
                  </pic:spPr>
                </pic:pic>
              </a:graphicData>
            </a:graphic>
          </wp:anchor>
        </w:drawing>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007CBA"/>
        </w:rPr>
        <w:t>ZELNAK, JR.</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1993</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74</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66040</wp:posOffset>
            </wp:positionV>
            <wp:extent cx="745490" cy="3086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45490"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Mr. Zelnak currently serves as Chairman of the Board of Beazer Homes USA, Inc., a geographically diversified homebuilder with active operations in 13 states within three geographic regions in the United States. He previously served as Chief Executive Officer of Martin Marietta from 1993 to 2009, President from 1993 to 2006, Chairman of the Board from 1997 through 2009, Executive Chairman from January 2010 to May 2010, and non-Executive Chairman from May 2010 until May 2014. Mr. Zelnak joined Martin Marietta Corporation in 1981 and was responsible for the aggregates operations since 1982. Mr. Zelnak is also Chairman and majority owner of ZP Enterprises, LLC, a private investment firm. In addition to community and charitable organizations, Mr. Zelnak has served as Chairman of the North Carolina Chamber and the National Stone, Sand and Gravel Association. He currently serves on the Advisory Board of the College of Management at North Carolina State University and is a Trustee Emeritus of the Georgia Tech Foundation Board. Mr. Zelnak received a Bachelor’s degree from Georgia Institute of Technology and Master’s degrees in Administrative Science and Business Administration from the University of Alabama system.</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ind w:right="840"/>
        <w:spacing w:after="0" w:line="286" w:lineRule="auto"/>
        <w:rPr>
          <w:sz w:val="20"/>
          <w:szCs w:val="20"/>
          <w:color w:val="auto"/>
        </w:rPr>
      </w:pPr>
      <w:r>
        <w:rPr>
          <w:rFonts w:ascii="Arial" w:cs="Arial" w:eastAsia="Arial" w:hAnsi="Arial"/>
          <w:sz w:val="16"/>
          <w:szCs w:val="16"/>
          <w:b w:val="1"/>
          <w:bCs w:val="1"/>
          <w:i w:val="1"/>
          <w:iCs w:val="1"/>
          <w:color w:val="007CBA"/>
        </w:rPr>
        <w:t>Key attributes, experience and skills:</w:t>
      </w:r>
    </w:p>
    <w:p>
      <w:pPr>
        <w:spacing w:after="0" w:line="40" w:lineRule="exact"/>
        <w:rPr>
          <w:sz w:val="20"/>
          <w:szCs w:val="20"/>
          <w:color w:val="auto"/>
        </w:rPr>
      </w:pPr>
    </w:p>
    <w:p>
      <w:pPr>
        <w:ind w:left="260" w:right="100" w:hanging="174"/>
        <w:spacing w:after="0" w:line="260" w:lineRule="auto"/>
        <w:tabs>
          <w:tab w:leader="none" w:pos="260" w:val="left"/>
        </w:tabs>
        <w:numPr>
          <w:ilvl w:val="0"/>
          <w:numId w:val="51"/>
        </w:numPr>
        <w:rPr>
          <w:rFonts w:ascii="Arial" w:cs="Arial" w:eastAsia="Arial" w:hAnsi="Arial"/>
          <w:sz w:val="16"/>
          <w:szCs w:val="16"/>
          <w:color w:val="007CBA"/>
        </w:rPr>
      </w:pPr>
      <w:r>
        <w:rPr>
          <w:rFonts w:ascii="Arial" w:cs="Arial" w:eastAsia="Arial" w:hAnsi="Arial"/>
          <w:sz w:val="16"/>
          <w:szCs w:val="16"/>
          <w:color w:val="auto"/>
        </w:rPr>
        <w:t>Former Chairman and CEO of Martin Marietta</w:t>
      </w:r>
    </w:p>
    <w:p>
      <w:pPr>
        <w:spacing w:after="0" w:line="60" w:lineRule="exact"/>
        <w:rPr>
          <w:rFonts w:ascii="Arial" w:cs="Arial" w:eastAsia="Arial" w:hAnsi="Arial"/>
          <w:sz w:val="16"/>
          <w:szCs w:val="16"/>
          <w:color w:val="007CBA"/>
        </w:rPr>
      </w:pPr>
    </w:p>
    <w:p>
      <w:pPr>
        <w:ind w:left="260" w:right="580" w:hanging="174"/>
        <w:spacing w:after="0" w:line="253" w:lineRule="auto"/>
        <w:tabs>
          <w:tab w:leader="none" w:pos="260" w:val="left"/>
        </w:tabs>
        <w:numPr>
          <w:ilvl w:val="0"/>
          <w:numId w:val="51"/>
        </w:numPr>
        <w:rPr>
          <w:rFonts w:ascii="Arial" w:cs="Arial" w:eastAsia="Arial" w:hAnsi="Arial"/>
          <w:sz w:val="16"/>
          <w:szCs w:val="16"/>
          <w:color w:val="007CBA"/>
        </w:rPr>
      </w:pPr>
      <w:r>
        <w:rPr>
          <w:rFonts w:ascii="Arial" w:cs="Arial" w:eastAsia="Arial" w:hAnsi="Arial"/>
          <w:sz w:val="16"/>
          <w:szCs w:val="16"/>
          <w:color w:val="auto"/>
        </w:rPr>
        <w:t>Extensive mentorship, business and operating experience</w:t>
      </w:r>
    </w:p>
    <w:p>
      <w:pPr>
        <w:spacing w:after="0" w:line="65" w:lineRule="exact"/>
        <w:rPr>
          <w:rFonts w:ascii="Arial" w:cs="Arial" w:eastAsia="Arial" w:hAnsi="Arial"/>
          <w:sz w:val="16"/>
          <w:szCs w:val="16"/>
          <w:color w:val="007CBA"/>
        </w:rPr>
      </w:pPr>
    </w:p>
    <w:p>
      <w:pPr>
        <w:ind w:left="260" w:right="280" w:hanging="174"/>
        <w:spacing w:after="0" w:line="250" w:lineRule="auto"/>
        <w:tabs>
          <w:tab w:leader="none" w:pos="260" w:val="left"/>
        </w:tabs>
        <w:numPr>
          <w:ilvl w:val="0"/>
          <w:numId w:val="51"/>
        </w:numPr>
        <w:rPr>
          <w:rFonts w:ascii="Arial" w:cs="Arial" w:eastAsia="Arial" w:hAnsi="Arial"/>
          <w:sz w:val="16"/>
          <w:szCs w:val="16"/>
          <w:color w:val="007CBA"/>
        </w:rPr>
      </w:pPr>
      <w:r>
        <w:rPr>
          <w:rFonts w:ascii="Arial" w:cs="Arial" w:eastAsia="Arial" w:hAnsi="Arial"/>
          <w:sz w:val="16"/>
          <w:szCs w:val="16"/>
          <w:color w:val="auto"/>
        </w:rPr>
        <w:t>Knowledge of all aspects of Martin Marietta and the construction aggregates industry</w:t>
      </w:r>
    </w:p>
    <w:p>
      <w:pPr>
        <w:spacing w:after="0" w:line="69" w:lineRule="exact"/>
        <w:rPr>
          <w:rFonts w:ascii="Arial" w:cs="Arial" w:eastAsia="Arial" w:hAnsi="Arial"/>
          <w:sz w:val="16"/>
          <w:szCs w:val="16"/>
          <w:color w:val="007CBA"/>
        </w:rPr>
      </w:pPr>
    </w:p>
    <w:p>
      <w:pPr>
        <w:ind w:left="260" w:right="220" w:hanging="174"/>
        <w:spacing w:after="0" w:line="260" w:lineRule="auto"/>
        <w:tabs>
          <w:tab w:leader="none" w:pos="260" w:val="left"/>
        </w:tabs>
        <w:numPr>
          <w:ilvl w:val="0"/>
          <w:numId w:val="51"/>
        </w:numPr>
        <w:rPr>
          <w:rFonts w:ascii="Arial" w:cs="Arial" w:eastAsia="Arial" w:hAnsi="Arial"/>
          <w:sz w:val="16"/>
          <w:szCs w:val="16"/>
          <w:color w:val="007CBA"/>
        </w:rPr>
      </w:pPr>
      <w:r>
        <w:rPr>
          <w:rFonts w:ascii="Arial" w:cs="Arial" w:eastAsia="Arial" w:hAnsi="Arial"/>
          <w:sz w:val="16"/>
          <w:szCs w:val="16"/>
          <w:color w:val="auto"/>
        </w:rPr>
        <w:t>Broad strategic and financial experience</w:t>
      </w:r>
    </w:p>
    <w:p>
      <w:pPr>
        <w:spacing w:after="0" w:line="60" w:lineRule="exact"/>
        <w:rPr>
          <w:rFonts w:ascii="Arial" w:cs="Arial" w:eastAsia="Arial" w:hAnsi="Arial"/>
          <w:sz w:val="16"/>
          <w:szCs w:val="16"/>
          <w:color w:val="007CBA"/>
        </w:rPr>
      </w:pPr>
    </w:p>
    <w:p>
      <w:pPr>
        <w:ind w:left="260" w:right="20" w:hanging="174"/>
        <w:spacing w:after="0" w:line="253" w:lineRule="auto"/>
        <w:tabs>
          <w:tab w:leader="none" w:pos="260" w:val="left"/>
        </w:tabs>
        <w:numPr>
          <w:ilvl w:val="0"/>
          <w:numId w:val="51"/>
        </w:numPr>
        <w:rPr>
          <w:rFonts w:ascii="Arial" w:cs="Arial" w:eastAsia="Arial" w:hAnsi="Arial"/>
          <w:sz w:val="16"/>
          <w:szCs w:val="16"/>
          <w:color w:val="007CBA"/>
        </w:rPr>
      </w:pPr>
      <w:r>
        <w:rPr>
          <w:rFonts w:ascii="Arial" w:cs="Arial" w:eastAsia="Arial" w:hAnsi="Arial"/>
          <w:sz w:val="16"/>
          <w:szCs w:val="16"/>
          <w:color w:val="auto"/>
        </w:rPr>
        <w:t>Knowledge of the homebuilding industry and factors that impact construction</w:t>
      </w:r>
    </w:p>
    <w:p>
      <w:pPr>
        <w:spacing w:after="0" w:line="497" w:lineRule="exact"/>
        <w:rPr>
          <w:sz w:val="20"/>
          <w:szCs w:val="20"/>
          <w:color w:val="auto"/>
        </w:rPr>
      </w:pPr>
    </w:p>
    <w:p>
      <w:pPr>
        <w:sectPr>
          <w:pgSz w:w="11900" w:h="16838" w:orient="portrait"/>
          <w:cols w:equalWidth="0" w:num="3">
            <w:col w:w="1780" w:space="680"/>
            <w:col w:w="5980" w:space="260"/>
            <w:col w:w="2520"/>
          </w:cols>
          <w:pgMar w:left="240" w:top="459" w:right="439"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Chair</w:t>
      </w:r>
    </w:p>
    <w:p>
      <w:pPr>
        <w:spacing w:after="0" w:line="240" w:lineRule="exact"/>
        <w:rPr>
          <w:sz w:val="20"/>
          <w:szCs w:val="20"/>
          <w:color w:val="auto"/>
        </w:rPr>
      </w:pPr>
    </w:p>
    <w:p>
      <w:pPr>
        <w:ind w:left="2420" w:right="1460"/>
        <w:spacing w:after="0" w:line="288" w:lineRule="auto"/>
        <w:rPr>
          <w:sz w:val="20"/>
          <w:szCs w:val="20"/>
          <w:color w:val="auto"/>
        </w:rPr>
      </w:pPr>
      <w:r>
        <w:rPr>
          <w:rFonts w:ascii="Arial" w:cs="Arial" w:eastAsia="Arial" w:hAnsi="Arial"/>
          <w:sz w:val="25"/>
          <w:szCs w:val="25"/>
          <w:color w:val="007CBA"/>
        </w:rPr>
        <w:t>The Board Unanimously Recommends a Vote “</w:t>
      </w:r>
      <w:r>
        <w:rPr>
          <w:rFonts w:ascii="Arial" w:cs="Arial" w:eastAsia="Arial" w:hAnsi="Arial"/>
          <w:sz w:val="25"/>
          <w:szCs w:val="25"/>
          <w:b w:val="1"/>
          <w:bCs w:val="1"/>
          <w:color w:val="007CBA"/>
        </w:rPr>
        <w:t>FOR</w:t>
      </w:r>
      <w:r>
        <w:rPr>
          <w:rFonts w:ascii="Arial" w:cs="Arial" w:eastAsia="Arial" w:hAnsi="Arial"/>
          <w:sz w:val="25"/>
          <w:szCs w:val="25"/>
          <w:color w:val="007CBA"/>
        </w:rPr>
        <w:t>” All Nominees for Election to the Board of Directors on this 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1007110</wp:posOffset>
            </wp:positionH>
            <wp:positionV relativeFrom="paragraph">
              <wp:posOffset>-383540</wp:posOffset>
            </wp:positionV>
            <wp:extent cx="308610" cy="3086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3761105</wp:posOffset>
            </wp:positionV>
            <wp:extent cx="7040880" cy="5397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040880" cy="539750"/>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4395470</wp:posOffset>
            </wp:positionV>
            <wp:extent cx="410845" cy="2482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926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2019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19</w:t>
            </w:r>
          </w:p>
        </w:tc>
      </w:tr>
    </w:tbl>
    <w:p>
      <w:pPr>
        <w:sectPr>
          <w:pgSz w:w="11900" w:h="16838" w:orient="portrait"/>
          <w:cols w:equalWidth="0" w:num="1">
            <w:col w:w="11220"/>
          </w:cols>
          <w:pgMar w:left="240" w:top="459" w:right="4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59" w:lineRule="exact"/>
        <w:rPr>
          <w:sz w:val="20"/>
          <w:szCs w:val="20"/>
          <w:color w:val="auto"/>
        </w:rPr>
      </w:pPr>
    </w:p>
    <w:p>
      <w:pPr>
        <w:ind w:left="220"/>
        <w:spacing w:after="0" w:line="288" w:lineRule="exact"/>
        <w:rPr>
          <w:sz w:val="20"/>
          <w:szCs w:val="20"/>
          <w:color w:val="auto"/>
        </w:rPr>
      </w:pPr>
      <w:r>
        <w:rPr>
          <w:rFonts w:ascii="Arial" w:cs="Arial" w:eastAsia="Arial" w:hAnsi="Arial"/>
          <w:sz w:val="13"/>
          <w:szCs w:val="13"/>
          <w:color w:val="007CBA"/>
        </w:rPr>
        <w:t xml:space="preserve">Proposal 1: Election of Directors </w:t>
      </w:r>
      <w:r>
        <w:rPr>
          <w:rFonts w:ascii="MS PGothic" w:cs="MS PGothic" w:eastAsia="MS PGothic" w:hAnsi="MS PGothic"/>
          <w:sz w:val="25"/>
          <w:szCs w:val="25"/>
          <w:color w:val="007CBA"/>
        </w:rPr>
        <w:t>◆</w:t>
      </w:r>
      <w:r>
        <w:rPr>
          <w:rFonts w:ascii="Arial" w:cs="Arial" w:eastAsia="Arial" w:hAnsi="Arial"/>
          <w:sz w:val="13"/>
          <w:szCs w:val="13"/>
          <w:color w:val="007CBA"/>
        </w:rPr>
        <w:t xml:space="preserve"> </w:t>
      </w:r>
      <w:r>
        <w:rPr>
          <w:rFonts w:ascii="Arial" w:cs="Arial" w:eastAsia="Arial" w:hAnsi="Arial"/>
          <w:sz w:val="13"/>
          <w:szCs w:val="13"/>
          <w:color w:val="000000"/>
        </w:rPr>
        <w:t>Director Compensation</w:t>
      </w:r>
    </w:p>
    <w:p>
      <w:pPr>
        <w:spacing w:after="0" w:line="200" w:lineRule="exact"/>
        <w:rPr>
          <w:sz w:val="20"/>
          <w:szCs w:val="20"/>
          <w:color w:val="auto"/>
        </w:rPr>
      </w:pPr>
    </w:p>
    <w:p>
      <w:pPr>
        <w:spacing w:after="0" w:line="261"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7CBA"/>
        </w:rPr>
        <w:t>Director Compensation</w:t>
      </w:r>
    </w:p>
    <w:p>
      <w:pPr>
        <w:spacing w:after="0" w:line="257" w:lineRule="exact"/>
        <w:rPr>
          <w:sz w:val="20"/>
          <w:szCs w:val="20"/>
          <w:color w:val="auto"/>
        </w:rPr>
      </w:pPr>
    </w:p>
    <w:p>
      <w:pPr>
        <w:jc w:val="both"/>
        <w:ind w:left="220"/>
        <w:spacing w:after="0" w:line="247" w:lineRule="auto"/>
        <w:rPr>
          <w:sz w:val="20"/>
          <w:szCs w:val="20"/>
          <w:color w:val="auto"/>
        </w:rPr>
      </w:pPr>
      <w:r>
        <w:rPr>
          <w:rFonts w:ascii="Arial" w:cs="Arial" w:eastAsia="Arial" w:hAnsi="Arial"/>
          <w:sz w:val="16"/>
          <w:szCs w:val="16"/>
          <w:color w:val="auto"/>
        </w:rPr>
        <w:t>Martin Marietta uses a combination of cash and stock-based compensation to attract and retain qualified candidates to serve on the Board of Directors. In setting Director compensation, Martin Marietta considers the significant amount of time that Directors expend in fulfilling their duties to Martin Marietta as well as the skill level required by Martin Marietta of members of the Board. The Board determines reasonable compensation for Directors upon recommendation of the Management Development and Compensation Committee of the Board, which retains an independent compensation consultant to assist it in making each recommendation.</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Cash Compensation Paid to Board Members</w:t>
      </w:r>
    </w:p>
    <w:p>
      <w:pPr>
        <w:spacing w:after="0" w:line="129" w:lineRule="exact"/>
        <w:rPr>
          <w:sz w:val="20"/>
          <w:szCs w:val="20"/>
          <w:color w:val="auto"/>
        </w:rPr>
      </w:pPr>
    </w:p>
    <w:p>
      <w:pPr>
        <w:jc w:val="both"/>
        <w:ind w:left="220" w:right="20"/>
        <w:spacing w:after="0" w:line="252" w:lineRule="auto"/>
        <w:rPr>
          <w:sz w:val="20"/>
          <w:szCs w:val="20"/>
          <w:color w:val="auto"/>
        </w:rPr>
      </w:pPr>
      <w:r>
        <w:rPr>
          <w:rFonts w:ascii="Arial" w:cs="Arial" w:eastAsia="Arial" w:hAnsi="Arial"/>
          <w:sz w:val="16"/>
          <w:szCs w:val="16"/>
          <w:color w:val="auto"/>
        </w:rPr>
        <w:t>The cash-based elements of annual Director compensation for fiscal year 2018 paid in quarterly installments, measured from the end of the month during which the Annual Meeting of Shareholders is held,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135890</wp:posOffset>
            </wp:positionV>
            <wp:extent cx="3340735" cy="1404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40735" cy="1404620"/>
                    </a:xfrm>
                    <a:prstGeom prst="rect">
                      <a:avLst/>
                    </a:prstGeom>
                    <a:noFill/>
                  </pic:spPr>
                </pic:pic>
              </a:graphicData>
            </a:graphic>
          </wp:anchor>
        </w:drawing>
      </w:r>
    </w:p>
    <w:p>
      <w:pPr>
        <w:spacing w:after="0" w:line="194" w:lineRule="exact"/>
        <w:rPr>
          <w:sz w:val="20"/>
          <w:szCs w:val="20"/>
          <w:color w:val="auto"/>
        </w:rPr>
      </w:pPr>
    </w:p>
    <w:tbl>
      <w:tblPr>
        <w:tblLayout w:type="fixed"/>
        <w:tblInd w:w="220" w:type="dxa"/>
        <w:tblCellMar>
          <w:top w:w="0" w:type="dxa"/>
          <w:left w:w="0" w:type="dxa"/>
          <w:bottom w:w="0" w:type="dxa"/>
          <w:right w:w="0" w:type="dxa"/>
        </w:tblCellMar>
      </w:tblPr>
      <w:tr>
        <w:trPr>
          <w:trHeight w:val="27"/>
        </w:trPr>
        <w:tc>
          <w:tcPr>
            <w:tcW w:w="3640" w:type="dxa"/>
            <w:vAlign w:val="bottom"/>
            <w:vMerge w:val="restart"/>
            <w:shd w:val="clear" w:color="auto" w:fill="007CBA"/>
          </w:tcPr>
          <w:p>
            <w:pPr>
              <w:ind w:left="240"/>
              <w:spacing w:after="0"/>
              <w:rPr>
                <w:sz w:val="20"/>
                <w:szCs w:val="20"/>
                <w:color w:val="auto"/>
              </w:rPr>
            </w:pPr>
            <w:r>
              <w:rPr>
                <w:rFonts w:ascii="Arial" w:cs="Arial" w:eastAsia="Arial" w:hAnsi="Arial"/>
                <w:sz w:val="16"/>
                <w:szCs w:val="16"/>
                <w:b w:val="1"/>
                <w:bCs w:val="1"/>
                <w:color w:val="FFFFFF"/>
              </w:rPr>
              <w:t>Cash Component Amount</w:t>
            </w: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640" w:type="dxa"/>
            <w:vAlign w:val="bottom"/>
            <w:vMerge w:val="continue"/>
            <w:shd w:val="clear" w:color="auto" w:fill="007CBA"/>
          </w:tcPr>
          <w:p>
            <w:pPr>
              <w:spacing w:after="0"/>
              <w:rPr>
                <w:sz w:val="16"/>
                <w:szCs w:val="16"/>
                <w:color w:val="auto"/>
              </w:rPr>
            </w:pPr>
          </w:p>
        </w:tc>
        <w:tc>
          <w:tcPr>
            <w:tcW w:w="260" w:type="dxa"/>
            <w:vAlign w:val="bottom"/>
            <w:shd w:val="clear" w:color="auto" w:fill="007CBA"/>
          </w:tcPr>
          <w:p>
            <w:pPr>
              <w:spacing w:after="0"/>
              <w:rPr>
                <w:sz w:val="16"/>
                <w:szCs w:val="16"/>
                <w:color w:val="auto"/>
              </w:rPr>
            </w:pPr>
          </w:p>
        </w:tc>
        <w:tc>
          <w:tcPr>
            <w:tcW w:w="1360" w:type="dxa"/>
            <w:vAlign w:val="bottom"/>
            <w:shd w:val="clear" w:color="auto" w:fill="007CBA"/>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40" w:type="dxa"/>
            <w:vAlign w:val="bottom"/>
            <w:tcBorders>
              <w:bottom w:val="single" w:sz="8" w:color="A5D1E6"/>
            </w:tcBorders>
            <w:shd w:val="clear" w:color="auto" w:fill="E5F1F8"/>
          </w:tcPr>
          <w:p>
            <w:pPr>
              <w:ind w:left="240"/>
              <w:spacing w:after="0"/>
              <w:rPr>
                <w:sz w:val="20"/>
                <w:szCs w:val="20"/>
                <w:color w:val="auto"/>
              </w:rPr>
            </w:pPr>
            <w:r>
              <w:rPr>
                <w:rFonts w:ascii="Arial" w:cs="Arial" w:eastAsia="Arial" w:hAnsi="Arial"/>
                <w:sz w:val="14"/>
                <w:szCs w:val="14"/>
                <w:color w:val="007CBA"/>
              </w:rPr>
              <w:t>Annual Board cash retainer</w:t>
            </w:r>
          </w:p>
        </w:tc>
        <w:tc>
          <w:tcPr>
            <w:tcW w:w="260" w:type="dxa"/>
            <w:vAlign w:val="bottom"/>
            <w:tcBorders>
              <w:bottom w:val="single" w:sz="8" w:color="A5D1E6"/>
            </w:tcBorders>
            <w:shd w:val="clear" w:color="auto" w:fill="E5F1F8"/>
          </w:tcPr>
          <w:p>
            <w:pPr>
              <w:jc w:val="right"/>
              <w:spacing w:after="0"/>
              <w:rPr>
                <w:sz w:val="20"/>
                <w:szCs w:val="20"/>
                <w:color w:val="auto"/>
              </w:rPr>
            </w:pPr>
            <w:r>
              <w:rPr>
                <w:rFonts w:ascii="Arial" w:cs="Arial" w:eastAsia="Arial" w:hAnsi="Arial"/>
                <w:sz w:val="14"/>
                <w:szCs w:val="14"/>
                <w:color w:val="007CBA"/>
              </w:rPr>
              <w:t>$</w:t>
            </w:r>
          </w:p>
        </w:tc>
        <w:tc>
          <w:tcPr>
            <w:tcW w:w="1360" w:type="dxa"/>
            <w:vAlign w:val="bottom"/>
            <w:tcBorders>
              <w:bottom w:val="single" w:sz="8" w:color="A5D1E6"/>
            </w:tcBorders>
            <w:shd w:val="clear" w:color="auto" w:fill="E5F1F8"/>
          </w:tcPr>
          <w:p>
            <w:pPr>
              <w:jc w:val="right"/>
              <w:ind w:right="768"/>
              <w:spacing w:after="0"/>
              <w:rPr>
                <w:sz w:val="20"/>
                <w:szCs w:val="20"/>
                <w:color w:val="auto"/>
              </w:rPr>
            </w:pPr>
            <w:r>
              <w:rPr>
                <w:rFonts w:ascii="Arial" w:cs="Arial" w:eastAsia="Arial" w:hAnsi="Arial"/>
                <w:sz w:val="14"/>
                <w:szCs w:val="14"/>
                <w:color w:val="007CBA"/>
                <w:w w:val="98"/>
              </w:rPr>
              <w:t>120,000</w:t>
            </w:r>
          </w:p>
        </w:tc>
        <w:tc>
          <w:tcPr>
            <w:tcW w:w="0" w:type="dxa"/>
            <w:vAlign w:val="bottom"/>
          </w:tcPr>
          <w:p>
            <w:pPr>
              <w:spacing w:after="0"/>
              <w:rPr>
                <w:sz w:val="1"/>
                <w:szCs w:val="1"/>
                <w:color w:val="auto"/>
              </w:rPr>
            </w:pPr>
          </w:p>
        </w:tc>
      </w:tr>
      <w:tr>
        <w:trPr>
          <w:trHeight w:val="169"/>
        </w:trPr>
        <w:tc>
          <w:tcPr>
            <w:tcW w:w="3640" w:type="dxa"/>
            <w:vAlign w:val="bottom"/>
            <w:tcBorders>
              <w:bottom w:val="single" w:sz="8" w:color="A5D1E6"/>
            </w:tcBorders>
          </w:tcPr>
          <w:p>
            <w:pPr>
              <w:ind w:left="240"/>
              <w:spacing w:after="0" w:line="169" w:lineRule="exact"/>
              <w:rPr>
                <w:sz w:val="20"/>
                <w:szCs w:val="20"/>
                <w:color w:val="auto"/>
              </w:rPr>
            </w:pPr>
            <w:r>
              <w:rPr>
                <w:rFonts w:ascii="Arial" w:cs="Arial" w:eastAsia="Arial" w:hAnsi="Arial"/>
                <w:sz w:val="12"/>
                <w:szCs w:val="12"/>
                <w:color w:val="007CBA"/>
              </w:rPr>
              <w:t>Annual Audit Committee chair retainer</w:t>
            </w:r>
            <w:r>
              <w:rPr>
                <w:rFonts w:ascii="Arial" w:cs="Arial" w:eastAsia="Arial" w:hAnsi="Arial"/>
                <w:sz w:val="19"/>
                <w:szCs w:val="19"/>
                <w:color w:val="007CBA"/>
                <w:vertAlign w:val="superscript"/>
              </w:rPr>
              <w:t>1</w:t>
            </w:r>
          </w:p>
        </w:tc>
        <w:tc>
          <w:tcPr>
            <w:tcW w:w="260" w:type="dxa"/>
            <w:vAlign w:val="bottom"/>
            <w:tcBorders>
              <w:bottom w:val="single" w:sz="8" w:color="A5D1E6"/>
            </w:tcBorders>
          </w:tcPr>
          <w:p>
            <w:pPr>
              <w:jc w:val="right"/>
              <w:spacing w:after="0"/>
              <w:rPr>
                <w:sz w:val="20"/>
                <w:szCs w:val="20"/>
                <w:color w:val="auto"/>
              </w:rPr>
            </w:pPr>
            <w:r>
              <w:rPr>
                <w:rFonts w:ascii="Arial" w:cs="Arial" w:eastAsia="Arial" w:hAnsi="Arial"/>
                <w:sz w:val="14"/>
                <w:szCs w:val="14"/>
                <w:color w:val="007CBA"/>
              </w:rPr>
              <w:t>$</w:t>
            </w:r>
          </w:p>
        </w:tc>
        <w:tc>
          <w:tcPr>
            <w:tcW w:w="1360" w:type="dxa"/>
            <w:vAlign w:val="bottom"/>
            <w:tcBorders>
              <w:bottom w:val="single" w:sz="8" w:color="A5D1E6"/>
            </w:tcBorders>
          </w:tcPr>
          <w:p>
            <w:pPr>
              <w:jc w:val="right"/>
              <w:ind w:right="768"/>
              <w:spacing w:after="0"/>
              <w:rPr>
                <w:sz w:val="20"/>
                <w:szCs w:val="20"/>
                <w:color w:val="auto"/>
              </w:rPr>
            </w:pPr>
            <w:r>
              <w:rPr>
                <w:rFonts w:ascii="Arial" w:cs="Arial" w:eastAsia="Arial" w:hAnsi="Arial"/>
                <w:sz w:val="14"/>
                <w:szCs w:val="14"/>
                <w:color w:val="007CBA"/>
              </w:rPr>
              <w:t>20,000</w:t>
            </w:r>
          </w:p>
        </w:tc>
        <w:tc>
          <w:tcPr>
            <w:tcW w:w="0" w:type="dxa"/>
            <w:vAlign w:val="bottom"/>
          </w:tcPr>
          <w:p>
            <w:pPr>
              <w:spacing w:after="0"/>
              <w:rPr>
                <w:sz w:val="1"/>
                <w:szCs w:val="1"/>
                <w:color w:val="auto"/>
              </w:rPr>
            </w:pPr>
          </w:p>
        </w:tc>
      </w:tr>
      <w:tr>
        <w:trPr>
          <w:trHeight w:val="166"/>
        </w:trPr>
        <w:tc>
          <w:tcPr>
            <w:tcW w:w="3640" w:type="dxa"/>
            <w:vAlign w:val="bottom"/>
            <w:shd w:val="clear" w:color="auto" w:fill="E5F1F8"/>
          </w:tcPr>
          <w:p>
            <w:pPr>
              <w:ind w:left="240"/>
              <w:spacing w:after="0"/>
              <w:rPr>
                <w:sz w:val="20"/>
                <w:szCs w:val="20"/>
                <w:color w:val="auto"/>
              </w:rPr>
            </w:pPr>
            <w:r>
              <w:rPr>
                <w:rFonts w:ascii="Arial" w:cs="Arial" w:eastAsia="Arial" w:hAnsi="Arial"/>
                <w:sz w:val="14"/>
                <w:szCs w:val="14"/>
                <w:color w:val="007CBA"/>
              </w:rPr>
              <w:t>Annual Management Development and</w:t>
            </w:r>
          </w:p>
        </w:tc>
        <w:tc>
          <w:tcPr>
            <w:tcW w:w="260" w:type="dxa"/>
            <w:vAlign w:val="bottom"/>
            <w:shd w:val="clear" w:color="auto" w:fill="E5F1F8"/>
          </w:tcPr>
          <w:p>
            <w:pPr>
              <w:spacing w:after="0"/>
              <w:rPr>
                <w:sz w:val="14"/>
                <w:szCs w:val="14"/>
                <w:color w:val="auto"/>
              </w:rPr>
            </w:pPr>
          </w:p>
        </w:tc>
        <w:tc>
          <w:tcPr>
            <w:tcW w:w="1360" w:type="dxa"/>
            <w:vAlign w:val="bottom"/>
            <w:shd w:val="clear" w:color="auto" w:fill="E5F1F8"/>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640" w:type="dxa"/>
            <w:vAlign w:val="bottom"/>
            <w:tcBorders>
              <w:bottom w:val="single" w:sz="8" w:color="A5D1E6"/>
            </w:tcBorders>
            <w:shd w:val="clear" w:color="auto" w:fill="E5F1F8"/>
          </w:tcPr>
          <w:p>
            <w:pPr>
              <w:ind w:left="240"/>
              <w:spacing w:after="0" w:line="164" w:lineRule="exact"/>
              <w:rPr>
                <w:sz w:val="20"/>
                <w:szCs w:val="20"/>
                <w:color w:val="auto"/>
              </w:rPr>
            </w:pPr>
            <w:r>
              <w:rPr>
                <w:rFonts w:ascii="Arial" w:cs="Arial" w:eastAsia="Arial" w:hAnsi="Arial"/>
                <w:sz w:val="12"/>
                <w:szCs w:val="12"/>
                <w:color w:val="007CBA"/>
              </w:rPr>
              <w:t>Compensation Committee chair retainer</w:t>
            </w:r>
            <w:r>
              <w:rPr>
                <w:rFonts w:ascii="Arial" w:cs="Arial" w:eastAsia="Arial" w:hAnsi="Arial"/>
                <w:sz w:val="19"/>
                <w:szCs w:val="19"/>
                <w:color w:val="007CBA"/>
                <w:vertAlign w:val="superscript"/>
              </w:rPr>
              <w:t>2</w:t>
            </w:r>
          </w:p>
        </w:tc>
        <w:tc>
          <w:tcPr>
            <w:tcW w:w="260" w:type="dxa"/>
            <w:vAlign w:val="bottom"/>
            <w:tcBorders>
              <w:bottom w:val="single" w:sz="8" w:color="A5D1E6"/>
            </w:tcBorders>
            <w:shd w:val="clear" w:color="auto" w:fill="E5F1F8"/>
          </w:tcPr>
          <w:p>
            <w:pPr>
              <w:jc w:val="right"/>
              <w:spacing w:after="0"/>
              <w:rPr>
                <w:sz w:val="20"/>
                <w:szCs w:val="20"/>
                <w:color w:val="auto"/>
              </w:rPr>
            </w:pPr>
            <w:r>
              <w:rPr>
                <w:rFonts w:ascii="Arial" w:cs="Arial" w:eastAsia="Arial" w:hAnsi="Arial"/>
                <w:sz w:val="14"/>
                <w:szCs w:val="14"/>
                <w:color w:val="007CBA"/>
              </w:rPr>
              <w:t>$</w:t>
            </w:r>
          </w:p>
        </w:tc>
        <w:tc>
          <w:tcPr>
            <w:tcW w:w="1360" w:type="dxa"/>
            <w:vAlign w:val="bottom"/>
            <w:tcBorders>
              <w:bottom w:val="single" w:sz="8" w:color="A5D1E6"/>
            </w:tcBorders>
            <w:shd w:val="clear" w:color="auto" w:fill="E5F1F8"/>
          </w:tcPr>
          <w:p>
            <w:pPr>
              <w:jc w:val="right"/>
              <w:ind w:right="768"/>
              <w:spacing w:after="0"/>
              <w:rPr>
                <w:sz w:val="20"/>
                <w:szCs w:val="20"/>
                <w:color w:val="auto"/>
              </w:rPr>
            </w:pPr>
            <w:r>
              <w:rPr>
                <w:rFonts w:ascii="Arial" w:cs="Arial" w:eastAsia="Arial" w:hAnsi="Arial"/>
                <w:sz w:val="14"/>
                <w:szCs w:val="14"/>
                <w:color w:val="007CBA"/>
              </w:rPr>
              <w:t>17,500</w:t>
            </w:r>
          </w:p>
        </w:tc>
        <w:tc>
          <w:tcPr>
            <w:tcW w:w="0" w:type="dxa"/>
            <w:vAlign w:val="bottom"/>
          </w:tcPr>
          <w:p>
            <w:pPr>
              <w:spacing w:after="0"/>
              <w:rPr>
                <w:sz w:val="1"/>
                <w:szCs w:val="1"/>
                <w:color w:val="auto"/>
              </w:rPr>
            </w:pPr>
          </w:p>
        </w:tc>
      </w:tr>
      <w:tr>
        <w:trPr>
          <w:trHeight w:val="169"/>
        </w:trPr>
        <w:tc>
          <w:tcPr>
            <w:tcW w:w="3640" w:type="dxa"/>
            <w:vAlign w:val="bottom"/>
            <w:tcBorders>
              <w:bottom w:val="single" w:sz="8" w:color="A5D1E6"/>
            </w:tcBorders>
          </w:tcPr>
          <w:p>
            <w:pPr>
              <w:ind w:left="240"/>
              <w:spacing w:after="0" w:line="169" w:lineRule="exact"/>
              <w:rPr>
                <w:sz w:val="20"/>
                <w:szCs w:val="20"/>
                <w:color w:val="auto"/>
              </w:rPr>
            </w:pPr>
            <w:r>
              <w:rPr>
                <w:rFonts w:ascii="Arial" w:cs="Arial" w:eastAsia="Arial" w:hAnsi="Arial"/>
                <w:sz w:val="12"/>
                <w:szCs w:val="12"/>
                <w:color w:val="007CBA"/>
              </w:rPr>
              <w:t>Annual Finance Committee chair retainer</w:t>
            </w:r>
            <w:r>
              <w:rPr>
                <w:rFonts w:ascii="Arial" w:cs="Arial" w:eastAsia="Arial" w:hAnsi="Arial"/>
                <w:sz w:val="19"/>
                <w:szCs w:val="19"/>
                <w:color w:val="007CBA"/>
                <w:vertAlign w:val="superscript"/>
              </w:rPr>
              <w:t>2</w:t>
            </w:r>
          </w:p>
        </w:tc>
        <w:tc>
          <w:tcPr>
            <w:tcW w:w="260" w:type="dxa"/>
            <w:vAlign w:val="bottom"/>
            <w:tcBorders>
              <w:bottom w:val="single" w:sz="8" w:color="A5D1E6"/>
            </w:tcBorders>
          </w:tcPr>
          <w:p>
            <w:pPr>
              <w:jc w:val="right"/>
              <w:spacing w:after="0"/>
              <w:rPr>
                <w:sz w:val="20"/>
                <w:szCs w:val="20"/>
                <w:color w:val="auto"/>
              </w:rPr>
            </w:pPr>
            <w:r>
              <w:rPr>
                <w:rFonts w:ascii="Arial" w:cs="Arial" w:eastAsia="Arial" w:hAnsi="Arial"/>
                <w:sz w:val="14"/>
                <w:szCs w:val="14"/>
                <w:color w:val="007CBA"/>
              </w:rPr>
              <w:t>$</w:t>
            </w:r>
          </w:p>
        </w:tc>
        <w:tc>
          <w:tcPr>
            <w:tcW w:w="1360" w:type="dxa"/>
            <w:vAlign w:val="bottom"/>
            <w:tcBorders>
              <w:bottom w:val="single" w:sz="8" w:color="A5D1E6"/>
            </w:tcBorders>
          </w:tcPr>
          <w:p>
            <w:pPr>
              <w:jc w:val="right"/>
              <w:ind w:right="768"/>
              <w:spacing w:after="0"/>
              <w:rPr>
                <w:sz w:val="20"/>
                <w:szCs w:val="20"/>
                <w:color w:val="auto"/>
              </w:rPr>
            </w:pPr>
            <w:r>
              <w:rPr>
                <w:rFonts w:ascii="Arial" w:cs="Arial" w:eastAsia="Arial" w:hAnsi="Arial"/>
                <w:sz w:val="14"/>
                <w:szCs w:val="14"/>
                <w:color w:val="007CBA"/>
              </w:rPr>
              <w:t>15,000</w:t>
            </w:r>
          </w:p>
        </w:tc>
        <w:tc>
          <w:tcPr>
            <w:tcW w:w="0" w:type="dxa"/>
            <w:vAlign w:val="bottom"/>
          </w:tcPr>
          <w:p>
            <w:pPr>
              <w:spacing w:after="0"/>
              <w:rPr>
                <w:sz w:val="1"/>
                <w:szCs w:val="1"/>
                <w:color w:val="auto"/>
              </w:rPr>
            </w:pPr>
          </w:p>
        </w:tc>
      </w:tr>
      <w:tr>
        <w:trPr>
          <w:trHeight w:val="166"/>
        </w:trPr>
        <w:tc>
          <w:tcPr>
            <w:tcW w:w="3640" w:type="dxa"/>
            <w:vAlign w:val="bottom"/>
            <w:shd w:val="clear" w:color="auto" w:fill="E5F1F8"/>
          </w:tcPr>
          <w:p>
            <w:pPr>
              <w:ind w:left="240"/>
              <w:spacing w:after="0"/>
              <w:rPr>
                <w:sz w:val="20"/>
                <w:szCs w:val="20"/>
                <w:color w:val="auto"/>
              </w:rPr>
            </w:pPr>
            <w:r>
              <w:rPr>
                <w:rFonts w:ascii="Arial" w:cs="Arial" w:eastAsia="Arial" w:hAnsi="Arial"/>
                <w:sz w:val="14"/>
                <w:szCs w:val="14"/>
                <w:color w:val="007CBA"/>
              </w:rPr>
              <w:t>Annual Nominating and Corporate Governance</w:t>
            </w:r>
          </w:p>
        </w:tc>
        <w:tc>
          <w:tcPr>
            <w:tcW w:w="260" w:type="dxa"/>
            <w:vAlign w:val="bottom"/>
            <w:shd w:val="clear" w:color="auto" w:fill="E5F1F8"/>
          </w:tcPr>
          <w:p>
            <w:pPr>
              <w:spacing w:after="0"/>
              <w:rPr>
                <w:sz w:val="14"/>
                <w:szCs w:val="14"/>
                <w:color w:val="auto"/>
              </w:rPr>
            </w:pPr>
          </w:p>
        </w:tc>
        <w:tc>
          <w:tcPr>
            <w:tcW w:w="1360" w:type="dxa"/>
            <w:vAlign w:val="bottom"/>
            <w:shd w:val="clear" w:color="auto" w:fill="E5F1F8"/>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640" w:type="dxa"/>
            <w:vAlign w:val="bottom"/>
            <w:tcBorders>
              <w:bottom w:val="single" w:sz="8" w:color="A5D1E6"/>
            </w:tcBorders>
            <w:shd w:val="clear" w:color="auto" w:fill="E5F1F8"/>
          </w:tcPr>
          <w:p>
            <w:pPr>
              <w:ind w:left="240"/>
              <w:spacing w:after="0" w:line="164" w:lineRule="exact"/>
              <w:rPr>
                <w:sz w:val="20"/>
                <w:szCs w:val="20"/>
                <w:color w:val="auto"/>
              </w:rPr>
            </w:pPr>
            <w:r>
              <w:rPr>
                <w:rFonts w:ascii="Arial" w:cs="Arial" w:eastAsia="Arial" w:hAnsi="Arial"/>
                <w:sz w:val="12"/>
                <w:szCs w:val="12"/>
                <w:color w:val="007CBA"/>
              </w:rPr>
              <w:t>Committee chair retainer</w:t>
            </w:r>
            <w:r>
              <w:rPr>
                <w:rFonts w:ascii="Arial" w:cs="Arial" w:eastAsia="Arial" w:hAnsi="Arial"/>
                <w:sz w:val="19"/>
                <w:szCs w:val="19"/>
                <w:color w:val="007CBA"/>
                <w:vertAlign w:val="superscript"/>
              </w:rPr>
              <w:t>2</w:t>
            </w:r>
          </w:p>
        </w:tc>
        <w:tc>
          <w:tcPr>
            <w:tcW w:w="260" w:type="dxa"/>
            <w:vAlign w:val="bottom"/>
            <w:tcBorders>
              <w:bottom w:val="single" w:sz="8" w:color="A5D1E6"/>
            </w:tcBorders>
            <w:shd w:val="clear" w:color="auto" w:fill="E5F1F8"/>
          </w:tcPr>
          <w:p>
            <w:pPr>
              <w:jc w:val="right"/>
              <w:spacing w:after="0"/>
              <w:rPr>
                <w:sz w:val="20"/>
                <w:szCs w:val="20"/>
                <w:color w:val="auto"/>
              </w:rPr>
            </w:pPr>
            <w:r>
              <w:rPr>
                <w:rFonts w:ascii="Arial" w:cs="Arial" w:eastAsia="Arial" w:hAnsi="Arial"/>
                <w:sz w:val="14"/>
                <w:szCs w:val="14"/>
                <w:color w:val="007CBA"/>
              </w:rPr>
              <w:t>$</w:t>
            </w:r>
          </w:p>
        </w:tc>
        <w:tc>
          <w:tcPr>
            <w:tcW w:w="1360" w:type="dxa"/>
            <w:vAlign w:val="bottom"/>
            <w:tcBorders>
              <w:bottom w:val="single" w:sz="8" w:color="A5D1E6"/>
            </w:tcBorders>
            <w:shd w:val="clear" w:color="auto" w:fill="E5F1F8"/>
          </w:tcPr>
          <w:p>
            <w:pPr>
              <w:jc w:val="right"/>
              <w:ind w:right="768"/>
              <w:spacing w:after="0"/>
              <w:rPr>
                <w:sz w:val="20"/>
                <w:szCs w:val="20"/>
                <w:color w:val="auto"/>
              </w:rPr>
            </w:pPr>
            <w:r>
              <w:rPr>
                <w:rFonts w:ascii="Arial" w:cs="Arial" w:eastAsia="Arial" w:hAnsi="Arial"/>
                <w:sz w:val="14"/>
                <w:szCs w:val="14"/>
                <w:color w:val="007CBA"/>
              </w:rPr>
              <w:t>15,000</w:t>
            </w:r>
          </w:p>
        </w:tc>
        <w:tc>
          <w:tcPr>
            <w:tcW w:w="0" w:type="dxa"/>
            <w:vAlign w:val="bottom"/>
          </w:tcPr>
          <w:p>
            <w:pPr>
              <w:spacing w:after="0"/>
              <w:rPr>
                <w:sz w:val="1"/>
                <w:szCs w:val="1"/>
                <w:color w:val="auto"/>
              </w:rPr>
            </w:pPr>
          </w:p>
        </w:tc>
      </w:tr>
      <w:tr>
        <w:trPr>
          <w:trHeight w:val="166"/>
        </w:trPr>
        <w:tc>
          <w:tcPr>
            <w:tcW w:w="3640" w:type="dxa"/>
            <w:vAlign w:val="bottom"/>
          </w:tcPr>
          <w:p>
            <w:pPr>
              <w:ind w:left="240"/>
              <w:spacing w:after="0"/>
              <w:rPr>
                <w:sz w:val="20"/>
                <w:szCs w:val="20"/>
                <w:color w:val="auto"/>
              </w:rPr>
            </w:pPr>
            <w:r>
              <w:rPr>
                <w:rFonts w:ascii="Arial" w:cs="Arial" w:eastAsia="Arial" w:hAnsi="Arial"/>
                <w:sz w:val="14"/>
                <w:szCs w:val="14"/>
                <w:color w:val="007CBA"/>
              </w:rPr>
              <w:t>Annual Ethics, Environmental, Health &amp; Safety</w:t>
            </w: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640" w:type="dxa"/>
            <w:vAlign w:val="bottom"/>
            <w:tcBorders>
              <w:bottom w:val="single" w:sz="8" w:color="A5D1E6"/>
            </w:tcBorders>
          </w:tcPr>
          <w:p>
            <w:pPr>
              <w:ind w:left="240"/>
              <w:spacing w:after="0" w:line="164" w:lineRule="exact"/>
              <w:rPr>
                <w:sz w:val="20"/>
                <w:szCs w:val="20"/>
                <w:color w:val="auto"/>
              </w:rPr>
            </w:pPr>
            <w:r>
              <w:rPr>
                <w:rFonts w:ascii="Arial" w:cs="Arial" w:eastAsia="Arial" w:hAnsi="Arial"/>
                <w:sz w:val="12"/>
                <w:szCs w:val="12"/>
                <w:color w:val="007CBA"/>
              </w:rPr>
              <w:t>Committee chair retainer</w:t>
            </w:r>
            <w:r>
              <w:rPr>
                <w:rFonts w:ascii="Arial" w:cs="Arial" w:eastAsia="Arial" w:hAnsi="Arial"/>
                <w:sz w:val="19"/>
                <w:szCs w:val="19"/>
                <w:color w:val="007CBA"/>
                <w:vertAlign w:val="superscript"/>
              </w:rPr>
              <w:t>2</w:t>
            </w:r>
          </w:p>
        </w:tc>
        <w:tc>
          <w:tcPr>
            <w:tcW w:w="260" w:type="dxa"/>
            <w:vAlign w:val="bottom"/>
            <w:tcBorders>
              <w:bottom w:val="single" w:sz="8" w:color="A5D1E6"/>
            </w:tcBorders>
          </w:tcPr>
          <w:p>
            <w:pPr>
              <w:jc w:val="right"/>
              <w:spacing w:after="0"/>
              <w:rPr>
                <w:sz w:val="20"/>
                <w:szCs w:val="20"/>
                <w:color w:val="auto"/>
              </w:rPr>
            </w:pPr>
            <w:r>
              <w:rPr>
                <w:rFonts w:ascii="Arial" w:cs="Arial" w:eastAsia="Arial" w:hAnsi="Arial"/>
                <w:sz w:val="14"/>
                <w:szCs w:val="14"/>
                <w:color w:val="007CBA"/>
              </w:rPr>
              <w:t>$</w:t>
            </w:r>
          </w:p>
        </w:tc>
        <w:tc>
          <w:tcPr>
            <w:tcW w:w="1360" w:type="dxa"/>
            <w:vAlign w:val="bottom"/>
            <w:tcBorders>
              <w:bottom w:val="single" w:sz="8" w:color="A5D1E6"/>
            </w:tcBorders>
          </w:tcPr>
          <w:p>
            <w:pPr>
              <w:jc w:val="right"/>
              <w:ind w:right="768"/>
              <w:spacing w:after="0"/>
              <w:rPr>
                <w:sz w:val="20"/>
                <w:szCs w:val="20"/>
                <w:color w:val="auto"/>
              </w:rPr>
            </w:pPr>
            <w:r>
              <w:rPr>
                <w:rFonts w:ascii="Arial" w:cs="Arial" w:eastAsia="Arial" w:hAnsi="Arial"/>
                <w:sz w:val="14"/>
                <w:szCs w:val="14"/>
                <w:color w:val="007CBA"/>
              </w:rPr>
              <w:t>8,000</w:t>
            </w:r>
          </w:p>
        </w:tc>
        <w:tc>
          <w:tcPr>
            <w:tcW w:w="0" w:type="dxa"/>
            <w:vAlign w:val="bottom"/>
          </w:tcPr>
          <w:p>
            <w:pPr>
              <w:spacing w:after="0"/>
              <w:rPr>
                <w:sz w:val="1"/>
                <w:szCs w:val="1"/>
                <w:color w:val="auto"/>
              </w:rPr>
            </w:pPr>
          </w:p>
        </w:tc>
      </w:tr>
      <w:tr>
        <w:trPr>
          <w:trHeight w:val="169"/>
        </w:trPr>
        <w:tc>
          <w:tcPr>
            <w:tcW w:w="3640" w:type="dxa"/>
            <w:vAlign w:val="bottom"/>
            <w:tcBorders>
              <w:bottom w:val="single" w:sz="8" w:color="A5D1E6"/>
            </w:tcBorders>
            <w:shd w:val="clear" w:color="auto" w:fill="E5F1F8"/>
          </w:tcPr>
          <w:p>
            <w:pPr>
              <w:ind w:left="240"/>
              <w:spacing w:after="0" w:line="169" w:lineRule="exact"/>
              <w:rPr>
                <w:sz w:val="20"/>
                <w:szCs w:val="20"/>
                <w:color w:val="auto"/>
              </w:rPr>
            </w:pPr>
            <w:r>
              <w:rPr>
                <w:rFonts w:ascii="Arial" w:cs="Arial" w:eastAsia="Arial" w:hAnsi="Arial"/>
                <w:sz w:val="12"/>
                <w:szCs w:val="12"/>
                <w:color w:val="007CBA"/>
              </w:rPr>
              <w:t>Annual Audit Committee member retainer</w:t>
            </w:r>
            <w:r>
              <w:rPr>
                <w:rFonts w:ascii="Arial" w:cs="Arial" w:eastAsia="Arial" w:hAnsi="Arial"/>
                <w:sz w:val="19"/>
                <w:szCs w:val="19"/>
                <w:color w:val="007CBA"/>
                <w:vertAlign w:val="superscript"/>
              </w:rPr>
              <w:t>2</w:t>
            </w:r>
          </w:p>
        </w:tc>
        <w:tc>
          <w:tcPr>
            <w:tcW w:w="260" w:type="dxa"/>
            <w:vAlign w:val="bottom"/>
            <w:tcBorders>
              <w:bottom w:val="single" w:sz="8" w:color="A5D1E6"/>
            </w:tcBorders>
            <w:shd w:val="clear" w:color="auto" w:fill="E5F1F8"/>
          </w:tcPr>
          <w:p>
            <w:pPr>
              <w:jc w:val="right"/>
              <w:spacing w:after="0"/>
              <w:rPr>
                <w:sz w:val="20"/>
                <w:szCs w:val="20"/>
                <w:color w:val="auto"/>
              </w:rPr>
            </w:pPr>
            <w:r>
              <w:rPr>
                <w:rFonts w:ascii="Arial" w:cs="Arial" w:eastAsia="Arial" w:hAnsi="Arial"/>
                <w:sz w:val="14"/>
                <w:szCs w:val="14"/>
                <w:color w:val="007CBA"/>
              </w:rPr>
              <w:t>$</w:t>
            </w:r>
          </w:p>
        </w:tc>
        <w:tc>
          <w:tcPr>
            <w:tcW w:w="1360" w:type="dxa"/>
            <w:vAlign w:val="bottom"/>
            <w:tcBorders>
              <w:bottom w:val="single" w:sz="8" w:color="A5D1E6"/>
            </w:tcBorders>
            <w:shd w:val="clear" w:color="auto" w:fill="E5F1F8"/>
          </w:tcPr>
          <w:p>
            <w:pPr>
              <w:jc w:val="right"/>
              <w:ind w:right="768"/>
              <w:spacing w:after="0"/>
              <w:rPr>
                <w:sz w:val="20"/>
                <w:szCs w:val="20"/>
                <w:color w:val="auto"/>
              </w:rPr>
            </w:pPr>
            <w:r>
              <w:rPr>
                <w:rFonts w:ascii="Arial" w:cs="Arial" w:eastAsia="Arial" w:hAnsi="Arial"/>
                <w:sz w:val="14"/>
                <w:szCs w:val="14"/>
                <w:color w:val="007CBA"/>
              </w:rPr>
              <w:t>5,000</w:t>
            </w:r>
          </w:p>
        </w:tc>
        <w:tc>
          <w:tcPr>
            <w:tcW w:w="0" w:type="dxa"/>
            <w:vAlign w:val="bottom"/>
          </w:tcPr>
          <w:p>
            <w:pPr>
              <w:spacing w:after="0"/>
              <w:rPr>
                <w:sz w:val="1"/>
                <w:szCs w:val="1"/>
                <w:color w:val="auto"/>
              </w:rPr>
            </w:pPr>
          </w:p>
        </w:tc>
      </w:tr>
      <w:tr>
        <w:trPr>
          <w:trHeight w:val="180"/>
        </w:trPr>
        <w:tc>
          <w:tcPr>
            <w:tcW w:w="3640" w:type="dxa"/>
            <w:vAlign w:val="bottom"/>
          </w:tcPr>
          <w:p>
            <w:pPr>
              <w:ind w:left="240"/>
              <w:spacing w:after="0" w:line="180" w:lineRule="exact"/>
              <w:rPr>
                <w:sz w:val="20"/>
                <w:szCs w:val="20"/>
                <w:color w:val="auto"/>
              </w:rPr>
            </w:pPr>
            <w:r>
              <w:rPr>
                <w:rFonts w:ascii="Arial" w:cs="Arial" w:eastAsia="Arial" w:hAnsi="Arial"/>
                <w:sz w:val="12"/>
                <w:szCs w:val="12"/>
                <w:color w:val="007CBA"/>
              </w:rPr>
              <w:t>Annual Lead Independent Director retainer</w:t>
            </w:r>
            <w:r>
              <w:rPr>
                <w:rFonts w:ascii="Arial" w:cs="Arial" w:eastAsia="Arial" w:hAnsi="Arial"/>
                <w:sz w:val="20"/>
                <w:szCs w:val="20"/>
                <w:color w:val="007CBA"/>
                <w:vertAlign w:val="superscript"/>
              </w:rPr>
              <w:t>3</w:t>
            </w:r>
          </w:p>
        </w:tc>
        <w:tc>
          <w:tcPr>
            <w:tcW w:w="260" w:type="dxa"/>
            <w:vAlign w:val="bottom"/>
          </w:tcPr>
          <w:p>
            <w:pPr>
              <w:jc w:val="right"/>
              <w:spacing w:after="0"/>
              <w:rPr>
                <w:sz w:val="20"/>
                <w:szCs w:val="20"/>
                <w:color w:val="auto"/>
              </w:rPr>
            </w:pPr>
            <w:r>
              <w:rPr>
                <w:rFonts w:ascii="Arial" w:cs="Arial" w:eastAsia="Arial" w:hAnsi="Arial"/>
                <w:sz w:val="14"/>
                <w:szCs w:val="14"/>
                <w:color w:val="007CBA"/>
              </w:rPr>
              <w:t>$</w:t>
            </w:r>
          </w:p>
        </w:tc>
        <w:tc>
          <w:tcPr>
            <w:tcW w:w="1360" w:type="dxa"/>
            <w:vAlign w:val="bottom"/>
          </w:tcPr>
          <w:p>
            <w:pPr>
              <w:jc w:val="right"/>
              <w:ind w:right="768"/>
              <w:spacing w:after="0"/>
              <w:rPr>
                <w:sz w:val="20"/>
                <w:szCs w:val="20"/>
                <w:color w:val="auto"/>
              </w:rPr>
            </w:pPr>
            <w:r>
              <w:rPr>
                <w:rFonts w:ascii="Arial" w:cs="Arial" w:eastAsia="Arial" w:hAnsi="Arial"/>
                <w:sz w:val="14"/>
                <w:szCs w:val="14"/>
                <w:color w:val="007CBA"/>
              </w:rPr>
              <w:t>30,250</w:t>
            </w:r>
          </w:p>
        </w:tc>
        <w:tc>
          <w:tcPr>
            <w:tcW w:w="0" w:type="dxa"/>
            <w:vAlign w:val="bottom"/>
          </w:tcPr>
          <w:p>
            <w:pPr>
              <w:spacing w:after="0"/>
              <w:rPr>
                <w:sz w:val="1"/>
                <w:szCs w:val="1"/>
                <w:color w:val="auto"/>
              </w:rPr>
            </w:pPr>
          </w:p>
        </w:tc>
      </w:tr>
    </w:tbl>
    <w:p>
      <w:pPr>
        <w:spacing w:after="0" w:line="7" w:lineRule="exact"/>
        <w:rPr>
          <w:sz w:val="20"/>
          <w:szCs w:val="20"/>
          <w:color w:val="auto"/>
        </w:rPr>
      </w:pPr>
    </w:p>
    <w:p>
      <w:pPr>
        <w:ind w:left="340" w:right="20" w:hanging="130"/>
        <w:spacing w:after="0" w:line="188" w:lineRule="auto"/>
        <w:tabs>
          <w:tab w:leader="none" w:pos="340" w:val="left"/>
        </w:tabs>
        <w:numPr>
          <w:ilvl w:val="0"/>
          <w:numId w:val="52"/>
        </w:numPr>
        <w:rPr>
          <w:rFonts w:ascii="Arial" w:cs="Arial" w:eastAsia="Arial" w:hAnsi="Arial"/>
          <w:sz w:val="22"/>
          <w:szCs w:val="22"/>
          <w:color w:val="auto"/>
          <w:vertAlign w:val="superscript"/>
        </w:rPr>
      </w:pPr>
      <w:r>
        <w:rPr>
          <w:rFonts w:ascii="Arial" w:cs="Arial" w:eastAsia="Arial" w:hAnsi="Arial"/>
          <w:sz w:val="13"/>
          <w:szCs w:val="13"/>
          <w:color w:val="auto"/>
        </w:rPr>
        <w:t>This is in addition to the annual retainer and the annual Audit Committee member retainer</w:t>
      </w:r>
    </w:p>
    <w:p>
      <w:pPr>
        <w:ind w:left="340" w:hanging="130"/>
        <w:spacing w:after="0" w:line="188" w:lineRule="auto"/>
        <w:tabs>
          <w:tab w:leader="none" w:pos="340" w:val="left"/>
        </w:tabs>
        <w:numPr>
          <w:ilvl w:val="0"/>
          <w:numId w:val="53"/>
        </w:numPr>
        <w:rPr>
          <w:rFonts w:ascii="Arial" w:cs="Arial" w:eastAsia="Arial" w:hAnsi="Arial"/>
          <w:sz w:val="18"/>
          <w:szCs w:val="18"/>
          <w:color w:val="auto"/>
          <w:vertAlign w:val="superscript"/>
        </w:rPr>
      </w:pPr>
      <w:r>
        <w:rPr>
          <w:rFonts w:ascii="Arial" w:cs="Arial" w:eastAsia="Arial" w:hAnsi="Arial"/>
          <w:sz w:val="11"/>
          <w:szCs w:val="11"/>
          <w:color w:val="auto"/>
        </w:rPr>
        <w:t>This is in addition to the annual retainer in view of increased responsibilities</w:t>
      </w:r>
    </w:p>
    <w:p>
      <w:pPr>
        <w:spacing w:after="0" w:line="8" w:lineRule="exact"/>
        <w:rPr>
          <w:sz w:val="20"/>
          <w:szCs w:val="20"/>
          <w:color w:val="auto"/>
        </w:rPr>
      </w:pPr>
    </w:p>
    <w:p>
      <w:pPr>
        <w:ind w:left="340" w:right="20" w:hanging="130"/>
        <w:spacing w:after="0" w:line="183" w:lineRule="auto"/>
        <w:tabs>
          <w:tab w:leader="none" w:pos="340" w:val="left"/>
        </w:tabs>
        <w:numPr>
          <w:ilvl w:val="0"/>
          <w:numId w:val="54"/>
        </w:numPr>
        <w:rPr>
          <w:rFonts w:ascii="Arial" w:cs="Arial" w:eastAsia="Arial" w:hAnsi="Arial"/>
          <w:sz w:val="24"/>
          <w:szCs w:val="24"/>
          <w:color w:val="auto"/>
          <w:vertAlign w:val="superscript"/>
        </w:rPr>
      </w:pPr>
      <w:r>
        <w:rPr>
          <w:rFonts w:ascii="Arial" w:cs="Arial" w:eastAsia="Arial" w:hAnsi="Arial"/>
          <w:sz w:val="14"/>
          <w:szCs w:val="14"/>
          <w:color w:val="auto"/>
        </w:rPr>
        <w:t>This is in addition to the annual retainer and the annual Committee chair retainers in view of increased responsibilities</w:t>
      </w:r>
    </w:p>
    <w:p>
      <w:pPr>
        <w:spacing w:after="0" w:line="204"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The Company reimburses Directors for the travel expenses of, or provides transportation on Company aircraft for, Board and Committee meetings, meetings with management or independent consultants or advisors, and other Company-related events, such as Investor Day and meetings with potential Board candidates. Martin Marietta’s plane was used to transport some Directors to and from Board and Committee meetings, but no Directors received personal use of Martin Marietta’s plane or other perquisites or personal benefits in 2018.</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Equity Compensation Paid to Board Members</w:t>
      </w:r>
    </w:p>
    <w:p>
      <w:pPr>
        <w:spacing w:after="0" w:line="129" w:lineRule="exact"/>
        <w:rPr>
          <w:sz w:val="20"/>
          <w:szCs w:val="20"/>
          <w:color w:val="auto"/>
        </w:rPr>
      </w:pPr>
    </w:p>
    <w:p>
      <w:pPr>
        <w:jc w:val="both"/>
        <w:ind w:left="220" w:right="20"/>
        <w:spacing w:after="0" w:line="253" w:lineRule="auto"/>
        <w:rPr>
          <w:sz w:val="20"/>
          <w:szCs w:val="20"/>
          <w:color w:val="auto"/>
        </w:rPr>
      </w:pPr>
      <w:r>
        <w:rPr>
          <w:rFonts w:ascii="Arial" w:cs="Arial" w:eastAsia="Arial" w:hAnsi="Arial"/>
          <w:sz w:val="16"/>
          <w:szCs w:val="16"/>
          <w:color w:val="auto"/>
        </w:rPr>
        <w:t>Non-employee Directors received an award of restricted stock units (RSUs) with a value of $130,000 (rounded up to the nearest RSU) based on the closing price as of the date of grant,</w:t>
      </w:r>
    </w:p>
    <w:p>
      <w:pPr>
        <w:spacing w:after="0" w:line="314" w:lineRule="exact"/>
        <w:rPr>
          <w:sz w:val="20"/>
          <w:szCs w:val="20"/>
          <w:color w:val="auto"/>
        </w:rPr>
      </w:pPr>
    </w:p>
    <w:p>
      <w:pPr>
        <w:ind w:left="640" w:hanging="430"/>
        <w:spacing w:after="0"/>
        <w:tabs>
          <w:tab w:leader="none" w:pos="640" w:val="left"/>
        </w:tabs>
        <w:numPr>
          <w:ilvl w:val="0"/>
          <w:numId w:val="55"/>
        </w:numPr>
        <w:rPr>
          <w:rFonts w:ascii="Arial" w:cs="Arial" w:eastAsia="Arial" w:hAnsi="Arial"/>
          <w:sz w:val="13"/>
          <w:szCs w:val="13"/>
          <w:b w:val="1"/>
          <w:bCs w:val="1"/>
          <w:color w:val="auto"/>
        </w:rPr>
      </w:pPr>
      <w:r>
        <w:rPr>
          <w:rFonts w:ascii="Arial" w:cs="Arial" w:eastAsia="Arial" w:hAnsi="Arial"/>
          <w:sz w:val="13"/>
          <w:szCs w:val="13"/>
          <w:color w:val="007CBA"/>
        </w:rPr>
        <w:t>2019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which was generally immediately following the 2018 Annual Meeting of Shareholders in May 2018. In May 2018, this award was 609 RSUs. Ms. Ables received her RSU award of 744 RSUs when she joined the Board. The RSUs granted to the Directors in 2018 were fully vested upon award. Directors are required to defer at least 50% of the RSUs until retirement from the Board. Directors may choose to voluntarily defer an additional portion of their RSUs, and any RSUs that are not so deferred are settled in shares of common stock of Martin Marietta as soon as practicable following the grant date. The RSUs were awarded under the Martin Marietta Amended and Restated Stock-Based Award Plan (the “Stock Plan”), which was approved by shareholders on May 19, 2016. The Stock Plan provides that, during any calendar year, no non-employee Director may be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-2431415</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ind w:firstLine="4"/>
        <w:spacing w:after="0" w:line="250" w:lineRule="auto"/>
        <w:tabs>
          <w:tab w:leader="none" w:pos="234"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restricted shares and other full-value stock-based awards, including RSUs, in respect of more than 7,000 shares of common stock of Martin Marietta or (ii) options or stock appreciation rights in respect of more than 20,000 shares of common stock of Martin Marietta.</w:t>
      </w:r>
    </w:p>
    <w:p>
      <w:pPr>
        <w:spacing w:after="0" w:line="17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Directors do not have voting or investment power for their respective RSUs.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Deferred Compensation Program for Board Members</w:t>
      </w:r>
    </w:p>
    <w:p>
      <w:pPr>
        <w:spacing w:after="0" w:line="129"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 xml:space="preserve">The Common Stock Purchase Plan for Directors provides that non-employee Directors may elect to receive all or a portion of their fees earned in 2018 in the form of Martin Marietta’s common stock units. If deferral is elected, there is a mandatory deferral minimum time of three years with, subject to certain restrictions, redeferrals at each Director’s election up to the date the person ceases to be a Director or the date that is one year and one month following the date that the person ceases to be a Director. Directors may elect to receive payment of the deferred amount in a single lump sum or in equal annual installments for a period up to ten years. By resolution adopted by Martin Marietta’s Board of Directors on May 17, 2018, amounts deferred under the plan in common stock are credited toward units of common stock at 100% of the fair market value of the common stock (the closing price of the common stock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on the date the Director fees would otherwise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paid. Prior to that, amounts deferred under the plan in common stock were credited toward units of common stock at a 20% discount from the fair market value of the common stock (the closing price of the common stock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on the date the Director fees would otherwise be paid. There are no matching contributions made by Martin Marietta. Dividend equivalents are paid on the units at the same rate as dividends are paid to all shareholders. The Directors do not have voting or investment power for their respective common stock units. Directors may also elect to defer their fees into a cash-based account on the same basis. Amounts deferred under the plan in cash are credited with interest at the prime rate as of January 1 of that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645795</wp:posOffset>
            </wp:positionV>
            <wp:extent cx="410845" cy="2482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ectPr>
          <w:pgSz w:w="11900" w:h="16838" w:orient="portrait"/>
          <w:cols w:equalWidth="0" w:num="2">
            <w:col w:w="5500" w:space="320"/>
            <w:col w:w="540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9" w:lineRule="exact"/>
        <w:rPr>
          <w:sz w:val="20"/>
          <w:szCs w:val="20"/>
          <w:color w:val="auto"/>
        </w:rPr>
      </w:pPr>
    </w:p>
    <w:p>
      <w:pPr>
        <w:ind w:left="7520"/>
        <w:spacing w:after="0" w:line="251" w:lineRule="exact"/>
        <w:tabs>
          <w:tab w:leader="none" w:pos="9000" w:val="left"/>
        </w:tabs>
        <w:rPr>
          <w:sz w:val="20"/>
          <w:szCs w:val="20"/>
          <w:color w:val="auto"/>
        </w:rPr>
      </w:pPr>
      <w:r>
        <w:rPr>
          <w:rFonts w:ascii="Arial" w:cs="Arial" w:eastAsia="Arial" w:hAnsi="Arial"/>
          <w:sz w:val="13"/>
          <w:szCs w:val="13"/>
          <w:color w:val="auto"/>
        </w:rPr>
        <w:t>Director Compensation</w:t>
      </w:r>
      <w:r>
        <w:rPr>
          <w:sz w:val="20"/>
          <w:szCs w:val="20"/>
          <w:color w:val="auto"/>
        </w:rPr>
        <w:tab/>
      </w:r>
      <w:r>
        <w:rPr>
          <w:rFonts w:ascii="MS PGothic" w:cs="MS PGothic" w:eastAsia="MS PGothic" w:hAnsi="MS PGothic"/>
          <w:sz w:val="25"/>
          <w:szCs w:val="25"/>
          <w:color w:val="007CBA"/>
        </w:rPr>
        <w:t xml:space="preserve">◆ </w:t>
      </w:r>
      <w:r>
        <w:rPr>
          <w:rFonts w:ascii="Arial" w:cs="Arial" w:eastAsia="Arial" w:hAnsi="Arial"/>
          <w:sz w:val="13"/>
          <w:szCs w:val="13"/>
          <w:color w:val="007CBA"/>
        </w:rPr>
        <w:t>Proposal 1: Election of Directors</w:t>
      </w:r>
    </w:p>
    <w:p>
      <w:pPr>
        <w:spacing w:after="0" w:line="200" w:lineRule="exact"/>
        <w:rPr>
          <w:sz w:val="20"/>
          <w:szCs w:val="20"/>
          <w:color w:val="auto"/>
        </w:rPr>
      </w:pPr>
    </w:p>
    <w:p>
      <w:pPr>
        <w:spacing w:after="0" w:line="24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Director Compensation Table</w:t>
      </w:r>
    </w:p>
    <w:p>
      <w:pPr>
        <w:spacing w:after="0" w:line="129" w:lineRule="exact"/>
        <w:rPr>
          <w:sz w:val="20"/>
          <w:szCs w:val="20"/>
          <w:color w:val="auto"/>
        </w:rPr>
      </w:pPr>
    </w:p>
    <w:p>
      <w:pPr>
        <w:ind w:left="220" w:right="20"/>
        <w:spacing w:after="0" w:line="260" w:lineRule="auto"/>
        <w:rPr>
          <w:sz w:val="20"/>
          <w:szCs w:val="20"/>
          <w:color w:val="auto"/>
        </w:rPr>
      </w:pPr>
      <w:r>
        <w:rPr>
          <w:rFonts w:ascii="Arial" w:cs="Arial" w:eastAsia="Arial" w:hAnsi="Arial"/>
          <w:sz w:val="16"/>
          <w:szCs w:val="16"/>
          <w:color w:val="auto"/>
        </w:rPr>
        <w:t>The table below summarizes the compensation paid by Martin Marietta to each person who served as a non-employee Director during the fiscal year ended December 31, 2018.</w:t>
      </w:r>
    </w:p>
    <w:p>
      <w:pPr>
        <w:spacing w:after="0" w:line="193" w:lineRule="exact"/>
        <w:rPr>
          <w:sz w:val="20"/>
          <w:szCs w:val="20"/>
          <w:color w:val="auto"/>
        </w:rPr>
      </w:pPr>
    </w:p>
    <w:tbl>
      <w:tblPr>
        <w:tblLayout w:type="fixed"/>
        <w:tblInd w:w="220" w:type="dxa"/>
        <w:tblCellMar>
          <w:top w:w="0" w:type="dxa"/>
          <w:left w:w="0" w:type="dxa"/>
          <w:bottom w:w="0" w:type="dxa"/>
          <w:right w:w="0" w:type="dxa"/>
        </w:tblCellMar>
      </w:tblPr>
      <w:tr>
        <w:trPr>
          <w:trHeight w:val="176"/>
        </w:trPr>
        <w:tc>
          <w:tcPr>
            <w:tcW w:w="4640" w:type="dxa"/>
            <w:vAlign w:val="bottom"/>
            <w:tcBorders>
              <w:right w:val="single" w:sz="8" w:color="007CBA"/>
            </w:tcBorders>
            <w:shd w:val="clear" w:color="auto" w:fill="007CBA"/>
          </w:tcPr>
          <w:p>
            <w:pPr>
              <w:spacing w:after="0"/>
              <w:rPr>
                <w:sz w:val="15"/>
                <w:szCs w:val="15"/>
                <w:color w:val="auto"/>
              </w:rPr>
            </w:pPr>
          </w:p>
        </w:tc>
        <w:tc>
          <w:tcPr>
            <w:tcW w:w="1160" w:type="dxa"/>
            <w:vAlign w:val="bottom"/>
            <w:tcBorders>
              <w:right w:val="single" w:sz="8" w:color="007CBA"/>
            </w:tcBorders>
            <w:shd w:val="clear" w:color="auto" w:fill="007CBA"/>
          </w:tcPr>
          <w:p>
            <w:pPr>
              <w:spacing w:after="0"/>
              <w:rPr>
                <w:sz w:val="15"/>
                <w:szCs w:val="15"/>
                <w:color w:val="auto"/>
              </w:rPr>
            </w:pPr>
          </w:p>
        </w:tc>
        <w:tc>
          <w:tcPr>
            <w:tcW w:w="1160" w:type="dxa"/>
            <w:vAlign w:val="bottom"/>
            <w:tcBorders>
              <w:right w:val="single" w:sz="8" w:color="007CBA"/>
            </w:tcBorders>
            <w:shd w:val="clear" w:color="auto" w:fill="007CBA"/>
          </w:tcPr>
          <w:p>
            <w:pPr>
              <w:spacing w:after="0"/>
              <w:rPr>
                <w:sz w:val="15"/>
                <w:szCs w:val="15"/>
                <w:color w:val="auto"/>
              </w:rPr>
            </w:pPr>
          </w:p>
        </w:tc>
        <w:tc>
          <w:tcPr>
            <w:tcW w:w="1580" w:type="dxa"/>
            <w:vAlign w:val="bottom"/>
            <w:tcBorders>
              <w:right w:val="single" w:sz="8" w:color="007CBA"/>
            </w:tcBorders>
            <w:shd w:val="clear" w:color="auto" w:fill="007CBA"/>
          </w:tcPr>
          <w:p>
            <w:pPr>
              <w:jc w:val="center"/>
              <w:ind w:left="189"/>
              <w:spacing w:after="0"/>
              <w:rPr>
                <w:sz w:val="20"/>
                <w:szCs w:val="20"/>
                <w:color w:val="auto"/>
              </w:rPr>
            </w:pPr>
            <w:r>
              <w:rPr>
                <w:rFonts w:ascii="Arial" w:cs="Arial" w:eastAsia="Arial" w:hAnsi="Arial"/>
                <w:sz w:val="14"/>
                <w:szCs w:val="14"/>
                <w:b w:val="1"/>
                <w:bCs w:val="1"/>
                <w:color w:val="FFFFFF"/>
              </w:rPr>
              <w:t>Change in Pension</w:t>
            </w:r>
          </w:p>
        </w:tc>
        <w:tc>
          <w:tcPr>
            <w:tcW w:w="1320" w:type="dxa"/>
            <w:vAlign w:val="bottom"/>
            <w:tcBorders>
              <w:right w:val="single" w:sz="8" w:color="007CBA"/>
            </w:tcBorders>
            <w:shd w:val="clear" w:color="auto" w:fill="007CBA"/>
          </w:tcPr>
          <w:p>
            <w:pPr>
              <w:spacing w:after="0"/>
              <w:rPr>
                <w:sz w:val="15"/>
                <w:szCs w:val="15"/>
                <w:color w:val="auto"/>
              </w:rPr>
            </w:pPr>
          </w:p>
        </w:tc>
        <w:tc>
          <w:tcPr>
            <w:tcW w:w="1140" w:type="dxa"/>
            <w:vAlign w:val="bottom"/>
            <w:shd w:val="clear" w:color="auto" w:fill="007CBA"/>
          </w:tcPr>
          <w:p>
            <w:pPr>
              <w:spacing w:after="0"/>
              <w:rPr>
                <w:sz w:val="15"/>
                <w:szCs w:val="15"/>
                <w:color w:val="auto"/>
              </w:rPr>
            </w:pPr>
          </w:p>
        </w:tc>
      </w:tr>
      <w:tr>
        <w:trPr>
          <w:trHeight w:val="162"/>
        </w:trPr>
        <w:tc>
          <w:tcPr>
            <w:tcW w:w="4640" w:type="dxa"/>
            <w:vAlign w:val="bottom"/>
            <w:tcBorders>
              <w:right w:val="single" w:sz="8" w:color="007CBA"/>
            </w:tcBorders>
            <w:shd w:val="clear" w:color="auto" w:fill="007CBA"/>
          </w:tcPr>
          <w:p>
            <w:pPr>
              <w:spacing w:after="0"/>
              <w:rPr>
                <w:sz w:val="14"/>
                <w:szCs w:val="14"/>
                <w:color w:val="auto"/>
              </w:rPr>
            </w:pPr>
          </w:p>
        </w:tc>
        <w:tc>
          <w:tcPr>
            <w:tcW w:w="1160" w:type="dxa"/>
            <w:vAlign w:val="bottom"/>
            <w:tcBorders>
              <w:right w:val="single" w:sz="8" w:color="007CBA"/>
            </w:tcBorders>
            <w:shd w:val="clear" w:color="auto" w:fill="007CBA"/>
          </w:tcPr>
          <w:p>
            <w:pPr>
              <w:spacing w:after="0"/>
              <w:rPr>
                <w:sz w:val="14"/>
                <w:szCs w:val="14"/>
                <w:color w:val="auto"/>
              </w:rPr>
            </w:pPr>
          </w:p>
        </w:tc>
        <w:tc>
          <w:tcPr>
            <w:tcW w:w="1160" w:type="dxa"/>
            <w:vAlign w:val="bottom"/>
            <w:tcBorders>
              <w:right w:val="single" w:sz="8" w:color="007CBA"/>
            </w:tcBorders>
            <w:shd w:val="clear" w:color="auto" w:fill="007CBA"/>
          </w:tcPr>
          <w:p>
            <w:pPr>
              <w:spacing w:after="0"/>
              <w:rPr>
                <w:sz w:val="14"/>
                <w:szCs w:val="14"/>
                <w:color w:val="auto"/>
              </w:rPr>
            </w:pPr>
          </w:p>
        </w:tc>
        <w:tc>
          <w:tcPr>
            <w:tcW w:w="1580" w:type="dxa"/>
            <w:vAlign w:val="bottom"/>
            <w:tcBorders>
              <w:right w:val="single" w:sz="8" w:color="007CBA"/>
            </w:tcBorders>
            <w:shd w:val="clear" w:color="auto" w:fill="007CBA"/>
          </w:tcPr>
          <w:p>
            <w:pPr>
              <w:jc w:val="center"/>
              <w:ind w:left="189"/>
              <w:spacing w:after="0"/>
              <w:rPr>
                <w:sz w:val="20"/>
                <w:szCs w:val="20"/>
                <w:color w:val="auto"/>
              </w:rPr>
            </w:pPr>
            <w:r>
              <w:rPr>
                <w:rFonts w:ascii="Arial" w:cs="Arial" w:eastAsia="Arial" w:hAnsi="Arial"/>
                <w:sz w:val="14"/>
                <w:szCs w:val="14"/>
                <w:b w:val="1"/>
                <w:bCs w:val="1"/>
                <w:color w:val="FFFFFF"/>
              </w:rPr>
              <w:t>Value and</w:t>
            </w:r>
          </w:p>
        </w:tc>
        <w:tc>
          <w:tcPr>
            <w:tcW w:w="1320" w:type="dxa"/>
            <w:vAlign w:val="bottom"/>
            <w:tcBorders>
              <w:right w:val="single" w:sz="8" w:color="007CBA"/>
            </w:tcBorders>
            <w:shd w:val="clear" w:color="auto" w:fill="007CBA"/>
          </w:tcPr>
          <w:p>
            <w:pPr>
              <w:spacing w:after="0"/>
              <w:rPr>
                <w:sz w:val="14"/>
                <w:szCs w:val="14"/>
                <w:color w:val="auto"/>
              </w:rPr>
            </w:pPr>
          </w:p>
        </w:tc>
        <w:tc>
          <w:tcPr>
            <w:tcW w:w="1140" w:type="dxa"/>
            <w:vAlign w:val="bottom"/>
            <w:shd w:val="clear" w:color="auto" w:fill="007CBA"/>
          </w:tcPr>
          <w:p>
            <w:pPr>
              <w:spacing w:after="0"/>
              <w:rPr>
                <w:sz w:val="14"/>
                <w:szCs w:val="14"/>
                <w:color w:val="auto"/>
              </w:rPr>
            </w:pPr>
          </w:p>
        </w:tc>
      </w:tr>
      <w:tr>
        <w:trPr>
          <w:trHeight w:val="162"/>
        </w:trPr>
        <w:tc>
          <w:tcPr>
            <w:tcW w:w="4640" w:type="dxa"/>
            <w:vAlign w:val="bottom"/>
            <w:tcBorders>
              <w:right w:val="single" w:sz="8" w:color="007CBA"/>
            </w:tcBorders>
            <w:shd w:val="clear" w:color="auto" w:fill="007CBA"/>
          </w:tcPr>
          <w:p>
            <w:pPr>
              <w:spacing w:after="0"/>
              <w:rPr>
                <w:sz w:val="14"/>
                <w:szCs w:val="14"/>
                <w:color w:val="auto"/>
              </w:rPr>
            </w:pPr>
          </w:p>
        </w:tc>
        <w:tc>
          <w:tcPr>
            <w:tcW w:w="1160" w:type="dxa"/>
            <w:vAlign w:val="bottom"/>
            <w:tcBorders>
              <w:right w:val="single" w:sz="8" w:color="007CBA"/>
            </w:tcBorders>
            <w:shd w:val="clear" w:color="auto" w:fill="007CBA"/>
          </w:tcPr>
          <w:p>
            <w:pPr>
              <w:spacing w:after="0"/>
              <w:rPr>
                <w:sz w:val="14"/>
                <w:szCs w:val="14"/>
                <w:color w:val="auto"/>
              </w:rPr>
            </w:pPr>
          </w:p>
        </w:tc>
        <w:tc>
          <w:tcPr>
            <w:tcW w:w="1160" w:type="dxa"/>
            <w:vAlign w:val="bottom"/>
            <w:tcBorders>
              <w:right w:val="single" w:sz="8" w:color="007CBA"/>
            </w:tcBorders>
            <w:shd w:val="clear" w:color="auto" w:fill="007CBA"/>
          </w:tcPr>
          <w:p>
            <w:pPr>
              <w:spacing w:after="0"/>
              <w:rPr>
                <w:sz w:val="14"/>
                <w:szCs w:val="14"/>
                <w:color w:val="auto"/>
              </w:rPr>
            </w:pPr>
          </w:p>
        </w:tc>
        <w:tc>
          <w:tcPr>
            <w:tcW w:w="1580" w:type="dxa"/>
            <w:vAlign w:val="bottom"/>
            <w:tcBorders>
              <w:right w:val="single" w:sz="8" w:color="007CBA"/>
            </w:tcBorders>
            <w:shd w:val="clear" w:color="auto" w:fill="007CBA"/>
          </w:tcPr>
          <w:p>
            <w:pPr>
              <w:jc w:val="center"/>
              <w:ind w:left="189"/>
              <w:spacing w:after="0"/>
              <w:rPr>
                <w:sz w:val="20"/>
                <w:szCs w:val="20"/>
                <w:color w:val="auto"/>
              </w:rPr>
            </w:pPr>
            <w:r>
              <w:rPr>
                <w:rFonts w:ascii="Arial" w:cs="Arial" w:eastAsia="Arial" w:hAnsi="Arial"/>
                <w:sz w:val="14"/>
                <w:szCs w:val="14"/>
                <w:b w:val="1"/>
                <w:bCs w:val="1"/>
                <w:color w:val="FFFFFF"/>
              </w:rPr>
              <w:t>Nonqualified</w:t>
            </w:r>
          </w:p>
        </w:tc>
        <w:tc>
          <w:tcPr>
            <w:tcW w:w="1320" w:type="dxa"/>
            <w:vAlign w:val="bottom"/>
            <w:tcBorders>
              <w:right w:val="single" w:sz="8" w:color="007CBA"/>
            </w:tcBorders>
            <w:shd w:val="clear" w:color="auto" w:fill="007CBA"/>
          </w:tcPr>
          <w:p>
            <w:pPr>
              <w:spacing w:after="0"/>
              <w:rPr>
                <w:sz w:val="14"/>
                <w:szCs w:val="14"/>
                <w:color w:val="auto"/>
              </w:rPr>
            </w:pPr>
          </w:p>
        </w:tc>
        <w:tc>
          <w:tcPr>
            <w:tcW w:w="1140" w:type="dxa"/>
            <w:vAlign w:val="bottom"/>
            <w:shd w:val="clear" w:color="auto" w:fill="007CBA"/>
          </w:tcPr>
          <w:p>
            <w:pPr>
              <w:spacing w:after="0"/>
              <w:rPr>
                <w:sz w:val="14"/>
                <w:szCs w:val="14"/>
                <w:color w:val="auto"/>
              </w:rPr>
            </w:pPr>
          </w:p>
        </w:tc>
      </w:tr>
      <w:tr>
        <w:trPr>
          <w:trHeight w:val="162"/>
        </w:trPr>
        <w:tc>
          <w:tcPr>
            <w:tcW w:w="4640" w:type="dxa"/>
            <w:vAlign w:val="bottom"/>
            <w:tcBorders>
              <w:right w:val="single" w:sz="8" w:color="007CBA"/>
            </w:tcBorders>
            <w:shd w:val="clear" w:color="auto" w:fill="007CBA"/>
          </w:tcPr>
          <w:p>
            <w:pPr>
              <w:spacing w:after="0"/>
              <w:rPr>
                <w:sz w:val="14"/>
                <w:szCs w:val="14"/>
                <w:color w:val="auto"/>
              </w:rPr>
            </w:pPr>
          </w:p>
        </w:tc>
        <w:tc>
          <w:tcPr>
            <w:tcW w:w="1160" w:type="dxa"/>
            <w:vAlign w:val="bottom"/>
            <w:tcBorders>
              <w:right w:val="single" w:sz="8" w:color="007CBA"/>
            </w:tcBorders>
            <w:shd w:val="clear" w:color="auto" w:fill="007CBA"/>
          </w:tcPr>
          <w:p>
            <w:pPr>
              <w:jc w:val="center"/>
              <w:ind w:left="169"/>
              <w:spacing w:after="0"/>
              <w:rPr>
                <w:sz w:val="20"/>
                <w:szCs w:val="20"/>
                <w:color w:val="auto"/>
              </w:rPr>
            </w:pPr>
            <w:r>
              <w:rPr>
                <w:rFonts w:ascii="Arial" w:cs="Arial" w:eastAsia="Arial" w:hAnsi="Arial"/>
                <w:sz w:val="14"/>
                <w:szCs w:val="14"/>
                <w:b w:val="1"/>
                <w:bCs w:val="1"/>
                <w:color w:val="FFFFFF"/>
              </w:rPr>
              <w:t>Fees</w:t>
            </w:r>
          </w:p>
        </w:tc>
        <w:tc>
          <w:tcPr>
            <w:tcW w:w="1160" w:type="dxa"/>
            <w:vAlign w:val="bottom"/>
            <w:tcBorders>
              <w:right w:val="single" w:sz="8" w:color="007CBA"/>
            </w:tcBorders>
            <w:shd w:val="clear" w:color="auto" w:fill="007CBA"/>
          </w:tcPr>
          <w:p>
            <w:pPr>
              <w:spacing w:after="0"/>
              <w:rPr>
                <w:sz w:val="14"/>
                <w:szCs w:val="14"/>
                <w:color w:val="auto"/>
              </w:rPr>
            </w:pPr>
          </w:p>
        </w:tc>
        <w:tc>
          <w:tcPr>
            <w:tcW w:w="1580" w:type="dxa"/>
            <w:vAlign w:val="bottom"/>
            <w:tcBorders>
              <w:right w:val="single" w:sz="8" w:color="007CBA"/>
            </w:tcBorders>
            <w:shd w:val="clear" w:color="auto" w:fill="007CBA"/>
          </w:tcPr>
          <w:p>
            <w:pPr>
              <w:jc w:val="center"/>
              <w:ind w:left="189"/>
              <w:spacing w:after="0"/>
              <w:rPr>
                <w:sz w:val="20"/>
                <w:szCs w:val="20"/>
                <w:color w:val="auto"/>
              </w:rPr>
            </w:pPr>
            <w:r>
              <w:rPr>
                <w:rFonts w:ascii="Arial" w:cs="Arial" w:eastAsia="Arial" w:hAnsi="Arial"/>
                <w:sz w:val="14"/>
                <w:szCs w:val="14"/>
                <w:b w:val="1"/>
                <w:bCs w:val="1"/>
                <w:color w:val="FFFFFF"/>
              </w:rPr>
              <w:t>Deferred</w:t>
            </w:r>
          </w:p>
        </w:tc>
        <w:tc>
          <w:tcPr>
            <w:tcW w:w="1320" w:type="dxa"/>
            <w:vAlign w:val="bottom"/>
            <w:tcBorders>
              <w:right w:val="single" w:sz="8" w:color="007CBA"/>
            </w:tcBorders>
            <w:shd w:val="clear" w:color="auto" w:fill="007CBA"/>
          </w:tcPr>
          <w:p>
            <w:pPr>
              <w:spacing w:after="0"/>
              <w:rPr>
                <w:sz w:val="14"/>
                <w:szCs w:val="14"/>
                <w:color w:val="auto"/>
              </w:rPr>
            </w:pPr>
          </w:p>
        </w:tc>
        <w:tc>
          <w:tcPr>
            <w:tcW w:w="1140" w:type="dxa"/>
            <w:vAlign w:val="bottom"/>
            <w:shd w:val="clear" w:color="auto" w:fill="007CBA"/>
          </w:tcPr>
          <w:p>
            <w:pPr>
              <w:spacing w:after="0"/>
              <w:rPr>
                <w:sz w:val="14"/>
                <w:szCs w:val="14"/>
                <w:color w:val="auto"/>
              </w:rPr>
            </w:pPr>
          </w:p>
        </w:tc>
      </w:tr>
      <w:tr>
        <w:trPr>
          <w:trHeight w:val="162"/>
        </w:trPr>
        <w:tc>
          <w:tcPr>
            <w:tcW w:w="4640" w:type="dxa"/>
            <w:vAlign w:val="bottom"/>
            <w:tcBorders>
              <w:right w:val="single" w:sz="8" w:color="007CBA"/>
            </w:tcBorders>
            <w:shd w:val="clear" w:color="auto" w:fill="007CBA"/>
          </w:tcPr>
          <w:p>
            <w:pPr>
              <w:spacing w:after="0"/>
              <w:rPr>
                <w:sz w:val="14"/>
                <w:szCs w:val="14"/>
                <w:color w:val="auto"/>
              </w:rPr>
            </w:pPr>
          </w:p>
        </w:tc>
        <w:tc>
          <w:tcPr>
            <w:tcW w:w="1160" w:type="dxa"/>
            <w:vAlign w:val="bottom"/>
            <w:tcBorders>
              <w:right w:val="single" w:sz="8" w:color="007CBA"/>
            </w:tcBorders>
            <w:shd w:val="clear" w:color="auto" w:fill="007CBA"/>
          </w:tcPr>
          <w:p>
            <w:pPr>
              <w:jc w:val="center"/>
              <w:ind w:left="189"/>
              <w:spacing w:after="0"/>
              <w:rPr>
                <w:sz w:val="20"/>
                <w:szCs w:val="20"/>
                <w:color w:val="auto"/>
              </w:rPr>
            </w:pPr>
            <w:r>
              <w:rPr>
                <w:rFonts w:ascii="Arial" w:cs="Arial" w:eastAsia="Arial" w:hAnsi="Arial"/>
                <w:sz w:val="14"/>
                <w:szCs w:val="14"/>
                <w:b w:val="1"/>
                <w:bCs w:val="1"/>
                <w:color w:val="FFFFFF"/>
              </w:rPr>
              <w:t>Earned or</w:t>
            </w:r>
          </w:p>
        </w:tc>
        <w:tc>
          <w:tcPr>
            <w:tcW w:w="11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Stock</w:t>
            </w:r>
          </w:p>
        </w:tc>
        <w:tc>
          <w:tcPr>
            <w:tcW w:w="1580" w:type="dxa"/>
            <w:vAlign w:val="bottom"/>
            <w:tcBorders>
              <w:right w:val="single" w:sz="8" w:color="007CBA"/>
            </w:tcBorders>
            <w:shd w:val="clear" w:color="auto" w:fill="007CBA"/>
          </w:tcPr>
          <w:p>
            <w:pPr>
              <w:jc w:val="center"/>
              <w:ind w:left="189"/>
              <w:spacing w:after="0"/>
              <w:rPr>
                <w:sz w:val="20"/>
                <w:szCs w:val="20"/>
                <w:color w:val="auto"/>
              </w:rPr>
            </w:pPr>
            <w:r>
              <w:rPr>
                <w:rFonts w:ascii="Arial" w:cs="Arial" w:eastAsia="Arial" w:hAnsi="Arial"/>
                <w:sz w:val="14"/>
                <w:szCs w:val="14"/>
                <w:b w:val="1"/>
                <w:bCs w:val="1"/>
                <w:color w:val="FFFFFF"/>
              </w:rPr>
              <w:t>Compensation</w:t>
            </w:r>
          </w:p>
        </w:tc>
        <w:tc>
          <w:tcPr>
            <w:tcW w:w="1320" w:type="dxa"/>
            <w:vAlign w:val="bottom"/>
            <w:tcBorders>
              <w:right w:val="single" w:sz="8" w:color="007CBA"/>
            </w:tcBorders>
            <w:shd w:val="clear" w:color="auto" w:fill="007CBA"/>
          </w:tcPr>
          <w:p>
            <w:pPr>
              <w:jc w:val="center"/>
              <w:ind w:left="189"/>
              <w:spacing w:after="0"/>
              <w:rPr>
                <w:sz w:val="20"/>
                <w:szCs w:val="20"/>
                <w:color w:val="auto"/>
              </w:rPr>
            </w:pPr>
            <w:r>
              <w:rPr>
                <w:rFonts w:ascii="Arial" w:cs="Arial" w:eastAsia="Arial" w:hAnsi="Arial"/>
                <w:sz w:val="14"/>
                <w:szCs w:val="14"/>
                <w:b w:val="1"/>
                <w:bCs w:val="1"/>
                <w:color w:val="FFFFFF"/>
              </w:rPr>
              <w:t>All Other</w:t>
            </w:r>
          </w:p>
        </w:tc>
        <w:tc>
          <w:tcPr>
            <w:tcW w:w="1140" w:type="dxa"/>
            <w:vAlign w:val="bottom"/>
            <w:shd w:val="clear" w:color="auto" w:fill="007CBA"/>
          </w:tcPr>
          <w:p>
            <w:pPr>
              <w:spacing w:after="0"/>
              <w:rPr>
                <w:sz w:val="14"/>
                <w:szCs w:val="14"/>
                <w:color w:val="auto"/>
              </w:rPr>
            </w:pPr>
          </w:p>
        </w:tc>
      </w:tr>
      <w:tr>
        <w:trPr>
          <w:trHeight w:val="158"/>
        </w:trPr>
        <w:tc>
          <w:tcPr>
            <w:tcW w:w="4640" w:type="dxa"/>
            <w:vAlign w:val="bottom"/>
            <w:tcBorders>
              <w:right w:val="single" w:sz="8" w:color="007CBA"/>
            </w:tcBorders>
            <w:shd w:val="clear" w:color="auto" w:fill="007CBA"/>
          </w:tcPr>
          <w:p>
            <w:pPr>
              <w:spacing w:after="0"/>
              <w:rPr>
                <w:sz w:val="13"/>
                <w:szCs w:val="13"/>
                <w:color w:val="auto"/>
              </w:rPr>
            </w:pPr>
          </w:p>
        </w:tc>
        <w:tc>
          <w:tcPr>
            <w:tcW w:w="1160" w:type="dxa"/>
            <w:vAlign w:val="bottom"/>
            <w:tcBorders>
              <w:right w:val="single" w:sz="8" w:color="007CBA"/>
            </w:tcBorders>
            <w:shd w:val="clear" w:color="auto" w:fill="007CBA"/>
          </w:tcPr>
          <w:p>
            <w:pPr>
              <w:jc w:val="center"/>
              <w:ind w:left="189"/>
              <w:spacing w:after="0" w:line="159" w:lineRule="exact"/>
              <w:rPr>
                <w:sz w:val="20"/>
                <w:szCs w:val="20"/>
                <w:color w:val="auto"/>
              </w:rPr>
            </w:pPr>
            <w:r>
              <w:rPr>
                <w:rFonts w:ascii="Arial" w:cs="Arial" w:eastAsia="Arial" w:hAnsi="Arial"/>
                <w:sz w:val="14"/>
                <w:szCs w:val="14"/>
                <w:b w:val="1"/>
                <w:bCs w:val="1"/>
                <w:color w:val="FFFFFF"/>
              </w:rPr>
              <w:t>Paid in Cash</w:t>
            </w:r>
          </w:p>
        </w:tc>
        <w:tc>
          <w:tcPr>
            <w:tcW w:w="1160" w:type="dxa"/>
            <w:vAlign w:val="bottom"/>
            <w:tcBorders>
              <w:right w:val="single" w:sz="8" w:color="007CBA"/>
            </w:tcBorders>
            <w:shd w:val="clear" w:color="auto" w:fill="007CBA"/>
          </w:tcPr>
          <w:p>
            <w:pPr>
              <w:jc w:val="center"/>
              <w:spacing w:after="0" w:line="159" w:lineRule="exact"/>
              <w:rPr>
                <w:sz w:val="20"/>
                <w:szCs w:val="20"/>
                <w:color w:val="auto"/>
              </w:rPr>
            </w:pPr>
            <w:r>
              <w:rPr>
                <w:rFonts w:ascii="Arial" w:cs="Arial" w:eastAsia="Arial" w:hAnsi="Arial"/>
                <w:sz w:val="14"/>
                <w:szCs w:val="14"/>
                <w:b w:val="1"/>
                <w:bCs w:val="1"/>
                <w:color w:val="FFFFFF"/>
              </w:rPr>
              <w:t>Awards</w:t>
            </w:r>
          </w:p>
        </w:tc>
        <w:tc>
          <w:tcPr>
            <w:tcW w:w="1580" w:type="dxa"/>
            <w:vAlign w:val="bottom"/>
            <w:tcBorders>
              <w:right w:val="single" w:sz="8" w:color="007CBA"/>
            </w:tcBorders>
            <w:shd w:val="clear" w:color="auto" w:fill="007CBA"/>
          </w:tcPr>
          <w:p>
            <w:pPr>
              <w:jc w:val="center"/>
              <w:ind w:left="189"/>
              <w:spacing w:after="0" w:line="159" w:lineRule="exact"/>
              <w:rPr>
                <w:sz w:val="20"/>
                <w:szCs w:val="20"/>
                <w:color w:val="auto"/>
              </w:rPr>
            </w:pPr>
            <w:r>
              <w:rPr>
                <w:rFonts w:ascii="Arial" w:cs="Arial" w:eastAsia="Arial" w:hAnsi="Arial"/>
                <w:sz w:val="14"/>
                <w:szCs w:val="14"/>
                <w:b w:val="1"/>
                <w:bCs w:val="1"/>
                <w:color w:val="FFFFFF"/>
              </w:rPr>
              <w:t>Earnings</w:t>
            </w:r>
          </w:p>
        </w:tc>
        <w:tc>
          <w:tcPr>
            <w:tcW w:w="1320" w:type="dxa"/>
            <w:vAlign w:val="bottom"/>
            <w:tcBorders>
              <w:right w:val="single" w:sz="8" w:color="007CBA"/>
            </w:tcBorders>
            <w:shd w:val="clear" w:color="auto" w:fill="007CBA"/>
          </w:tcPr>
          <w:p>
            <w:pPr>
              <w:jc w:val="center"/>
              <w:ind w:left="209"/>
              <w:spacing w:after="0" w:line="159" w:lineRule="exact"/>
              <w:rPr>
                <w:sz w:val="20"/>
                <w:szCs w:val="20"/>
                <w:color w:val="auto"/>
              </w:rPr>
            </w:pPr>
            <w:r>
              <w:rPr>
                <w:rFonts w:ascii="Arial" w:cs="Arial" w:eastAsia="Arial" w:hAnsi="Arial"/>
                <w:sz w:val="14"/>
                <w:szCs w:val="14"/>
                <w:b w:val="1"/>
                <w:bCs w:val="1"/>
                <w:color w:val="FFFFFF"/>
              </w:rPr>
              <w:t>Compensation</w:t>
            </w:r>
          </w:p>
        </w:tc>
        <w:tc>
          <w:tcPr>
            <w:tcW w:w="1140" w:type="dxa"/>
            <w:vAlign w:val="bottom"/>
            <w:shd w:val="clear" w:color="auto" w:fill="007CBA"/>
          </w:tcPr>
          <w:p>
            <w:pPr>
              <w:jc w:val="center"/>
              <w:spacing w:after="0" w:line="159" w:lineRule="exact"/>
              <w:rPr>
                <w:sz w:val="20"/>
                <w:szCs w:val="20"/>
                <w:color w:val="auto"/>
              </w:rPr>
            </w:pPr>
            <w:r>
              <w:rPr>
                <w:rFonts w:ascii="Arial" w:cs="Arial" w:eastAsia="Arial" w:hAnsi="Arial"/>
                <w:sz w:val="14"/>
                <w:szCs w:val="14"/>
                <w:b w:val="1"/>
                <w:bCs w:val="1"/>
                <w:color w:val="FFFFFF"/>
                <w:w w:val="95"/>
              </w:rPr>
              <w:t>Total</w:t>
            </w:r>
          </w:p>
        </w:tc>
      </w:tr>
      <w:tr>
        <w:trPr>
          <w:trHeight w:val="165"/>
        </w:trPr>
        <w:tc>
          <w:tcPr>
            <w:tcW w:w="4640" w:type="dxa"/>
            <w:vAlign w:val="bottom"/>
            <w:tcBorders>
              <w:right w:val="single" w:sz="8" w:color="007CBA"/>
            </w:tcBorders>
            <w:shd w:val="clear" w:color="auto" w:fill="007CBA"/>
          </w:tcPr>
          <w:p>
            <w:pPr>
              <w:ind w:left="60"/>
              <w:spacing w:after="0" w:line="165" w:lineRule="exact"/>
              <w:rPr>
                <w:sz w:val="20"/>
                <w:szCs w:val="20"/>
                <w:color w:val="auto"/>
              </w:rPr>
            </w:pPr>
            <w:r>
              <w:rPr>
                <w:rFonts w:ascii="Arial" w:cs="Arial" w:eastAsia="Arial" w:hAnsi="Arial"/>
                <w:sz w:val="12"/>
                <w:szCs w:val="12"/>
                <w:b w:val="1"/>
                <w:bCs w:val="1"/>
                <w:color w:val="FFFFFF"/>
              </w:rPr>
              <w:t>Name</w:t>
            </w:r>
            <w:r>
              <w:rPr>
                <w:rFonts w:ascii="Arial" w:cs="Arial" w:eastAsia="Arial" w:hAnsi="Arial"/>
                <w:sz w:val="19"/>
                <w:szCs w:val="19"/>
                <w:b w:val="1"/>
                <w:bCs w:val="1"/>
                <w:color w:val="FFFFFF"/>
                <w:vertAlign w:val="superscript"/>
              </w:rPr>
              <w:t>1</w:t>
            </w:r>
          </w:p>
        </w:tc>
        <w:tc>
          <w:tcPr>
            <w:tcW w:w="1160" w:type="dxa"/>
            <w:vAlign w:val="bottom"/>
            <w:tcBorders>
              <w:right w:val="single" w:sz="8" w:color="007CBA"/>
            </w:tcBorders>
            <w:shd w:val="clear" w:color="auto" w:fill="007CBA"/>
          </w:tcPr>
          <w:p>
            <w:pPr>
              <w:jc w:val="center"/>
              <w:ind w:left="209"/>
              <w:spacing w:after="0" w:line="165" w:lineRule="exact"/>
              <w:rPr>
                <w:sz w:val="20"/>
                <w:szCs w:val="20"/>
                <w:color w:val="auto"/>
              </w:rPr>
            </w:pPr>
            <w:r>
              <w:rPr>
                <w:rFonts w:ascii="Arial" w:cs="Arial" w:eastAsia="Arial" w:hAnsi="Arial"/>
                <w:sz w:val="12"/>
                <w:szCs w:val="12"/>
                <w:b w:val="1"/>
                <w:bCs w:val="1"/>
                <w:color w:val="FFFFFF"/>
              </w:rPr>
              <w:t>($)</w:t>
            </w:r>
            <w:r>
              <w:rPr>
                <w:rFonts w:ascii="Arial" w:cs="Arial" w:eastAsia="Arial" w:hAnsi="Arial"/>
                <w:sz w:val="19"/>
                <w:szCs w:val="19"/>
                <w:b w:val="1"/>
                <w:bCs w:val="1"/>
                <w:color w:val="FFFFFF"/>
                <w:vertAlign w:val="superscript"/>
              </w:rPr>
              <w:t>2</w:t>
            </w:r>
          </w:p>
        </w:tc>
        <w:tc>
          <w:tcPr>
            <w:tcW w:w="1160" w:type="dxa"/>
            <w:vAlign w:val="bottom"/>
            <w:tcBorders>
              <w:right w:val="single" w:sz="8" w:color="007CBA"/>
            </w:tcBorders>
            <w:shd w:val="clear" w:color="auto" w:fill="007CBA"/>
          </w:tcPr>
          <w:p>
            <w:pPr>
              <w:jc w:val="center"/>
              <w:spacing w:after="0" w:line="165" w:lineRule="exact"/>
              <w:rPr>
                <w:sz w:val="20"/>
                <w:szCs w:val="20"/>
                <w:color w:val="auto"/>
              </w:rPr>
            </w:pPr>
            <w:r>
              <w:rPr>
                <w:rFonts w:ascii="Arial" w:cs="Arial" w:eastAsia="Arial" w:hAnsi="Arial"/>
                <w:sz w:val="12"/>
                <w:szCs w:val="12"/>
                <w:b w:val="1"/>
                <w:bCs w:val="1"/>
                <w:color w:val="FFFFFF"/>
              </w:rPr>
              <w:t>($)</w:t>
            </w:r>
            <w:r>
              <w:rPr>
                <w:rFonts w:ascii="Arial" w:cs="Arial" w:eastAsia="Arial" w:hAnsi="Arial"/>
                <w:sz w:val="19"/>
                <w:szCs w:val="19"/>
                <w:b w:val="1"/>
                <w:bCs w:val="1"/>
                <w:color w:val="FFFFFF"/>
                <w:vertAlign w:val="superscript"/>
              </w:rPr>
              <w:t>3</w:t>
            </w:r>
          </w:p>
        </w:tc>
        <w:tc>
          <w:tcPr>
            <w:tcW w:w="1580" w:type="dxa"/>
            <w:vAlign w:val="bottom"/>
            <w:tcBorders>
              <w:right w:val="single" w:sz="8" w:color="007CBA"/>
            </w:tcBorders>
            <w:shd w:val="clear" w:color="auto" w:fill="007CBA"/>
          </w:tcPr>
          <w:p>
            <w:pPr>
              <w:jc w:val="right"/>
              <w:ind w:right="449"/>
              <w:spacing w:after="0" w:line="165" w:lineRule="exact"/>
              <w:rPr>
                <w:sz w:val="20"/>
                <w:szCs w:val="20"/>
                <w:color w:val="auto"/>
              </w:rPr>
            </w:pPr>
            <w:r>
              <w:rPr>
                <w:rFonts w:ascii="Arial" w:cs="Arial" w:eastAsia="Arial" w:hAnsi="Arial"/>
                <w:sz w:val="12"/>
                <w:szCs w:val="12"/>
                <w:b w:val="1"/>
                <w:bCs w:val="1"/>
                <w:color w:val="FFFFFF"/>
              </w:rPr>
              <w:t>($)</w:t>
            </w:r>
            <w:r>
              <w:rPr>
                <w:rFonts w:ascii="Arial" w:cs="Arial" w:eastAsia="Arial" w:hAnsi="Arial"/>
                <w:sz w:val="19"/>
                <w:szCs w:val="19"/>
                <w:b w:val="1"/>
                <w:bCs w:val="1"/>
                <w:color w:val="FFFFFF"/>
                <w:vertAlign w:val="superscript"/>
              </w:rPr>
              <w:t>4</w:t>
            </w:r>
          </w:p>
        </w:tc>
        <w:tc>
          <w:tcPr>
            <w:tcW w:w="1320" w:type="dxa"/>
            <w:vAlign w:val="bottom"/>
            <w:tcBorders>
              <w:right w:val="single" w:sz="8" w:color="007CBA"/>
            </w:tcBorders>
            <w:shd w:val="clear" w:color="auto" w:fill="007CBA"/>
          </w:tcPr>
          <w:p>
            <w:pPr>
              <w:jc w:val="center"/>
              <w:ind w:left="209"/>
              <w:spacing w:after="0" w:line="165" w:lineRule="exact"/>
              <w:rPr>
                <w:sz w:val="20"/>
                <w:szCs w:val="20"/>
                <w:color w:val="auto"/>
              </w:rPr>
            </w:pPr>
            <w:r>
              <w:rPr>
                <w:rFonts w:ascii="Arial" w:cs="Arial" w:eastAsia="Arial" w:hAnsi="Arial"/>
                <w:sz w:val="12"/>
                <w:szCs w:val="12"/>
                <w:b w:val="1"/>
                <w:bCs w:val="1"/>
                <w:color w:val="FFFFFF"/>
              </w:rPr>
              <w:t>($)</w:t>
            </w:r>
            <w:r>
              <w:rPr>
                <w:rFonts w:ascii="Arial" w:cs="Arial" w:eastAsia="Arial" w:hAnsi="Arial"/>
                <w:sz w:val="19"/>
                <w:szCs w:val="19"/>
                <w:b w:val="1"/>
                <w:bCs w:val="1"/>
                <w:color w:val="FFFFFF"/>
                <w:vertAlign w:val="superscript"/>
              </w:rPr>
              <w:t>5</w:t>
            </w:r>
          </w:p>
        </w:tc>
        <w:tc>
          <w:tcPr>
            <w:tcW w:w="114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r>
      <w:tr>
        <w:trPr>
          <w:trHeight w:val="189"/>
        </w:trPr>
        <w:tc>
          <w:tcPr>
            <w:tcW w:w="464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4"/>
                <w:szCs w:val="14"/>
                <w:b w:val="1"/>
                <w:bCs w:val="1"/>
                <w:color w:val="FFFFFF"/>
              </w:rPr>
              <w:t>(a)</w:t>
            </w:r>
          </w:p>
        </w:tc>
        <w:tc>
          <w:tcPr>
            <w:tcW w:w="1160" w:type="dxa"/>
            <w:vAlign w:val="bottom"/>
            <w:tcBorders>
              <w:right w:val="single" w:sz="8" w:color="007CBA"/>
            </w:tcBorders>
            <w:shd w:val="clear" w:color="auto" w:fill="007CBA"/>
          </w:tcPr>
          <w:p>
            <w:pPr>
              <w:jc w:val="center"/>
              <w:ind w:left="189"/>
              <w:spacing w:after="0"/>
              <w:rPr>
                <w:sz w:val="20"/>
                <w:szCs w:val="20"/>
                <w:color w:val="auto"/>
              </w:rPr>
            </w:pPr>
            <w:r>
              <w:rPr>
                <w:rFonts w:ascii="Arial" w:cs="Arial" w:eastAsia="Arial" w:hAnsi="Arial"/>
                <w:sz w:val="14"/>
                <w:szCs w:val="14"/>
                <w:b w:val="1"/>
                <w:bCs w:val="1"/>
                <w:color w:val="FFFFFF"/>
              </w:rPr>
              <w:t>(b)</w:t>
            </w:r>
          </w:p>
        </w:tc>
        <w:tc>
          <w:tcPr>
            <w:tcW w:w="11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(c)</w:t>
            </w:r>
          </w:p>
        </w:tc>
        <w:tc>
          <w:tcPr>
            <w:tcW w:w="1580" w:type="dxa"/>
            <w:vAlign w:val="bottom"/>
            <w:tcBorders>
              <w:right w:val="single" w:sz="8" w:color="007CBA"/>
            </w:tcBorders>
            <w:shd w:val="clear" w:color="auto" w:fill="007CBA"/>
          </w:tcPr>
          <w:p>
            <w:pPr>
              <w:jc w:val="center"/>
              <w:ind w:left="189"/>
              <w:spacing w:after="0"/>
              <w:rPr>
                <w:sz w:val="20"/>
                <w:szCs w:val="20"/>
                <w:color w:val="auto"/>
              </w:rPr>
            </w:pPr>
            <w:r>
              <w:rPr>
                <w:rFonts w:ascii="Arial" w:cs="Arial" w:eastAsia="Arial" w:hAnsi="Arial"/>
                <w:sz w:val="14"/>
                <w:szCs w:val="14"/>
                <w:b w:val="1"/>
                <w:bCs w:val="1"/>
                <w:color w:val="FFFFFF"/>
              </w:rPr>
              <w:t>(f)</w:t>
            </w:r>
          </w:p>
        </w:tc>
        <w:tc>
          <w:tcPr>
            <w:tcW w:w="1320" w:type="dxa"/>
            <w:vAlign w:val="bottom"/>
            <w:tcBorders>
              <w:right w:val="single" w:sz="8" w:color="007CBA"/>
            </w:tcBorders>
            <w:shd w:val="clear" w:color="auto" w:fill="007CBA"/>
          </w:tcPr>
          <w:p>
            <w:pPr>
              <w:jc w:val="center"/>
              <w:ind w:left="189"/>
              <w:spacing w:after="0"/>
              <w:rPr>
                <w:sz w:val="20"/>
                <w:szCs w:val="20"/>
                <w:color w:val="auto"/>
              </w:rPr>
            </w:pPr>
            <w:r>
              <w:rPr>
                <w:rFonts w:ascii="Arial" w:cs="Arial" w:eastAsia="Arial" w:hAnsi="Arial"/>
                <w:sz w:val="14"/>
                <w:szCs w:val="14"/>
                <w:b w:val="1"/>
                <w:bCs w:val="1"/>
                <w:color w:val="FFFFFF"/>
              </w:rPr>
              <w:t>(g)</w:t>
            </w:r>
          </w:p>
        </w:tc>
        <w:tc>
          <w:tcPr>
            <w:tcW w:w="114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(h)</w:t>
            </w:r>
          </w:p>
        </w:tc>
      </w:tr>
      <w:tr>
        <w:trPr>
          <w:trHeight w:val="229"/>
        </w:trPr>
        <w:tc>
          <w:tcPr>
            <w:tcW w:w="464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Dorothy M. Ables</w:t>
            </w:r>
          </w:p>
        </w:tc>
        <w:tc>
          <w:tcPr>
            <w:tcW w:w="116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31,250</w:t>
            </w:r>
          </w:p>
        </w:tc>
        <w:tc>
          <w:tcPr>
            <w:tcW w:w="11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130,073</w:t>
            </w:r>
          </w:p>
        </w:tc>
        <w:tc>
          <w:tcPr>
            <w:tcW w:w="1580" w:type="dxa"/>
            <w:vAlign w:val="bottom"/>
            <w:tcBorders>
              <w:right w:val="single" w:sz="8" w:color="007CBA"/>
            </w:tcBorders>
            <w:shd w:val="clear" w:color="auto" w:fill="E5F1F8"/>
          </w:tcPr>
          <w:p>
            <w:pPr>
              <w:jc w:val="right"/>
              <w:ind w:right="369"/>
              <w:spacing w:after="0"/>
              <w:rPr>
                <w:sz w:val="20"/>
                <w:szCs w:val="20"/>
                <w:color w:val="auto"/>
              </w:rPr>
            </w:pPr>
            <w:r>
              <w:rPr>
                <w:rFonts w:ascii="Arial" w:cs="Arial" w:eastAsia="Arial" w:hAnsi="Arial"/>
                <w:sz w:val="14"/>
                <w:szCs w:val="14"/>
                <w:color w:val="auto"/>
              </w:rPr>
              <w:t>0</w:t>
            </w:r>
          </w:p>
        </w:tc>
        <w:tc>
          <w:tcPr>
            <w:tcW w:w="1320" w:type="dxa"/>
            <w:vAlign w:val="bottom"/>
            <w:tcBorders>
              <w:right w:val="single" w:sz="8" w:color="007CBA"/>
            </w:tcBorders>
            <w:shd w:val="clear" w:color="auto" w:fill="E5F1F8"/>
          </w:tcPr>
          <w:p>
            <w:pPr>
              <w:jc w:val="right"/>
              <w:ind w:right="229"/>
              <w:spacing w:after="0"/>
              <w:rPr>
                <w:sz w:val="20"/>
                <w:szCs w:val="20"/>
                <w:color w:val="auto"/>
              </w:rPr>
            </w:pPr>
            <w:r>
              <w:rPr>
                <w:rFonts w:ascii="Arial" w:cs="Arial" w:eastAsia="Arial" w:hAnsi="Arial"/>
                <w:sz w:val="14"/>
                <w:szCs w:val="14"/>
                <w:color w:val="auto"/>
              </w:rPr>
              <w:t>357</w:t>
            </w:r>
          </w:p>
        </w:tc>
        <w:tc>
          <w:tcPr>
            <w:tcW w:w="114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161,680</w:t>
            </w:r>
          </w:p>
        </w:tc>
      </w:tr>
      <w:tr>
        <w:trPr>
          <w:trHeight w:val="223"/>
        </w:trPr>
        <w:tc>
          <w:tcPr>
            <w:tcW w:w="464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Sue W. Cole</w:t>
            </w:r>
          </w:p>
        </w:tc>
        <w:tc>
          <w:tcPr>
            <w:tcW w:w="116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128,250</w:t>
            </w:r>
          </w:p>
        </w:tc>
        <w:tc>
          <w:tcPr>
            <w:tcW w:w="11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130,027</w:t>
            </w:r>
          </w:p>
        </w:tc>
        <w:tc>
          <w:tcPr>
            <w:tcW w:w="1580" w:type="dxa"/>
            <w:vAlign w:val="bottom"/>
            <w:tcBorders>
              <w:right w:val="single" w:sz="8" w:color="007CBA"/>
            </w:tcBorders>
          </w:tcPr>
          <w:p>
            <w:pPr>
              <w:jc w:val="right"/>
              <w:ind w:right="369"/>
              <w:spacing w:after="0"/>
              <w:rPr>
                <w:sz w:val="20"/>
                <w:szCs w:val="20"/>
                <w:color w:val="auto"/>
              </w:rPr>
            </w:pPr>
            <w:r>
              <w:rPr>
                <w:rFonts w:ascii="Arial" w:cs="Arial" w:eastAsia="Arial" w:hAnsi="Arial"/>
                <w:sz w:val="14"/>
                <w:szCs w:val="14"/>
                <w:color w:val="auto"/>
              </w:rPr>
              <w:t>17,666</w:t>
            </w:r>
          </w:p>
        </w:tc>
        <w:tc>
          <w:tcPr>
            <w:tcW w:w="1320" w:type="dxa"/>
            <w:vAlign w:val="bottom"/>
            <w:tcBorders>
              <w:right w:val="single" w:sz="8" w:color="007CBA"/>
            </w:tcBorders>
          </w:tcPr>
          <w:p>
            <w:pPr>
              <w:jc w:val="right"/>
              <w:ind w:right="229"/>
              <w:spacing w:after="0"/>
              <w:rPr>
                <w:sz w:val="20"/>
                <w:szCs w:val="20"/>
                <w:color w:val="auto"/>
              </w:rPr>
            </w:pPr>
            <w:r>
              <w:rPr>
                <w:rFonts w:ascii="Arial" w:cs="Arial" w:eastAsia="Arial" w:hAnsi="Arial"/>
                <w:sz w:val="14"/>
                <w:szCs w:val="14"/>
                <w:color w:val="auto"/>
              </w:rPr>
              <w:t>52,922</w:t>
            </w:r>
          </w:p>
        </w:tc>
        <w:tc>
          <w:tcPr>
            <w:tcW w:w="1140" w:type="dxa"/>
            <w:vAlign w:val="bottom"/>
          </w:tcPr>
          <w:p>
            <w:pPr>
              <w:jc w:val="center"/>
              <w:spacing w:after="0"/>
              <w:rPr>
                <w:sz w:val="20"/>
                <w:szCs w:val="20"/>
                <w:color w:val="auto"/>
              </w:rPr>
            </w:pPr>
            <w:r>
              <w:rPr>
                <w:rFonts w:ascii="Arial" w:cs="Arial" w:eastAsia="Arial" w:hAnsi="Arial"/>
                <w:sz w:val="14"/>
                <w:szCs w:val="14"/>
                <w:color w:val="auto"/>
              </w:rPr>
              <w:t>328,935</w:t>
            </w:r>
          </w:p>
        </w:tc>
      </w:tr>
      <w:tr>
        <w:trPr>
          <w:trHeight w:val="235"/>
        </w:trPr>
        <w:tc>
          <w:tcPr>
            <w:tcW w:w="464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Smith W. Davis</w:t>
            </w:r>
          </w:p>
        </w:tc>
        <w:tc>
          <w:tcPr>
            <w:tcW w:w="116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93,750</w:t>
            </w:r>
          </w:p>
        </w:tc>
        <w:tc>
          <w:tcPr>
            <w:tcW w:w="11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130,027</w:t>
            </w:r>
          </w:p>
        </w:tc>
        <w:tc>
          <w:tcPr>
            <w:tcW w:w="1580" w:type="dxa"/>
            <w:vAlign w:val="bottom"/>
            <w:tcBorders>
              <w:right w:val="single" w:sz="8" w:color="007CBA"/>
            </w:tcBorders>
            <w:shd w:val="clear" w:color="auto" w:fill="E5F1F8"/>
          </w:tcPr>
          <w:p>
            <w:pPr>
              <w:jc w:val="right"/>
              <w:ind w:right="369"/>
              <w:spacing w:after="0"/>
              <w:rPr>
                <w:sz w:val="20"/>
                <w:szCs w:val="20"/>
                <w:color w:val="auto"/>
              </w:rPr>
            </w:pPr>
            <w:r>
              <w:rPr>
                <w:rFonts w:ascii="Arial" w:cs="Arial" w:eastAsia="Arial" w:hAnsi="Arial"/>
                <w:sz w:val="14"/>
                <w:szCs w:val="14"/>
                <w:color w:val="auto"/>
              </w:rPr>
              <w:t>13</w:t>
            </w:r>
          </w:p>
        </w:tc>
        <w:tc>
          <w:tcPr>
            <w:tcW w:w="1320" w:type="dxa"/>
            <w:vAlign w:val="bottom"/>
            <w:tcBorders>
              <w:right w:val="single" w:sz="8" w:color="007CBA"/>
            </w:tcBorders>
            <w:shd w:val="clear" w:color="auto" w:fill="E5F1F8"/>
          </w:tcPr>
          <w:p>
            <w:pPr>
              <w:jc w:val="right"/>
              <w:ind w:right="229"/>
              <w:spacing w:after="0"/>
              <w:rPr>
                <w:sz w:val="20"/>
                <w:szCs w:val="20"/>
                <w:color w:val="auto"/>
              </w:rPr>
            </w:pPr>
            <w:r>
              <w:rPr>
                <w:rFonts w:ascii="Arial" w:cs="Arial" w:eastAsia="Arial" w:hAnsi="Arial"/>
                <w:sz w:val="14"/>
                <w:szCs w:val="14"/>
                <w:color w:val="auto"/>
              </w:rPr>
              <w:t>1,280</w:t>
            </w:r>
          </w:p>
        </w:tc>
        <w:tc>
          <w:tcPr>
            <w:tcW w:w="114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225,070</w:t>
            </w:r>
          </w:p>
        </w:tc>
      </w:tr>
      <w:tr>
        <w:trPr>
          <w:trHeight w:val="223"/>
        </w:trPr>
        <w:tc>
          <w:tcPr>
            <w:tcW w:w="464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John J. Koraleski</w:t>
            </w:r>
          </w:p>
        </w:tc>
        <w:tc>
          <w:tcPr>
            <w:tcW w:w="116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120,000</w:t>
            </w:r>
          </w:p>
        </w:tc>
        <w:tc>
          <w:tcPr>
            <w:tcW w:w="11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130,027</w:t>
            </w:r>
          </w:p>
        </w:tc>
        <w:tc>
          <w:tcPr>
            <w:tcW w:w="1580" w:type="dxa"/>
            <w:vAlign w:val="bottom"/>
            <w:tcBorders>
              <w:right w:val="single" w:sz="8" w:color="007CBA"/>
            </w:tcBorders>
          </w:tcPr>
          <w:p>
            <w:pPr>
              <w:jc w:val="right"/>
              <w:ind w:right="369"/>
              <w:spacing w:after="0"/>
              <w:rPr>
                <w:sz w:val="20"/>
                <w:szCs w:val="20"/>
                <w:color w:val="auto"/>
              </w:rPr>
            </w:pPr>
            <w:r>
              <w:rPr>
                <w:rFonts w:ascii="Arial" w:cs="Arial" w:eastAsia="Arial" w:hAnsi="Arial"/>
                <w:sz w:val="14"/>
                <w:szCs w:val="14"/>
                <w:color w:val="auto"/>
              </w:rPr>
              <w:t>133</w:t>
            </w:r>
          </w:p>
        </w:tc>
        <w:tc>
          <w:tcPr>
            <w:tcW w:w="1320" w:type="dxa"/>
            <w:vAlign w:val="bottom"/>
            <w:tcBorders>
              <w:right w:val="single" w:sz="8" w:color="007CBA"/>
            </w:tcBorders>
          </w:tcPr>
          <w:p>
            <w:pPr>
              <w:jc w:val="right"/>
              <w:ind w:right="229"/>
              <w:spacing w:after="0"/>
              <w:rPr>
                <w:sz w:val="20"/>
                <w:szCs w:val="20"/>
                <w:color w:val="auto"/>
              </w:rPr>
            </w:pPr>
            <w:r>
              <w:rPr>
                <w:rFonts w:ascii="Arial" w:cs="Arial" w:eastAsia="Arial" w:hAnsi="Arial"/>
                <w:sz w:val="14"/>
                <w:szCs w:val="14"/>
                <w:color w:val="auto"/>
              </w:rPr>
              <w:t>9,887</w:t>
            </w:r>
          </w:p>
        </w:tc>
        <w:tc>
          <w:tcPr>
            <w:tcW w:w="1140" w:type="dxa"/>
            <w:vAlign w:val="bottom"/>
          </w:tcPr>
          <w:p>
            <w:pPr>
              <w:jc w:val="center"/>
              <w:spacing w:after="0"/>
              <w:rPr>
                <w:sz w:val="20"/>
                <w:szCs w:val="20"/>
                <w:color w:val="auto"/>
              </w:rPr>
            </w:pPr>
            <w:r>
              <w:rPr>
                <w:rFonts w:ascii="Arial" w:cs="Arial" w:eastAsia="Arial" w:hAnsi="Arial"/>
                <w:sz w:val="14"/>
                <w:szCs w:val="14"/>
                <w:color w:val="auto"/>
              </w:rPr>
              <w:t>260,047</w:t>
            </w:r>
          </w:p>
        </w:tc>
      </w:tr>
      <w:tr>
        <w:trPr>
          <w:trHeight w:val="235"/>
        </w:trPr>
        <w:tc>
          <w:tcPr>
            <w:tcW w:w="4640" w:type="dxa"/>
            <w:vAlign w:val="bottom"/>
            <w:tcBorders>
              <w:right w:val="single" w:sz="8" w:color="007CBA"/>
            </w:tcBorders>
            <w:shd w:val="clear" w:color="auto" w:fill="E5F1F8"/>
          </w:tcPr>
          <w:p>
            <w:pPr>
              <w:ind w:left="60"/>
              <w:spacing w:after="0" w:line="235" w:lineRule="exact"/>
              <w:rPr>
                <w:sz w:val="20"/>
                <w:szCs w:val="20"/>
                <w:color w:val="auto"/>
              </w:rPr>
            </w:pPr>
            <w:r>
              <w:rPr>
                <w:rFonts w:ascii="Arial" w:cs="Arial" w:eastAsia="Arial" w:hAnsi="Arial"/>
                <w:sz w:val="14"/>
                <w:szCs w:val="14"/>
                <w:color w:val="auto"/>
              </w:rPr>
              <w:t>David G. Maffucci</w:t>
            </w:r>
            <w:r>
              <w:rPr>
                <w:rFonts w:ascii="Arial" w:cs="Arial" w:eastAsia="Arial" w:hAnsi="Arial"/>
                <w:sz w:val="24"/>
                <w:szCs w:val="24"/>
                <w:color w:val="auto"/>
                <w:vertAlign w:val="superscript"/>
              </w:rPr>
              <w:t>6</w:t>
            </w:r>
          </w:p>
        </w:tc>
        <w:tc>
          <w:tcPr>
            <w:tcW w:w="116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60,000</w:t>
            </w:r>
          </w:p>
        </w:tc>
        <w:tc>
          <w:tcPr>
            <w:tcW w:w="11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130,027</w:t>
            </w:r>
          </w:p>
        </w:tc>
        <w:tc>
          <w:tcPr>
            <w:tcW w:w="1580" w:type="dxa"/>
            <w:vAlign w:val="bottom"/>
            <w:tcBorders>
              <w:right w:val="single" w:sz="8" w:color="007CBA"/>
            </w:tcBorders>
            <w:shd w:val="clear" w:color="auto" w:fill="E5F1F8"/>
          </w:tcPr>
          <w:p>
            <w:pPr>
              <w:jc w:val="right"/>
              <w:ind w:right="369"/>
              <w:spacing w:after="0"/>
              <w:rPr>
                <w:sz w:val="20"/>
                <w:szCs w:val="20"/>
                <w:color w:val="auto"/>
              </w:rPr>
            </w:pPr>
            <w:r>
              <w:rPr>
                <w:rFonts w:ascii="Arial" w:cs="Arial" w:eastAsia="Arial" w:hAnsi="Arial"/>
                <w:sz w:val="14"/>
                <w:szCs w:val="14"/>
                <w:color w:val="auto"/>
              </w:rPr>
              <w:t>4,600</w:t>
            </w:r>
          </w:p>
        </w:tc>
        <w:tc>
          <w:tcPr>
            <w:tcW w:w="1320" w:type="dxa"/>
            <w:vAlign w:val="bottom"/>
            <w:tcBorders>
              <w:right w:val="single" w:sz="8" w:color="007CBA"/>
            </w:tcBorders>
            <w:shd w:val="clear" w:color="auto" w:fill="E5F1F8"/>
          </w:tcPr>
          <w:p>
            <w:pPr>
              <w:jc w:val="right"/>
              <w:ind w:right="229"/>
              <w:spacing w:after="0"/>
              <w:rPr>
                <w:sz w:val="20"/>
                <w:szCs w:val="20"/>
                <w:color w:val="auto"/>
              </w:rPr>
            </w:pPr>
            <w:r>
              <w:rPr>
                <w:rFonts w:ascii="Arial" w:cs="Arial" w:eastAsia="Arial" w:hAnsi="Arial"/>
                <w:sz w:val="14"/>
                <w:szCs w:val="14"/>
                <w:color w:val="auto"/>
              </w:rPr>
              <w:t>17,075</w:t>
            </w:r>
          </w:p>
        </w:tc>
        <w:tc>
          <w:tcPr>
            <w:tcW w:w="114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211,702</w:t>
            </w:r>
          </w:p>
        </w:tc>
      </w:tr>
      <w:tr>
        <w:trPr>
          <w:trHeight w:val="223"/>
        </w:trPr>
        <w:tc>
          <w:tcPr>
            <w:tcW w:w="464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Laree E. Perez</w:t>
            </w:r>
          </w:p>
        </w:tc>
        <w:tc>
          <w:tcPr>
            <w:tcW w:w="116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137,000</w:t>
            </w:r>
          </w:p>
        </w:tc>
        <w:tc>
          <w:tcPr>
            <w:tcW w:w="11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130,027</w:t>
            </w:r>
          </w:p>
        </w:tc>
        <w:tc>
          <w:tcPr>
            <w:tcW w:w="1580" w:type="dxa"/>
            <w:vAlign w:val="bottom"/>
            <w:tcBorders>
              <w:right w:val="single" w:sz="8" w:color="007CBA"/>
            </w:tcBorders>
          </w:tcPr>
          <w:p>
            <w:pPr>
              <w:jc w:val="right"/>
              <w:ind w:right="369"/>
              <w:spacing w:after="0"/>
              <w:rPr>
                <w:sz w:val="20"/>
                <w:szCs w:val="20"/>
                <w:color w:val="auto"/>
              </w:rPr>
            </w:pPr>
            <w:r>
              <w:rPr>
                <w:rFonts w:ascii="Arial" w:cs="Arial" w:eastAsia="Arial" w:hAnsi="Arial"/>
                <w:sz w:val="14"/>
                <w:szCs w:val="14"/>
                <w:color w:val="auto"/>
              </w:rPr>
              <w:t>8,287</w:t>
            </w:r>
          </w:p>
        </w:tc>
        <w:tc>
          <w:tcPr>
            <w:tcW w:w="1320" w:type="dxa"/>
            <w:vAlign w:val="bottom"/>
            <w:tcBorders>
              <w:right w:val="single" w:sz="8" w:color="007CBA"/>
            </w:tcBorders>
          </w:tcPr>
          <w:p>
            <w:pPr>
              <w:jc w:val="right"/>
              <w:ind w:right="229"/>
              <w:spacing w:after="0"/>
              <w:rPr>
                <w:sz w:val="20"/>
                <w:szCs w:val="20"/>
                <w:color w:val="auto"/>
              </w:rPr>
            </w:pPr>
            <w:r>
              <w:rPr>
                <w:rFonts w:ascii="Arial" w:cs="Arial" w:eastAsia="Arial" w:hAnsi="Arial"/>
                <w:sz w:val="14"/>
                <w:szCs w:val="14"/>
                <w:color w:val="auto"/>
              </w:rPr>
              <w:t>26,381</w:t>
            </w:r>
          </w:p>
        </w:tc>
        <w:tc>
          <w:tcPr>
            <w:tcW w:w="1140" w:type="dxa"/>
            <w:vAlign w:val="bottom"/>
          </w:tcPr>
          <w:p>
            <w:pPr>
              <w:jc w:val="right"/>
              <w:ind w:right="228"/>
              <w:spacing w:after="0"/>
              <w:rPr>
                <w:sz w:val="20"/>
                <w:szCs w:val="20"/>
                <w:color w:val="auto"/>
              </w:rPr>
            </w:pPr>
            <w:r>
              <w:rPr>
                <w:rFonts w:ascii="Arial" w:cs="Arial" w:eastAsia="Arial" w:hAnsi="Arial"/>
                <w:sz w:val="14"/>
                <w:szCs w:val="14"/>
                <w:color w:val="auto"/>
              </w:rPr>
              <w:t>301,695</w:t>
            </w:r>
          </w:p>
        </w:tc>
      </w:tr>
      <w:tr>
        <w:trPr>
          <w:trHeight w:val="235"/>
        </w:trPr>
        <w:tc>
          <w:tcPr>
            <w:tcW w:w="464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Michael J. Quillen</w:t>
            </w:r>
          </w:p>
        </w:tc>
        <w:tc>
          <w:tcPr>
            <w:tcW w:w="116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158,625</w:t>
            </w:r>
          </w:p>
        </w:tc>
        <w:tc>
          <w:tcPr>
            <w:tcW w:w="11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130,027</w:t>
            </w:r>
          </w:p>
        </w:tc>
        <w:tc>
          <w:tcPr>
            <w:tcW w:w="1580" w:type="dxa"/>
            <w:vAlign w:val="bottom"/>
            <w:tcBorders>
              <w:right w:val="single" w:sz="8" w:color="007CBA"/>
            </w:tcBorders>
            <w:shd w:val="clear" w:color="auto" w:fill="E5F1F8"/>
          </w:tcPr>
          <w:p>
            <w:pPr>
              <w:jc w:val="right"/>
              <w:ind w:right="369"/>
              <w:spacing w:after="0"/>
              <w:rPr>
                <w:sz w:val="20"/>
                <w:szCs w:val="20"/>
                <w:color w:val="auto"/>
              </w:rPr>
            </w:pPr>
            <w:r>
              <w:rPr>
                <w:rFonts w:ascii="Arial" w:cs="Arial" w:eastAsia="Arial" w:hAnsi="Arial"/>
                <w:sz w:val="14"/>
                <w:szCs w:val="14"/>
                <w:color w:val="auto"/>
              </w:rPr>
              <w:t>8,054</w:t>
            </w:r>
          </w:p>
        </w:tc>
        <w:tc>
          <w:tcPr>
            <w:tcW w:w="1320" w:type="dxa"/>
            <w:vAlign w:val="bottom"/>
            <w:tcBorders>
              <w:right w:val="single" w:sz="8" w:color="007CBA"/>
            </w:tcBorders>
            <w:shd w:val="clear" w:color="auto" w:fill="E5F1F8"/>
          </w:tcPr>
          <w:p>
            <w:pPr>
              <w:jc w:val="right"/>
              <w:ind w:right="229"/>
              <w:spacing w:after="0"/>
              <w:rPr>
                <w:sz w:val="20"/>
                <w:szCs w:val="20"/>
                <w:color w:val="auto"/>
              </w:rPr>
            </w:pPr>
            <w:r>
              <w:rPr>
                <w:rFonts w:ascii="Arial" w:cs="Arial" w:eastAsia="Arial" w:hAnsi="Arial"/>
                <w:sz w:val="14"/>
                <w:szCs w:val="14"/>
                <w:color w:val="auto"/>
              </w:rPr>
              <w:t>38,895</w:t>
            </w:r>
          </w:p>
        </w:tc>
        <w:tc>
          <w:tcPr>
            <w:tcW w:w="1140" w:type="dxa"/>
            <w:vAlign w:val="bottom"/>
            <w:shd w:val="clear" w:color="auto" w:fill="E5F1F8"/>
          </w:tcPr>
          <w:p>
            <w:pPr>
              <w:jc w:val="right"/>
              <w:ind w:right="228"/>
              <w:spacing w:after="0"/>
              <w:rPr>
                <w:sz w:val="20"/>
                <w:szCs w:val="20"/>
                <w:color w:val="auto"/>
              </w:rPr>
            </w:pPr>
            <w:r>
              <w:rPr>
                <w:rFonts w:ascii="Arial" w:cs="Arial" w:eastAsia="Arial" w:hAnsi="Arial"/>
                <w:sz w:val="14"/>
                <w:szCs w:val="14"/>
                <w:color w:val="auto"/>
              </w:rPr>
              <w:t>335,601</w:t>
            </w:r>
          </w:p>
        </w:tc>
      </w:tr>
      <w:tr>
        <w:trPr>
          <w:trHeight w:val="223"/>
        </w:trPr>
        <w:tc>
          <w:tcPr>
            <w:tcW w:w="464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Dennis L. Rediker</w:t>
            </w:r>
          </w:p>
        </w:tc>
        <w:tc>
          <w:tcPr>
            <w:tcW w:w="116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126,000</w:t>
            </w:r>
          </w:p>
        </w:tc>
        <w:tc>
          <w:tcPr>
            <w:tcW w:w="11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130,027</w:t>
            </w:r>
          </w:p>
        </w:tc>
        <w:tc>
          <w:tcPr>
            <w:tcW w:w="1580" w:type="dxa"/>
            <w:vAlign w:val="bottom"/>
            <w:tcBorders>
              <w:right w:val="single" w:sz="8" w:color="007CBA"/>
            </w:tcBorders>
          </w:tcPr>
          <w:p>
            <w:pPr>
              <w:jc w:val="right"/>
              <w:ind w:right="369"/>
              <w:spacing w:after="0"/>
              <w:rPr>
                <w:sz w:val="20"/>
                <w:szCs w:val="20"/>
                <w:color w:val="auto"/>
              </w:rPr>
            </w:pPr>
            <w:r>
              <w:rPr>
                <w:rFonts w:ascii="Arial" w:cs="Arial" w:eastAsia="Arial" w:hAnsi="Arial"/>
                <w:sz w:val="14"/>
                <w:szCs w:val="14"/>
                <w:color w:val="auto"/>
              </w:rPr>
              <w:t>13,625</w:t>
            </w:r>
          </w:p>
        </w:tc>
        <w:tc>
          <w:tcPr>
            <w:tcW w:w="1320" w:type="dxa"/>
            <w:vAlign w:val="bottom"/>
            <w:tcBorders>
              <w:right w:val="single" w:sz="8" w:color="007CBA"/>
            </w:tcBorders>
          </w:tcPr>
          <w:p>
            <w:pPr>
              <w:jc w:val="right"/>
              <w:ind w:right="229"/>
              <w:spacing w:after="0"/>
              <w:rPr>
                <w:sz w:val="20"/>
                <w:szCs w:val="20"/>
                <w:color w:val="auto"/>
              </w:rPr>
            </w:pPr>
            <w:r>
              <w:rPr>
                <w:rFonts w:ascii="Arial" w:cs="Arial" w:eastAsia="Arial" w:hAnsi="Arial"/>
                <w:sz w:val="14"/>
                <w:szCs w:val="14"/>
                <w:color w:val="auto"/>
              </w:rPr>
              <w:t>37,034</w:t>
            </w:r>
          </w:p>
        </w:tc>
        <w:tc>
          <w:tcPr>
            <w:tcW w:w="1140" w:type="dxa"/>
            <w:vAlign w:val="bottom"/>
          </w:tcPr>
          <w:p>
            <w:pPr>
              <w:jc w:val="center"/>
              <w:spacing w:after="0"/>
              <w:rPr>
                <w:sz w:val="20"/>
                <w:szCs w:val="20"/>
                <w:color w:val="auto"/>
              </w:rPr>
            </w:pPr>
            <w:r>
              <w:rPr>
                <w:rFonts w:ascii="Arial" w:cs="Arial" w:eastAsia="Arial" w:hAnsi="Arial"/>
                <w:sz w:val="14"/>
                <w:szCs w:val="14"/>
                <w:color w:val="auto"/>
              </w:rPr>
              <w:t>306,686</w:t>
            </w:r>
          </w:p>
        </w:tc>
      </w:tr>
      <w:tr>
        <w:trPr>
          <w:trHeight w:val="235"/>
        </w:trPr>
        <w:tc>
          <w:tcPr>
            <w:tcW w:w="464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Donald W. Slager</w:t>
            </w:r>
          </w:p>
        </w:tc>
        <w:tc>
          <w:tcPr>
            <w:tcW w:w="116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115,000</w:t>
            </w:r>
          </w:p>
        </w:tc>
        <w:tc>
          <w:tcPr>
            <w:tcW w:w="11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130,027</w:t>
            </w:r>
          </w:p>
        </w:tc>
        <w:tc>
          <w:tcPr>
            <w:tcW w:w="1580" w:type="dxa"/>
            <w:vAlign w:val="bottom"/>
            <w:tcBorders>
              <w:right w:val="single" w:sz="8" w:color="007CBA"/>
            </w:tcBorders>
            <w:shd w:val="clear" w:color="auto" w:fill="E5F1F8"/>
          </w:tcPr>
          <w:p>
            <w:pPr>
              <w:jc w:val="right"/>
              <w:ind w:right="369"/>
              <w:spacing w:after="0"/>
              <w:rPr>
                <w:sz w:val="20"/>
                <w:szCs w:val="20"/>
                <w:color w:val="auto"/>
              </w:rPr>
            </w:pPr>
            <w:r>
              <w:rPr>
                <w:rFonts w:ascii="Arial" w:cs="Arial" w:eastAsia="Arial" w:hAnsi="Arial"/>
                <w:sz w:val="14"/>
                <w:szCs w:val="14"/>
                <w:color w:val="auto"/>
              </w:rPr>
              <w:t>142</w:t>
            </w:r>
          </w:p>
        </w:tc>
        <w:tc>
          <w:tcPr>
            <w:tcW w:w="1320" w:type="dxa"/>
            <w:vAlign w:val="bottom"/>
            <w:tcBorders>
              <w:right w:val="single" w:sz="8" w:color="007CBA"/>
            </w:tcBorders>
            <w:shd w:val="clear" w:color="auto" w:fill="E5F1F8"/>
          </w:tcPr>
          <w:p>
            <w:pPr>
              <w:jc w:val="right"/>
              <w:ind w:right="229"/>
              <w:spacing w:after="0"/>
              <w:rPr>
                <w:sz w:val="20"/>
                <w:szCs w:val="20"/>
                <w:color w:val="auto"/>
              </w:rPr>
            </w:pPr>
            <w:r>
              <w:rPr>
                <w:rFonts w:ascii="Arial" w:cs="Arial" w:eastAsia="Arial" w:hAnsi="Arial"/>
                <w:sz w:val="14"/>
                <w:szCs w:val="14"/>
                <w:color w:val="auto"/>
              </w:rPr>
              <w:t>2,652</w:t>
            </w:r>
          </w:p>
        </w:tc>
        <w:tc>
          <w:tcPr>
            <w:tcW w:w="114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247,821</w:t>
            </w:r>
          </w:p>
        </w:tc>
      </w:tr>
      <w:tr>
        <w:trPr>
          <w:trHeight w:val="223"/>
        </w:trPr>
        <w:tc>
          <w:tcPr>
            <w:tcW w:w="4640" w:type="dxa"/>
            <w:vAlign w:val="bottom"/>
            <w:tcBorders>
              <w:bottom w:val="single" w:sz="8" w:color="007CBA"/>
              <w:right w:val="single" w:sz="8" w:color="007CBA"/>
            </w:tcBorders>
          </w:tcPr>
          <w:p>
            <w:pPr>
              <w:ind w:left="60"/>
              <w:spacing w:after="0"/>
              <w:rPr>
                <w:sz w:val="20"/>
                <w:szCs w:val="20"/>
                <w:color w:val="auto"/>
              </w:rPr>
            </w:pPr>
            <w:r>
              <w:rPr>
                <w:rFonts w:ascii="Arial" w:cs="Arial" w:eastAsia="Arial" w:hAnsi="Arial"/>
                <w:sz w:val="14"/>
                <w:szCs w:val="14"/>
                <w:color w:val="auto"/>
              </w:rPr>
              <w:t>Stephen P. Zelnak, Jr.</w:t>
            </w:r>
          </w:p>
        </w:tc>
        <w:tc>
          <w:tcPr>
            <w:tcW w:w="1160" w:type="dxa"/>
            <w:vAlign w:val="bottom"/>
            <w:tcBorders>
              <w:bottom w:val="single" w:sz="8" w:color="007CBA"/>
              <w:right w:val="single" w:sz="8" w:color="007CBA"/>
            </w:tcBorders>
          </w:tcPr>
          <w:p>
            <w:pPr>
              <w:jc w:val="right"/>
              <w:ind w:right="129"/>
              <w:spacing w:after="0"/>
              <w:rPr>
                <w:sz w:val="20"/>
                <w:szCs w:val="20"/>
                <w:color w:val="auto"/>
              </w:rPr>
            </w:pPr>
            <w:r>
              <w:rPr>
                <w:rFonts w:ascii="Arial" w:cs="Arial" w:eastAsia="Arial" w:hAnsi="Arial"/>
                <w:sz w:val="14"/>
                <w:szCs w:val="14"/>
                <w:color w:val="auto"/>
              </w:rPr>
              <w:t>128,250</w:t>
            </w:r>
          </w:p>
        </w:tc>
        <w:tc>
          <w:tcPr>
            <w:tcW w:w="116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130,027</w:t>
            </w:r>
          </w:p>
        </w:tc>
        <w:tc>
          <w:tcPr>
            <w:tcW w:w="1580" w:type="dxa"/>
            <w:vAlign w:val="bottom"/>
            <w:tcBorders>
              <w:bottom w:val="single" w:sz="8" w:color="007CBA"/>
              <w:right w:val="single" w:sz="8" w:color="007CBA"/>
            </w:tcBorders>
          </w:tcPr>
          <w:p>
            <w:pPr>
              <w:jc w:val="right"/>
              <w:ind w:right="369"/>
              <w:spacing w:after="0"/>
              <w:rPr>
                <w:sz w:val="20"/>
                <w:szCs w:val="20"/>
                <w:color w:val="auto"/>
              </w:rPr>
            </w:pPr>
            <w:r>
              <w:rPr>
                <w:rFonts w:ascii="Arial" w:cs="Arial" w:eastAsia="Arial" w:hAnsi="Arial"/>
                <w:sz w:val="14"/>
                <w:szCs w:val="14"/>
                <w:color w:val="auto"/>
              </w:rPr>
              <w:t>6,340</w:t>
            </w:r>
          </w:p>
        </w:tc>
        <w:tc>
          <w:tcPr>
            <w:tcW w:w="1320" w:type="dxa"/>
            <w:vAlign w:val="bottom"/>
            <w:tcBorders>
              <w:bottom w:val="single" w:sz="8" w:color="007CBA"/>
              <w:right w:val="single" w:sz="8" w:color="007CBA"/>
            </w:tcBorders>
          </w:tcPr>
          <w:p>
            <w:pPr>
              <w:jc w:val="right"/>
              <w:ind w:right="229"/>
              <w:spacing w:after="0"/>
              <w:rPr>
                <w:sz w:val="20"/>
                <w:szCs w:val="20"/>
                <w:color w:val="auto"/>
              </w:rPr>
            </w:pPr>
            <w:r>
              <w:rPr>
                <w:rFonts w:ascii="Arial" w:cs="Arial" w:eastAsia="Arial" w:hAnsi="Arial"/>
                <w:sz w:val="14"/>
                <w:szCs w:val="14"/>
                <w:color w:val="auto"/>
              </w:rPr>
              <w:t>29,984</w:t>
            </w:r>
          </w:p>
        </w:tc>
        <w:tc>
          <w:tcPr>
            <w:tcW w:w="1140" w:type="dxa"/>
            <w:vAlign w:val="bottom"/>
            <w:tcBorders>
              <w:bottom w:val="single" w:sz="8" w:color="007CBA"/>
            </w:tcBorders>
          </w:tcPr>
          <w:p>
            <w:pPr>
              <w:jc w:val="center"/>
              <w:spacing w:after="0"/>
              <w:rPr>
                <w:sz w:val="20"/>
                <w:szCs w:val="20"/>
                <w:color w:val="auto"/>
              </w:rPr>
            </w:pPr>
            <w:r>
              <w:rPr>
                <w:rFonts w:ascii="Arial" w:cs="Arial" w:eastAsia="Arial" w:hAnsi="Arial"/>
                <w:sz w:val="14"/>
                <w:szCs w:val="14"/>
                <w:color w:val="auto"/>
              </w:rPr>
              <w:t>294,601</w:t>
            </w:r>
          </w:p>
        </w:tc>
      </w:tr>
    </w:tbl>
    <w:p>
      <w:pPr>
        <w:spacing w:after="0" w:line="72" w:lineRule="exact"/>
        <w:rPr>
          <w:sz w:val="20"/>
          <w:szCs w:val="20"/>
          <w:color w:val="auto"/>
        </w:rPr>
      </w:pPr>
    </w:p>
    <w:p>
      <w:pPr>
        <w:jc w:val="both"/>
        <w:ind w:left="340" w:hanging="130"/>
        <w:spacing w:after="0"/>
        <w:tabs>
          <w:tab w:leader="none" w:pos="340" w:val="left"/>
        </w:tabs>
        <w:numPr>
          <w:ilvl w:val="0"/>
          <w:numId w:val="57"/>
        </w:numPr>
        <w:rPr>
          <w:rFonts w:ascii="Arial" w:cs="Arial" w:eastAsia="Arial" w:hAnsi="Arial"/>
          <w:sz w:val="24"/>
          <w:szCs w:val="24"/>
          <w:color w:val="auto"/>
          <w:vertAlign w:val="superscript"/>
        </w:rPr>
      </w:pPr>
      <w:r>
        <w:rPr>
          <w:rFonts w:ascii="Arial" w:cs="Arial" w:eastAsia="Arial" w:hAnsi="Arial"/>
          <w:sz w:val="14"/>
          <w:szCs w:val="14"/>
          <w:color w:val="auto"/>
        </w:rPr>
        <w:t>Mr. Nye, who is the Chief Executive Officer of Martin Marietta and a member of the Board of Directors, is not included in this table because he is not compensated separately for his service as a Director. The compensation received by Mr. Nye as an employee of Martin Marietta is shown in the Summary Compensation Table on page 54.</w:t>
      </w:r>
    </w:p>
    <w:p>
      <w:pPr>
        <w:spacing w:after="0" w:line="116" w:lineRule="exact"/>
        <w:rPr>
          <w:sz w:val="20"/>
          <w:szCs w:val="20"/>
          <w:color w:val="auto"/>
        </w:rPr>
      </w:pPr>
    </w:p>
    <w:p>
      <w:pPr>
        <w:jc w:val="both"/>
        <w:ind w:left="340" w:hanging="130"/>
        <w:spacing w:after="0"/>
        <w:tabs>
          <w:tab w:leader="none" w:pos="340" w:val="left"/>
        </w:tabs>
        <w:numPr>
          <w:ilvl w:val="0"/>
          <w:numId w:val="58"/>
        </w:numPr>
        <w:rPr>
          <w:rFonts w:ascii="Arial" w:cs="Arial" w:eastAsia="Arial" w:hAnsi="Arial"/>
          <w:sz w:val="24"/>
          <w:szCs w:val="24"/>
          <w:color w:val="auto"/>
          <w:vertAlign w:val="superscript"/>
        </w:rPr>
      </w:pPr>
      <w:r>
        <w:rPr>
          <w:rFonts w:ascii="Arial" w:cs="Arial" w:eastAsia="Arial" w:hAnsi="Arial"/>
          <w:sz w:val="14"/>
          <w:szCs w:val="14"/>
          <w:color w:val="auto"/>
        </w:rPr>
        <w:t>The amounts in column (b) reflect fees earned in 2018. Some of these fees were deferred pursuant to the Common Stock Purchase Plan for Directors in the form of common stock units. The number of units of common stock credited in 2018 to each of the Directors under the Common Stock Purchase Plan for Directors and the grant date fair value for these awards determined in accordance with FASB ASC Topic 718, which includes the 20% discount for the February 28, 2018 payment, are as follows: Ms. Ables, 0; Ms. Cole, 665 units and $108,211 value, respectively; Mr. Davis, 463 units and $75,276 value, respectively; Mr. Koraleski, 624 units and $101,543, respectively; Mr. Maffucci, 64 units and $10,850 value, respectively; Ms. Perez, 0; Mr. Quillen, 824 units and $133,950 value, respectively; Mr. Rediker, 132 units and $21,477 value, respectively; Mr. Slager, 0; and Mr. Zelnak, 333 units and $54,182 value, respectively. The number of units credited to each of the Directors as of December 31, 2018, including units accumulated under the plan for all years of service as a Director, is as follows: Ms. Ables, 0; Ms. Cole, 15,917; Mr. Davis, 463; Mr. Koraleski, 624; Mr. Maffucci, 0; Ms. Perez, 5,258; Mr. Quillen, 7,266; Mr. Rediker, 9,965; Mr. Slager, 0; and Mr. Zelnak, 6,530. The 20% discount from the market price of Martin Marietta’s common stock used in converting to common stock units is reported in column (g). Ms. Ables joined the Board in November 2018 and her fees were prorated.</w:t>
      </w:r>
    </w:p>
    <w:p>
      <w:pPr>
        <w:spacing w:after="0" w:line="122" w:lineRule="exact"/>
        <w:rPr>
          <w:sz w:val="20"/>
          <w:szCs w:val="20"/>
          <w:color w:val="auto"/>
        </w:rPr>
      </w:pPr>
    </w:p>
    <w:p>
      <w:pPr>
        <w:jc w:val="both"/>
        <w:ind w:left="340" w:hanging="130"/>
        <w:spacing w:after="0" w:line="217" w:lineRule="auto"/>
        <w:tabs>
          <w:tab w:leader="none" w:pos="340" w:val="left"/>
        </w:tabs>
        <w:numPr>
          <w:ilvl w:val="0"/>
          <w:numId w:val="59"/>
        </w:numPr>
        <w:rPr>
          <w:rFonts w:ascii="Arial" w:cs="Arial" w:eastAsia="Arial" w:hAnsi="Arial"/>
          <w:sz w:val="24"/>
          <w:szCs w:val="24"/>
          <w:color w:val="auto"/>
          <w:vertAlign w:val="superscript"/>
        </w:rPr>
      </w:pPr>
      <w:r>
        <w:rPr>
          <w:rFonts w:ascii="Arial" w:cs="Arial" w:eastAsia="Arial" w:hAnsi="Arial"/>
          <w:sz w:val="14"/>
          <w:szCs w:val="14"/>
          <w:color w:val="auto"/>
        </w:rPr>
        <w:t>Each Director who was serving immediately following the 2018 Annual Meeting of Shareholder received 609 RSUs in May 2018. Ms. Ables received 744 RSUs upon joining the Board in November 2018. The amounts in column (c) reflect the grant date fair value for these awards determined in accordance with FASB ASC Topic 718. The RSUs fully vested upon award and will be distributed to the Director upon retirement, except Mr. Maffucci, Ms. Perez and Mr. Quillen each received a distribution of 305 unrestricted shares of common stock and deferred the distribution of 304 RSUs until retirement. As of December 31, 2018, each Director held RSUs in the amounts as follows: Ms. Ables, 744; Ms. Cole, 9,553; Mr. Davis, 609; Mr. Koraleski, 1,548; Ms. Perez, 9,029; Mr. Quillen, 9,029; Mr. Rediker, 9,553; Mr. Slager, 1,587; and Mr. Zelnak, 8,174. As of December 31, 2018, none of the Directors held options for common stock. Mr. Maffucci’s RSUs were distributed upon his retirement.</w:t>
      </w:r>
    </w:p>
    <w:p>
      <w:pPr>
        <w:ind w:left="340" w:hanging="130"/>
        <w:spacing w:after="0" w:line="203" w:lineRule="auto"/>
        <w:tabs>
          <w:tab w:leader="none" w:pos="340" w:val="left"/>
        </w:tabs>
        <w:numPr>
          <w:ilvl w:val="0"/>
          <w:numId w:val="60"/>
        </w:numPr>
        <w:rPr>
          <w:rFonts w:ascii="Arial" w:cs="Arial" w:eastAsia="Arial" w:hAnsi="Arial"/>
          <w:sz w:val="24"/>
          <w:szCs w:val="24"/>
          <w:color w:val="auto"/>
          <w:vertAlign w:val="superscript"/>
        </w:rPr>
      </w:pPr>
      <w:r>
        <w:rPr>
          <w:rFonts w:ascii="Arial" w:cs="Arial" w:eastAsia="Arial" w:hAnsi="Arial"/>
          <w:sz w:val="14"/>
          <w:szCs w:val="14"/>
          <w:color w:val="auto"/>
        </w:rPr>
        <w:t>The amounts in column (f) reflect interest paid on fees deferred in cash under the Common Stock Purchase Plan for Directors.</w:t>
      </w:r>
    </w:p>
    <w:p>
      <w:pPr>
        <w:spacing w:after="0" w:line="57" w:lineRule="exact"/>
        <w:rPr>
          <w:sz w:val="20"/>
          <w:szCs w:val="20"/>
          <w:color w:val="auto"/>
        </w:rPr>
      </w:pPr>
    </w:p>
    <w:p>
      <w:pPr>
        <w:jc w:val="both"/>
        <w:ind w:left="340" w:hanging="130"/>
        <w:spacing w:after="0" w:line="199" w:lineRule="auto"/>
        <w:tabs>
          <w:tab w:leader="none" w:pos="340" w:val="left"/>
        </w:tabs>
        <w:numPr>
          <w:ilvl w:val="0"/>
          <w:numId w:val="61"/>
        </w:numPr>
        <w:rPr>
          <w:rFonts w:ascii="Arial" w:cs="Arial" w:eastAsia="Arial" w:hAnsi="Arial"/>
          <w:sz w:val="24"/>
          <w:szCs w:val="24"/>
          <w:color w:val="auto"/>
          <w:vertAlign w:val="superscript"/>
        </w:rPr>
      </w:pPr>
      <w:r>
        <w:rPr>
          <w:rFonts w:ascii="Arial" w:cs="Arial" w:eastAsia="Arial" w:hAnsi="Arial"/>
          <w:sz w:val="14"/>
          <w:szCs w:val="14"/>
          <w:color w:val="auto"/>
        </w:rPr>
        <w:t>The amounts in column (g) reflect for each Director: (i) an amount equal to the 20% discount from the market price of Martin Marietta’s common stock used in converting fees deferred on February 28, 2018 into common stock units pursuant to the Common Stock Purchase Plan for Directors, and (ii) the dollar value of dividend equivalents paid in 2018 on common stock units held under the plan. The Directors did not receive perquisites or other personal benefits in 2018.</w:t>
      </w:r>
    </w:p>
    <w:p>
      <w:pPr>
        <w:ind w:left="340" w:hanging="130"/>
        <w:spacing w:after="0" w:line="199" w:lineRule="auto"/>
        <w:tabs>
          <w:tab w:leader="none" w:pos="340" w:val="left"/>
        </w:tabs>
        <w:numPr>
          <w:ilvl w:val="0"/>
          <w:numId w:val="62"/>
        </w:numPr>
        <w:rPr>
          <w:rFonts w:ascii="Arial" w:cs="Arial" w:eastAsia="Arial" w:hAnsi="Arial"/>
          <w:sz w:val="24"/>
          <w:szCs w:val="24"/>
          <w:color w:val="auto"/>
          <w:vertAlign w:val="superscript"/>
        </w:rPr>
      </w:pPr>
      <w:r>
        <w:rPr>
          <w:rFonts w:ascii="Arial" w:cs="Arial" w:eastAsia="Arial" w:hAnsi="Arial"/>
          <w:sz w:val="14"/>
          <w:szCs w:val="14"/>
          <w:color w:val="auto"/>
        </w:rPr>
        <w:t>Mr. Maffucci resigned as a Director on June 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3439795</wp:posOffset>
            </wp:positionH>
            <wp:positionV relativeFrom="paragraph">
              <wp:posOffset>85090</wp:posOffset>
            </wp:positionV>
            <wp:extent cx="410845" cy="2482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132" w:lineRule="exact"/>
        <w:rPr>
          <w:sz w:val="20"/>
          <w:szCs w:val="20"/>
          <w:color w:val="auto"/>
        </w:rPr>
      </w:pPr>
    </w:p>
    <w:tbl>
      <w:tblPr>
        <w:tblLayout w:type="fixed"/>
        <w:tblInd w:w="926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2019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21</w:t>
            </w:r>
          </w:p>
        </w:tc>
      </w:tr>
    </w:tbl>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0" w:lineRule="exact"/>
        <w:rPr>
          <w:sz w:val="20"/>
          <w:szCs w:val="20"/>
          <w:color w:val="auto"/>
        </w:rPr>
      </w:pPr>
    </w:p>
    <w:p>
      <w:pPr>
        <w:jc w:val="center"/>
        <w:ind w:right="-219"/>
        <w:spacing w:after="0"/>
        <w:rPr>
          <w:sz w:val="20"/>
          <w:szCs w:val="20"/>
          <w:color w:val="auto"/>
        </w:rPr>
      </w:pPr>
      <w:r>
        <w:rPr>
          <w:rFonts w:ascii="Arial" w:cs="Arial" w:eastAsia="Arial" w:hAnsi="Arial"/>
          <w:sz w:val="43"/>
          <w:szCs w:val="43"/>
          <w:color w:val="auto"/>
        </w:rPr>
        <w:t>Security Ownership of Certain</w:t>
      </w:r>
    </w:p>
    <w:p>
      <w:pPr>
        <w:spacing w:after="0" w:line="7" w:lineRule="exact"/>
        <w:rPr>
          <w:sz w:val="20"/>
          <w:szCs w:val="20"/>
          <w:color w:val="auto"/>
        </w:rPr>
      </w:pPr>
    </w:p>
    <w:p>
      <w:pPr>
        <w:jc w:val="center"/>
        <w:ind w:right="-219"/>
        <w:spacing w:after="0"/>
        <w:rPr>
          <w:sz w:val="20"/>
          <w:szCs w:val="20"/>
          <w:color w:val="auto"/>
        </w:rPr>
      </w:pPr>
      <w:r>
        <w:rPr>
          <w:rFonts w:ascii="Arial" w:cs="Arial" w:eastAsia="Arial" w:hAnsi="Arial"/>
          <w:sz w:val="43"/>
          <w:szCs w:val="43"/>
          <w:color w:val="auto"/>
        </w:rPr>
        <w:t>Beneficial Owners and Management</w:t>
      </w:r>
    </w:p>
    <w:p>
      <w:pPr>
        <w:spacing w:after="0" w:line="200" w:lineRule="exact"/>
        <w:rPr>
          <w:sz w:val="20"/>
          <w:szCs w:val="20"/>
          <w:color w:val="auto"/>
        </w:rPr>
      </w:pPr>
    </w:p>
    <w:p>
      <w:pPr>
        <w:spacing w:after="0" w:line="258"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7CBA"/>
        </w:rPr>
        <w:t>How much stock do Martin Marietta’s Directors and executive officers own?</w:t>
      </w:r>
    </w:p>
    <w:p>
      <w:pPr>
        <w:spacing w:after="0" w:line="25" w:lineRule="exact"/>
        <w:rPr>
          <w:sz w:val="20"/>
          <w:szCs w:val="20"/>
          <w:color w:val="auto"/>
        </w:rPr>
      </w:pPr>
    </w:p>
    <w:p>
      <w:pPr>
        <w:jc w:val="both"/>
        <w:ind w:left="220" w:right="20"/>
        <w:spacing w:after="0" w:line="253" w:lineRule="auto"/>
        <w:rPr>
          <w:sz w:val="20"/>
          <w:szCs w:val="20"/>
          <w:color w:val="auto"/>
        </w:rPr>
      </w:pPr>
      <w:r>
        <w:rPr>
          <w:rFonts w:ascii="Arial" w:cs="Arial" w:eastAsia="Arial" w:hAnsi="Arial"/>
          <w:sz w:val="16"/>
          <w:szCs w:val="16"/>
          <w:color w:val="auto"/>
        </w:rPr>
        <w:t>The following table sets forth information as of March 8, 2019 with respect to the shares of common stock that are beneficially owned by the Directors, the Chief Executive Officer, the Chief Financial Officer, and the three other named executive officers who are listed in the Summary Compensation Table on page 54 of this proxy statement, individually, and by all Directors and executive officers of Martin Marietta as a group.</w:t>
      </w:r>
    </w:p>
    <w:p>
      <w:pPr>
        <w:spacing w:after="0" w:line="199" w:lineRule="exact"/>
        <w:rPr>
          <w:sz w:val="20"/>
          <w:szCs w:val="20"/>
          <w:color w:val="auto"/>
        </w:rPr>
      </w:pPr>
    </w:p>
    <w:tbl>
      <w:tblPr>
        <w:tblLayout w:type="fixed"/>
        <w:tblInd w:w="1580" w:type="dxa"/>
        <w:tblCellMar>
          <w:top w:w="0" w:type="dxa"/>
          <w:left w:w="0" w:type="dxa"/>
          <w:bottom w:w="0" w:type="dxa"/>
          <w:right w:w="0" w:type="dxa"/>
        </w:tblCellMar>
      </w:tblPr>
      <w:tr>
        <w:trPr>
          <w:trHeight w:val="172"/>
        </w:trPr>
        <w:tc>
          <w:tcPr>
            <w:tcW w:w="3520" w:type="dxa"/>
            <w:vAlign w:val="bottom"/>
            <w:tcBorders>
              <w:right w:val="single" w:sz="8" w:color="007CBA"/>
            </w:tcBorders>
            <w:shd w:val="clear" w:color="auto" w:fill="007CBA"/>
          </w:tcPr>
          <w:p>
            <w:pPr>
              <w:spacing w:after="0"/>
              <w:rPr>
                <w:sz w:val="14"/>
                <w:szCs w:val="14"/>
                <w:color w:val="auto"/>
              </w:rPr>
            </w:pPr>
          </w:p>
        </w:tc>
        <w:tc>
          <w:tcPr>
            <w:tcW w:w="2000" w:type="dxa"/>
            <w:vAlign w:val="bottom"/>
            <w:tcBorders>
              <w:right w:val="single" w:sz="8" w:color="007CBA"/>
            </w:tcBorders>
            <w:shd w:val="clear" w:color="auto" w:fill="007CBA"/>
          </w:tcPr>
          <w:p>
            <w:pPr>
              <w:jc w:val="right"/>
              <w:ind w:right="228"/>
              <w:spacing w:after="0"/>
              <w:rPr>
                <w:sz w:val="20"/>
                <w:szCs w:val="20"/>
                <w:color w:val="auto"/>
              </w:rPr>
            </w:pPr>
            <w:r>
              <w:rPr>
                <w:rFonts w:ascii="Arial" w:cs="Arial" w:eastAsia="Arial" w:hAnsi="Arial"/>
                <w:sz w:val="14"/>
                <w:szCs w:val="14"/>
                <w:b w:val="1"/>
                <w:bCs w:val="1"/>
                <w:color w:val="FFFFFF"/>
              </w:rPr>
              <w:t>Amount and Nature of</w:t>
            </w:r>
          </w:p>
        </w:tc>
        <w:tc>
          <w:tcPr>
            <w:tcW w:w="1580" w:type="dxa"/>
            <w:vAlign w:val="bottom"/>
            <w:tcBorders>
              <w:right w:val="single" w:sz="8" w:color="007CBA"/>
            </w:tcBorders>
            <w:shd w:val="clear" w:color="auto" w:fill="007CBA"/>
          </w:tcPr>
          <w:p>
            <w:pPr>
              <w:jc w:val="right"/>
              <w:ind w:right="288"/>
              <w:spacing w:after="0"/>
              <w:rPr>
                <w:sz w:val="20"/>
                <w:szCs w:val="20"/>
                <w:color w:val="auto"/>
              </w:rPr>
            </w:pPr>
            <w:r>
              <w:rPr>
                <w:rFonts w:ascii="Arial" w:cs="Arial" w:eastAsia="Arial" w:hAnsi="Arial"/>
                <w:sz w:val="14"/>
                <w:szCs w:val="14"/>
                <w:b w:val="1"/>
                <w:bCs w:val="1"/>
                <w:color w:val="FFFFFF"/>
              </w:rPr>
              <w:t>Deferred and</w:t>
            </w:r>
          </w:p>
        </w:tc>
        <w:tc>
          <w:tcPr>
            <w:tcW w:w="116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3520" w:type="dxa"/>
            <w:vAlign w:val="bottom"/>
            <w:tcBorders>
              <w:bottom w:val="single" w:sz="8" w:color="007CBA"/>
              <w:right w:val="single" w:sz="8" w:color="007CBA"/>
            </w:tcBorders>
            <w:shd w:val="clear" w:color="auto" w:fill="007CBA"/>
          </w:tcPr>
          <w:p>
            <w:pPr>
              <w:ind w:left="80"/>
              <w:spacing w:after="0"/>
              <w:rPr>
                <w:sz w:val="20"/>
                <w:szCs w:val="20"/>
                <w:color w:val="auto"/>
              </w:rPr>
            </w:pPr>
            <w:r>
              <w:rPr>
                <w:rFonts w:ascii="Arial" w:cs="Arial" w:eastAsia="Arial" w:hAnsi="Arial"/>
                <w:sz w:val="14"/>
                <w:szCs w:val="14"/>
                <w:b w:val="1"/>
                <w:bCs w:val="1"/>
                <w:color w:val="FFFFFF"/>
              </w:rPr>
              <w:t>Name of Beneficial Owner</w:t>
            </w:r>
          </w:p>
        </w:tc>
        <w:tc>
          <w:tcPr>
            <w:tcW w:w="2000" w:type="dxa"/>
            <w:vAlign w:val="bottom"/>
            <w:tcBorders>
              <w:bottom w:val="single" w:sz="8" w:color="007CBA"/>
              <w:right w:val="single" w:sz="8" w:color="007CBA"/>
            </w:tcBorders>
            <w:shd w:val="clear" w:color="auto" w:fill="007CBA"/>
          </w:tcPr>
          <w:p>
            <w:pPr>
              <w:jc w:val="right"/>
              <w:ind w:right="208"/>
              <w:spacing w:after="0" w:line="192" w:lineRule="exact"/>
              <w:rPr>
                <w:sz w:val="20"/>
                <w:szCs w:val="20"/>
                <w:color w:val="auto"/>
              </w:rPr>
            </w:pPr>
            <w:r>
              <w:rPr>
                <w:rFonts w:ascii="Arial" w:cs="Arial" w:eastAsia="Arial" w:hAnsi="Arial"/>
                <w:sz w:val="13"/>
                <w:szCs w:val="13"/>
                <w:b w:val="1"/>
                <w:bCs w:val="1"/>
                <w:color w:val="FFFFFF"/>
              </w:rPr>
              <w:t>Beneficial Ownership</w:t>
            </w:r>
            <w:r>
              <w:rPr>
                <w:rFonts w:ascii="Arial" w:cs="Arial" w:eastAsia="Arial" w:hAnsi="Arial"/>
                <w:sz w:val="22"/>
                <w:szCs w:val="22"/>
                <w:b w:val="1"/>
                <w:bCs w:val="1"/>
                <w:color w:val="FFFFFF"/>
                <w:vertAlign w:val="superscript"/>
              </w:rPr>
              <w:t>1</w:t>
            </w:r>
          </w:p>
        </w:tc>
        <w:tc>
          <w:tcPr>
            <w:tcW w:w="1580" w:type="dxa"/>
            <w:vAlign w:val="bottom"/>
            <w:tcBorders>
              <w:bottom w:val="single" w:sz="8" w:color="007CBA"/>
              <w:right w:val="single" w:sz="8" w:color="007CBA"/>
            </w:tcBorders>
            <w:shd w:val="clear" w:color="auto" w:fill="007CBA"/>
          </w:tcPr>
          <w:p>
            <w:pPr>
              <w:jc w:val="right"/>
              <w:ind w:right="128"/>
              <w:spacing w:after="0" w:line="192" w:lineRule="exact"/>
              <w:rPr>
                <w:sz w:val="20"/>
                <w:szCs w:val="20"/>
                <w:color w:val="auto"/>
              </w:rPr>
            </w:pPr>
            <w:r>
              <w:rPr>
                <w:rFonts w:ascii="Arial" w:cs="Arial" w:eastAsia="Arial" w:hAnsi="Arial"/>
                <w:sz w:val="13"/>
                <w:szCs w:val="13"/>
                <w:b w:val="1"/>
                <w:bCs w:val="1"/>
                <w:color w:val="FFFFFF"/>
              </w:rPr>
              <w:t>Restricted Units</w:t>
            </w:r>
            <w:r>
              <w:rPr>
                <w:rFonts w:ascii="Arial" w:cs="Arial" w:eastAsia="Arial" w:hAnsi="Arial"/>
                <w:sz w:val="22"/>
                <w:szCs w:val="22"/>
                <w:b w:val="1"/>
                <w:bCs w:val="1"/>
                <w:color w:val="FFFFFF"/>
                <w:vertAlign w:val="superscript"/>
              </w:rPr>
              <w:t>5</w:t>
            </w:r>
          </w:p>
        </w:tc>
        <w:tc>
          <w:tcPr>
            <w:tcW w:w="1160" w:type="dxa"/>
            <w:vAlign w:val="bottom"/>
            <w:tcBorders>
              <w:bottom w:val="single" w:sz="8" w:color="007CBA"/>
            </w:tcBorders>
            <w:shd w:val="clear" w:color="auto" w:fill="007CBA"/>
          </w:tcPr>
          <w:p>
            <w:pPr>
              <w:jc w:val="right"/>
              <w:ind w:right="348"/>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29"/>
        </w:trPr>
        <w:tc>
          <w:tcPr>
            <w:tcW w:w="35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Dorothy M. Ables</w:t>
            </w:r>
          </w:p>
        </w:tc>
        <w:tc>
          <w:tcPr>
            <w:tcW w:w="2000" w:type="dxa"/>
            <w:vAlign w:val="bottom"/>
            <w:tcBorders>
              <w:right w:val="single" w:sz="8" w:color="007CBA"/>
            </w:tcBorders>
            <w:shd w:val="clear" w:color="auto" w:fill="E5F1F8"/>
          </w:tcPr>
          <w:p>
            <w:pPr>
              <w:jc w:val="right"/>
              <w:ind w:right="588"/>
              <w:spacing w:after="0" w:line="229" w:lineRule="exact"/>
              <w:rPr>
                <w:sz w:val="20"/>
                <w:szCs w:val="20"/>
                <w:color w:val="auto"/>
              </w:rPr>
            </w:pPr>
            <w:r>
              <w:rPr>
                <w:rFonts w:ascii="Arial" w:cs="Arial" w:eastAsia="Arial" w:hAnsi="Arial"/>
                <w:sz w:val="14"/>
                <w:szCs w:val="14"/>
                <w:color w:val="auto"/>
              </w:rPr>
              <w:t>744</w:t>
            </w:r>
            <w:r>
              <w:rPr>
                <w:rFonts w:ascii="Arial" w:cs="Arial" w:eastAsia="Arial" w:hAnsi="Arial"/>
                <w:sz w:val="24"/>
                <w:szCs w:val="24"/>
                <w:color w:val="auto"/>
                <w:vertAlign w:val="superscript"/>
              </w:rPr>
              <w:t>2</w:t>
            </w:r>
          </w:p>
        </w:tc>
        <w:tc>
          <w:tcPr>
            <w:tcW w:w="1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w w:val="99"/>
              </w:rPr>
              <w:t>—</w:t>
            </w:r>
          </w:p>
        </w:tc>
        <w:tc>
          <w:tcPr>
            <w:tcW w:w="1160" w:type="dxa"/>
            <w:vAlign w:val="bottom"/>
            <w:shd w:val="clear" w:color="auto" w:fill="E5F1F8"/>
          </w:tcPr>
          <w:p>
            <w:pPr>
              <w:jc w:val="right"/>
              <w:ind w:right="228"/>
              <w:spacing w:after="0"/>
              <w:rPr>
                <w:sz w:val="20"/>
                <w:szCs w:val="20"/>
                <w:color w:val="auto"/>
              </w:rPr>
            </w:pPr>
            <w:r>
              <w:rPr>
                <w:rFonts w:ascii="Arial" w:cs="Arial" w:eastAsia="Arial" w:hAnsi="Arial"/>
                <w:sz w:val="14"/>
                <w:szCs w:val="14"/>
                <w:color w:val="auto"/>
              </w:rPr>
              <w:t>744</w:t>
            </w:r>
          </w:p>
        </w:tc>
        <w:tc>
          <w:tcPr>
            <w:tcW w:w="0" w:type="dxa"/>
            <w:vAlign w:val="bottom"/>
          </w:tcPr>
          <w:p>
            <w:pPr>
              <w:spacing w:after="0"/>
              <w:rPr>
                <w:sz w:val="1"/>
                <w:szCs w:val="1"/>
                <w:color w:val="auto"/>
              </w:rPr>
            </w:pPr>
          </w:p>
        </w:tc>
      </w:tr>
      <w:tr>
        <w:trPr>
          <w:trHeight w:val="229"/>
        </w:trPr>
        <w:tc>
          <w:tcPr>
            <w:tcW w:w="352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Roselyn R. Bar</w:t>
            </w:r>
          </w:p>
        </w:tc>
        <w:tc>
          <w:tcPr>
            <w:tcW w:w="2000" w:type="dxa"/>
            <w:vAlign w:val="bottom"/>
            <w:tcBorders>
              <w:right w:val="single" w:sz="8" w:color="007CBA"/>
            </w:tcBorders>
          </w:tcPr>
          <w:p>
            <w:pPr>
              <w:jc w:val="right"/>
              <w:ind w:right="588"/>
              <w:spacing w:after="0" w:line="229" w:lineRule="exact"/>
              <w:rPr>
                <w:sz w:val="20"/>
                <w:szCs w:val="20"/>
                <w:color w:val="auto"/>
              </w:rPr>
            </w:pPr>
            <w:r>
              <w:rPr>
                <w:rFonts w:ascii="Arial" w:cs="Arial" w:eastAsia="Arial" w:hAnsi="Arial"/>
                <w:sz w:val="14"/>
                <w:szCs w:val="14"/>
                <w:color w:val="auto"/>
              </w:rPr>
              <w:t>48,006</w:t>
            </w:r>
            <w:r>
              <w:rPr>
                <w:rFonts w:ascii="Arial" w:cs="Arial" w:eastAsia="Arial" w:hAnsi="Arial"/>
                <w:sz w:val="24"/>
                <w:szCs w:val="24"/>
                <w:color w:val="auto"/>
                <w:vertAlign w:val="superscript"/>
              </w:rPr>
              <w:t>3</w:t>
            </w:r>
          </w:p>
        </w:tc>
        <w:tc>
          <w:tcPr>
            <w:tcW w:w="1580" w:type="dxa"/>
            <w:vAlign w:val="bottom"/>
            <w:tcBorders>
              <w:right w:val="single" w:sz="8" w:color="007CBA"/>
            </w:tcBorders>
          </w:tcPr>
          <w:p>
            <w:pPr>
              <w:jc w:val="right"/>
              <w:ind w:right="448"/>
              <w:spacing w:after="0"/>
              <w:rPr>
                <w:sz w:val="20"/>
                <w:szCs w:val="20"/>
                <w:color w:val="auto"/>
              </w:rPr>
            </w:pPr>
            <w:r>
              <w:rPr>
                <w:rFonts w:ascii="Arial" w:cs="Arial" w:eastAsia="Arial" w:hAnsi="Arial"/>
                <w:sz w:val="14"/>
                <w:szCs w:val="14"/>
                <w:color w:val="auto"/>
              </w:rPr>
              <w:t>18,905</w:t>
            </w:r>
          </w:p>
        </w:tc>
        <w:tc>
          <w:tcPr>
            <w:tcW w:w="1160" w:type="dxa"/>
            <w:vAlign w:val="bottom"/>
          </w:tcPr>
          <w:p>
            <w:pPr>
              <w:jc w:val="right"/>
              <w:ind w:right="228"/>
              <w:spacing w:after="0"/>
              <w:rPr>
                <w:sz w:val="20"/>
                <w:szCs w:val="20"/>
                <w:color w:val="auto"/>
              </w:rPr>
            </w:pPr>
            <w:r>
              <w:rPr>
                <w:rFonts w:ascii="Arial" w:cs="Arial" w:eastAsia="Arial" w:hAnsi="Arial"/>
                <w:sz w:val="14"/>
                <w:szCs w:val="14"/>
                <w:color w:val="auto"/>
              </w:rPr>
              <w:t>66,911</w:t>
            </w:r>
          </w:p>
        </w:tc>
        <w:tc>
          <w:tcPr>
            <w:tcW w:w="0" w:type="dxa"/>
            <w:vAlign w:val="bottom"/>
          </w:tcPr>
          <w:p>
            <w:pPr>
              <w:spacing w:after="0"/>
              <w:rPr>
                <w:sz w:val="1"/>
                <w:szCs w:val="1"/>
                <w:color w:val="auto"/>
              </w:rPr>
            </w:pPr>
          </w:p>
        </w:tc>
      </w:tr>
      <w:tr>
        <w:trPr>
          <w:trHeight w:val="229"/>
        </w:trPr>
        <w:tc>
          <w:tcPr>
            <w:tcW w:w="35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Sue W. Cole</w:t>
            </w:r>
          </w:p>
        </w:tc>
        <w:tc>
          <w:tcPr>
            <w:tcW w:w="2000" w:type="dxa"/>
            <w:vAlign w:val="bottom"/>
            <w:tcBorders>
              <w:right w:val="single" w:sz="8" w:color="007CBA"/>
            </w:tcBorders>
            <w:shd w:val="clear" w:color="auto" w:fill="E5F1F8"/>
          </w:tcPr>
          <w:p>
            <w:pPr>
              <w:jc w:val="right"/>
              <w:ind w:right="488"/>
              <w:spacing w:after="0" w:line="229" w:lineRule="exact"/>
              <w:rPr>
                <w:sz w:val="20"/>
                <w:szCs w:val="20"/>
                <w:color w:val="auto"/>
              </w:rPr>
            </w:pPr>
            <w:r>
              <w:rPr>
                <w:rFonts w:ascii="Arial" w:cs="Arial" w:eastAsia="Arial" w:hAnsi="Arial"/>
                <w:sz w:val="14"/>
                <w:szCs w:val="14"/>
                <w:color w:val="auto"/>
              </w:rPr>
              <w:t>30,776</w:t>
            </w:r>
            <w:r>
              <w:rPr>
                <w:rFonts w:ascii="Arial" w:cs="Arial" w:eastAsia="Arial" w:hAnsi="Arial"/>
                <w:sz w:val="24"/>
                <w:szCs w:val="24"/>
                <w:color w:val="auto"/>
                <w:vertAlign w:val="superscript"/>
              </w:rPr>
              <w:t>2,4</w:t>
            </w:r>
          </w:p>
        </w:tc>
        <w:tc>
          <w:tcPr>
            <w:tcW w:w="1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w w:val="99"/>
              </w:rPr>
              <w:t>—</w:t>
            </w:r>
          </w:p>
        </w:tc>
        <w:tc>
          <w:tcPr>
            <w:tcW w:w="1160" w:type="dxa"/>
            <w:vAlign w:val="bottom"/>
            <w:shd w:val="clear" w:color="auto" w:fill="E5F1F8"/>
          </w:tcPr>
          <w:p>
            <w:pPr>
              <w:jc w:val="right"/>
              <w:ind w:right="228"/>
              <w:spacing w:after="0"/>
              <w:rPr>
                <w:sz w:val="20"/>
                <w:szCs w:val="20"/>
                <w:color w:val="auto"/>
              </w:rPr>
            </w:pPr>
            <w:r>
              <w:rPr>
                <w:rFonts w:ascii="Arial" w:cs="Arial" w:eastAsia="Arial" w:hAnsi="Arial"/>
                <w:sz w:val="14"/>
                <w:szCs w:val="14"/>
                <w:color w:val="auto"/>
              </w:rPr>
              <w:t>30,776</w:t>
            </w:r>
          </w:p>
        </w:tc>
        <w:tc>
          <w:tcPr>
            <w:tcW w:w="0" w:type="dxa"/>
            <w:vAlign w:val="bottom"/>
          </w:tcPr>
          <w:p>
            <w:pPr>
              <w:spacing w:after="0"/>
              <w:rPr>
                <w:sz w:val="1"/>
                <w:szCs w:val="1"/>
                <w:color w:val="auto"/>
              </w:rPr>
            </w:pPr>
          </w:p>
        </w:tc>
      </w:tr>
      <w:tr>
        <w:trPr>
          <w:trHeight w:val="229"/>
        </w:trPr>
        <w:tc>
          <w:tcPr>
            <w:tcW w:w="352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Smith W. Davis</w:t>
            </w:r>
          </w:p>
        </w:tc>
        <w:tc>
          <w:tcPr>
            <w:tcW w:w="2000" w:type="dxa"/>
            <w:vAlign w:val="bottom"/>
            <w:tcBorders>
              <w:right w:val="single" w:sz="8" w:color="007CBA"/>
            </w:tcBorders>
          </w:tcPr>
          <w:p>
            <w:pPr>
              <w:jc w:val="right"/>
              <w:ind w:right="588"/>
              <w:spacing w:after="0" w:line="229" w:lineRule="exact"/>
              <w:rPr>
                <w:sz w:val="20"/>
                <w:szCs w:val="20"/>
                <w:color w:val="auto"/>
              </w:rPr>
            </w:pPr>
            <w:r>
              <w:rPr>
                <w:rFonts w:ascii="Arial" w:cs="Arial" w:eastAsia="Arial" w:hAnsi="Arial"/>
                <w:sz w:val="14"/>
                <w:szCs w:val="14"/>
                <w:color w:val="auto"/>
              </w:rPr>
              <w:t>1,232</w:t>
            </w:r>
            <w:r>
              <w:rPr>
                <w:rFonts w:ascii="Arial" w:cs="Arial" w:eastAsia="Arial" w:hAnsi="Arial"/>
                <w:sz w:val="24"/>
                <w:szCs w:val="24"/>
                <w:color w:val="auto"/>
                <w:vertAlign w:val="superscript"/>
              </w:rPr>
              <w:t>2</w:t>
            </w:r>
          </w:p>
        </w:tc>
        <w:tc>
          <w:tcPr>
            <w:tcW w:w="1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w w:val="99"/>
              </w:rPr>
              <w:t>—</w:t>
            </w:r>
          </w:p>
        </w:tc>
        <w:tc>
          <w:tcPr>
            <w:tcW w:w="1160" w:type="dxa"/>
            <w:vAlign w:val="bottom"/>
          </w:tcPr>
          <w:p>
            <w:pPr>
              <w:jc w:val="right"/>
              <w:ind w:right="228"/>
              <w:spacing w:after="0"/>
              <w:rPr>
                <w:sz w:val="20"/>
                <w:szCs w:val="20"/>
                <w:color w:val="auto"/>
              </w:rPr>
            </w:pPr>
            <w:r>
              <w:rPr>
                <w:rFonts w:ascii="Arial" w:cs="Arial" w:eastAsia="Arial" w:hAnsi="Arial"/>
                <w:sz w:val="14"/>
                <w:szCs w:val="14"/>
                <w:color w:val="auto"/>
              </w:rPr>
              <w:t>1,232</w:t>
            </w:r>
          </w:p>
        </w:tc>
        <w:tc>
          <w:tcPr>
            <w:tcW w:w="0" w:type="dxa"/>
            <w:vAlign w:val="bottom"/>
          </w:tcPr>
          <w:p>
            <w:pPr>
              <w:spacing w:after="0"/>
              <w:rPr>
                <w:sz w:val="1"/>
                <w:szCs w:val="1"/>
                <w:color w:val="auto"/>
              </w:rPr>
            </w:pPr>
          </w:p>
        </w:tc>
      </w:tr>
      <w:tr>
        <w:trPr>
          <w:trHeight w:val="229"/>
        </w:trPr>
        <w:tc>
          <w:tcPr>
            <w:tcW w:w="35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Daniel L. Grant</w:t>
            </w:r>
          </w:p>
        </w:tc>
        <w:tc>
          <w:tcPr>
            <w:tcW w:w="2000" w:type="dxa"/>
            <w:vAlign w:val="bottom"/>
            <w:tcBorders>
              <w:right w:val="single" w:sz="8" w:color="007CBA"/>
            </w:tcBorders>
            <w:shd w:val="clear" w:color="auto" w:fill="E5F1F8"/>
          </w:tcPr>
          <w:p>
            <w:pPr>
              <w:jc w:val="right"/>
              <w:ind w:right="588"/>
              <w:spacing w:after="0" w:line="229" w:lineRule="exact"/>
              <w:rPr>
                <w:sz w:val="20"/>
                <w:szCs w:val="20"/>
                <w:color w:val="auto"/>
              </w:rPr>
            </w:pPr>
            <w:r>
              <w:rPr>
                <w:rFonts w:ascii="Arial" w:cs="Arial" w:eastAsia="Arial" w:hAnsi="Arial"/>
                <w:sz w:val="14"/>
                <w:szCs w:val="14"/>
                <w:color w:val="auto"/>
              </w:rPr>
              <w:t>7,826</w:t>
            </w:r>
            <w:r>
              <w:rPr>
                <w:rFonts w:ascii="Arial" w:cs="Arial" w:eastAsia="Arial" w:hAnsi="Arial"/>
                <w:sz w:val="24"/>
                <w:szCs w:val="24"/>
                <w:color w:val="auto"/>
                <w:vertAlign w:val="superscript"/>
              </w:rPr>
              <w:t>3</w:t>
            </w:r>
          </w:p>
        </w:tc>
        <w:tc>
          <w:tcPr>
            <w:tcW w:w="1580" w:type="dxa"/>
            <w:vAlign w:val="bottom"/>
            <w:tcBorders>
              <w:right w:val="single" w:sz="8" w:color="007CBA"/>
            </w:tcBorders>
            <w:shd w:val="clear" w:color="auto" w:fill="E5F1F8"/>
          </w:tcPr>
          <w:p>
            <w:pPr>
              <w:jc w:val="right"/>
              <w:ind w:right="448"/>
              <w:spacing w:after="0"/>
              <w:rPr>
                <w:sz w:val="20"/>
                <w:szCs w:val="20"/>
                <w:color w:val="auto"/>
              </w:rPr>
            </w:pPr>
            <w:r>
              <w:rPr>
                <w:rFonts w:ascii="Arial" w:cs="Arial" w:eastAsia="Arial" w:hAnsi="Arial"/>
                <w:sz w:val="14"/>
                <w:szCs w:val="14"/>
                <w:color w:val="auto"/>
              </w:rPr>
              <w:t>12,391</w:t>
            </w:r>
          </w:p>
        </w:tc>
        <w:tc>
          <w:tcPr>
            <w:tcW w:w="1160" w:type="dxa"/>
            <w:vAlign w:val="bottom"/>
            <w:shd w:val="clear" w:color="auto" w:fill="E5F1F8"/>
          </w:tcPr>
          <w:p>
            <w:pPr>
              <w:jc w:val="right"/>
              <w:ind w:right="228"/>
              <w:spacing w:after="0"/>
              <w:rPr>
                <w:sz w:val="20"/>
                <w:szCs w:val="20"/>
                <w:color w:val="auto"/>
              </w:rPr>
            </w:pPr>
            <w:r>
              <w:rPr>
                <w:rFonts w:ascii="Arial" w:cs="Arial" w:eastAsia="Arial" w:hAnsi="Arial"/>
                <w:sz w:val="14"/>
                <w:szCs w:val="14"/>
                <w:color w:val="auto"/>
              </w:rPr>
              <w:t>20,217</w:t>
            </w:r>
          </w:p>
        </w:tc>
        <w:tc>
          <w:tcPr>
            <w:tcW w:w="0" w:type="dxa"/>
            <w:vAlign w:val="bottom"/>
          </w:tcPr>
          <w:p>
            <w:pPr>
              <w:spacing w:after="0"/>
              <w:rPr>
                <w:sz w:val="1"/>
                <w:szCs w:val="1"/>
                <w:color w:val="auto"/>
              </w:rPr>
            </w:pPr>
          </w:p>
        </w:tc>
      </w:tr>
      <w:tr>
        <w:trPr>
          <w:trHeight w:val="229"/>
        </w:trPr>
        <w:tc>
          <w:tcPr>
            <w:tcW w:w="352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John J. Koraleski</w:t>
            </w:r>
          </w:p>
        </w:tc>
        <w:tc>
          <w:tcPr>
            <w:tcW w:w="2000" w:type="dxa"/>
            <w:vAlign w:val="bottom"/>
            <w:tcBorders>
              <w:right w:val="single" w:sz="8" w:color="007CBA"/>
            </w:tcBorders>
          </w:tcPr>
          <w:p>
            <w:pPr>
              <w:jc w:val="right"/>
              <w:ind w:right="588"/>
              <w:spacing w:after="0" w:line="229" w:lineRule="exact"/>
              <w:rPr>
                <w:sz w:val="20"/>
                <w:szCs w:val="20"/>
                <w:color w:val="auto"/>
              </w:rPr>
            </w:pPr>
            <w:r>
              <w:rPr>
                <w:rFonts w:ascii="Arial" w:cs="Arial" w:eastAsia="Arial" w:hAnsi="Arial"/>
                <w:sz w:val="14"/>
                <w:szCs w:val="14"/>
                <w:color w:val="auto"/>
              </w:rPr>
              <w:t>6,239</w:t>
            </w:r>
            <w:r>
              <w:rPr>
                <w:rFonts w:ascii="Arial" w:cs="Arial" w:eastAsia="Arial" w:hAnsi="Arial"/>
                <w:sz w:val="24"/>
                <w:szCs w:val="24"/>
                <w:color w:val="auto"/>
                <w:vertAlign w:val="superscript"/>
              </w:rPr>
              <w:t>2</w:t>
            </w:r>
          </w:p>
        </w:tc>
        <w:tc>
          <w:tcPr>
            <w:tcW w:w="1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w w:val="99"/>
              </w:rPr>
              <w:t>—</w:t>
            </w:r>
          </w:p>
        </w:tc>
        <w:tc>
          <w:tcPr>
            <w:tcW w:w="1160" w:type="dxa"/>
            <w:vAlign w:val="bottom"/>
          </w:tcPr>
          <w:p>
            <w:pPr>
              <w:jc w:val="right"/>
              <w:ind w:right="228"/>
              <w:spacing w:after="0"/>
              <w:rPr>
                <w:sz w:val="20"/>
                <w:szCs w:val="20"/>
                <w:color w:val="auto"/>
              </w:rPr>
            </w:pPr>
            <w:r>
              <w:rPr>
                <w:rFonts w:ascii="Arial" w:cs="Arial" w:eastAsia="Arial" w:hAnsi="Arial"/>
                <w:sz w:val="14"/>
                <w:szCs w:val="14"/>
                <w:color w:val="auto"/>
              </w:rPr>
              <w:t>6,239</w:t>
            </w:r>
          </w:p>
        </w:tc>
        <w:tc>
          <w:tcPr>
            <w:tcW w:w="0" w:type="dxa"/>
            <w:vAlign w:val="bottom"/>
          </w:tcPr>
          <w:p>
            <w:pPr>
              <w:spacing w:after="0"/>
              <w:rPr>
                <w:sz w:val="1"/>
                <w:szCs w:val="1"/>
                <w:color w:val="auto"/>
              </w:rPr>
            </w:pPr>
          </w:p>
        </w:tc>
      </w:tr>
      <w:tr>
        <w:trPr>
          <w:trHeight w:val="229"/>
        </w:trPr>
        <w:tc>
          <w:tcPr>
            <w:tcW w:w="35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Donald A. McCunniff</w:t>
            </w:r>
          </w:p>
        </w:tc>
        <w:tc>
          <w:tcPr>
            <w:tcW w:w="2000" w:type="dxa"/>
            <w:vAlign w:val="bottom"/>
            <w:tcBorders>
              <w:right w:val="single" w:sz="8" w:color="007CBA"/>
            </w:tcBorders>
            <w:shd w:val="clear" w:color="auto" w:fill="E5F1F8"/>
          </w:tcPr>
          <w:p>
            <w:pPr>
              <w:jc w:val="right"/>
              <w:ind w:right="588"/>
              <w:spacing w:after="0" w:line="229" w:lineRule="exact"/>
              <w:rPr>
                <w:sz w:val="20"/>
                <w:szCs w:val="20"/>
                <w:color w:val="auto"/>
              </w:rPr>
            </w:pPr>
            <w:r>
              <w:rPr>
                <w:rFonts w:ascii="Arial" w:cs="Arial" w:eastAsia="Arial" w:hAnsi="Arial"/>
                <w:sz w:val="14"/>
                <w:szCs w:val="14"/>
                <w:color w:val="auto"/>
              </w:rPr>
              <w:t>8,527</w:t>
            </w:r>
            <w:r>
              <w:rPr>
                <w:rFonts w:ascii="Arial" w:cs="Arial" w:eastAsia="Arial" w:hAnsi="Arial"/>
                <w:sz w:val="24"/>
                <w:szCs w:val="24"/>
                <w:color w:val="auto"/>
                <w:vertAlign w:val="superscript"/>
              </w:rPr>
              <w:t>3</w:t>
            </w:r>
          </w:p>
        </w:tc>
        <w:tc>
          <w:tcPr>
            <w:tcW w:w="1580" w:type="dxa"/>
            <w:vAlign w:val="bottom"/>
            <w:tcBorders>
              <w:right w:val="single" w:sz="8" w:color="007CBA"/>
            </w:tcBorders>
            <w:shd w:val="clear" w:color="auto" w:fill="E5F1F8"/>
          </w:tcPr>
          <w:p>
            <w:pPr>
              <w:jc w:val="right"/>
              <w:ind w:right="448"/>
              <w:spacing w:after="0"/>
              <w:rPr>
                <w:sz w:val="20"/>
                <w:szCs w:val="20"/>
                <w:color w:val="auto"/>
              </w:rPr>
            </w:pPr>
            <w:r>
              <w:rPr>
                <w:rFonts w:ascii="Arial" w:cs="Arial" w:eastAsia="Arial" w:hAnsi="Arial"/>
                <w:sz w:val="14"/>
                <w:szCs w:val="14"/>
                <w:color w:val="auto"/>
              </w:rPr>
              <w:t>13,510</w:t>
            </w:r>
          </w:p>
        </w:tc>
        <w:tc>
          <w:tcPr>
            <w:tcW w:w="1160" w:type="dxa"/>
            <w:vAlign w:val="bottom"/>
            <w:shd w:val="clear" w:color="auto" w:fill="E5F1F8"/>
          </w:tcPr>
          <w:p>
            <w:pPr>
              <w:jc w:val="right"/>
              <w:ind w:right="228"/>
              <w:spacing w:after="0"/>
              <w:rPr>
                <w:sz w:val="20"/>
                <w:szCs w:val="20"/>
                <w:color w:val="auto"/>
              </w:rPr>
            </w:pPr>
            <w:r>
              <w:rPr>
                <w:rFonts w:ascii="Arial" w:cs="Arial" w:eastAsia="Arial" w:hAnsi="Arial"/>
                <w:sz w:val="14"/>
                <w:szCs w:val="14"/>
                <w:color w:val="auto"/>
              </w:rPr>
              <w:t>22,037</w:t>
            </w:r>
          </w:p>
        </w:tc>
        <w:tc>
          <w:tcPr>
            <w:tcW w:w="0" w:type="dxa"/>
            <w:vAlign w:val="bottom"/>
          </w:tcPr>
          <w:p>
            <w:pPr>
              <w:spacing w:after="0"/>
              <w:rPr>
                <w:sz w:val="1"/>
                <w:szCs w:val="1"/>
                <w:color w:val="auto"/>
              </w:rPr>
            </w:pPr>
          </w:p>
        </w:tc>
      </w:tr>
      <w:tr>
        <w:trPr>
          <w:trHeight w:val="229"/>
        </w:trPr>
        <w:tc>
          <w:tcPr>
            <w:tcW w:w="352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James A. J. Nickolas</w:t>
            </w:r>
          </w:p>
        </w:tc>
        <w:tc>
          <w:tcPr>
            <w:tcW w:w="2000" w:type="dxa"/>
            <w:vAlign w:val="bottom"/>
            <w:tcBorders>
              <w:right w:val="single" w:sz="8" w:color="007CBA"/>
            </w:tcBorders>
          </w:tcPr>
          <w:p>
            <w:pPr>
              <w:jc w:val="right"/>
              <w:ind w:right="588"/>
              <w:spacing w:after="0" w:line="229" w:lineRule="exact"/>
              <w:rPr>
                <w:sz w:val="20"/>
                <w:szCs w:val="20"/>
                <w:color w:val="auto"/>
              </w:rPr>
            </w:pPr>
            <w:r>
              <w:rPr>
                <w:rFonts w:ascii="Arial" w:cs="Arial" w:eastAsia="Arial" w:hAnsi="Arial"/>
                <w:sz w:val="14"/>
                <w:szCs w:val="14"/>
                <w:color w:val="auto"/>
              </w:rPr>
              <w:t>1,430</w:t>
            </w:r>
            <w:r>
              <w:rPr>
                <w:rFonts w:ascii="Arial" w:cs="Arial" w:eastAsia="Arial" w:hAnsi="Arial"/>
                <w:sz w:val="24"/>
                <w:szCs w:val="24"/>
                <w:color w:val="auto"/>
                <w:vertAlign w:val="superscript"/>
              </w:rPr>
              <w:t>3</w:t>
            </w:r>
          </w:p>
        </w:tc>
        <w:tc>
          <w:tcPr>
            <w:tcW w:w="1580" w:type="dxa"/>
            <w:vAlign w:val="bottom"/>
            <w:tcBorders>
              <w:right w:val="single" w:sz="8" w:color="007CBA"/>
            </w:tcBorders>
          </w:tcPr>
          <w:p>
            <w:pPr>
              <w:jc w:val="right"/>
              <w:ind w:right="448"/>
              <w:spacing w:after="0"/>
              <w:rPr>
                <w:sz w:val="20"/>
                <w:szCs w:val="20"/>
                <w:color w:val="auto"/>
              </w:rPr>
            </w:pPr>
            <w:r>
              <w:rPr>
                <w:rFonts w:ascii="Arial" w:cs="Arial" w:eastAsia="Arial" w:hAnsi="Arial"/>
                <w:sz w:val="14"/>
                <w:szCs w:val="14"/>
                <w:color w:val="auto"/>
              </w:rPr>
              <w:t>9,246</w:t>
            </w:r>
          </w:p>
        </w:tc>
        <w:tc>
          <w:tcPr>
            <w:tcW w:w="1160" w:type="dxa"/>
            <w:vAlign w:val="bottom"/>
          </w:tcPr>
          <w:p>
            <w:pPr>
              <w:jc w:val="right"/>
              <w:ind w:right="228"/>
              <w:spacing w:after="0"/>
              <w:rPr>
                <w:sz w:val="20"/>
                <w:szCs w:val="20"/>
                <w:color w:val="auto"/>
              </w:rPr>
            </w:pPr>
            <w:r>
              <w:rPr>
                <w:rFonts w:ascii="Arial" w:cs="Arial" w:eastAsia="Arial" w:hAnsi="Arial"/>
                <w:sz w:val="14"/>
                <w:szCs w:val="14"/>
                <w:color w:val="auto"/>
              </w:rPr>
              <w:t>10,676</w:t>
            </w:r>
          </w:p>
        </w:tc>
        <w:tc>
          <w:tcPr>
            <w:tcW w:w="0" w:type="dxa"/>
            <w:vAlign w:val="bottom"/>
          </w:tcPr>
          <w:p>
            <w:pPr>
              <w:spacing w:after="0"/>
              <w:rPr>
                <w:sz w:val="1"/>
                <w:szCs w:val="1"/>
                <w:color w:val="auto"/>
              </w:rPr>
            </w:pPr>
          </w:p>
        </w:tc>
      </w:tr>
      <w:tr>
        <w:trPr>
          <w:trHeight w:val="229"/>
        </w:trPr>
        <w:tc>
          <w:tcPr>
            <w:tcW w:w="35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C. Howard Nye</w:t>
            </w:r>
          </w:p>
        </w:tc>
        <w:tc>
          <w:tcPr>
            <w:tcW w:w="2000" w:type="dxa"/>
            <w:vAlign w:val="bottom"/>
            <w:tcBorders>
              <w:right w:val="single" w:sz="8" w:color="007CBA"/>
            </w:tcBorders>
            <w:shd w:val="clear" w:color="auto" w:fill="E5F1F8"/>
          </w:tcPr>
          <w:p>
            <w:pPr>
              <w:jc w:val="right"/>
              <w:ind w:right="588"/>
              <w:spacing w:after="0" w:line="229" w:lineRule="exact"/>
              <w:rPr>
                <w:sz w:val="20"/>
                <w:szCs w:val="20"/>
                <w:color w:val="auto"/>
              </w:rPr>
            </w:pPr>
            <w:r>
              <w:rPr>
                <w:rFonts w:ascii="Arial" w:cs="Arial" w:eastAsia="Arial" w:hAnsi="Arial"/>
                <w:sz w:val="14"/>
                <w:szCs w:val="14"/>
                <w:color w:val="auto"/>
              </w:rPr>
              <w:t>148,104</w:t>
            </w:r>
            <w:r>
              <w:rPr>
                <w:rFonts w:ascii="Arial" w:cs="Arial" w:eastAsia="Arial" w:hAnsi="Arial"/>
                <w:sz w:val="24"/>
                <w:szCs w:val="24"/>
                <w:color w:val="auto"/>
                <w:vertAlign w:val="superscript"/>
              </w:rPr>
              <w:t>3</w:t>
            </w:r>
          </w:p>
        </w:tc>
        <w:tc>
          <w:tcPr>
            <w:tcW w:w="1580" w:type="dxa"/>
            <w:vAlign w:val="bottom"/>
            <w:tcBorders>
              <w:right w:val="single" w:sz="8" w:color="007CBA"/>
            </w:tcBorders>
            <w:shd w:val="clear" w:color="auto" w:fill="E5F1F8"/>
          </w:tcPr>
          <w:p>
            <w:pPr>
              <w:jc w:val="right"/>
              <w:ind w:right="448"/>
              <w:spacing w:after="0"/>
              <w:rPr>
                <w:sz w:val="20"/>
                <w:szCs w:val="20"/>
                <w:color w:val="auto"/>
              </w:rPr>
            </w:pPr>
            <w:r>
              <w:rPr>
                <w:rFonts w:ascii="Arial" w:cs="Arial" w:eastAsia="Arial" w:hAnsi="Arial"/>
                <w:sz w:val="14"/>
                <w:szCs w:val="14"/>
                <w:color w:val="auto"/>
              </w:rPr>
              <w:t>64,293</w:t>
            </w:r>
          </w:p>
        </w:tc>
        <w:tc>
          <w:tcPr>
            <w:tcW w:w="1160" w:type="dxa"/>
            <w:vAlign w:val="bottom"/>
            <w:shd w:val="clear" w:color="auto" w:fill="E5F1F8"/>
          </w:tcPr>
          <w:p>
            <w:pPr>
              <w:jc w:val="right"/>
              <w:ind w:right="228"/>
              <w:spacing w:after="0"/>
              <w:rPr>
                <w:sz w:val="20"/>
                <w:szCs w:val="20"/>
                <w:color w:val="auto"/>
              </w:rPr>
            </w:pPr>
            <w:r>
              <w:rPr>
                <w:rFonts w:ascii="Arial" w:cs="Arial" w:eastAsia="Arial" w:hAnsi="Arial"/>
                <w:sz w:val="14"/>
                <w:szCs w:val="14"/>
                <w:color w:val="auto"/>
              </w:rPr>
              <w:t>212,397</w:t>
            </w:r>
          </w:p>
        </w:tc>
        <w:tc>
          <w:tcPr>
            <w:tcW w:w="0" w:type="dxa"/>
            <w:vAlign w:val="bottom"/>
          </w:tcPr>
          <w:p>
            <w:pPr>
              <w:spacing w:after="0"/>
              <w:rPr>
                <w:sz w:val="1"/>
                <w:szCs w:val="1"/>
                <w:color w:val="auto"/>
              </w:rPr>
            </w:pPr>
          </w:p>
        </w:tc>
      </w:tr>
      <w:tr>
        <w:trPr>
          <w:trHeight w:val="229"/>
        </w:trPr>
        <w:tc>
          <w:tcPr>
            <w:tcW w:w="352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Laree E. Perez</w:t>
            </w:r>
          </w:p>
        </w:tc>
        <w:tc>
          <w:tcPr>
            <w:tcW w:w="2000" w:type="dxa"/>
            <w:vAlign w:val="bottom"/>
            <w:tcBorders>
              <w:right w:val="single" w:sz="8" w:color="007CBA"/>
            </w:tcBorders>
          </w:tcPr>
          <w:p>
            <w:pPr>
              <w:jc w:val="right"/>
              <w:ind w:right="588"/>
              <w:spacing w:after="0" w:line="229" w:lineRule="exact"/>
              <w:rPr>
                <w:sz w:val="20"/>
                <w:szCs w:val="20"/>
                <w:color w:val="auto"/>
              </w:rPr>
            </w:pPr>
            <w:r>
              <w:rPr>
                <w:rFonts w:ascii="Arial" w:cs="Arial" w:eastAsia="Arial" w:hAnsi="Arial"/>
                <w:sz w:val="14"/>
                <w:szCs w:val="14"/>
                <w:color w:val="auto"/>
              </w:rPr>
              <w:t>14,811</w:t>
            </w:r>
            <w:r>
              <w:rPr>
                <w:rFonts w:ascii="Arial" w:cs="Arial" w:eastAsia="Arial" w:hAnsi="Arial"/>
                <w:sz w:val="24"/>
                <w:szCs w:val="24"/>
                <w:color w:val="auto"/>
                <w:vertAlign w:val="superscript"/>
              </w:rPr>
              <w:t>2</w:t>
            </w:r>
          </w:p>
        </w:tc>
        <w:tc>
          <w:tcPr>
            <w:tcW w:w="1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w w:val="99"/>
              </w:rPr>
              <w:t>—</w:t>
            </w:r>
          </w:p>
        </w:tc>
        <w:tc>
          <w:tcPr>
            <w:tcW w:w="1160" w:type="dxa"/>
            <w:vAlign w:val="bottom"/>
          </w:tcPr>
          <w:p>
            <w:pPr>
              <w:jc w:val="right"/>
              <w:ind w:right="228"/>
              <w:spacing w:after="0"/>
              <w:rPr>
                <w:sz w:val="20"/>
                <w:szCs w:val="20"/>
                <w:color w:val="auto"/>
              </w:rPr>
            </w:pPr>
            <w:r>
              <w:rPr>
                <w:rFonts w:ascii="Arial" w:cs="Arial" w:eastAsia="Arial" w:hAnsi="Arial"/>
                <w:sz w:val="14"/>
                <w:szCs w:val="14"/>
                <w:color w:val="auto"/>
              </w:rPr>
              <w:t>14,811</w:t>
            </w:r>
          </w:p>
        </w:tc>
        <w:tc>
          <w:tcPr>
            <w:tcW w:w="0" w:type="dxa"/>
            <w:vAlign w:val="bottom"/>
          </w:tcPr>
          <w:p>
            <w:pPr>
              <w:spacing w:after="0"/>
              <w:rPr>
                <w:sz w:val="1"/>
                <w:szCs w:val="1"/>
                <w:color w:val="auto"/>
              </w:rPr>
            </w:pPr>
          </w:p>
        </w:tc>
      </w:tr>
      <w:tr>
        <w:trPr>
          <w:trHeight w:val="229"/>
        </w:trPr>
        <w:tc>
          <w:tcPr>
            <w:tcW w:w="35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Michael J. Quillen</w:t>
            </w:r>
          </w:p>
        </w:tc>
        <w:tc>
          <w:tcPr>
            <w:tcW w:w="2000" w:type="dxa"/>
            <w:vAlign w:val="bottom"/>
            <w:tcBorders>
              <w:right w:val="single" w:sz="8" w:color="007CBA"/>
            </w:tcBorders>
            <w:shd w:val="clear" w:color="auto" w:fill="E5F1F8"/>
          </w:tcPr>
          <w:p>
            <w:pPr>
              <w:jc w:val="right"/>
              <w:ind w:right="588"/>
              <w:spacing w:after="0" w:line="229" w:lineRule="exact"/>
              <w:rPr>
                <w:sz w:val="20"/>
                <w:szCs w:val="20"/>
                <w:color w:val="auto"/>
              </w:rPr>
            </w:pPr>
            <w:r>
              <w:rPr>
                <w:rFonts w:ascii="Arial" w:cs="Arial" w:eastAsia="Arial" w:hAnsi="Arial"/>
                <w:sz w:val="14"/>
                <w:szCs w:val="14"/>
                <w:color w:val="auto"/>
              </w:rPr>
              <w:t>18,738</w:t>
            </w:r>
            <w:r>
              <w:rPr>
                <w:rFonts w:ascii="Arial" w:cs="Arial" w:eastAsia="Arial" w:hAnsi="Arial"/>
                <w:sz w:val="24"/>
                <w:szCs w:val="24"/>
                <w:color w:val="auto"/>
                <w:vertAlign w:val="superscript"/>
              </w:rPr>
              <w:t>2</w:t>
            </w:r>
          </w:p>
        </w:tc>
        <w:tc>
          <w:tcPr>
            <w:tcW w:w="1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w w:val="99"/>
              </w:rPr>
              <w:t>—</w:t>
            </w:r>
          </w:p>
        </w:tc>
        <w:tc>
          <w:tcPr>
            <w:tcW w:w="1160" w:type="dxa"/>
            <w:vAlign w:val="bottom"/>
            <w:shd w:val="clear" w:color="auto" w:fill="E5F1F8"/>
          </w:tcPr>
          <w:p>
            <w:pPr>
              <w:jc w:val="right"/>
              <w:ind w:right="228"/>
              <w:spacing w:after="0"/>
              <w:rPr>
                <w:sz w:val="20"/>
                <w:szCs w:val="20"/>
                <w:color w:val="auto"/>
              </w:rPr>
            </w:pPr>
            <w:r>
              <w:rPr>
                <w:rFonts w:ascii="Arial" w:cs="Arial" w:eastAsia="Arial" w:hAnsi="Arial"/>
                <w:sz w:val="14"/>
                <w:szCs w:val="14"/>
                <w:color w:val="auto"/>
              </w:rPr>
              <w:t>18,738</w:t>
            </w:r>
          </w:p>
        </w:tc>
        <w:tc>
          <w:tcPr>
            <w:tcW w:w="0" w:type="dxa"/>
            <w:vAlign w:val="bottom"/>
          </w:tcPr>
          <w:p>
            <w:pPr>
              <w:spacing w:after="0"/>
              <w:rPr>
                <w:sz w:val="1"/>
                <w:szCs w:val="1"/>
                <w:color w:val="auto"/>
              </w:rPr>
            </w:pPr>
          </w:p>
        </w:tc>
      </w:tr>
      <w:tr>
        <w:trPr>
          <w:trHeight w:val="229"/>
        </w:trPr>
        <w:tc>
          <w:tcPr>
            <w:tcW w:w="352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Dennis L. Rediker</w:t>
            </w:r>
          </w:p>
        </w:tc>
        <w:tc>
          <w:tcPr>
            <w:tcW w:w="2000" w:type="dxa"/>
            <w:vAlign w:val="bottom"/>
            <w:tcBorders>
              <w:right w:val="single" w:sz="8" w:color="007CBA"/>
            </w:tcBorders>
          </w:tcPr>
          <w:p>
            <w:pPr>
              <w:jc w:val="right"/>
              <w:ind w:right="588"/>
              <w:spacing w:after="0" w:line="229" w:lineRule="exact"/>
              <w:rPr>
                <w:sz w:val="20"/>
                <w:szCs w:val="20"/>
                <w:color w:val="auto"/>
              </w:rPr>
            </w:pPr>
            <w:r>
              <w:rPr>
                <w:rFonts w:ascii="Arial" w:cs="Arial" w:eastAsia="Arial" w:hAnsi="Arial"/>
                <w:sz w:val="14"/>
                <w:szCs w:val="14"/>
                <w:color w:val="auto"/>
              </w:rPr>
              <w:t>19,554</w:t>
            </w:r>
            <w:r>
              <w:rPr>
                <w:rFonts w:ascii="Arial" w:cs="Arial" w:eastAsia="Arial" w:hAnsi="Arial"/>
                <w:sz w:val="24"/>
                <w:szCs w:val="24"/>
                <w:color w:val="auto"/>
                <w:vertAlign w:val="superscript"/>
              </w:rPr>
              <w:t>2</w:t>
            </w:r>
          </w:p>
        </w:tc>
        <w:tc>
          <w:tcPr>
            <w:tcW w:w="1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w w:val="99"/>
              </w:rPr>
              <w:t>—</w:t>
            </w:r>
          </w:p>
        </w:tc>
        <w:tc>
          <w:tcPr>
            <w:tcW w:w="1160" w:type="dxa"/>
            <w:vAlign w:val="bottom"/>
          </w:tcPr>
          <w:p>
            <w:pPr>
              <w:jc w:val="right"/>
              <w:ind w:right="228"/>
              <w:spacing w:after="0"/>
              <w:rPr>
                <w:sz w:val="20"/>
                <w:szCs w:val="20"/>
                <w:color w:val="auto"/>
              </w:rPr>
            </w:pPr>
            <w:r>
              <w:rPr>
                <w:rFonts w:ascii="Arial" w:cs="Arial" w:eastAsia="Arial" w:hAnsi="Arial"/>
                <w:sz w:val="14"/>
                <w:szCs w:val="14"/>
                <w:color w:val="auto"/>
              </w:rPr>
              <w:t>19,554</w:t>
            </w:r>
          </w:p>
        </w:tc>
        <w:tc>
          <w:tcPr>
            <w:tcW w:w="0" w:type="dxa"/>
            <w:vAlign w:val="bottom"/>
          </w:tcPr>
          <w:p>
            <w:pPr>
              <w:spacing w:after="0"/>
              <w:rPr>
                <w:sz w:val="1"/>
                <w:szCs w:val="1"/>
                <w:color w:val="auto"/>
              </w:rPr>
            </w:pPr>
          </w:p>
        </w:tc>
      </w:tr>
      <w:tr>
        <w:trPr>
          <w:trHeight w:val="229"/>
        </w:trPr>
        <w:tc>
          <w:tcPr>
            <w:tcW w:w="35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Donald W. Slager</w:t>
            </w:r>
          </w:p>
        </w:tc>
        <w:tc>
          <w:tcPr>
            <w:tcW w:w="2000" w:type="dxa"/>
            <w:vAlign w:val="bottom"/>
            <w:tcBorders>
              <w:right w:val="single" w:sz="8" w:color="007CBA"/>
            </w:tcBorders>
            <w:shd w:val="clear" w:color="auto" w:fill="E5F1F8"/>
          </w:tcPr>
          <w:p>
            <w:pPr>
              <w:jc w:val="right"/>
              <w:ind w:right="588"/>
              <w:spacing w:after="0" w:line="229" w:lineRule="exact"/>
              <w:rPr>
                <w:sz w:val="20"/>
                <w:szCs w:val="20"/>
                <w:color w:val="auto"/>
              </w:rPr>
            </w:pPr>
            <w:r>
              <w:rPr>
                <w:rFonts w:ascii="Arial" w:cs="Arial" w:eastAsia="Arial" w:hAnsi="Arial"/>
                <w:sz w:val="14"/>
                <w:szCs w:val="14"/>
                <w:color w:val="auto"/>
              </w:rPr>
              <w:t>1,587</w:t>
            </w:r>
            <w:r>
              <w:rPr>
                <w:rFonts w:ascii="Arial" w:cs="Arial" w:eastAsia="Arial" w:hAnsi="Arial"/>
                <w:sz w:val="24"/>
                <w:szCs w:val="24"/>
                <w:color w:val="auto"/>
                <w:vertAlign w:val="superscript"/>
              </w:rPr>
              <w:t>2</w:t>
            </w:r>
          </w:p>
        </w:tc>
        <w:tc>
          <w:tcPr>
            <w:tcW w:w="1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w w:val="99"/>
              </w:rPr>
              <w:t>—</w:t>
            </w:r>
          </w:p>
        </w:tc>
        <w:tc>
          <w:tcPr>
            <w:tcW w:w="1160" w:type="dxa"/>
            <w:vAlign w:val="bottom"/>
            <w:shd w:val="clear" w:color="auto" w:fill="E5F1F8"/>
          </w:tcPr>
          <w:p>
            <w:pPr>
              <w:jc w:val="right"/>
              <w:ind w:right="228"/>
              <w:spacing w:after="0"/>
              <w:rPr>
                <w:sz w:val="20"/>
                <w:szCs w:val="20"/>
                <w:color w:val="auto"/>
              </w:rPr>
            </w:pPr>
            <w:r>
              <w:rPr>
                <w:rFonts w:ascii="Arial" w:cs="Arial" w:eastAsia="Arial" w:hAnsi="Arial"/>
                <w:sz w:val="14"/>
                <w:szCs w:val="14"/>
                <w:color w:val="auto"/>
              </w:rPr>
              <w:t>1,587</w:t>
            </w:r>
          </w:p>
        </w:tc>
        <w:tc>
          <w:tcPr>
            <w:tcW w:w="0" w:type="dxa"/>
            <w:vAlign w:val="bottom"/>
          </w:tcPr>
          <w:p>
            <w:pPr>
              <w:spacing w:after="0"/>
              <w:rPr>
                <w:sz w:val="1"/>
                <w:szCs w:val="1"/>
                <w:color w:val="auto"/>
              </w:rPr>
            </w:pPr>
          </w:p>
        </w:tc>
      </w:tr>
      <w:tr>
        <w:trPr>
          <w:trHeight w:val="229"/>
        </w:trPr>
        <w:tc>
          <w:tcPr>
            <w:tcW w:w="352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Stephen P. Zelnak, Jr.</w:t>
            </w:r>
          </w:p>
        </w:tc>
        <w:tc>
          <w:tcPr>
            <w:tcW w:w="2000" w:type="dxa"/>
            <w:vAlign w:val="bottom"/>
            <w:tcBorders>
              <w:right w:val="single" w:sz="8" w:color="007CBA"/>
            </w:tcBorders>
          </w:tcPr>
          <w:p>
            <w:pPr>
              <w:jc w:val="right"/>
              <w:ind w:right="588"/>
              <w:spacing w:after="0" w:line="229" w:lineRule="exact"/>
              <w:rPr>
                <w:sz w:val="20"/>
                <w:szCs w:val="20"/>
                <w:color w:val="auto"/>
              </w:rPr>
            </w:pPr>
            <w:r>
              <w:rPr>
                <w:rFonts w:ascii="Arial" w:cs="Arial" w:eastAsia="Arial" w:hAnsi="Arial"/>
                <w:sz w:val="14"/>
                <w:szCs w:val="14"/>
                <w:color w:val="auto"/>
              </w:rPr>
              <w:t>22,144</w:t>
            </w:r>
            <w:r>
              <w:rPr>
                <w:rFonts w:ascii="Arial" w:cs="Arial" w:eastAsia="Arial" w:hAnsi="Arial"/>
                <w:sz w:val="24"/>
                <w:szCs w:val="24"/>
                <w:color w:val="auto"/>
                <w:vertAlign w:val="superscript"/>
              </w:rPr>
              <w:t>2</w:t>
            </w:r>
          </w:p>
        </w:tc>
        <w:tc>
          <w:tcPr>
            <w:tcW w:w="1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w w:val="99"/>
              </w:rPr>
              <w:t>—</w:t>
            </w:r>
          </w:p>
        </w:tc>
        <w:tc>
          <w:tcPr>
            <w:tcW w:w="1160" w:type="dxa"/>
            <w:vAlign w:val="bottom"/>
          </w:tcPr>
          <w:p>
            <w:pPr>
              <w:jc w:val="right"/>
              <w:ind w:right="228"/>
              <w:spacing w:after="0"/>
              <w:rPr>
                <w:sz w:val="20"/>
                <w:szCs w:val="20"/>
                <w:color w:val="auto"/>
              </w:rPr>
            </w:pPr>
            <w:r>
              <w:rPr>
                <w:rFonts w:ascii="Arial" w:cs="Arial" w:eastAsia="Arial" w:hAnsi="Arial"/>
                <w:sz w:val="14"/>
                <w:szCs w:val="14"/>
                <w:color w:val="auto"/>
              </w:rPr>
              <w:t>22,144</w:t>
            </w:r>
          </w:p>
        </w:tc>
        <w:tc>
          <w:tcPr>
            <w:tcW w:w="0" w:type="dxa"/>
            <w:vAlign w:val="bottom"/>
          </w:tcPr>
          <w:p>
            <w:pPr>
              <w:spacing w:after="0"/>
              <w:rPr>
                <w:sz w:val="1"/>
                <w:szCs w:val="1"/>
                <w:color w:val="auto"/>
              </w:rPr>
            </w:pPr>
          </w:p>
        </w:tc>
      </w:tr>
      <w:tr>
        <w:trPr>
          <w:trHeight w:val="180"/>
        </w:trPr>
        <w:tc>
          <w:tcPr>
            <w:tcW w:w="35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All Directors and executive officers as a group</w:t>
            </w:r>
          </w:p>
        </w:tc>
        <w:tc>
          <w:tcPr>
            <w:tcW w:w="2000" w:type="dxa"/>
            <w:vAlign w:val="bottom"/>
            <w:tcBorders>
              <w:right w:val="single" w:sz="8" w:color="007CBA"/>
            </w:tcBorders>
            <w:vMerge w:val="restart"/>
            <w:shd w:val="clear" w:color="auto" w:fill="E5F1F8"/>
          </w:tcPr>
          <w:p>
            <w:pPr>
              <w:jc w:val="right"/>
              <w:ind w:right="488"/>
              <w:spacing w:after="0"/>
              <w:rPr>
                <w:sz w:val="20"/>
                <w:szCs w:val="20"/>
                <w:color w:val="auto"/>
              </w:rPr>
            </w:pPr>
            <w:r>
              <w:rPr>
                <w:rFonts w:ascii="Arial" w:cs="Arial" w:eastAsia="Arial" w:hAnsi="Arial"/>
                <w:sz w:val="14"/>
                <w:szCs w:val="14"/>
                <w:color w:val="auto"/>
              </w:rPr>
              <w:t>331,400</w:t>
            </w:r>
            <w:r>
              <w:rPr>
                <w:rFonts w:ascii="Arial" w:cs="Arial" w:eastAsia="Arial" w:hAnsi="Arial"/>
                <w:sz w:val="24"/>
                <w:szCs w:val="24"/>
                <w:color w:val="auto"/>
                <w:vertAlign w:val="superscript"/>
              </w:rPr>
              <w:t>2,4</w:t>
            </w:r>
          </w:p>
        </w:tc>
        <w:tc>
          <w:tcPr>
            <w:tcW w:w="1580" w:type="dxa"/>
            <w:vAlign w:val="bottom"/>
            <w:tcBorders>
              <w:right w:val="single" w:sz="8" w:color="007CBA"/>
            </w:tcBorders>
            <w:shd w:val="clear" w:color="auto" w:fill="E5F1F8"/>
          </w:tcPr>
          <w:p>
            <w:pPr>
              <w:spacing w:after="0"/>
              <w:rPr>
                <w:sz w:val="15"/>
                <w:szCs w:val="15"/>
                <w:color w:val="auto"/>
              </w:rPr>
            </w:pPr>
          </w:p>
        </w:tc>
        <w:tc>
          <w:tcPr>
            <w:tcW w:w="1160" w:type="dxa"/>
            <w:vAlign w:val="bottom"/>
            <w:shd w:val="clear" w:color="auto" w:fill="E5F1F8"/>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520" w:type="dxa"/>
            <w:vAlign w:val="bottom"/>
            <w:tcBorders>
              <w:bottom w:val="single" w:sz="8" w:color="007CBA"/>
              <w:right w:val="single" w:sz="8" w:color="007CBA"/>
            </w:tcBorders>
            <w:shd w:val="clear" w:color="auto" w:fill="E5F1F8"/>
          </w:tcPr>
          <w:p>
            <w:pPr>
              <w:ind w:left="80"/>
              <w:spacing w:after="0" w:line="157" w:lineRule="exact"/>
              <w:rPr>
                <w:sz w:val="20"/>
                <w:szCs w:val="20"/>
                <w:color w:val="auto"/>
              </w:rPr>
            </w:pPr>
            <w:r>
              <w:rPr>
                <w:rFonts w:ascii="Arial" w:cs="Arial" w:eastAsia="Arial" w:hAnsi="Arial"/>
                <w:sz w:val="14"/>
                <w:szCs w:val="14"/>
                <w:color w:val="auto"/>
              </w:rPr>
              <w:t>(15 individuals including those named above)</w:t>
            </w:r>
          </w:p>
        </w:tc>
        <w:tc>
          <w:tcPr>
            <w:tcW w:w="2000" w:type="dxa"/>
            <w:vAlign w:val="bottom"/>
            <w:tcBorders>
              <w:bottom w:val="single" w:sz="8" w:color="007CBA"/>
              <w:right w:val="single" w:sz="8" w:color="007CBA"/>
            </w:tcBorders>
            <w:vMerge w:val="continue"/>
            <w:shd w:val="clear" w:color="auto" w:fill="E5F1F8"/>
          </w:tcPr>
          <w:p>
            <w:pPr>
              <w:spacing w:after="0"/>
              <w:rPr>
                <w:sz w:val="13"/>
                <w:szCs w:val="13"/>
                <w:color w:val="auto"/>
              </w:rPr>
            </w:pPr>
          </w:p>
        </w:tc>
        <w:tc>
          <w:tcPr>
            <w:tcW w:w="1580" w:type="dxa"/>
            <w:vAlign w:val="bottom"/>
            <w:tcBorders>
              <w:bottom w:val="single" w:sz="8" w:color="007CBA"/>
              <w:right w:val="single" w:sz="8" w:color="007CBA"/>
            </w:tcBorders>
            <w:shd w:val="clear" w:color="auto" w:fill="E5F1F8"/>
          </w:tcPr>
          <w:p>
            <w:pPr>
              <w:jc w:val="center"/>
              <w:spacing w:after="0" w:line="157" w:lineRule="exact"/>
              <w:rPr>
                <w:sz w:val="20"/>
                <w:szCs w:val="20"/>
                <w:color w:val="auto"/>
              </w:rPr>
            </w:pPr>
            <w:r>
              <w:rPr>
                <w:rFonts w:ascii="Arial" w:cs="Arial" w:eastAsia="Arial" w:hAnsi="Arial"/>
                <w:sz w:val="14"/>
                <w:szCs w:val="14"/>
                <w:color w:val="auto"/>
              </w:rPr>
              <w:t>126,972</w:t>
            </w:r>
          </w:p>
        </w:tc>
        <w:tc>
          <w:tcPr>
            <w:tcW w:w="1160" w:type="dxa"/>
            <w:vAlign w:val="bottom"/>
            <w:tcBorders>
              <w:bottom w:val="single" w:sz="8" w:color="007CBA"/>
            </w:tcBorders>
            <w:shd w:val="clear" w:color="auto" w:fill="E5F1F8"/>
          </w:tcPr>
          <w:p>
            <w:pPr>
              <w:jc w:val="right"/>
              <w:ind w:right="228"/>
              <w:spacing w:after="0" w:line="157" w:lineRule="exact"/>
              <w:rPr>
                <w:sz w:val="20"/>
                <w:szCs w:val="20"/>
                <w:color w:val="auto"/>
              </w:rPr>
            </w:pPr>
            <w:r>
              <w:rPr>
                <w:rFonts w:ascii="Arial" w:cs="Arial" w:eastAsia="Arial" w:hAnsi="Arial"/>
                <w:sz w:val="14"/>
                <w:szCs w:val="14"/>
                <w:color w:val="auto"/>
              </w:rPr>
              <w:t>458,372</w:t>
            </w: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left="340" w:right="20" w:hanging="130"/>
        <w:spacing w:after="0" w:line="199" w:lineRule="auto"/>
        <w:tabs>
          <w:tab w:leader="none" w:pos="340" w:val="left"/>
        </w:tabs>
        <w:numPr>
          <w:ilvl w:val="0"/>
          <w:numId w:val="63"/>
        </w:numPr>
        <w:rPr>
          <w:rFonts w:ascii="Arial" w:cs="Arial" w:eastAsia="Arial" w:hAnsi="Arial"/>
          <w:sz w:val="24"/>
          <w:szCs w:val="24"/>
          <w:color w:val="auto"/>
          <w:vertAlign w:val="superscript"/>
        </w:rPr>
      </w:pPr>
      <w:r>
        <w:rPr>
          <w:rFonts w:ascii="Arial" w:cs="Arial" w:eastAsia="Arial" w:hAnsi="Arial"/>
          <w:sz w:val="14"/>
          <w:szCs w:val="14"/>
          <w:color w:val="auto"/>
        </w:rPr>
        <w:t>As to the shares reported, unless indicated otherwise, (i) beneficial ownership is direct, and (ii) the person indicated has sole voting and investment power. None of the Directors or named executive officers individually own in excess of one percent of the shares of common stock outstanding. All Directors and executive officers as a group own 0.73% of the shares of common stock outstanding as of March 8, 2019. None of the shares reported are pledged as security.</w:t>
      </w:r>
    </w:p>
    <w:p>
      <w:pPr>
        <w:spacing w:after="0" w:line="57" w:lineRule="exact"/>
        <w:rPr>
          <w:sz w:val="20"/>
          <w:szCs w:val="20"/>
          <w:color w:val="auto"/>
        </w:rPr>
      </w:pPr>
    </w:p>
    <w:p>
      <w:pPr>
        <w:jc w:val="both"/>
        <w:ind w:left="340" w:hanging="130"/>
        <w:spacing w:after="0" w:line="213" w:lineRule="auto"/>
        <w:tabs>
          <w:tab w:leader="none" w:pos="340" w:val="left"/>
        </w:tabs>
        <w:numPr>
          <w:ilvl w:val="0"/>
          <w:numId w:val="64"/>
        </w:numPr>
        <w:rPr>
          <w:rFonts w:ascii="Arial" w:cs="Arial" w:eastAsia="Arial" w:hAnsi="Arial"/>
          <w:sz w:val="24"/>
          <w:szCs w:val="24"/>
          <w:color w:val="auto"/>
          <w:vertAlign w:val="superscript"/>
        </w:rPr>
      </w:pPr>
      <w:r>
        <w:rPr>
          <w:rFonts w:ascii="Arial" w:cs="Arial" w:eastAsia="Arial" w:hAnsi="Arial"/>
          <w:sz w:val="14"/>
          <w:szCs w:val="14"/>
          <w:color w:val="auto"/>
        </w:rPr>
        <w:t>Amounts reported include (1) compensation paid on an annual basis that Directors have received in common stock units that are deferred pursuant to the Amended and Restated Martin Marietta Materials, Inc. Common Stock Purchase Plan for Directors and (2) RSUs that each Director received in 2018 as part of their compensation. The Directors do not have voting or investment power for their respective common stock units and RSUs. The number of common stock units credited to each of the Directors pursuant to the Common Stock Purchase Plan as of March 8, 2019 is as follows: Ms. Ables, 0; Ms. Cole, 15,860; Mr. Davis, 623; Mr. Koraleski, 791; Ms. Perez, 5,258; Mr. Quillen, 7,218; Mr. Rediker, 10,001; Mr. Slager, 0; and Mr. Zelnak, 6,620.</w:t>
      </w:r>
    </w:p>
    <w:p>
      <w:pPr>
        <w:spacing w:after="0" w:line="60" w:lineRule="exact"/>
        <w:rPr>
          <w:sz w:val="20"/>
          <w:szCs w:val="20"/>
          <w:color w:val="auto"/>
        </w:rPr>
      </w:pPr>
    </w:p>
    <w:p>
      <w:pPr>
        <w:jc w:val="both"/>
        <w:ind w:left="340" w:hanging="130"/>
        <w:spacing w:after="0" w:line="199" w:lineRule="auto"/>
        <w:tabs>
          <w:tab w:leader="none" w:pos="340" w:val="left"/>
        </w:tabs>
        <w:numPr>
          <w:ilvl w:val="0"/>
          <w:numId w:val="65"/>
        </w:numPr>
        <w:rPr>
          <w:rFonts w:ascii="Arial" w:cs="Arial" w:eastAsia="Arial" w:hAnsi="Arial"/>
          <w:sz w:val="24"/>
          <w:szCs w:val="24"/>
          <w:color w:val="auto"/>
          <w:vertAlign w:val="superscript"/>
        </w:rPr>
      </w:pPr>
      <w:r>
        <w:rPr>
          <w:rFonts w:ascii="Arial" w:cs="Arial" w:eastAsia="Arial" w:hAnsi="Arial"/>
          <w:sz w:val="14"/>
          <w:szCs w:val="14"/>
          <w:color w:val="auto"/>
        </w:rPr>
        <w:t>The number of shares owned for each of Mr. Nye, Ms. Bar, Mr. McCunniff, Mr. Grant, Mr. Nickolas and all Directors and executive officers as a group assumes that options held by each of them covering shares of common stock in the amounts indicated, which are currently exercisable within 60 days of March 8, 2019, have been exercised: Mr. Nye, 56,533; Ms. Bar, 11,221; Mr. McCunniff, 8,251; Mr. Grant, 1,534; Mr. Nickolas, 0 and all Directors and executive officers as a group, 77,539.</w:t>
      </w:r>
    </w:p>
    <w:p>
      <w:pPr>
        <w:ind w:left="340" w:hanging="130"/>
        <w:spacing w:after="0" w:line="199" w:lineRule="auto"/>
        <w:tabs>
          <w:tab w:leader="none" w:pos="340" w:val="left"/>
        </w:tabs>
        <w:numPr>
          <w:ilvl w:val="0"/>
          <w:numId w:val="66"/>
        </w:numPr>
        <w:rPr>
          <w:rFonts w:ascii="Arial" w:cs="Arial" w:eastAsia="Arial" w:hAnsi="Arial"/>
          <w:sz w:val="24"/>
          <w:szCs w:val="24"/>
          <w:color w:val="auto"/>
          <w:vertAlign w:val="superscript"/>
        </w:rPr>
      </w:pPr>
      <w:r>
        <w:rPr>
          <w:rFonts w:ascii="Arial" w:cs="Arial" w:eastAsia="Arial" w:hAnsi="Arial"/>
          <w:sz w:val="14"/>
          <w:szCs w:val="14"/>
          <w:color w:val="auto"/>
        </w:rPr>
        <w:t>Includes an approximation of the number of shares in IRA account.</w:t>
      </w:r>
    </w:p>
    <w:p>
      <w:pPr>
        <w:spacing w:after="0" w:line="58" w:lineRule="exact"/>
        <w:rPr>
          <w:sz w:val="20"/>
          <w:szCs w:val="20"/>
          <w:color w:val="auto"/>
        </w:rPr>
      </w:pPr>
    </w:p>
    <w:p>
      <w:pPr>
        <w:jc w:val="both"/>
        <w:ind w:left="340" w:hanging="130"/>
        <w:spacing w:after="0" w:line="213" w:lineRule="auto"/>
        <w:tabs>
          <w:tab w:leader="none" w:pos="340" w:val="left"/>
        </w:tabs>
        <w:numPr>
          <w:ilvl w:val="0"/>
          <w:numId w:val="67"/>
        </w:numPr>
        <w:rPr>
          <w:rFonts w:ascii="Arial" w:cs="Arial" w:eastAsia="Arial" w:hAnsi="Arial"/>
          <w:sz w:val="24"/>
          <w:szCs w:val="24"/>
          <w:color w:val="auto"/>
          <w:vertAlign w:val="superscript"/>
        </w:rPr>
      </w:pPr>
      <w:r>
        <w:rPr>
          <w:rFonts w:ascii="Arial" w:cs="Arial" w:eastAsia="Arial" w:hAnsi="Arial"/>
          <w:sz w:val="14"/>
          <w:szCs w:val="14"/>
          <w:color w:val="auto"/>
        </w:rPr>
        <w:t>The amounts reported include common stock units credited to each of the NEOs in connection with (i) their deferral of a portion of their cash bonus under the Martin Marietta Materials, Inc. Incentive Stock Plan, and (ii) RSUs (not including any performance-based share units (PSUs) granted under the Stock Plan that are subject to forfeiture in accordance with the terms of the plan and are scheduled to vest within 60 days of March 8, 2019), each in the following amounts: Mr. Nye, 18,711 and 45,582, respectively; Ms. Bar, 3,441 and 15,464, respectively; Mr. Nickolas, 735 and 8,511, respectively; Mr. McCunniff, 1,561 and 11,949, respectively; Mr. Grant, 1,573 and 10,818, respectively; and all Directors and executive officers as a group, 26,488 and 100,484 respectively. There are no voting rights associated with the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3517265</wp:posOffset>
            </wp:positionH>
            <wp:positionV relativeFrom="paragraph">
              <wp:posOffset>86995</wp:posOffset>
            </wp:positionV>
            <wp:extent cx="410845" cy="2482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151" w:lineRule="exact"/>
        <w:rPr>
          <w:sz w:val="20"/>
          <w:szCs w:val="20"/>
          <w:color w:val="auto"/>
        </w:rPr>
      </w:pPr>
    </w:p>
    <w:p>
      <w:pPr>
        <w:ind w:left="640" w:hanging="430"/>
        <w:spacing w:after="0"/>
        <w:tabs>
          <w:tab w:leader="none" w:pos="640" w:val="left"/>
        </w:tabs>
        <w:numPr>
          <w:ilvl w:val="0"/>
          <w:numId w:val="68"/>
        </w:numPr>
        <w:rPr>
          <w:rFonts w:ascii="Arial" w:cs="Arial" w:eastAsia="Arial" w:hAnsi="Arial"/>
          <w:sz w:val="13"/>
          <w:szCs w:val="13"/>
          <w:b w:val="1"/>
          <w:bCs w:val="1"/>
          <w:color w:val="auto"/>
        </w:rPr>
      </w:pPr>
      <w:r>
        <w:rPr>
          <w:rFonts w:ascii="Arial" w:cs="Arial" w:eastAsia="Arial" w:hAnsi="Arial"/>
          <w:sz w:val="13"/>
          <w:szCs w:val="13"/>
          <w:color w:val="007CBA"/>
        </w:rPr>
        <w:t>2019 PROXY STATEMENT</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9" w:lineRule="exact"/>
        <w:rPr>
          <w:sz w:val="20"/>
          <w:szCs w:val="20"/>
          <w:color w:val="auto"/>
        </w:rPr>
      </w:pPr>
    </w:p>
    <w:p>
      <w:pPr>
        <w:ind w:left="3340"/>
        <w:spacing w:after="0" w:line="251" w:lineRule="exact"/>
        <w:tabs>
          <w:tab w:leader="none" w:pos="6920" w:val="left"/>
        </w:tabs>
        <w:rPr>
          <w:sz w:val="20"/>
          <w:szCs w:val="20"/>
          <w:color w:val="auto"/>
        </w:rPr>
      </w:pPr>
      <w:r>
        <w:rPr>
          <w:rFonts w:ascii="Arial" w:cs="Arial" w:eastAsia="Arial" w:hAnsi="Arial"/>
          <w:sz w:val="13"/>
          <w:szCs w:val="13"/>
          <w:color w:val="auto"/>
        </w:rPr>
        <w:t>Section 16(a) Beneficial Ownership Reporting Compliance</w:t>
      </w:r>
      <w:r>
        <w:rPr>
          <w:sz w:val="20"/>
          <w:szCs w:val="20"/>
          <w:color w:val="auto"/>
        </w:rPr>
        <w:tab/>
      </w:r>
      <w:r>
        <w:rPr>
          <w:rFonts w:ascii="MS PGothic" w:cs="MS PGothic" w:eastAsia="MS PGothic" w:hAnsi="MS PGothic"/>
          <w:sz w:val="25"/>
          <w:szCs w:val="25"/>
          <w:color w:val="007CBA"/>
        </w:rPr>
        <w:t xml:space="preserve">◆ </w:t>
      </w:r>
      <w:r>
        <w:rPr>
          <w:rFonts w:ascii="Arial" w:cs="Arial" w:eastAsia="Arial" w:hAnsi="Arial"/>
          <w:sz w:val="13"/>
          <w:szCs w:val="13"/>
          <w:color w:val="007CBA"/>
        </w:rPr>
        <w:t>Security Ownership of Certain Beneficial Owners and Management</w:t>
      </w: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7CBA"/>
        </w:rPr>
        <w:t>Section 16(a) Beneficial Ownership Reporting Compliance</w:t>
      </w:r>
    </w:p>
    <w:p>
      <w:pPr>
        <w:spacing w:after="0" w:line="231"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Section 16(a) of the Exchange Act requires Directors and officers of Martin Marietta and persons who own more than 10% of the common stock to file with the Securities and Exchange Commission initial reports of ownership and reports in changes in ownership of the common stock. Directors, officers and more than 10% shareholders are required by Securities and Exchange Commission regulations to furnish to Martin Marietta copies of all Section 16(a) reports filed. Based solely on its review of copies of reports furnished to Martin Marietta and written representations of Directors and officers, the Company believes that during fiscal year 2018, such filing requirements were timely satisfied.</w:t>
      </w:r>
    </w:p>
    <w:p>
      <w:pPr>
        <w:spacing w:after="0" w:line="145"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7CBA"/>
        </w:rPr>
        <w:t>Who are the largest owners of Martin Marietta’s stock?</w:t>
      </w:r>
    </w:p>
    <w:p>
      <w:pPr>
        <w:spacing w:after="0" w:line="25"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The following table sets forth information with respect to the shares of common stock which are held by persons known to Martin Marietta to be the beneficial owners of more than 5% of such stock as of March 8, 2019. To the best of Martin Marietta’s knowledge, based on filings with the Securities and Exchange Commission as noted below, no person beneficially owned more than 5% of any class of Martin Marietta’s outstanding voting securities at the close of business on March 8, 2019, except for those shown below.</w:t>
      </w:r>
    </w:p>
    <w:p>
      <w:pPr>
        <w:spacing w:after="0" w:line="203" w:lineRule="exact"/>
        <w:rPr>
          <w:sz w:val="20"/>
          <w:szCs w:val="20"/>
          <w:color w:val="auto"/>
        </w:rPr>
      </w:pPr>
    </w:p>
    <w:tbl>
      <w:tblPr>
        <w:tblLayout w:type="fixed"/>
        <w:tblInd w:w="1540" w:type="dxa"/>
        <w:tblCellMar>
          <w:top w:w="0" w:type="dxa"/>
          <w:left w:w="0" w:type="dxa"/>
          <w:bottom w:w="0" w:type="dxa"/>
          <w:right w:w="0" w:type="dxa"/>
        </w:tblCellMar>
      </w:tblPr>
      <w:tr>
        <w:trPr>
          <w:trHeight w:val="176"/>
        </w:trPr>
        <w:tc>
          <w:tcPr>
            <w:tcW w:w="486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4"/>
                <w:szCs w:val="14"/>
                <w:b w:val="1"/>
                <w:bCs w:val="1"/>
                <w:color w:val="FFFFFF"/>
              </w:rPr>
              <w:t>Name and Address</w:t>
            </w:r>
          </w:p>
        </w:tc>
        <w:tc>
          <w:tcPr>
            <w:tcW w:w="20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Amount and Nature</w:t>
            </w:r>
          </w:p>
        </w:tc>
        <w:tc>
          <w:tcPr>
            <w:tcW w:w="1420" w:type="dxa"/>
            <w:vAlign w:val="bottom"/>
            <w:shd w:val="clear" w:color="auto" w:fill="007CBA"/>
          </w:tcPr>
          <w:p>
            <w:pPr>
              <w:ind w:left="440"/>
              <w:spacing w:after="0"/>
              <w:rPr>
                <w:sz w:val="20"/>
                <w:szCs w:val="20"/>
                <w:color w:val="auto"/>
              </w:rPr>
            </w:pPr>
            <w:r>
              <w:rPr>
                <w:rFonts w:ascii="Arial" w:cs="Arial" w:eastAsia="Arial" w:hAnsi="Arial"/>
                <w:sz w:val="14"/>
                <w:szCs w:val="14"/>
                <w:b w:val="1"/>
                <w:bCs w:val="1"/>
                <w:color w:val="FFFFFF"/>
              </w:rPr>
              <w:t>Percent</w:t>
            </w:r>
          </w:p>
        </w:tc>
      </w:tr>
      <w:tr>
        <w:trPr>
          <w:trHeight w:val="223"/>
        </w:trPr>
        <w:tc>
          <w:tcPr>
            <w:tcW w:w="4860" w:type="dxa"/>
            <w:vAlign w:val="bottom"/>
            <w:tcBorders>
              <w:bottom w:val="single" w:sz="8" w:color="007CBA"/>
              <w:right w:val="single" w:sz="8" w:color="007CBA"/>
            </w:tcBorders>
            <w:shd w:val="clear" w:color="auto" w:fill="007CBA"/>
          </w:tcPr>
          <w:p>
            <w:pPr>
              <w:ind w:left="60"/>
              <w:spacing w:after="0"/>
              <w:rPr>
                <w:sz w:val="20"/>
                <w:szCs w:val="20"/>
                <w:color w:val="auto"/>
              </w:rPr>
            </w:pPr>
            <w:r>
              <w:rPr>
                <w:rFonts w:ascii="Arial" w:cs="Arial" w:eastAsia="Arial" w:hAnsi="Arial"/>
                <w:sz w:val="14"/>
                <w:szCs w:val="14"/>
                <w:b w:val="1"/>
                <w:bCs w:val="1"/>
                <w:color w:val="FFFFFF"/>
              </w:rPr>
              <w:t>of Beneficial Owner</w:t>
            </w:r>
          </w:p>
        </w:tc>
        <w:tc>
          <w:tcPr>
            <w:tcW w:w="208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of Beneficial Ownership</w:t>
            </w:r>
          </w:p>
        </w:tc>
        <w:tc>
          <w:tcPr>
            <w:tcW w:w="1420" w:type="dxa"/>
            <w:vAlign w:val="bottom"/>
            <w:tcBorders>
              <w:bottom w:val="single" w:sz="8" w:color="007CBA"/>
            </w:tcBorders>
            <w:shd w:val="clear" w:color="auto" w:fill="007CBA"/>
          </w:tcPr>
          <w:p>
            <w:pPr>
              <w:ind w:left="420"/>
              <w:spacing w:after="0"/>
              <w:rPr>
                <w:sz w:val="20"/>
                <w:szCs w:val="20"/>
                <w:color w:val="auto"/>
              </w:rPr>
            </w:pPr>
            <w:r>
              <w:rPr>
                <w:rFonts w:ascii="Arial" w:cs="Arial" w:eastAsia="Arial" w:hAnsi="Arial"/>
                <w:sz w:val="14"/>
                <w:szCs w:val="14"/>
                <w:b w:val="1"/>
                <w:bCs w:val="1"/>
                <w:color w:val="FFFFFF"/>
              </w:rPr>
              <w:t>of Class</w:t>
            </w:r>
          </w:p>
        </w:tc>
      </w:tr>
      <w:tr>
        <w:trPr>
          <w:trHeight w:val="180"/>
        </w:trPr>
        <w:tc>
          <w:tcPr>
            <w:tcW w:w="4860" w:type="dxa"/>
            <w:vAlign w:val="bottom"/>
            <w:tcBorders>
              <w:right w:val="single" w:sz="8" w:color="007CBA"/>
            </w:tcBorders>
            <w:shd w:val="clear" w:color="auto" w:fill="E5F1F8"/>
          </w:tcPr>
          <w:p>
            <w:pPr>
              <w:ind w:left="60"/>
              <w:spacing w:after="0" w:line="180" w:lineRule="exact"/>
              <w:rPr>
                <w:sz w:val="20"/>
                <w:szCs w:val="20"/>
                <w:color w:val="auto"/>
              </w:rPr>
            </w:pPr>
            <w:r>
              <w:rPr>
                <w:rFonts w:ascii="Arial" w:cs="Arial" w:eastAsia="Arial" w:hAnsi="Arial"/>
                <w:sz w:val="12"/>
                <w:szCs w:val="12"/>
                <w:color w:val="auto"/>
              </w:rPr>
              <w:t>The Vanguard Group</w:t>
            </w:r>
            <w:r>
              <w:rPr>
                <w:rFonts w:ascii="Arial" w:cs="Arial" w:eastAsia="Arial" w:hAnsi="Arial"/>
                <w:sz w:val="20"/>
                <w:szCs w:val="20"/>
                <w:color w:val="auto"/>
                <w:vertAlign w:val="superscript"/>
              </w:rPr>
              <w:t>1</w:t>
            </w:r>
          </w:p>
        </w:tc>
        <w:tc>
          <w:tcPr>
            <w:tcW w:w="2080" w:type="dxa"/>
            <w:vAlign w:val="bottom"/>
            <w:tcBorders>
              <w:right w:val="single" w:sz="8" w:color="007CBA"/>
            </w:tcBorders>
            <w:shd w:val="clear" w:color="auto" w:fill="E5F1F8"/>
          </w:tcPr>
          <w:p>
            <w:pPr>
              <w:spacing w:after="0"/>
              <w:rPr>
                <w:sz w:val="15"/>
                <w:szCs w:val="15"/>
                <w:color w:val="auto"/>
              </w:rPr>
            </w:pPr>
          </w:p>
        </w:tc>
        <w:tc>
          <w:tcPr>
            <w:tcW w:w="1420" w:type="dxa"/>
            <w:vAlign w:val="bottom"/>
            <w:shd w:val="clear" w:color="auto" w:fill="E5F1F8"/>
          </w:tcPr>
          <w:p>
            <w:pPr>
              <w:spacing w:after="0"/>
              <w:rPr>
                <w:sz w:val="15"/>
                <w:szCs w:val="15"/>
                <w:color w:val="auto"/>
              </w:rPr>
            </w:pPr>
          </w:p>
        </w:tc>
      </w:tr>
      <w:tr>
        <w:trPr>
          <w:trHeight w:val="162"/>
        </w:trPr>
        <w:tc>
          <w:tcPr>
            <w:tcW w:w="486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100 Vanguard Boulevard V26</w:t>
            </w:r>
          </w:p>
        </w:tc>
        <w:tc>
          <w:tcPr>
            <w:tcW w:w="2080" w:type="dxa"/>
            <w:vAlign w:val="bottom"/>
            <w:tcBorders>
              <w:right w:val="single" w:sz="8" w:color="007CBA"/>
            </w:tcBorders>
            <w:shd w:val="clear" w:color="auto" w:fill="E5F1F8"/>
          </w:tcPr>
          <w:p>
            <w:pPr>
              <w:spacing w:after="0"/>
              <w:rPr>
                <w:sz w:val="14"/>
                <w:szCs w:val="14"/>
                <w:color w:val="auto"/>
              </w:rPr>
            </w:pPr>
          </w:p>
        </w:tc>
        <w:tc>
          <w:tcPr>
            <w:tcW w:w="1420" w:type="dxa"/>
            <w:vAlign w:val="bottom"/>
            <w:shd w:val="clear" w:color="auto" w:fill="E5F1F8"/>
          </w:tcPr>
          <w:p>
            <w:pPr>
              <w:spacing w:after="0"/>
              <w:rPr>
                <w:sz w:val="14"/>
                <w:szCs w:val="14"/>
                <w:color w:val="auto"/>
              </w:rPr>
            </w:pPr>
          </w:p>
        </w:tc>
      </w:tr>
      <w:tr>
        <w:trPr>
          <w:trHeight w:val="191"/>
        </w:trPr>
        <w:tc>
          <w:tcPr>
            <w:tcW w:w="4860" w:type="dxa"/>
            <w:vAlign w:val="bottom"/>
            <w:tcBorders>
              <w:bottom w:val="single" w:sz="8" w:color="E5F1F8"/>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Malvern, PA 19355</w:t>
            </w:r>
          </w:p>
        </w:tc>
        <w:tc>
          <w:tcPr>
            <w:tcW w:w="2080" w:type="dxa"/>
            <w:vAlign w:val="bottom"/>
            <w:tcBorders>
              <w:bottom w:val="single" w:sz="8" w:color="E5F1F8"/>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6,841,180</w:t>
            </w:r>
          </w:p>
        </w:tc>
        <w:tc>
          <w:tcPr>
            <w:tcW w:w="1420" w:type="dxa"/>
            <w:vAlign w:val="bottom"/>
            <w:tcBorders>
              <w:bottom w:val="single" w:sz="8" w:color="E5F1F8"/>
            </w:tcBorders>
            <w:shd w:val="clear" w:color="auto" w:fill="E5F1F8"/>
          </w:tcPr>
          <w:p>
            <w:pPr>
              <w:jc w:val="right"/>
              <w:ind w:right="408"/>
              <w:spacing w:after="0"/>
              <w:rPr>
                <w:sz w:val="20"/>
                <w:szCs w:val="20"/>
                <w:color w:val="auto"/>
              </w:rPr>
            </w:pPr>
            <w:r>
              <w:rPr>
                <w:rFonts w:ascii="Arial" w:cs="Arial" w:eastAsia="Arial" w:hAnsi="Arial"/>
                <w:sz w:val="14"/>
                <w:szCs w:val="14"/>
                <w:color w:val="auto"/>
              </w:rPr>
              <w:t>10.95%</w:t>
            </w:r>
          </w:p>
        </w:tc>
      </w:tr>
      <w:tr>
        <w:trPr>
          <w:trHeight w:val="180"/>
        </w:trPr>
        <w:tc>
          <w:tcPr>
            <w:tcW w:w="4860" w:type="dxa"/>
            <w:vAlign w:val="bottom"/>
            <w:tcBorders>
              <w:right w:val="single" w:sz="8" w:color="007CBA"/>
            </w:tcBorders>
          </w:tcPr>
          <w:p>
            <w:pPr>
              <w:ind w:left="60"/>
              <w:spacing w:after="0" w:line="180" w:lineRule="exact"/>
              <w:rPr>
                <w:sz w:val="20"/>
                <w:szCs w:val="20"/>
                <w:color w:val="auto"/>
              </w:rPr>
            </w:pPr>
            <w:r>
              <w:rPr>
                <w:rFonts w:ascii="Arial" w:cs="Arial" w:eastAsia="Arial" w:hAnsi="Arial"/>
                <w:sz w:val="12"/>
                <w:szCs w:val="12"/>
                <w:color w:val="auto"/>
              </w:rPr>
              <w:t>BlackRock, Inc.</w:t>
            </w:r>
            <w:r>
              <w:rPr>
                <w:rFonts w:ascii="Arial" w:cs="Arial" w:eastAsia="Arial" w:hAnsi="Arial"/>
                <w:sz w:val="20"/>
                <w:szCs w:val="20"/>
                <w:color w:val="auto"/>
                <w:vertAlign w:val="superscript"/>
              </w:rPr>
              <w:t>2</w:t>
            </w:r>
          </w:p>
        </w:tc>
        <w:tc>
          <w:tcPr>
            <w:tcW w:w="2080" w:type="dxa"/>
            <w:vAlign w:val="bottom"/>
            <w:tcBorders>
              <w:right w:val="single" w:sz="8" w:color="007CBA"/>
            </w:tcBorders>
          </w:tcPr>
          <w:p>
            <w:pPr>
              <w:spacing w:after="0"/>
              <w:rPr>
                <w:sz w:val="15"/>
                <w:szCs w:val="15"/>
                <w:color w:val="auto"/>
              </w:rPr>
            </w:pPr>
          </w:p>
        </w:tc>
        <w:tc>
          <w:tcPr>
            <w:tcW w:w="1420" w:type="dxa"/>
            <w:vAlign w:val="bottom"/>
          </w:tcPr>
          <w:p>
            <w:pPr>
              <w:spacing w:after="0"/>
              <w:rPr>
                <w:sz w:val="15"/>
                <w:szCs w:val="15"/>
                <w:color w:val="auto"/>
              </w:rPr>
            </w:pPr>
          </w:p>
        </w:tc>
      </w:tr>
      <w:tr>
        <w:trPr>
          <w:trHeight w:val="162"/>
        </w:trPr>
        <w:tc>
          <w:tcPr>
            <w:tcW w:w="486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55 East 52nd Street</w:t>
            </w:r>
          </w:p>
        </w:tc>
        <w:tc>
          <w:tcPr>
            <w:tcW w:w="2080" w:type="dxa"/>
            <w:vAlign w:val="bottom"/>
            <w:tcBorders>
              <w:right w:val="single" w:sz="8" w:color="007CBA"/>
            </w:tcBorders>
          </w:tcPr>
          <w:p>
            <w:pPr>
              <w:spacing w:after="0"/>
              <w:rPr>
                <w:sz w:val="14"/>
                <w:szCs w:val="14"/>
                <w:color w:val="auto"/>
              </w:rPr>
            </w:pPr>
          </w:p>
        </w:tc>
        <w:tc>
          <w:tcPr>
            <w:tcW w:w="1420" w:type="dxa"/>
            <w:vAlign w:val="bottom"/>
          </w:tcPr>
          <w:p>
            <w:pPr>
              <w:spacing w:after="0"/>
              <w:rPr>
                <w:sz w:val="14"/>
                <w:szCs w:val="14"/>
                <w:color w:val="auto"/>
              </w:rPr>
            </w:pPr>
          </w:p>
        </w:tc>
      </w:tr>
      <w:tr>
        <w:trPr>
          <w:trHeight w:val="178"/>
        </w:trPr>
        <w:tc>
          <w:tcPr>
            <w:tcW w:w="4860" w:type="dxa"/>
            <w:vAlign w:val="bottom"/>
            <w:tcBorders>
              <w:bottom w:val="single" w:sz="8" w:color="007CBA"/>
              <w:right w:val="single" w:sz="8" w:color="007CBA"/>
            </w:tcBorders>
          </w:tcPr>
          <w:p>
            <w:pPr>
              <w:ind w:left="60"/>
              <w:spacing w:after="0"/>
              <w:rPr>
                <w:sz w:val="20"/>
                <w:szCs w:val="20"/>
                <w:color w:val="auto"/>
              </w:rPr>
            </w:pPr>
            <w:r>
              <w:rPr>
                <w:rFonts w:ascii="Arial" w:cs="Arial" w:eastAsia="Arial" w:hAnsi="Arial"/>
                <w:sz w:val="14"/>
                <w:szCs w:val="14"/>
                <w:color w:val="auto"/>
              </w:rPr>
              <w:t>New York, NY 10055</w:t>
            </w:r>
          </w:p>
        </w:tc>
        <w:tc>
          <w:tcPr>
            <w:tcW w:w="208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3,945,492</w:t>
            </w:r>
          </w:p>
        </w:tc>
        <w:tc>
          <w:tcPr>
            <w:tcW w:w="1420" w:type="dxa"/>
            <w:vAlign w:val="bottom"/>
            <w:tcBorders>
              <w:bottom w:val="single" w:sz="8" w:color="007CBA"/>
            </w:tcBorders>
          </w:tcPr>
          <w:p>
            <w:pPr>
              <w:jc w:val="right"/>
              <w:ind w:right="448"/>
              <w:spacing w:after="0"/>
              <w:rPr>
                <w:sz w:val="20"/>
                <w:szCs w:val="20"/>
                <w:color w:val="auto"/>
              </w:rPr>
            </w:pPr>
            <w:r>
              <w:rPr>
                <w:rFonts w:ascii="Arial" w:cs="Arial" w:eastAsia="Arial" w:hAnsi="Arial"/>
                <w:sz w:val="14"/>
                <w:szCs w:val="14"/>
                <w:color w:val="auto"/>
              </w:rPr>
              <w:t>6.31%</w:t>
            </w:r>
          </w:p>
        </w:tc>
      </w:tr>
    </w:tbl>
    <w:p>
      <w:pPr>
        <w:spacing w:after="0" w:line="72" w:lineRule="exact"/>
        <w:rPr>
          <w:sz w:val="20"/>
          <w:szCs w:val="20"/>
          <w:color w:val="auto"/>
        </w:rPr>
      </w:pPr>
    </w:p>
    <w:p>
      <w:pPr>
        <w:jc w:val="both"/>
        <w:ind w:left="340" w:hanging="130"/>
        <w:spacing w:after="0"/>
        <w:tabs>
          <w:tab w:leader="none" w:pos="340" w:val="left"/>
        </w:tabs>
        <w:numPr>
          <w:ilvl w:val="0"/>
          <w:numId w:val="69"/>
        </w:numPr>
        <w:rPr>
          <w:rFonts w:ascii="Arial" w:cs="Arial" w:eastAsia="Arial" w:hAnsi="Arial"/>
          <w:sz w:val="24"/>
          <w:szCs w:val="24"/>
          <w:color w:val="auto"/>
          <w:vertAlign w:val="superscript"/>
        </w:rPr>
      </w:pPr>
      <w:r>
        <w:rPr>
          <w:rFonts w:ascii="Arial" w:cs="Arial" w:eastAsia="Arial" w:hAnsi="Arial"/>
          <w:sz w:val="14"/>
          <w:szCs w:val="14"/>
          <w:color w:val="auto"/>
        </w:rPr>
        <w:t>As reported in Schedule 13G/A reporting beneficial ownership as of December 31, 2018 filed with the Securities and Exchange Commission on February 11, 2019, indicating sole power to vote 77,275 shares, shared power to vote 13,245 shares, sole power to dispose of 6,751,400 shares, and shared power to dispose of 89,780 shares.</w:t>
      </w:r>
    </w:p>
    <w:p>
      <w:pPr>
        <w:spacing w:after="0" w:line="116" w:lineRule="exact"/>
        <w:rPr>
          <w:sz w:val="20"/>
          <w:szCs w:val="20"/>
          <w:color w:val="auto"/>
        </w:rPr>
      </w:pPr>
    </w:p>
    <w:p>
      <w:pPr>
        <w:ind w:left="340" w:hanging="130"/>
        <w:spacing w:after="0" w:line="183" w:lineRule="auto"/>
        <w:tabs>
          <w:tab w:leader="none" w:pos="340" w:val="left"/>
        </w:tabs>
        <w:numPr>
          <w:ilvl w:val="0"/>
          <w:numId w:val="70"/>
        </w:numPr>
        <w:rPr>
          <w:rFonts w:ascii="Arial" w:cs="Arial" w:eastAsia="Arial" w:hAnsi="Arial"/>
          <w:sz w:val="24"/>
          <w:szCs w:val="24"/>
          <w:color w:val="auto"/>
          <w:vertAlign w:val="superscript"/>
        </w:rPr>
      </w:pPr>
      <w:r>
        <w:rPr>
          <w:rFonts w:ascii="Arial" w:cs="Arial" w:eastAsia="Arial" w:hAnsi="Arial"/>
          <w:sz w:val="14"/>
          <w:szCs w:val="14"/>
          <w:color w:val="auto"/>
        </w:rPr>
        <w:t>As reported in Schedule 13G/A reporting beneficial ownership as of December 31, 2018 filed with the Securities and Exchange Commission on February 6, 2019, indicating sole power to vote 3,470,515 shares and sole power to dispose of 3,945,492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3439795</wp:posOffset>
            </wp:positionH>
            <wp:positionV relativeFrom="paragraph">
              <wp:posOffset>85090</wp:posOffset>
            </wp:positionV>
            <wp:extent cx="410845" cy="2482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133" w:lineRule="exact"/>
        <w:rPr>
          <w:sz w:val="20"/>
          <w:szCs w:val="20"/>
          <w:color w:val="auto"/>
        </w:rPr>
      </w:pPr>
    </w:p>
    <w:tbl>
      <w:tblPr>
        <w:tblLayout w:type="fixed"/>
        <w:tblInd w:w="926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2019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23</w:t>
            </w:r>
          </w:p>
        </w:tc>
      </w:tr>
    </w:tbl>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0" w:lineRule="exact"/>
        <w:rPr>
          <w:sz w:val="20"/>
          <w:szCs w:val="20"/>
          <w:color w:val="auto"/>
        </w:rPr>
      </w:pPr>
    </w:p>
    <w:p>
      <w:pPr>
        <w:jc w:val="center"/>
        <w:ind w:right="-199"/>
        <w:spacing w:after="0"/>
        <w:rPr>
          <w:sz w:val="20"/>
          <w:szCs w:val="20"/>
          <w:color w:val="auto"/>
        </w:rPr>
      </w:pPr>
      <w:r>
        <w:rPr>
          <w:rFonts w:ascii="Arial" w:cs="Arial" w:eastAsia="Arial" w:hAnsi="Arial"/>
          <w:sz w:val="43"/>
          <w:szCs w:val="43"/>
          <w:color w:val="auto"/>
        </w:rPr>
        <w:t>Corporate Governance Matters</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7CBA"/>
        </w:rPr>
        <w:t>Corporate Governance Philosophy</w:t>
      </w:r>
    </w:p>
    <w:p>
      <w:pPr>
        <w:spacing w:after="0" w:line="338" w:lineRule="exact"/>
        <w:rPr>
          <w:sz w:val="20"/>
          <w:szCs w:val="20"/>
          <w:color w:val="auto"/>
        </w:rPr>
      </w:pPr>
    </w:p>
    <w:p>
      <w:pPr>
        <w:jc w:val="both"/>
        <w:ind w:left="220"/>
        <w:spacing w:after="0" w:line="247" w:lineRule="auto"/>
        <w:rPr>
          <w:sz w:val="20"/>
          <w:szCs w:val="20"/>
          <w:color w:val="auto"/>
        </w:rPr>
      </w:pPr>
      <w:r>
        <w:rPr>
          <w:rFonts w:ascii="Arial" w:cs="Arial" w:eastAsia="Arial" w:hAnsi="Arial"/>
          <w:sz w:val="16"/>
          <w:szCs w:val="16"/>
          <w:color w:val="auto"/>
        </w:rPr>
        <w:t xml:space="preserve">Martin Marietta has a culture dedicated to ethical business behavior and responsible corporate activity, which we believe promotes the long-term interests of shareholders. This commitment is reflected in our </w:t>
      </w:r>
      <w:r>
        <w:rPr>
          <w:rFonts w:ascii="Arial" w:cs="Arial" w:eastAsia="Arial" w:hAnsi="Arial"/>
          <w:sz w:val="16"/>
          <w:szCs w:val="16"/>
          <w:i w:val="1"/>
          <w:iCs w:val="1"/>
          <w:color w:val="auto"/>
        </w:rPr>
        <w:t>Corporate</w:t>
      </w:r>
      <w:r>
        <w:rPr>
          <w:rFonts w:ascii="Arial" w:cs="Arial" w:eastAsia="Arial" w:hAnsi="Arial"/>
          <w:sz w:val="16"/>
          <w:szCs w:val="16"/>
          <w:color w:val="auto"/>
        </w:rPr>
        <w:t xml:space="preserve"> </w:t>
      </w:r>
      <w:r>
        <w:rPr>
          <w:rFonts w:ascii="Arial" w:cs="Arial" w:eastAsia="Arial" w:hAnsi="Arial"/>
          <w:sz w:val="16"/>
          <w:szCs w:val="16"/>
          <w:i w:val="1"/>
          <w:iCs w:val="1"/>
          <w:color w:val="auto"/>
        </w:rPr>
        <w:t>Governance Guidelines</w:t>
      </w:r>
      <w:r>
        <w:rPr>
          <w:rFonts w:ascii="Arial" w:cs="Arial" w:eastAsia="Arial" w:hAnsi="Arial"/>
          <w:sz w:val="16"/>
          <w:szCs w:val="16"/>
          <w:color w:val="auto"/>
        </w:rPr>
        <w:t>, posted and available for public viewing on Martin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Marietta’s website at </w:t>
      </w:r>
      <w:r>
        <w:rPr>
          <w:rFonts w:ascii="Arial" w:cs="Arial" w:eastAsia="Arial" w:hAnsi="Arial"/>
          <w:sz w:val="16"/>
          <w:szCs w:val="16"/>
          <w:i w:val="1"/>
          <w:iCs w:val="1"/>
          <w:color w:val="auto"/>
        </w:rPr>
        <w:t>ir.martinmarietta.com/investor-relations/corporate-governance</w:t>
      </w:r>
      <w:r>
        <w:rPr>
          <w:rFonts w:ascii="Arial" w:cs="Arial" w:eastAsia="Arial" w:hAnsi="Arial"/>
          <w:sz w:val="16"/>
          <w:szCs w:val="16"/>
          <w:color w:val="auto"/>
        </w:rPr>
        <w:t>, which set forth a flexible framework within which the Board,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assisted by its Committees, directs the affairs of Martin Marietta. The </w:t>
      </w:r>
      <w:r>
        <w:rPr>
          <w:rFonts w:ascii="Arial" w:cs="Arial" w:eastAsia="Arial" w:hAnsi="Arial"/>
          <w:sz w:val="16"/>
          <w:szCs w:val="16"/>
          <w:i w:val="1"/>
          <w:iCs w:val="1"/>
          <w:color w:val="auto"/>
        </w:rPr>
        <w:t xml:space="preserve">Guidelines </w:t>
      </w:r>
      <w:r>
        <w:rPr>
          <w:rFonts w:ascii="Arial" w:cs="Arial" w:eastAsia="Arial" w:hAnsi="Arial"/>
          <w:sz w:val="16"/>
          <w:szCs w:val="16"/>
          <w:color w:val="auto"/>
        </w:rPr>
        <w:t>address, among other things, the composition and functions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Board of Directors, director qualifications and independence, Chief Executive Officer performance evaluation and management succession, Board Committees and the selection of new Directors.</w:t>
      </w:r>
    </w:p>
    <w:p>
      <w:pPr>
        <w:spacing w:after="0" w:line="167" w:lineRule="exact"/>
        <w:rPr>
          <w:sz w:val="20"/>
          <w:szCs w:val="20"/>
          <w:color w:val="auto"/>
        </w:rPr>
      </w:pPr>
    </w:p>
    <w:p>
      <w:pPr>
        <w:jc w:val="both"/>
        <w:ind w:left="220"/>
        <w:spacing w:after="0" w:line="254" w:lineRule="auto"/>
        <w:rPr>
          <w:sz w:val="20"/>
          <w:szCs w:val="20"/>
          <w:color w:val="auto"/>
        </w:rPr>
      </w:pPr>
      <w:r>
        <w:rPr>
          <w:rFonts w:ascii="Arial" w:cs="Arial" w:eastAsia="Arial" w:hAnsi="Arial"/>
          <w:sz w:val="16"/>
          <w:szCs w:val="16"/>
          <w:color w:val="auto"/>
        </w:rPr>
        <w:t xml:space="preserve">Martin Marietta’s </w:t>
      </w:r>
      <w:r>
        <w:rPr>
          <w:rFonts w:ascii="Arial" w:cs="Arial" w:eastAsia="Arial" w:hAnsi="Arial"/>
          <w:sz w:val="16"/>
          <w:szCs w:val="16"/>
          <w:i w:val="1"/>
          <w:iCs w:val="1"/>
          <w:color w:val="auto"/>
        </w:rPr>
        <w:t>Code of Ethical Business Conduct</w:t>
      </w:r>
      <w:r>
        <w:rPr>
          <w:rFonts w:ascii="Arial" w:cs="Arial" w:eastAsia="Arial" w:hAnsi="Arial"/>
          <w:sz w:val="16"/>
          <w:szCs w:val="16"/>
          <w:color w:val="auto"/>
        </w:rPr>
        <w:t xml:space="preserve"> has been in place since the 1980s and is regularly updated. It applies to all Board members, officers, and employees, providing our policies and expectations on a number of topics, including our commitment to good citizenship, promoting a positive and safe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work environment, avoiding conflicts of interest, honoring the confidentiality of sensitive information, preservation and use of Company assets, compliance with all laws, and operating with integrity in all that we do. To implement the </w:t>
      </w:r>
      <w:r>
        <w:rPr>
          <w:rFonts w:ascii="Arial" w:cs="Arial" w:eastAsia="Arial" w:hAnsi="Arial"/>
          <w:sz w:val="16"/>
          <w:szCs w:val="16"/>
          <w:i w:val="1"/>
          <w:iCs w:val="1"/>
          <w:color w:val="auto"/>
        </w:rPr>
        <w:t>Code of Ethical Business Conduct</w:t>
      </w:r>
      <w:r>
        <w:rPr>
          <w:rFonts w:ascii="Arial" w:cs="Arial" w:eastAsia="Arial" w:hAnsi="Arial"/>
          <w:sz w:val="16"/>
          <w:szCs w:val="16"/>
          <w:color w:val="auto"/>
        </w:rPr>
        <w:t xml:space="preserve">, Board members, officers, and employees participate regularly in ethics training. There have been no waivers from any provisions of our </w:t>
      </w:r>
      <w:r>
        <w:rPr>
          <w:rFonts w:ascii="Arial" w:cs="Arial" w:eastAsia="Arial" w:hAnsi="Arial"/>
          <w:sz w:val="16"/>
          <w:szCs w:val="16"/>
          <w:i w:val="1"/>
          <w:iCs w:val="1"/>
          <w:color w:val="auto"/>
        </w:rPr>
        <w:t>Code of Ethical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Conduct </w:t>
      </w:r>
      <w:r>
        <w:rPr>
          <w:rFonts w:ascii="Arial" w:cs="Arial" w:eastAsia="Arial" w:hAnsi="Arial"/>
          <w:sz w:val="16"/>
          <w:szCs w:val="16"/>
          <w:color w:val="auto"/>
        </w:rPr>
        <w:t>to any Board member or executive officer.</w:t>
      </w:r>
    </w:p>
    <w:p>
      <w:pPr>
        <w:spacing w:after="0" w:line="18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addition, the Board believes that accountability to shareholders is a mark of good governance and critical to Martin Marietta’s success. To that end, management regularly engages with shareholders on a variety of topics throughout the year, including sustainability and governance, to ensure we are addressing their questions and concerns, to seek input and to provide perspective on Company policies and practices. Feedback received during these discussions is shared with the Board and directly impacts deliberations on material topics. See discussion of our shareholder outreach on pages 5 and 33.</w:t>
      </w:r>
    </w:p>
    <w:p>
      <w:pPr>
        <w:spacing w:after="0" w:line="201"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16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chart below provides a snapshot of Martin Marietta’s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2009140</wp:posOffset>
            </wp:positionH>
            <wp:positionV relativeFrom="paragraph">
              <wp:posOffset>156210</wp:posOffset>
            </wp:positionV>
            <wp:extent cx="3246755" cy="35890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46755" cy="3589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40" w:hanging="430"/>
        <w:spacing w:after="0"/>
        <w:tabs>
          <w:tab w:leader="none" w:pos="640" w:val="left"/>
        </w:tabs>
        <w:numPr>
          <w:ilvl w:val="0"/>
          <w:numId w:val="71"/>
        </w:numPr>
        <w:rPr>
          <w:rFonts w:ascii="Arial" w:cs="Arial" w:eastAsia="Arial" w:hAnsi="Arial"/>
          <w:sz w:val="13"/>
          <w:szCs w:val="13"/>
          <w:b w:val="1"/>
          <w:bCs w:val="1"/>
          <w:color w:val="auto"/>
        </w:rPr>
      </w:pPr>
      <w:r>
        <w:rPr>
          <w:rFonts w:ascii="Arial" w:cs="Arial" w:eastAsia="Arial" w:hAnsi="Arial"/>
          <w:sz w:val="13"/>
          <w:szCs w:val="13"/>
          <w:color w:val="007CBA"/>
        </w:rPr>
        <w:t>2019 PROXY STATEMENT</w:t>
      </w:r>
    </w:p>
    <w:p>
      <w:pPr>
        <w:sectPr>
          <w:pgSz w:w="11900" w:h="16838" w:orient="portrait"/>
          <w:cols w:equalWidth="0" w:num="1">
            <w:col w:w="11220"/>
          </w:cols>
          <w:pgMar w:left="240" w:top="459" w:right="4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7CBA"/>
        </w:rPr>
        <w:t>Who are Martin Marietta’s Independent Directors?</w:t>
      </w:r>
    </w:p>
    <w:p>
      <w:pPr>
        <w:spacing w:after="0" w:line="25"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All of Martin Marietta’s Directors are non-employee Directors except Mr. Nye. Mr. Nye does not sit in the executive sessions of the independent Directors unless invited to attend for a specific discussion nor does he participate in any action of the Board relating to any executive compensation which he may receive.</w:t>
      </w:r>
    </w:p>
    <w:p>
      <w:pPr>
        <w:spacing w:after="0" w:line="179" w:lineRule="exact"/>
        <w:rPr>
          <w:sz w:val="20"/>
          <w:szCs w:val="20"/>
          <w:color w:val="auto"/>
        </w:rPr>
      </w:pPr>
    </w:p>
    <w:p>
      <w:pPr>
        <w:jc w:val="both"/>
        <w:ind w:left="220"/>
        <w:spacing w:after="0" w:line="247" w:lineRule="auto"/>
        <w:rPr>
          <w:sz w:val="20"/>
          <w:szCs w:val="20"/>
          <w:color w:val="auto"/>
        </w:rPr>
      </w:pPr>
      <w:r>
        <w:rPr>
          <w:rFonts w:ascii="Arial" w:cs="Arial" w:eastAsia="Arial" w:hAnsi="Arial"/>
          <w:sz w:val="16"/>
          <w:szCs w:val="16"/>
          <w:color w:val="auto"/>
        </w:rPr>
        <w:t xml:space="preserve">In assessing the independence of its members, the Board has adopted for Martin Marietta a set of </w:t>
      </w:r>
      <w:r>
        <w:rPr>
          <w:rFonts w:ascii="Arial" w:cs="Arial" w:eastAsia="Arial" w:hAnsi="Arial"/>
          <w:sz w:val="16"/>
          <w:szCs w:val="16"/>
          <w:i w:val="1"/>
          <w:iCs w:val="1"/>
          <w:color w:val="auto"/>
        </w:rPr>
        <w:t>Guidelines for Director’s Independence</w:t>
      </w:r>
      <w:r>
        <w:rPr>
          <w:rFonts w:ascii="Arial" w:cs="Arial" w:eastAsia="Arial" w:hAnsi="Arial"/>
          <w:sz w:val="16"/>
          <w:szCs w:val="16"/>
          <w:color w:val="auto"/>
        </w:rPr>
        <w:t xml:space="preserve">. The Guidelines are posted and available for public viewing on Martin Marietta’s website at </w:t>
      </w:r>
      <w:r>
        <w:rPr>
          <w:rFonts w:ascii="Arial" w:cs="Arial" w:eastAsia="Arial" w:hAnsi="Arial"/>
          <w:sz w:val="16"/>
          <w:szCs w:val="16"/>
          <w:i w:val="1"/>
          <w:iCs w:val="1"/>
          <w:color w:val="auto"/>
        </w:rPr>
        <w:t>ir.martinmarietta.com/investor-relations/corporate-governance</w:t>
      </w:r>
      <w:r>
        <w:rPr>
          <w:rFonts w:ascii="Arial" w:cs="Arial" w:eastAsia="Arial" w:hAnsi="Arial"/>
          <w:sz w:val="16"/>
          <w:szCs w:val="16"/>
          <w:color w:val="auto"/>
        </w:rPr>
        <w:t>. These Guidelines reflect the rules of the NYSE,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of the SEC, and other standards determined by the Board to be important in assessing the independence of Board members. The Board has determined that, other than Mr. Nye, all members of the Board are “independent” under these Guidelines, resulting in 90% of the Board being independent. The Board of Directors has determined that no Director (except Mr. Nye), or any person or organization with which the Director has any affiliation, has a relationship with Martin Marietta that may interfere with his or her independence from Martin Marietta and its management. In making this “independence” determination, the Board considered other entities with which the Directors were affiliated and any business Martin Marietta had done with such entities.</w:t>
      </w:r>
    </w:p>
    <w:p>
      <w:pPr>
        <w:spacing w:after="0" w:line="147" w:lineRule="exact"/>
        <w:rPr>
          <w:sz w:val="20"/>
          <w:szCs w:val="20"/>
          <w:color w:val="auto"/>
        </w:rPr>
      </w:pPr>
    </w:p>
    <w:p>
      <w:pPr>
        <w:ind w:left="220"/>
        <w:spacing w:after="0" w:line="250" w:lineRule="auto"/>
        <w:rPr>
          <w:sz w:val="20"/>
          <w:szCs w:val="20"/>
          <w:color w:val="auto"/>
        </w:rPr>
      </w:pPr>
      <w:r>
        <w:rPr>
          <w:rFonts w:ascii="Arial" w:cs="Arial" w:eastAsia="Arial" w:hAnsi="Arial"/>
          <w:sz w:val="16"/>
          <w:szCs w:val="16"/>
          <w:b w:val="1"/>
          <w:bCs w:val="1"/>
          <w:i w:val="1"/>
          <w:iCs w:val="1"/>
          <w:color w:val="007CBA"/>
        </w:rPr>
        <w:t xml:space="preserve">Do the independent Directors ever meet without management? </w:t>
      </w:r>
      <w:r>
        <w:rPr>
          <w:rFonts w:ascii="Arial" w:cs="Arial" w:eastAsia="Arial" w:hAnsi="Arial"/>
          <w:sz w:val="16"/>
          <w:szCs w:val="16"/>
          <w:color w:val="000000"/>
        </w:rPr>
        <w:t xml:space="preserve">Martin Marietta’s </w:t>
      </w:r>
      <w:r>
        <w:rPr>
          <w:rFonts w:ascii="Arial" w:cs="Arial" w:eastAsia="Arial" w:hAnsi="Arial"/>
          <w:sz w:val="16"/>
          <w:szCs w:val="16"/>
          <w:i w:val="1"/>
          <w:iCs w:val="1"/>
          <w:color w:val="000000"/>
        </w:rPr>
        <w:t>Corporate Governance Guidelines</w:t>
      </w:r>
      <w:r>
        <w:rPr>
          <w:rFonts w:ascii="Arial" w:cs="Arial" w:eastAsia="Arial" w:hAnsi="Arial"/>
          <w:sz w:val="16"/>
          <w:szCs w:val="16"/>
          <w:color w:val="000000"/>
        </w:rPr>
        <w:t xml:space="preserve"> adopted by the Board provide that at least two Board meetings each year will include an executive session of the non-employee Directors to discuss such topics as they may choose, including a discussion of the performance of Martin Marietta’s Chairman and Chief Executive Officer. In 2018, Martin Marietta’s independent Directors met at each regularly scheduled Board meeting, consisting of four times in executive session without management, in addition to executive sessions held by Committees of the Board. In 2018, all the independent Directors were non-employees.</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7CBA"/>
        </w:rPr>
        <w:t>What is the Board’s leadership structure?</w:t>
      </w:r>
    </w:p>
    <w:p>
      <w:pPr>
        <w:spacing w:after="0" w:line="25"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Corporate Governance Guidelines</w:t>
      </w:r>
      <w:r>
        <w:rPr>
          <w:rFonts w:ascii="Arial" w:cs="Arial" w:eastAsia="Arial" w:hAnsi="Arial"/>
          <w:sz w:val="16"/>
          <w:szCs w:val="16"/>
          <w:color w:val="auto"/>
        </w:rPr>
        <w:t xml:space="preserve"> provide that the Board’s policy as to whether the Chairman and CEO positions should be separate is to adopt the practice that best serves the Company’s needs at any particular time. The Nominating and Corporate Governance Committee and the Board discussed board leadership alternatives in connection with combining the Chairman and CEO roles.</w:t>
      </w:r>
    </w:p>
    <w:p>
      <w:pPr>
        <w:spacing w:after="0" w:line="177"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The Board believes that, at the present time, the Company is best served by allocating governance responsibilities between a combined Chairman and CEO and a Lead Independent Director with robust responsibilities. This structure allows the Company to present a single face to our constituencies through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jc w:val="right"/>
        <w:spacing w:after="0" w:line="251" w:lineRule="exact"/>
        <w:tabs>
          <w:tab w:leader="none" w:pos="2120" w:val="left"/>
        </w:tabs>
        <w:rPr>
          <w:sz w:val="20"/>
          <w:szCs w:val="20"/>
          <w:color w:val="auto"/>
        </w:rPr>
      </w:pPr>
      <w:r>
        <w:rPr>
          <w:rFonts w:ascii="Arial" w:cs="Arial" w:eastAsia="Arial" w:hAnsi="Arial"/>
          <w:sz w:val="13"/>
          <w:szCs w:val="13"/>
          <w:color w:val="auto"/>
        </w:rPr>
        <w:t>Corporate Governance Philosophy</w:t>
      </w:r>
      <w:r>
        <w:rPr>
          <w:sz w:val="20"/>
          <w:szCs w:val="20"/>
          <w:color w:val="auto"/>
        </w:rPr>
        <w:tab/>
      </w:r>
      <w:r>
        <w:rPr>
          <w:rFonts w:ascii="MS PGothic" w:cs="MS PGothic" w:eastAsia="MS PGothic" w:hAnsi="MS PGothic"/>
          <w:sz w:val="25"/>
          <w:szCs w:val="25"/>
          <w:color w:val="007CBA"/>
        </w:rPr>
        <w:t xml:space="preserve">◆ </w:t>
      </w:r>
      <w:r>
        <w:rPr>
          <w:rFonts w:ascii="Arial" w:cs="Arial" w:eastAsia="Arial" w:hAnsi="Arial"/>
          <w:sz w:val="13"/>
          <w:szCs w:val="13"/>
          <w:color w:val="007CBA"/>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-657225</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combined Chairman and CEO position while at the same time providing an active role and voice for the independent directors through the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126365</wp:posOffset>
            </wp:positionV>
            <wp:extent cx="3392170" cy="33750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92170" cy="3375025"/>
                    </a:xfrm>
                    <a:prstGeom prst="rect">
                      <a:avLst/>
                    </a:prstGeom>
                    <a:noFill/>
                  </pic:spPr>
                </pic:pic>
              </a:graphicData>
            </a:graphic>
          </wp:anchor>
        </w:drawing>
      </w:r>
    </w:p>
    <w:p>
      <w:pPr>
        <w:spacing w:after="0" w:line="179"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FFFFFF"/>
        </w:rPr>
        <w:t>REASONS FOR COMBINED CHAIR AND CEO</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007CBA"/>
        </w:rPr>
        <w:t>Key highlights:</w:t>
      </w:r>
    </w:p>
    <w:p>
      <w:pPr>
        <w:spacing w:after="0" w:line="106" w:lineRule="exact"/>
        <w:rPr>
          <w:sz w:val="20"/>
          <w:szCs w:val="20"/>
          <w:color w:val="auto"/>
        </w:rPr>
      </w:pPr>
    </w:p>
    <w:p>
      <w:pPr>
        <w:ind w:left="520" w:right="440" w:hanging="246"/>
        <w:spacing w:after="0" w:line="253" w:lineRule="auto"/>
        <w:tabs>
          <w:tab w:leader="none" w:pos="525" w:val="left"/>
        </w:tabs>
        <w:numPr>
          <w:ilvl w:val="0"/>
          <w:numId w:val="72"/>
        </w:numPr>
        <w:rPr>
          <w:rFonts w:ascii="Arial" w:cs="Arial" w:eastAsia="Arial" w:hAnsi="Arial"/>
          <w:sz w:val="16"/>
          <w:szCs w:val="16"/>
          <w:color w:val="007CBA"/>
        </w:rPr>
      </w:pPr>
      <w:r>
        <w:rPr>
          <w:rFonts w:ascii="Arial" w:cs="Arial" w:eastAsia="Arial" w:hAnsi="Arial"/>
          <w:sz w:val="16"/>
          <w:szCs w:val="16"/>
          <w:color w:val="auto"/>
        </w:rPr>
        <w:t>The independent Board members believe that Mr. Nye has extensive experience in all facets of the construction materials industry, in both the U.S. and with global competitors.</w:t>
      </w:r>
    </w:p>
    <w:p>
      <w:pPr>
        <w:spacing w:after="0" w:line="52" w:lineRule="exact"/>
        <w:rPr>
          <w:rFonts w:ascii="Arial" w:cs="Arial" w:eastAsia="Arial" w:hAnsi="Arial"/>
          <w:sz w:val="16"/>
          <w:szCs w:val="16"/>
          <w:color w:val="007CBA"/>
        </w:rPr>
      </w:pPr>
    </w:p>
    <w:p>
      <w:pPr>
        <w:ind w:left="520" w:right="240" w:hanging="246"/>
        <w:spacing w:after="0" w:line="253" w:lineRule="auto"/>
        <w:tabs>
          <w:tab w:leader="none" w:pos="528" w:val="left"/>
        </w:tabs>
        <w:numPr>
          <w:ilvl w:val="0"/>
          <w:numId w:val="72"/>
        </w:numPr>
        <w:rPr>
          <w:rFonts w:ascii="Arial" w:cs="Arial" w:eastAsia="Arial" w:hAnsi="Arial"/>
          <w:sz w:val="16"/>
          <w:szCs w:val="16"/>
          <w:color w:val="007CBA"/>
        </w:rPr>
      </w:pPr>
      <w:r>
        <w:rPr>
          <w:rFonts w:ascii="Arial" w:cs="Arial" w:eastAsia="Arial" w:hAnsi="Arial"/>
          <w:sz w:val="16"/>
          <w:szCs w:val="16"/>
          <w:color w:val="auto"/>
        </w:rPr>
        <w:t>Mr. Nye has been effective in creating shareholder value through strategic acquisitions and divestitures, with achievement of expected synergies.</w:t>
      </w:r>
    </w:p>
    <w:p>
      <w:pPr>
        <w:spacing w:after="0" w:line="52" w:lineRule="exact"/>
        <w:rPr>
          <w:rFonts w:ascii="Arial" w:cs="Arial" w:eastAsia="Arial" w:hAnsi="Arial"/>
          <w:sz w:val="16"/>
          <w:szCs w:val="16"/>
          <w:color w:val="007CBA"/>
        </w:rPr>
      </w:pPr>
    </w:p>
    <w:p>
      <w:pPr>
        <w:ind w:left="520" w:right="80" w:hanging="246"/>
        <w:spacing w:after="0" w:line="253" w:lineRule="auto"/>
        <w:tabs>
          <w:tab w:leader="none" w:pos="528" w:val="left"/>
        </w:tabs>
        <w:numPr>
          <w:ilvl w:val="0"/>
          <w:numId w:val="72"/>
        </w:numPr>
        <w:rPr>
          <w:rFonts w:ascii="Arial" w:cs="Arial" w:eastAsia="Arial" w:hAnsi="Arial"/>
          <w:sz w:val="16"/>
          <w:szCs w:val="16"/>
          <w:color w:val="007CBA"/>
        </w:rPr>
      </w:pPr>
      <w:r>
        <w:rPr>
          <w:rFonts w:ascii="Arial" w:cs="Arial" w:eastAsia="Arial" w:hAnsi="Arial"/>
          <w:sz w:val="16"/>
          <w:szCs w:val="16"/>
          <w:color w:val="auto"/>
        </w:rPr>
        <w:t>Mr. Nye has in-depth knowledge of safety, environmental, and regulatory considerations that impact the business and oversight of management.</w:t>
      </w:r>
    </w:p>
    <w:p>
      <w:pPr>
        <w:spacing w:after="0" w:line="52" w:lineRule="exact"/>
        <w:rPr>
          <w:rFonts w:ascii="Arial" w:cs="Arial" w:eastAsia="Arial" w:hAnsi="Arial"/>
          <w:sz w:val="16"/>
          <w:szCs w:val="16"/>
          <w:color w:val="007CBA"/>
        </w:rPr>
      </w:pPr>
    </w:p>
    <w:p>
      <w:pPr>
        <w:ind w:left="520" w:right="160" w:hanging="246"/>
        <w:spacing w:after="0" w:line="249" w:lineRule="auto"/>
        <w:tabs>
          <w:tab w:leader="none" w:pos="528" w:val="left"/>
        </w:tabs>
        <w:numPr>
          <w:ilvl w:val="0"/>
          <w:numId w:val="72"/>
        </w:numPr>
        <w:rPr>
          <w:rFonts w:ascii="Arial" w:cs="Arial" w:eastAsia="Arial" w:hAnsi="Arial"/>
          <w:sz w:val="16"/>
          <w:szCs w:val="16"/>
          <w:color w:val="007CBA"/>
        </w:rPr>
      </w:pPr>
      <w:r>
        <w:rPr>
          <w:rFonts w:ascii="Arial" w:cs="Arial" w:eastAsia="Arial" w:hAnsi="Arial"/>
          <w:sz w:val="16"/>
          <w:szCs w:val="16"/>
          <w:color w:val="auto"/>
        </w:rPr>
        <w:t>Mr. Nye has demonstrated his leadership and vision to guide the Board in its oversight of management with the development of two five-year strategic plans, with the current Strategic Operating Analysis and Review (SOAR 2020) discussed with and approved by the Board in August 2015.</w:t>
      </w:r>
    </w:p>
    <w:p>
      <w:pPr>
        <w:spacing w:after="0" w:line="57" w:lineRule="exact"/>
        <w:rPr>
          <w:rFonts w:ascii="Arial" w:cs="Arial" w:eastAsia="Arial" w:hAnsi="Arial"/>
          <w:sz w:val="16"/>
          <w:szCs w:val="16"/>
          <w:color w:val="007CBA"/>
        </w:rPr>
      </w:pPr>
    </w:p>
    <w:p>
      <w:pPr>
        <w:ind w:left="520" w:right="80" w:hanging="246"/>
        <w:spacing w:after="0" w:line="250" w:lineRule="auto"/>
        <w:tabs>
          <w:tab w:leader="none" w:pos="528" w:val="left"/>
        </w:tabs>
        <w:numPr>
          <w:ilvl w:val="0"/>
          <w:numId w:val="72"/>
        </w:numPr>
        <w:rPr>
          <w:rFonts w:ascii="Arial" w:cs="Arial" w:eastAsia="Arial" w:hAnsi="Arial"/>
          <w:sz w:val="16"/>
          <w:szCs w:val="16"/>
          <w:color w:val="007CBA"/>
        </w:rPr>
      </w:pPr>
      <w:r>
        <w:rPr>
          <w:rFonts w:ascii="Arial" w:cs="Arial" w:eastAsia="Arial" w:hAnsi="Arial"/>
          <w:sz w:val="16"/>
          <w:szCs w:val="16"/>
          <w:color w:val="auto"/>
        </w:rPr>
        <w:t>Mr. Nye has engaged in an active investor relations program, including the Company’s Investor Day presentations, and leads the Board in understanding the perspective of the Company’s shareholders.</w:t>
      </w:r>
    </w:p>
    <w:p>
      <w:pPr>
        <w:spacing w:after="0" w:line="56" w:lineRule="exact"/>
        <w:rPr>
          <w:rFonts w:ascii="Arial" w:cs="Arial" w:eastAsia="Arial" w:hAnsi="Arial"/>
          <w:sz w:val="16"/>
          <w:szCs w:val="16"/>
          <w:color w:val="007CBA"/>
        </w:rPr>
      </w:pPr>
    </w:p>
    <w:p>
      <w:pPr>
        <w:ind w:left="480" w:hanging="206"/>
        <w:spacing w:after="0"/>
        <w:tabs>
          <w:tab w:leader="none" w:pos="480" w:val="left"/>
        </w:tabs>
        <w:numPr>
          <w:ilvl w:val="0"/>
          <w:numId w:val="72"/>
        </w:numPr>
        <w:rPr>
          <w:rFonts w:ascii="Arial" w:cs="Arial" w:eastAsia="Arial" w:hAnsi="Arial"/>
          <w:sz w:val="16"/>
          <w:szCs w:val="16"/>
          <w:color w:val="007CBA"/>
        </w:rPr>
      </w:pPr>
      <w:r>
        <w:rPr>
          <w:rFonts w:ascii="Arial" w:cs="Arial" w:eastAsia="Arial" w:hAnsi="Arial"/>
          <w:sz w:val="16"/>
          <w:szCs w:val="16"/>
          <w:color w:val="auto"/>
        </w:rPr>
        <w:t>Mr. Nye is the only member of management who sits on the Board.</w:t>
      </w:r>
    </w:p>
    <w:p>
      <w:pPr>
        <w:spacing w:after="0" w:line="72" w:lineRule="exact"/>
        <w:rPr>
          <w:rFonts w:ascii="Arial" w:cs="Arial" w:eastAsia="Arial" w:hAnsi="Arial"/>
          <w:sz w:val="16"/>
          <w:szCs w:val="16"/>
          <w:color w:val="007CBA"/>
        </w:rPr>
      </w:pPr>
    </w:p>
    <w:p>
      <w:pPr>
        <w:ind w:left="520" w:right="200" w:hanging="246"/>
        <w:spacing w:after="0" w:line="253" w:lineRule="auto"/>
        <w:tabs>
          <w:tab w:leader="none" w:pos="528" w:val="left"/>
        </w:tabs>
        <w:numPr>
          <w:ilvl w:val="0"/>
          <w:numId w:val="72"/>
        </w:numPr>
        <w:rPr>
          <w:rFonts w:ascii="Arial" w:cs="Arial" w:eastAsia="Arial" w:hAnsi="Arial"/>
          <w:sz w:val="16"/>
          <w:szCs w:val="16"/>
          <w:color w:val="007CBA"/>
        </w:rPr>
      </w:pPr>
      <w:r>
        <w:rPr>
          <w:rFonts w:ascii="Arial" w:cs="Arial" w:eastAsia="Arial" w:hAnsi="Arial"/>
          <w:sz w:val="16"/>
          <w:szCs w:val="16"/>
          <w:color w:val="auto"/>
        </w:rPr>
        <w:t>Strong independent directors comprise 90% of the current Board, and open communications exist between Mr. Nye and the independent directors.</w:t>
      </w:r>
    </w:p>
    <w:p>
      <w:pPr>
        <w:spacing w:after="0" w:line="32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As a result of Mr. Nye’s tenure at Martin Marietta and strong performance as a leader since his election as CEO, the Board believes he is uniquely qualified through his experience, education and expertise to be the person who promotes strong and visionary leadership for our Board as well as important recognition as the leader of Martin Marietta by our customers, employees and other constituencies. The Board also believes that Mr. Nye’s serving as both Chairman and CEO is appropriate taking into consideration the size and nature of our business, Mr. Nye’s effective and careful formulation and execution of our strategic plan, his established working relationship and open communication with our other Directors, both during meetings and in the intervals between meetings, the significant board-level experience of our independent Directors as a whole, the strong independent leadership and accountability to shareholders provided by 90% of our Directors being independent, the independent leadership provided by our Committee chairs, and our Board culture in which Mr. Nye and the other Directors are able to thoughtfully debate different points of view and reach consensus in an efficient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173355</wp:posOffset>
            </wp:positionV>
            <wp:extent cx="410845" cy="2482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271" w:lineRule="exact"/>
        <w:rPr>
          <w:sz w:val="20"/>
          <w:szCs w:val="20"/>
          <w:color w:val="auto"/>
        </w:rPr>
      </w:pPr>
    </w:p>
    <w:tbl>
      <w:tblPr>
        <w:tblLayout w:type="fixed"/>
        <w:tblInd w:w="344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2019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25</w:t>
            </w:r>
          </w:p>
        </w:tc>
      </w:tr>
    </w:tbl>
    <w:p>
      <w:pPr>
        <w:sectPr>
          <w:pgSz w:w="11900" w:h="16838" w:orient="portrait"/>
          <w:cols w:equalWidth="0" w:num="2">
            <w:col w:w="5500" w:space="320"/>
            <w:col w:w="540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59" w:lineRule="exact"/>
        <w:rPr>
          <w:sz w:val="20"/>
          <w:szCs w:val="20"/>
          <w:color w:val="auto"/>
        </w:rPr>
      </w:pPr>
    </w:p>
    <w:p>
      <w:pPr>
        <w:ind w:left="220"/>
        <w:spacing w:after="0" w:line="251" w:lineRule="exact"/>
        <w:tabs>
          <w:tab w:leader="none" w:pos="2160" w:val="left"/>
        </w:tabs>
        <w:rPr>
          <w:sz w:val="20"/>
          <w:szCs w:val="20"/>
          <w:color w:val="auto"/>
        </w:rPr>
      </w:pPr>
      <w:r>
        <w:rPr>
          <w:rFonts w:ascii="Arial" w:cs="Arial" w:eastAsia="Arial" w:hAnsi="Arial"/>
          <w:sz w:val="13"/>
          <w:szCs w:val="13"/>
          <w:color w:val="007CBA"/>
        </w:rPr>
        <w:t>Corporate Governance Matters</w:t>
      </w:r>
      <w:r>
        <w:rPr>
          <w:sz w:val="20"/>
          <w:szCs w:val="20"/>
          <w:color w:val="auto"/>
        </w:rPr>
        <w:tab/>
      </w:r>
      <w:r>
        <w:rPr>
          <w:rFonts w:ascii="MS PGothic" w:cs="MS PGothic" w:eastAsia="MS PGothic" w:hAnsi="MS PGothic"/>
          <w:sz w:val="25"/>
          <w:szCs w:val="25"/>
          <w:color w:val="007CBA"/>
        </w:rPr>
        <w:t xml:space="preserve">◆ </w:t>
      </w:r>
      <w:r>
        <w:rPr>
          <w:rFonts w:ascii="Arial" w:cs="Arial" w:eastAsia="Arial" w:hAnsi="Arial"/>
          <w:sz w:val="13"/>
          <w:szCs w:val="13"/>
          <w:color w:val="000000"/>
        </w:rPr>
        <w:t>Corporate Governance Philosophy</w:t>
      </w:r>
    </w:p>
    <w:p>
      <w:pPr>
        <w:spacing w:after="0" w:line="200" w:lineRule="exact"/>
        <w:rPr>
          <w:sz w:val="20"/>
          <w:szCs w:val="20"/>
          <w:color w:val="auto"/>
        </w:rPr>
      </w:pPr>
    </w:p>
    <w:p>
      <w:pPr>
        <w:spacing w:after="0" w:line="311"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7CBA"/>
        </w:rPr>
        <w:t>Does the Board have a Lead Independent Director?</w:t>
      </w:r>
    </w:p>
    <w:p>
      <w:pPr>
        <w:spacing w:after="0" w:line="25" w:lineRule="exact"/>
        <w:rPr>
          <w:sz w:val="20"/>
          <w:szCs w:val="20"/>
          <w:color w:val="auto"/>
        </w:rPr>
      </w:pPr>
    </w:p>
    <w:p>
      <w:pPr>
        <w:jc w:val="both"/>
        <w:ind w:left="220"/>
        <w:spacing w:after="0" w:line="247" w:lineRule="auto"/>
        <w:rPr>
          <w:sz w:val="20"/>
          <w:szCs w:val="20"/>
          <w:color w:val="auto"/>
        </w:rPr>
      </w:pPr>
      <w:r>
        <w:rPr>
          <w:rFonts w:ascii="Arial" w:cs="Arial" w:eastAsia="Arial" w:hAnsi="Arial"/>
          <w:sz w:val="16"/>
          <w:szCs w:val="16"/>
          <w:color w:val="auto"/>
        </w:rPr>
        <w:t xml:space="preserve">In deciding that a combined Chairman and Chief Executive Officer position is the appropriate leadership structure for the Company at this time, the Nominating and Corporate Governance Committee and Board also recognized the benefit of independent leadership to enhance the effectiveness of the Board’s oversight role and communications between the Board and Mr. Nye. Accordingly, in November 2014, our </w:t>
      </w:r>
      <w:r>
        <w:rPr>
          <w:rFonts w:ascii="Arial" w:cs="Arial" w:eastAsia="Arial" w:hAnsi="Arial"/>
          <w:sz w:val="16"/>
          <w:szCs w:val="16"/>
          <w:i w:val="1"/>
          <w:iCs w:val="1"/>
          <w:color w:val="auto"/>
        </w:rPr>
        <w:t>Corporate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Governance Guidelines </w:t>
      </w:r>
      <w:r>
        <w:rPr>
          <w:rFonts w:ascii="Arial" w:cs="Arial" w:eastAsia="Arial" w:hAnsi="Arial"/>
          <w:sz w:val="16"/>
          <w:szCs w:val="16"/>
          <w:color w:val="auto"/>
        </w:rPr>
        <w:t>were revised to provide that in the event the</w:t>
      </w:r>
      <w:r>
        <w:rPr>
          <w:rFonts w:ascii="Arial" w:cs="Arial" w:eastAsia="Arial" w:hAnsi="Arial"/>
          <w:sz w:val="16"/>
          <w:szCs w:val="16"/>
          <w:i w:val="1"/>
          <w:iCs w:val="1"/>
          <w:color w:val="auto"/>
        </w:rPr>
        <w:t xml:space="preserve"> </w:t>
      </w:r>
      <w:r>
        <w:rPr>
          <w:rFonts w:ascii="Arial" w:cs="Arial" w:eastAsia="Arial" w:hAnsi="Arial"/>
          <w:sz w:val="16"/>
          <w:szCs w:val="16"/>
          <w:color w:val="auto"/>
        </w:rPr>
        <w:t>Chairman and Chief Executive Officer positions are held by one person, our independent Directors may designate a Lead Independent Director from among the independent Directors. The designation of the Lead Independent Director is to be made annually, although with the expectation of the Board that the Lead Independent Director will be re-appointed for multiple, consecutive one-year terms. Michael J. Quillen currently serves as the Lead Independent Director.</w:t>
      </w:r>
    </w:p>
    <w:p>
      <w:pPr>
        <w:spacing w:after="0" w:line="18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responsibilities of the Lead Independent Director include:</w:t>
      </w:r>
    </w:p>
    <w:p>
      <w:pPr>
        <w:spacing w:after="0" w:line="86" w:lineRule="exact"/>
        <w:rPr>
          <w:sz w:val="20"/>
          <w:szCs w:val="20"/>
          <w:color w:val="auto"/>
        </w:rPr>
      </w:pPr>
    </w:p>
    <w:p>
      <w:pPr>
        <w:ind w:left="580" w:hanging="289"/>
        <w:spacing w:after="0"/>
        <w:tabs>
          <w:tab w:leader="none" w:pos="580" w:val="left"/>
        </w:tabs>
        <w:numPr>
          <w:ilvl w:val="0"/>
          <w:numId w:val="73"/>
        </w:numPr>
        <w:rPr>
          <w:rFonts w:ascii="Arial" w:cs="Arial" w:eastAsia="Arial" w:hAnsi="Arial"/>
          <w:sz w:val="16"/>
          <w:szCs w:val="16"/>
          <w:color w:val="007CBA"/>
        </w:rPr>
      </w:pPr>
      <w:r>
        <w:rPr>
          <w:rFonts w:ascii="Arial" w:cs="Arial" w:eastAsia="Arial" w:hAnsi="Arial"/>
          <w:sz w:val="16"/>
          <w:szCs w:val="16"/>
          <w:color w:val="auto"/>
        </w:rPr>
        <w:t>Presiding at Board meetings when the Chairman is not present.</w:t>
      </w:r>
    </w:p>
    <w:p>
      <w:pPr>
        <w:spacing w:after="0" w:line="85" w:lineRule="exact"/>
        <w:rPr>
          <w:rFonts w:ascii="Arial" w:cs="Arial" w:eastAsia="Arial" w:hAnsi="Arial"/>
          <w:sz w:val="16"/>
          <w:szCs w:val="16"/>
          <w:color w:val="007CBA"/>
        </w:rPr>
      </w:pPr>
    </w:p>
    <w:p>
      <w:pPr>
        <w:jc w:val="both"/>
        <w:ind w:left="580" w:right="20" w:hanging="289"/>
        <w:spacing w:after="0" w:line="250" w:lineRule="auto"/>
        <w:tabs>
          <w:tab w:leader="none" w:pos="580" w:val="left"/>
        </w:tabs>
        <w:numPr>
          <w:ilvl w:val="0"/>
          <w:numId w:val="73"/>
        </w:numPr>
        <w:rPr>
          <w:rFonts w:ascii="Arial" w:cs="Arial" w:eastAsia="Arial" w:hAnsi="Arial"/>
          <w:sz w:val="16"/>
          <w:szCs w:val="16"/>
          <w:color w:val="007CBA"/>
        </w:rPr>
      </w:pPr>
      <w:r>
        <w:rPr>
          <w:rFonts w:ascii="Arial" w:cs="Arial" w:eastAsia="Arial" w:hAnsi="Arial"/>
          <w:sz w:val="16"/>
          <w:szCs w:val="16"/>
          <w:color w:val="auto"/>
        </w:rPr>
        <w:t>Presiding at executive sessions of the independent Directors, with or without the attendance of the Chairman, and meeting separately with the Chairman after executive sessions to review the matters discussed during the executive sessions.</w:t>
      </w:r>
    </w:p>
    <w:p>
      <w:pPr>
        <w:spacing w:after="0" w:line="69" w:lineRule="exact"/>
        <w:rPr>
          <w:rFonts w:ascii="Arial" w:cs="Arial" w:eastAsia="Arial" w:hAnsi="Arial"/>
          <w:sz w:val="16"/>
          <w:szCs w:val="16"/>
          <w:color w:val="007CBA"/>
        </w:rPr>
      </w:pPr>
    </w:p>
    <w:p>
      <w:pPr>
        <w:ind w:left="580" w:right="20" w:hanging="289"/>
        <w:spacing w:after="0" w:line="260" w:lineRule="auto"/>
        <w:tabs>
          <w:tab w:leader="none" w:pos="580" w:val="left"/>
        </w:tabs>
        <w:numPr>
          <w:ilvl w:val="0"/>
          <w:numId w:val="73"/>
        </w:numPr>
        <w:rPr>
          <w:rFonts w:ascii="Arial" w:cs="Arial" w:eastAsia="Arial" w:hAnsi="Arial"/>
          <w:sz w:val="16"/>
          <w:szCs w:val="16"/>
          <w:color w:val="007CBA"/>
        </w:rPr>
      </w:pPr>
      <w:r>
        <w:rPr>
          <w:rFonts w:ascii="Arial" w:cs="Arial" w:eastAsia="Arial" w:hAnsi="Arial"/>
          <w:sz w:val="16"/>
          <w:szCs w:val="16"/>
          <w:color w:val="auto"/>
        </w:rPr>
        <w:t>Acting as a liaison between the Chairman and the independent Directors.</w:t>
      </w:r>
    </w:p>
    <w:p>
      <w:pPr>
        <w:spacing w:after="0" w:line="60" w:lineRule="exact"/>
        <w:rPr>
          <w:rFonts w:ascii="Arial" w:cs="Arial" w:eastAsia="Arial" w:hAnsi="Arial"/>
          <w:sz w:val="16"/>
          <w:szCs w:val="16"/>
          <w:color w:val="007CBA"/>
        </w:rPr>
      </w:pPr>
    </w:p>
    <w:p>
      <w:pPr>
        <w:ind w:left="580" w:right="20" w:hanging="289"/>
        <w:spacing w:after="0" w:line="260" w:lineRule="auto"/>
        <w:tabs>
          <w:tab w:leader="none" w:pos="580" w:val="left"/>
        </w:tabs>
        <w:numPr>
          <w:ilvl w:val="0"/>
          <w:numId w:val="73"/>
        </w:numPr>
        <w:rPr>
          <w:rFonts w:ascii="Arial" w:cs="Arial" w:eastAsia="Arial" w:hAnsi="Arial"/>
          <w:sz w:val="16"/>
          <w:szCs w:val="16"/>
          <w:color w:val="007CBA"/>
        </w:rPr>
      </w:pPr>
      <w:r>
        <w:rPr>
          <w:rFonts w:ascii="Arial" w:cs="Arial" w:eastAsia="Arial" w:hAnsi="Arial"/>
          <w:sz w:val="16"/>
          <w:szCs w:val="16"/>
          <w:color w:val="auto"/>
        </w:rPr>
        <w:t>Suggesting to the Chairman agenda items for Board meetings and consulting with the Chairman regarding Board meeting schedules.</w:t>
      </w:r>
    </w:p>
    <w:p>
      <w:pPr>
        <w:spacing w:after="0" w:line="60" w:lineRule="exact"/>
        <w:rPr>
          <w:rFonts w:ascii="Arial" w:cs="Arial" w:eastAsia="Arial" w:hAnsi="Arial"/>
          <w:sz w:val="16"/>
          <w:szCs w:val="16"/>
          <w:color w:val="007CBA"/>
        </w:rPr>
      </w:pPr>
    </w:p>
    <w:p>
      <w:pPr>
        <w:ind w:left="580" w:right="20" w:hanging="289"/>
        <w:spacing w:after="0" w:line="260" w:lineRule="auto"/>
        <w:tabs>
          <w:tab w:leader="none" w:pos="580" w:val="left"/>
        </w:tabs>
        <w:numPr>
          <w:ilvl w:val="0"/>
          <w:numId w:val="73"/>
        </w:numPr>
        <w:rPr>
          <w:rFonts w:ascii="Arial" w:cs="Arial" w:eastAsia="Arial" w:hAnsi="Arial"/>
          <w:sz w:val="16"/>
          <w:szCs w:val="16"/>
          <w:color w:val="007CBA"/>
        </w:rPr>
      </w:pPr>
      <w:r>
        <w:rPr>
          <w:rFonts w:ascii="Arial" w:cs="Arial" w:eastAsia="Arial" w:hAnsi="Arial"/>
          <w:sz w:val="16"/>
          <w:szCs w:val="16"/>
          <w:color w:val="auto"/>
        </w:rPr>
        <w:t>Calling, where necessary, meetings of independent Directors and executive sessions.</w:t>
      </w:r>
    </w:p>
    <w:p>
      <w:pPr>
        <w:spacing w:after="0" w:line="60" w:lineRule="exact"/>
        <w:rPr>
          <w:rFonts w:ascii="Arial" w:cs="Arial" w:eastAsia="Arial" w:hAnsi="Arial"/>
          <w:sz w:val="16"/>
          <w:szCs w:val="16"/>
          <w:color w:val="007CBA"/>
        </w:rPr>
      </w:pPr>
    </w:p>
    <w:p>
      <w:pPr>
        <w:ind w:left="580" w:right="20" w:hanging="289"/>
        <w:spacing w:after="0" w:line="260" w:lineRule="auto"/>
        <w:tabs>
          <w:tab w:leader="none" w:pos="580" w:val="left"/>
        </w:tabs>
        <w:numPr>
          <w:ilvl w:val="0"/>
          <w:numId w:val="73"/>
        </w:numPr>
        <w:rPr>
          <w:rFonts w:ascii="Arial" w:cs="Arial" w:eastAsia="Arial" w:hAnsi="Arial"/>
          <w:sz w:val="16"/>
          <w:szCs w:val="16"/>
          <w:color w:val="007CBA"/>
        </w:rPr>
      </w:pPr>
      <w:r>
        <w:rPr>
          <w:rFonts w:ascii="Arial" w:cs="Arial" w:eastAsia="Arial" w:hAnsi="Arial"/>
          <w:sz w:val="16"/>
          <w:szCs w:val="16"/>
          <w:color w:val="auto"/>
        </w:rPr>
        <w:t>Being available to meet with shareholders and other key constituents.</w:t>
      </w:r>
    </w:p>
    <w:p>
      <w:pPr>
        <w:spacing w:after="0" w:line="60" w:lineRule="exact"/>
        <w:rPr>
          <w:rFonts w:ascii="Arial" w:cs="Arial" w:eastAsia="Arial" w:hAnsi="Arial"/>
          <w:sz w:val="16"/>
          <w:szCs w:val="16"/>
          <w:color w:val="007CBA"/>
        </w:rPr>
      </w:pPr>
    </w:p>
    <w:p>
      <w:pPr>
        <w:ind w:left="580" w:hanging="289"/>
        <w:spacing w:after="0"/>
        <w:tabs>
          <w:tab w:leader="none" w:pos="580" w:val="left"/>
        </w:tabs>
        <w:numPr>
          <w:ilvl w:val="0"/>
          <w:numId w:val="73"/>
        </w:numPr>
        <w:rPr>
          <w:rFonts w:ascii="Arial" w:cs="Arial" w:eastAsia="Arial" w:hAnsi="Arial"/>
          <w:sz w:val="16"/>
          <w:szCs w:val="16"/>
          <w:color w:val="007CBA"/>
        </w:rPr>
      </w:pPr>
      <w:r>
        <w:rPr>
          <w:rFonts w:ascii="Arial" w:cs="Arial" w:eastAsia="Arial" w:hAnsi="Arial"/>
          <w:sz w:val="16"/>
          <w:szCs w:val="16"/>
          <w:color w:val="auto"/>
        </w:rPr>
        <w:t>Acting as a resource for, and counsel to, the Chairman.</w:t>
      </w:r>
    </w:p>
    <w:p>
      <w:pPr>
        <w:spacing w:after="0" w:line="180" w:lineRule="exact"/>
        <w:rPr>
          <w:sz w:val="20"/>
          <w:szCs w:val="20"/>
          <w:color w:val="auto"/>
        </w:rPr>
      </w:pPr>
    </w:p>
    <w:p>
      <w:pPr>
        <w:jc w:val="both"/>
        <w:ind w:left="220" w:right="20"/>
        <w:spacing w:after="0" w:line="260" w:lineRule="auto"/>
        <w:rPr>
          <w:sz w:val="20"/>
          <w:szCs w:val="20"/>
          <w:color w:val="auto"/>
        </w:rPr>
      </w:pPr>
      <w:r>
        <w:rPr>
          <w:rFonts w:ascii="Arial" w:cs="Arial" w:eastAsia="Arial" w:hAnsi="Arial"/>
          <w:sz w:val="16"/>
          <w:szCs w:val="16"/>
          <w:color w:val="auto"/>
        </w:rPr>
        <w:t>In addition, the Lead Independent Director attends and meets with shareholders at Company-sponsored Investor Days.</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7CBA"/>
        </w:rPr>
        <w:t>What is the Board’s role in risk oversight?</w:t>
      </w:r>
    </w:p>
    <w:p>
      <w:pPr>
        <w:spacing w:after="0" w:line="25" w:lineRule="exact"/>
        <w:rPr>
          <w:sz w:val="20"/>
          <w:szCs w:val="20"/>
          <w:color w:val="auto"/>
        </w:rPr>
      </w:pPr>
    </w:p>
    <w:p>
      <w:pPr>
        <w:jc w:val="both"/>
        <w:ind w:left="220"/>
        <w:spacing w:after="0" w:line="247" w:lineRule="auto"/>
        <w:rPr>
          <w:sz w:val="20"/>
          <w:szCs w:val="20"/>
          <w:color w:val="auto"/>
        </w:rPr>
      </w:pPr>
      <w:r>
        <w:rPr>
          <w:rFonts w:ascii="Arial" w:cs="Arial" w:eastAsia="Arial" w:hAnsi="Arial"/>
          <w:sz w:val="16"/>
          <w:szCs w:val="16"/>
          <w:color w:val="auto"/>
        </w:rPr>
        <w:t>Our Board currently has nine independent members and only one non-independent member, Mr. Nye. A number of our independent Board members are serving or have served as members of senior management of other public companies, have served as directors of other public companies, and otherwise have experience and/or educational backgrounds that we believe qualify them to effectively assess risk. Each of our Board Committees, including our key Committees of Audit, Management Development and Compensation, and Nominating and Corporate Governance Committees, are comprised solely of independent Directors, each with a different independent Director serving as Chair of the Committee (other than the Executive Committee, which does not meet on a regular basis).</w:t>
      </w:r>
    </w:p>
    <w:p>
      <w:pPr>
        <w:spacing w:after="0" w:line="323" w:lineRule="exact"/>
        <w:rPr>
          <w:sz w:val="20"/>
          <w:szCs w:val="20"/>
          <w:color w:val="auto"/>
        </w:rPr>
      </w:pPr>
    </w:p>
    <w:p>
      <w:pPr>
        <w:ind w:left="640" w:hanging="430"/>
        <w:spacing w:after="0"/>
        <w:tabs>
          <w:tab w:leader="none" w:pos="640" w:val="left"/>
        </w:tabs>
        <w:numPr>
          <w:ilvl w:val="0"/>
          <w:numId w:val="74"/>
        </w:numPr>
        <w:rPr>
          <w:rFonts w:ascii="Arial" w:cs="Arial" w:eastAsia="Arial" w:hAnsi="Arial"/>
          <w:sz w:val="13"/>
          <w:szCs w:val="13"/>
          <w:b w:val="1"/>
          <w:bCs w:val="1"/>
          <w:color w:val="auto"/>
        </w:rPr>
      </w:pPr>
      <w:r>
        <w:rPr>
          <w:rFonts w:ascii="Arial" w:cs="Arial" w:eastAsia="Arial" w:hAnsi="Arial"/>
          <w:sz w:val="13"/>
          <w:szCs w:val="13"/>
          <w:color w:val="007CBA"/>
        </w:rPr>
        <w:t>2019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Board has overall responsibility for oversight of risk management. The Board believes that an effective risk management system will (1) timely identify the material risks that Martin Marietta faces, (2) communicate necessary information with respect to material risks to senior executives and, as appropriate, to the Board or relevant Board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-1593215</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ind w:firstLine="4"/>
        <w:spacing w:after="0" w:line="246" w:lineRule="auto"/>
        <w:tabs>
          <w:tab w:leader="none" w:pos="297" w:val="left"/>
        </w:tabs>
        <w:numPr>
          <w:ilvl w:val="0"/>
          <w:numId w:val="75"/>
        </w:numPr>
        <w:rPr>
          <w:rFonts w:ascii="Arial" w:cs="Arial" w:eastAsia="Arial" w:hAnsi="Arial"/>
          <w:sz w:val="16"/>
          <w:szCs w:val="16"/>
          <w:color w:val="auto"/>
        </w:rPr>
      </w:pPr>
      <w:r>
        <w:rPr>
          <w:rFonts w:ascii="Arial" w:cs="Arial" w:eastAsia="Arial" w:hAnsi="Arial"/>
          <w:sz w:val="16"/>
          <w:szCs w:val="16"/>
          <w:color w:val="auto"/>
        </w:rPr>
        <w:t>determine whether the risk is excessive or appropriate under the circumstances and designed to achieve a legitimate corporate goal,</w:t>
      </w:r>
    </w:p>
    <w:p>
      <w:pPr>
        <w:jc w:val="both"/>
        <w:ind w:right="20" w:firstLine="4"/>
        <w:spacing w:after="0" w:line="253" w:lineRule="auto"/>
        <w:tabs>
          <w:tab w:leader="none" w:pos="345" w:val="left"/>
        </w:tabs>
        <w:numPr>
          <w:ilvl w:val="0"/>
          <w:numId w:val="75"/>
        </w:numPr>
        <w:rPr>
          <w:rFonts w:ascii="Arial" w:cs="Arial" w:eastAsia="Arial" w:hAnsi="Arial"/>
          <w:sz w:val="16"/>
          <w:szCs w:val="16"/>
          <w:color w:val="auto"/>
        </w:rPr>
      </w:pPr>
      <w:r>
        <w:rPr>
          <w:rFonts w:ascii="Arial" w:cs="Arial" w:eastAsia="Arial" w:hAnsi="Arial"/>
          <w:sz w:val="16"/>
          <w:szCs w:val="16"/>
          <w:color w:val="auto"/>
        </w:rPr>
        <w:t>implement risk management responses consistent with Martin Marietta’s risk profile, and (5) integrate risk management into Martin Marietta’s decision-making.</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Board delegates certain responsibilities to Board Committees to assist in fulfilling its risk oversight responsibilities. Each of the Committees reports regularly to the full Board of Directors as to actions taken and topics discussed. In addition, the Board regularly reviews with management the most significant risks facing Martin Marietta, the probabilities of those risks occurring, the steps taken to mitigate any impact of risks, and management’s general risk management strategy. In addition, the Board encourages management to promote a corporate culture that incorporates risk management into Martin Marietta’s day-to-day operations.</w:t>
      </w:r>
    </w:p>
    <w:p>
      <w:pPr>
        <w:spacing w:after="0" w:line="16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 xml:space="preserve">The Board has designated the Audit Committee to take the lead in overseeing risks related to financial reporting, financial statements, internal control environment, internal audit, independent audit, cybersecurity, and accounting processes. The Finance Committee evaluates risks associated with Martin Marietta’s capital structure, including credit and liquidity risks. The Management Development and Compensation Committee oversees aspects of risk related to the annual performance evaluation of our Chief Executive Officer, succession planning and ensuring that executive compensation is appropriate to meet Martin Marietta’s objectives. That Committee’s assessment of the design features of our executive compensation program that reduce the risk of excessive risk-taking are discussed in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xml:space="preserve"> on page 50. The Nominating and Corporate Governance Committee oversees aspects of risk related to the composition of the Board and its Committees, Board performance and best practices in corporate governance. The Ethics, Environment, Safety and Health Committee monitors risks in key areas of Martin Marietta’s sustainability program, including health, safety, and the environment as well as the Company’s ethics program.</w:t>
      </w:r>
    </w:p>
    <w:p>
      <w:pPr>
        <w:spacing w:after="0" w:line="16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While the Board oversees Martin Marietta’s risk management, the executive officers are responsible for the day-to-day risk management processes. We believe this division of responsibilities is the most effective approach for addressing the risks facing our Company and is appropriate whether the positions of Chairman and Chief Executive Officer are separate or held by the same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779145</wp:posOffset>
            </wp:positionV>
            <wp:extent cx="410845" cy="2482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ectPr>
          <w:pgSz w:w="11900" w:h="16838" w:orient="portrait"/>
          <w:cols w:equalWidth="0" w:num="2">
            <w:col w:w="5500" w:space="320"/>
            <w:col w:w="540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9" w:lineRule="exact"/>
        <w:rPr>
          <w:sz w:val="20"/>
          <w:szCs w:val="20"/>
          <w:color w:val="auto"/>
        </w:rPr>
      </w:pPr>
    </w:p>
    <w:p>
      <w:pPr>
        <w:jc w:val="right"/>
        <w:spacing w:after="0" w:line="288" w:lineRule="exact"/>
        <w:rPr>
          <w:sz w:val="20"/>
          <w:szCs w:val="20"/>
          <w:color w:val="auto"/>
        </w:rPr>
      </w:pPr>
      <w:r>
        <w:rPr>
          <w:rFonts w:ascii="Arial" w:cs="Arial" w:eastAsia="Arial" w:hAnsi="Arial"/>
          <w:sz w:val="13"/>
          <w:szCs w:val="13"/>
          <w:color w:val="auto"/>
        </w:rPr>
        <w:t xml:space="preserve">Corporate Governance Philosophy </w:t>
      </w:r>
      <w:r>
        <w:rPr>
          <w:rFonts w:ascii="MS PGothic" w:cs="MS PGothic" w:eastAsia="MS PGothic" w:hAnsi="MS PGothic"/>
          <w:sz w:val="25"/>
          <w:szCs w:val="25"/>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Corporate Governance Matters</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ind w:left="220" w:right="380"/>
        <w:spacing w:after="0" w:line="259" w:lineRule="auto"/>
        <w:rPr>
          <w:sz w:val="20"/>
          <w:szCs w:val="20"/>
          <w:color w:val="auto"/>
        </w:rPr>
      </w:pPr>
      <w:r>
        <w:rPr>
          <w:rFonts w:ascii="Arial" w:cs="Arial" w:eastAsia="Arial" w:hAnsi="Arial"/>
          <w:sz w:val="16"/>
          <w:szCs w:val="16"/>
          <w:b w:val="1"/>
          <w:bCs w:val="1"/>
          <w:i w:val="1"/>
          <w:iCs w:val="1"/>
          <w:color w:val="007CBA"/>
        </w:rPr>
        <w:t>How would interested parties make their concerns known to the independent Directors?</w:t>
      </w:r>
    </w:p>
    <w:p>
      <w:pPr>
        <w:spacing w:after="0" w:line="1" w:lineRule="exact"/>
        <w:rPr>
          <w:sz w:val="20"/>
          <w:szCs w:val="20"/>
          <w:color w:val="auto"/>
        </w:rPr>
      </w:pPr>
    </w:p>
    <w:p>
      <w:pPr>
        <w:jc w:val="both"/>
        <w:ind w:left="220"/>
        <w:spacing w:after="0" w:line="247" w:lineRule="auto"/>
        <w:rPr>
          <w:sz w:val="20"/>
          <w:szCs w:val="20"/>
          <w:color w:val="auto"/>
        </w:rPr>
      </w:pPr>
      <w:r>
        <w:rPr>
          <w:rFonts w:ascii="Arial" w:cs="Arial" w:eastAsia="Arial" w:hAnsi="Arial"/>
          <w:sz w:val="16"/>
          <w:szCs w:val="16"/>
          <w:color w:val="auto"/>
        </w:rPr>
        <w:t>The Board of Directors provides a process for shareholders and other interested parties to send communications to the Board. Shareholders and other interested parties may communicate anonymously and confidentially with the Board through Martin Marietta’s Ethics Hotline at 1-800-209-4508. The Board has also designated the Corporate Secretary to facilitate communications to the Board. Shareholders and other interested parties may communicate directly with the Board of Directors, or directly with the independent Directors, or an individual Director, including the Lead Independent Director, by writing to Martin Marietta, Attn: Corporate Secretary, 2710 Wycliff Road, Raleigh, North Carolina 27607-3033.</w:t>
      </w:r>
    </w:p>
    <w:p>
      <w:pPr>
        <w:spacing w:after="0" w:line="373"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All communications by shareholders or other interested parties addressed to the Board will be sent directly to Board members. While Martin Marietta’s Ethics Office and the Corporate Secretary may review, sort, and summarize these communications, all direct communications will be presented to the independent Directors unless there is instruction from them to filter such communications (and in such event, any communication that has been filtered out will be made available to any independent Director who wishes to review it).</w:t>
      </w:r>
    </w:p>
    <w:p>
      <w:pPr>
        <w:spacing w:after="0" w:line="165"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 xml:space="preserve">Martin Marietta and its Board of Directors will continue to review and evaluate the process by which shareholders or other interested persons communicate with Martin Marietta and the Board and may adopt other or further processes and procedures in this regard. If so, Martin Marietta will identify those policies and procedures on our website at </w:t>
      </w:r>
      <w:r>
        <w:rPr>
          <w:rFonts w:ascii="Arial" w:cs="Arial" w:eastAsia="Arial" w:hAnsi="Arial"/>
          <w:sz w:val="16"/>
          <w:szCs w:val="16"/>
          <w:i w:val="1"/>
          <w:iCs w:val="1"/>
          <w:color w:val="auto"/>
        </w:rPr>
        <w:t>www.martinmarietta.com</w:t>
      </w:r>
      <w:r>
        <w:rPr>
          <w:rFonts w:ascii="Arial" w:cs="Arial" w:eastAsia="Arial" w:hAnsi="Arial"/>
          <w:sz w:val="16"/>
          <w:szCs w:val="16"/>
          <w:color w:val="auto"/>
        </w:rPr>
        <w:t>.</w:t>
      </w:r>
    </w:p>
    <w:p>
      <w:pPr>
        <w:spacing w:after="0" w:line="143"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7CBA"/>
        </w:rPr>
        <w:t>How often did the Board meet during 2018?</w:t>
      </w:r>
    </w:p>
    <w:p>
      <w:pPr>
        <w:spacing w:after="0" w:line="25"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Martin Marietta’s Board of Directors held four regularly scheduled meetings during 2018. There were also a total of 24 Committee meetings in 2018. In addition, management confers frequently with its Directors on an informal basis to discuss Company affairs.</w:t>
      </w:r>
    </w:p>
    <w:p>
      <w:pPr>
        <w:spacing w:after="0" w:line="158" w:lineRule="exact"/>
        <w:rPr>
          <w:sz w:val="20"/>
          <w:szCs w:val="20"/>
          <w:color w:val="auto"/>
        </w:rPr>
      </w:pPr>
    </w:p>
    <w:p>
      <w:pPr>
        <w:ind w:left="220" w:right="120"/>
        <w:spacing w:after="0" w:line="259" w:lineRule="auto"/>
        <w:rPr>
          <w:sz w:val="20"/>
          <w:szCs w:val="20"/>
          <w:color w:val="auto"/>
        </w:rPr>
      </w:pPr>
      <w:r>
        <w:rPr>
          <w:rFonts w:ascii="Arial" w:cs="Arial" w:eastAsia="Arial" w:hAnsi="Arial"/>
          <w:sz w:val="16"/>
          <w:szCs w:val="16"/>
          <w:b w:val="1"/>
          <w:bCs w:val="1"/>
          <w:i w:val="1"/>
          <w:iCs w:val="1"/>
          <w:color w:val="007CBA"/>
        </w:rPr>
        <w:t>How many times did Directors attend meetings of the Board and its Committees?</w:t>
      </w:r>
    </w:p>
    <w:p>
      <w:pPr>
        <w:spacing w:after="0" w:line="1"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In 2018, all Directors attended 100% of the meetings of the Board of Directors during their term of service on the Board. All Directors attended 100% of the meetings of the Committees of the Board on which they served (during the periods that they served).</w:t>
      </w:r>
    </w:p>
    <w:p>
      <w:pPr>
        <w:spacing w:after="0" w:line="144"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7CBA"/>
        </w:rPr>
        <w:t>Will the Directors attend the Annual Meeting?</w:t>
      </w:r>
    </w:p>
    <w:p>
      <w:pPr>
        <w:spacing w:after="0" w:line="25" w:lineRule="exact"/>
        <w:rPr>
          <w:sz w:val="20"/>
          <w:szCs w:val="20"/>
          <w:color w:val="auto"/>
        </w:rPr>
      </w:pPr>
    </w:p>
    <w:p>
      <w:pPr>
        <w:jc w:val="both"/>
        <w:ind w:left="220" w:right="20"/>
        <w:spacing w:after="0" w:line="253" w:lineRule="auto"/>
        <w:rPr>
          <w:sz w:val="20"/>
          <w:szCs w:val="20"/>
          <w:color w:val="auto"/>
        </w:rPr>
      </w:pPr>
      <w:r>
        <w:rPr>
          <w:rFonts w:ascii="Arial" w:cs="Arial" w:eastAsia="Arial" w:hAnsi="Arial"/>
          <w:sz w:val="16"/>
          <w:szCs w:val="16"/>
          <w:color w:val="auto"/>
        </w:rPr>
        <w:t>Martin Marietta’s Directors are expected to attend Martin Marietta’s Annual Meeting of Shareholders. In 2018, all then-current Directors attended the Annual Meeting in May.</w:t>
      </w:r>
    </w:p>
    <w:p>
      <w:pPr>
        <w:spacing w:after="0" w:line="140" w:lineRule="exact"/>
        <w:rPr>
          <w:sz w:val="20"/>
          <w:szCs w:val="20"/>
          <w:color w:val="auto"/>
        </w:rPr>
      </w:pPr>
    </w:p>
    <w:p>
      <w:pPr>
        <w:ind w:left="220" w:right="40"/>
        <w:spacing w:after="0" w:line="259" w:lineRule="auto"/>
        <w:rPr>
          <w:sz w:val="20"/>
          <w:szCs w:val="20"/>
          <w:color w:val="auto"/>
        </w:rPr>
      </w:pPr>
      <w:r>
        <w:rPr>
          <w:rFonts w:ascii="Arial" w:cs="Arial" w:eastAsia="Arial" w:hAnsi="Arial"/>
          <w:sz w:val="16"/>
          <w:szCs w:val="16"/>
          <w:b w:val="1"/>
          <w:bCs w:val="1"/>
          <w:i w:val="1"/>
          <w:iCs w:val="1"/>
          <w:color w:val="007CBA"/>
        </w:rPr>
        <w:t>Will the Nominating and Corporate Governance Committee consider any Director candidates recommended by shareholders?</w:t>
      </w:r>
    </w:p>
    <w:p>
      <w:pPr>
        <w:spacing w:after="0" w:line="1" w:lineRule="exact"/>
        <w:rPr>
          <w:sz w:val="20"/>
          <w:szCs w:val="20"/>
          <w:color w:val="auto"/>
        </w:rPr>
      </w:pPr>
    </w:p>
    <w:p>
      <w:pPr>
        <w:ind w:left="220"/>
        <w:spacing w:after="0" w:line="260" w:lineRule="auto"/>
        <w:rPr>
          <w:sz w:val="20"/>
          <w:szCs w:val="20"/>
          <w:color w:val="auto"/>
        </w:rPr>
      </w:pPr>
      <w:r>
        <w:rPr>
          <w:rFonts w:ascii="Arial" w:cs="Arial" w:eastAsia="Arial" w:hAnsi="Arial"/>
          <w:sz w:val="16"/>
          <w:szCs w:val="16"/>
          <w:color w:val="auto"/>
        </w:rPr>
        <w:t>The Nominating and Corporate Governance Committee will consider nominees recommended by shareholders for election 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 xml:space="preserve">a Director at an Annual Meeting of Shareholders of Martin Marietta, if the shareholder making such recommendation complies with the advance notice provisions of the Bylaws of Martin Marietta. The Bylaws of Martin Marietta require advance notice for any proposal for the nomination for election as a Director at an Annual Meeting of Shareholders that is not included in Martin Marietta’s notice of meeting or made by or at the direction of the Board of Directors. In general, nominations must be delivered to the Secretary of Martin Marietta at its principal executive offices, 2710 Wycliff Road, Raleigh, North Carolina 27607, not less than 60 days nor more than 90 days prior to the first anniversary of the mailing of the proxy statement in connection with the preceding year’s Annual Meeting of Shareholders and must contain specified information concerning the nominee and the shareholder proposing the nomination. Any shareholder desiring a copy of the Bylaws of Martin Marietta will be furnished a copy without charge upon written request to the Secretary of Martin Marietta. Since the 2018 Annual Meeting, Martin Marietta has not made any material changes to the procedures by which shareholders may recommend nominees to Martin Marietta’s Board of Directors. Additional information is contained in the section entitled </w:t>
      </w:r>
      <w:r>
        <w:rPr>
          <w:rFonts w:ascii="Arial" w:cs="Arial" w:eastAsia="Arial" w:hAnsi="Arial"/>
          <w:sz w:val="16"/>
          <w:szCs w:val="16"/>
          <w:i w:val="1"/>
          <w:iCs w:val="1"/>
          <w:color w:val="auto"/>
        </w:rPr>
        <w:t>“Shareholders’ Proposals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 2020 Annual Meeting” </w:t>
      </w:r>
      <w:r>
        <w:rPr>
          <w:rFonts w:ascii="Arial" w:cs="Arial" w:eastAsia="Arial" w:hAnsi="Arial"/>
          <w:sz w:val="16"/>
          <w:szCs w:val="16"/>
          <w:color w:val="auto"/>
        </w:rPr>
        <w:t>below.</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How does the Board select nominees for the Board?</w:t>
      </w:r>
    </w:p>
    <w:p>
      <w:pPr>
        <w:spacing w:after="0" w:line="2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Nominating and Corporate Governance Committee will consider candidates for Board membership suggested by its members and other Board members, as well as management and shareholders. The Committee may also retain a third-party executive search firm to identify potential candidates for its consideration from time to time. The Committee makes an initial determination as to whether to conduct a full evaluation of the candidate, and reviews all information provided to the Committee, including the recommendations for the prospective candidate and the Committee’s own knowledge of the prospective candidate. If the Committee determines that additional consideration is warranted, interviews are conducted by the members of the Committee, as well as the Chief Executive Officer of Martin Marietta; appropriate inquiries are conducted into the background and qualifications of potential candidates; the Committee meets to discuss its evaluation and feedback from the Chief Executive Officer; and, if the Committee determines to do so, it makes a recommendation to the full Board as to the persons who should be nominated by the Board. The Board of Directors determines the nominees after considering the recommendation and report of the Committee.</w:t>
      </w:r>
    </w:p>
    <w:p>
      <w:pPr>
        <w:spacing w:after="0" w:line="16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In evaluating any potential candidate, the Nominating and Corporate Governance Committee considers the extent to which the candidate has the personal characteristics and core competencies outlined in the </w:t>
      </w:r>
      <w:r>
        <w:rPr>
          <w:rFonts w:ascii="Arial" w:cs="Arial" w:eastAsia="Arial" w:hAnsi="Arial"/>
          <w:sz w:val="16"/>
          <w:szCs w:val="16"/>
          <w:i w:val="1"/>
          <w:iCs w:val="1"/>
          <w:color w:val="auto"/>
        </w:rPr>
        <w:t xml:space="preserve">Guidelines for Potential New Board Members </w:t>
      </w:r>
      <w:r>
        <w:rPr>
          <w:rFonts w:ascii="Arial" w:cs="Arial" w:eastAsia="Arial" w:hAnsi="Arial"/>
          <w:sz w:val="16"/>
          <w:szCs w:val="16"/>
          <w:color w:val="auto"/>
        </w:rPr>
        <w:t>adopted by the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takes into account all other factors it considers appropriate. A copy of these </w:t>
      </w:r>
      <w:r>
        <w:rPr>
          <w:rFonts w:ascii="Arial" w:cs="Arial" w:eastAsia="Arial" w:hAnsi="Arial"/>
          <w:sz w:val="16"/>
          <w:szCs w:val="16"/>
          <w:i w:val="1"/>
          <w:iCs w:val="1"/>
          <w:color w:val="auto"/>
        </w:rPr>
        <w:t>Guidelines</w:t>
      </w:r>
      <w:r>
        <w:rPr>
          <w:rFonts w:ascii="Arial" w:cs="Arial" w:eastAsia="Arial" w:hAnsi="Arial"/>
          <w:sz w:val="16"/>
          <w:szCs w:val="16"/>
          <w:color w:val="auto"/>
        </w:rPr>
        <w:t xml:space="preserve"> is attached to this proxy statement as 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753110</wp:posOffset>
            </wp:positionV>
            <wp:extent cx="410845" cy="2482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344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2019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27</w:t>
            </w:r>
          </w:p>
        </w:tc>
      </w:tr>
    </w:tbl>
    <w:p>
      <w:pPr>
        <w:sectPr>
          <w:pgSz w:w="11900" w:h="16838" w:orient="portrait"/>
          <w:cols w:equalWidth="0" w:num="2">
            <w:col w:w="5500" w:space="320"/>
            <w:col w:w="5400"/>
          </w:cols>
          <w:pgMar w:left="240" w:top="459" w:right="4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59" w:lineRule="exact"/>
        <w:rPr>
          <w:sz w:val="20"/>
          <w:szCs w:val="20"/>
          <w:color w:val="auto"/>
        </w:rPr>
      </w:pPr>
    </w:p>
    <w:p>
      <w:pPr>
        <w:ind w:left="220"/>
        <w:spacing w:after="0" w:line="251" w:lineRule="exact"/>
        <w:tabs>
          <w:tab w:leader="none" w:pos="2160" w:val="left"/>
        </w:tabs>
        <w:rPr>
          <w:sz w:val="20"/>
          <w:szCs w:val="20"/>
          <w:color w:val="auto"/>
        </w:rPr>
      </w:pPr>
      <w:r>
        <w:rPr>
          <w:rFonts w:ascii="Arial" w:cs="Arial" w:eastAsia="Arial" w:hAnsi="Arial"/>
          <w:sz w:val="13"/>
          <w:szCs w:val="13"/>
          <w:color w:val="007CBA"/>
        </w:rPr>
        <w:t>Corporate Governance Matters</w:t>
      </w:r>
      <w:r>
        <w:rPr>
          <w:sz w:val="20"/>
          <w:szCs w:val="20"/>
          <w:color w:val="auto"/>
        </w:rPr>
        <w:tab/>
      </w:r>
      <w:r>
        <w:rPr>
          <w:rFonts w:ascii="MS PGothic" w:cs="MS PGothic" w:eastAsia="MS PGothic" w:hAnsi="MS PGothic"/>
          <w:sz w:val="25"/>
          <w:szCs w:val="25"/>
          <w:color w:val="007CBA"/>
        </w:rPr>
        <w:t xml:space="preserve">◆ </w:t>
      </w:r>
      <w:r>
        <w:rPr>
          <w:rFonts w:ascii="Arial" w:cs="Arial" w:eastAsia="Arial" w:hAnsi="Arial"/>
          <w:sz w:val="13"/>
          <w:szCs w:val="13"/>
          <w:color w:val="000000"/>
        </w:rPr>
        <w:t>Corporate Governance Philosophy</w:t>
      </w:r>
    </w:p>
    <w:p>
      <w:pPr>
        <w:spacing w:after="0" w:line="200" w:lineRule="exact"/>
        <w:rPr>
          <w:sz w:val="20"/>
          <w:szCs w:val="20"/>
          <w:color w:val="auto"/>
        </w:rPr>
      </w:pPr>
    </w:p>
    <w:p>
      <w:pPr>
        <w:spacing w:after="0" w:line="331" w:lineRule="exact"/>
        <w:rPr>
          <w:sz w:val="20"/>
          <w:szCs w:val="20"/>
          <w:color w:val="auto"/>
        </w:rPr>
      </w:pPr>
    </w:p>
    <w:p>
      <w:pPr>
        <w:jc w:val="both"/>
        <w:ind w:left="220"/>
        <w:spacing w:after="0" w:line="247" w:lineRule="auto"/>
        <w:rPr>
          <w:sz w:val="20"/>
          <w:szCs w:val="20"/>
          <w:color w:val="auto"/>
        </w:rPr>
      </w:pPr>
      <w:r>
        <w:rPr>
          <w:rFonts w:ascii="Arial" w:cs="Arial" w:eastAsia="Arial" w:hAnsi="Arial"/>
          <w:sz w:val="16"/>
          <w:szCs w:val="16"/>
          <w:color w:val="auto"/>
        </w:rPr>
        <w:t>Our Articles of Incorporation provide that the size of the Board shall be not less than nine nor more than 11, with the number of Directors to serve on the Board being set within that range by the Board. The Board has set the size of the Board to nine, effective upon commencement of the 2019 Annual Meeting. The Nominating and Corporate Governance Committee did not retain a search firm in 2018 to help identify director prospects and other tasks relating to potential new Board members. Ms. Ables, who was first elected by the Board in November 2018, was initially identified by the Chairman, President and CEO and was recommended as a Director nominee by the Nominating and Corporate Governance Committee.</w:t>
      </w:r>
    </w:p>
    <w:p>
      <w:pPr>
        <w:spacing w:after="0" w:line="164" w:lineRule="exact"/>
        <w:rPr>
          <w:sz w:val="20"/>
          <w:szCs w:val="20"/>
          <w:color w:val="auto"/>
        </w:rPr>
      </w:pPr>
    </w:p>
    <w:p>
      <w:pPr>
        <w:ind w:left="220" w:right="340"/>
        <w:spacing w:after="0" w:line="259" w:lineRule="auto"/>
        <w:rPr>
          <w:sz w:val="20"/>
          <w:szCs w:val="20"/>
          <w:color w:val="auto"/>
        </w:rPr>
      </w:pPr>
      <w:r>
        <w:rPr>
          <w:rFonts w:ascii="Arial" w:cs="Arial" w:eastAsia="Arial" w:hAnsi="Arial"/>
          <w:sz w:val="16"/>
          <w:szCs w:val="16"/>
          <w:b w:val="1"/>
          <w:bCs w:val="1"/>
          <w:i w:val="1"/>
          <w:iCs w:val="1"/>
          <w:color w:val="007CBA"/>
        </w:rPr>
        <w:t>Do the Board Committees have charters? How can shareholders obtain them?</w:t>
      </w:r>
    </w:p>
    <w:p>
      <w:pPr>
        <w:spacing w:after="0" w:line="1" w:lineRule="exact"/>
        <w:rPr>
          <w:sz w:val="20"/>
          <w:szCs w:val="20"/>
          <w:color w:val="auto"/>
        </w:rPr>
      </w:pPr>
    </w:p>
    <w:p>
      <w:pPr>
        <w:jc w:val="both"/>
        <w:ind w:left="220"/>
        <w:spacing w:after="0" w:line="247" w:lineRule="auto"/>
        <w:rPr>
          <w:sz w:val="20"/>
          <w:szCs w:val="20"/>
          <w:color w:val="auto"/>
        </w:rPr>
      </w:pPr>
      <w:r>
        <w:rPr>
          <w:rFonts w:ascii="Arial" w:cs="Arial" w:eastAsia="Arial" w:hAnsi="Arial"/>
          <w:sz w:val="16"/>
          <w:szCs w:val="16"/>
          <w:color w:val="auto"/>
        </w:rPr>
        <w:t xml:space="preserve">Martin Marietta’s Board of Directors has adopted written charters meeting the requirements of the NYSE for the Audit Committee, Management Development and Compensation Committee, and Nominating and Corporate Governance Committee. These charters address the purposes and responsibilities of each Committee, as described above, and provide for an annual performance evaluation of each Committee. Copies of these charters, and the charters of the other Committees of the Board, are posted on Martin Marietta’s website at </w:t>
      </w:r>
      <w:r>
        <w:rPr>
          <w:rFonts w:ascii="Arial" w:cs="Arial" w:eastAsia="Arial" w:hAnsi="Arial"/>
          <w:sz w:val="16"/>
          <w:szCs w:val="16"/>
          <w:i w:val="1"/>
          <w:iCs w:val="1"/>
          <w:color w:val="auto"/>
        </w:rPr>
        <w:t xml:space="preserve">ir.martinmarietta.com/investor-relations/corporate-governance, </w:t>
      </w:r>
      <w:r>
        <w:rPr>
          <w:rFonts w:ascii="Arial" w:cs="Arial" w:eastAsia="Arial" w:hAnsi="Arial"/>
          <w:sz w:val="16"/>
          <w:szCs w:val="16"/>
          <w:color w:val="auto"/>
        </w:rPr>
        <w:t>along with copies of Martin Marietta’s</w:t>
      </w:r>
      <w:r>
        <w:rPr>
          <w:rFonts w:ascii="Arial" w:cs="Arial" w:eastAsia="Arial" w:hAnsi="Arial"/>
          <w:sz w:val="16"/>
          <w:szCs w:val="16"/>
          <w:i w:val="1"/>
          <w:iCs w:val="1"/>
          <w:color w:val="auto"/>
        </w:rPr>
        <w:t xml:space="preserve"> Corporate Governance Guidelines, Code of Ethical Business Conduct</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w:t>
      </w:r>
      <w:r>
        <w:rPr>
          <w:rFonts w:ascii="Arial" w:cs="Arial" w:eastAsia="Arial" w:hAnsi="Arial"/>
          <w:sz w:val="16"/>
          <w:szCs w:val="16"/>
          <w:i w:val="1"/>
          <w:iCs w:val="1"/>
          <w:color w:val="auto"/>
        </w:rPr>
        <w:t>Guidelines for Director’s Independence</w:t>
      </w:r>
      <w:r>
        <w:rPr>
          <w:rFonts w:ascii="Arial" w:cs="Arial" w:eastAsia="Arial" w:hAnsi="Arial"/>
          <w:sz w:val="16"/>
          <w:szCs w:val="16"/>
          <w:color w:val="auto"/>
        </w:rPr>
        <w:t>.</w:t>
      </w:r>
    </w:p>
    <w:p>
      <w:pPr>
        <w:spacing w:after="0" w:line="150" w:lineRule="exact"/>
        <w:rPr>
          <w:sz w:val="20"/>
          <w:szCs w:val="20"/>
          <w:color w:val="auto"/>
        </w:rPr>
      </w:pPr>
    </w:p>
    <w:p>
      <w:pPr>
        <w:ind w:left="220" w:right="640"/>
        <w:spacing w:after="0" w:line="259" w:lineRule="auto"/>
        <w:rPr>
          <w:sz w:val="20"/>
          <w:szCs w:val="20"/>
          <w:color w:val="auto"/>
        </w:rPr>
      </w:pPr>
      <w:r>
        <w:rPr>
          <w:rFonts w:ascii="Arial" w:cs="Arial" w:eastAsia="Arial" w:hAnsi="Arial"/>
          <w:sz w:val="16"/>
          <w:szCs w:val="16"/>
          <w:b w:val="1"/>
          <w:bCs w:val="1"/>
          <w:i w:val="1"/>
          <w:iCs w:val="1"/>
          <w:color w:val="007CBA"/>
        </w:rPr>
        <w:t>How are transactions with persons related to Martin Marietta reviewed?</w:t>
      </w:r>
    </w:p>
    <w:p>
      <w:pPr>
        <w:spacing w:after="0" w:line="1" w:lineRule="exact"/>
        <w:rPr>
          <w:sz w:val="20"/>
          <w:szCs w:val="20"/>
          <w:color w:val="auto"/>
        </w:rPr>
      </w:pPr>
    </w:p>
    <w:p>
      <w:pPr>
        <w:jc w:val="both"/>
        <w:ind w:left="220" w:right="20"/>
        <w:spacing w:after="0" w:line="253" w:lineRule="auto"/>
        <w:rPr>
          <w:sz w:val="20"/>
          <w:szCs w:val="20"/>
          <w:color w:val="auto"/>
        </w:rPr>
      </w:pPr>
      <w:r>
        <w:rPr>
          <w:rFonts w:ascii="Arial" w:cs="Arial" w:eastAsia="Arial" w:hAnsi="Arial"/>
          <w:sz w:val="16"/>
          <w:szCs w:val="16"/>
          <w:color w:val="auto"/>
        </w:rPr>
        <w:t>The SEC requires Martin Marietta to disclose in this proxy statement certain transactions in which Martin Marietta participates and in which certain persons considered “related</w:t>
      </w:r>
    </w:p>
    <w:p>
      <w:pPr>
        <w:spacing w:after="0" w:line="200" w:lineRule="exact"/>
        <w:rPr>
          <w:sz w:val="20"/>
          <w:szCs w:val="20"/>
          <w:color w:val="auto"/>
        </w:rPr>
      </w:pPr>
    </w:p>
    <w:p>
      <w:pPr>
        <w:spacing w:after="0" w:line="289" w:lineRule="exact"/>
        <w:rPr>
          <w:sz w:val="20"/>
          <w:szCs w:val="20"/>
          <w:color w:val="auto"/>
        </w:rPr>
      </w:pPr>
    </w:p>
    <w:p>
      <w:pPr>
        <w:ind w:left="640" w:hanging="430"/>
        <w:spacing w:after="0"/>
        <w:tabs>
          <w:tab w:leader="none" w:pos="640" w:val="left"/>
        </w:tabs>
        <w:numPr>
          <w:ilvl w:val="0"/>
          <w:numId w:val="76"/>
        </w:numPr>
        <w:rPr>
          <w:rFonts w:ascii="Arial" w:cs="Arial" w:eastAsia="Arial" w:hAnsi="Arial"/>
          <w:sz w:val="13"/>
          <w:szCs w:val="13"/>
          <w:b w:val="1"/>
          <w:bCs w:val="1"/>
          <w:color w:val="auto"/>
        </w:rPr>
      </w:pPr>
      <w:r>
        <w:rPr>
          <w:rFonts w:ascii="Arial" w:cs="Arial" w:eastAsia="Arial" w:hAnsi="Arial"/>
          <w:sz w:val="13"/>
          <w:szCs w:val="13"/>
          <w:color w:val="007CBA"/>
        </w:rPr>
        <w:t>2019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persons” of Martin Marietta have a direct or indirect material interest. These “related persons” would include the Directors and executive officers of Martin Marietta, nominees for Director, certain control persons, and their immediate family members. Since January 1, 2018, there have been no such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-1600200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59"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 xml:space="preserve">Each Director, executive officer, and nominee for Director of Martin Marietta receives and agrees to abide by Martin Marietta’s </w:t>
      </w:r>
      <w:r>
        <w:rPr>
          <w:rFonts w:ascii="Arial" w:cs="Arial" w:eastAsia="Arial" w:hAnsi="Arial"/>
          <w:sz w:val="16"/>
          <w:szCs w:val="16"/>
          <w:i w:val="1"/>
          <w:iCs w:val="1"/>
          <w:color w:val="auto"/>
        </w:rPr>
        <w:t>Code of Ethical</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Conduct</w:t>
      </w:r>
      <w:r>
        <w:rPr>
          <w:rFonts w:ascii="Arial" w:cs="Arial" w:eastAsia="Arial" w:hAnsi="Arial"/>
          <w:sz w:val="16"/>
          <w:szCs w:val="16"/>
          <w:color w:val="auto"/>
        </w:rPr>
        <w:t>. Martin Marietta considers that any transaction in which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Martin Marietta participates and in which any related person of Martin Marietta has a direct or indirect material interest will be subject to review, approval or ratification, as appropriate under the circumstances, by Martin Marietta under the standards enumerated in Martin Marietta’s </w:t>
      </w:r>
      <w:r>
        <w:rPr>
          <w:rFonts w:ascii="Arial" w:cs="Arial" w:eastAsia="Arial" w:hAnsi="Arial"/>
          <w:sz w:val="16"/>
          <w:szCs w:val="16"/>
          <w:i w:val="1"/>
          <w:iCs w:val="1"/>
          <w:color w:val="auto"/>
        </w:rPr>
        <w:t>Code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Ethical Business Conduct. </w:t>
      </w:r>
      <w:r>
        <w:rPr>
          <w:rFonts w:ascii="Arial" w:cs="Arial" w:eastAsia="Arial" w:hAnsi="Arial"/>
          <w:sz w:val="16"/>
          <w:szCs w:val="16"/>
          <w:color w:val="auto"/>
        </w:rPr>
        <w:t>If a proposed transaction is one in which a</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of Martin Marietta has an actual or potential conflict of interest, it will be subject to review by the Chairman of the Board of Directors and the Chairman of the Nominating and Corporate Governance Committee.</w:t>
      </w:r>
    </w:p>
    <w:p>
      <w:pPr>
        <w:spacing w:after="0" w:line="15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Any waivers of the </w:t>
      </w:r>
      <w:r>
        <w:rPr>
          <w:rFonts w:ascii="Arial" w:cs="Arial" w:eastAsia="Arial" w:hAnsi="Arial"/>
          <w:sz w:val="16"/>
          <w:szCs w:val="16"/>
          <w:i w:val="1"/>
          <w:iCs w:val="1"/>
          <w:color w:val="auto"/>
        </w:rPr>
        <w:t>Code of Ethical Business Conduct</w:t>
      </w:r>
      <w:r>
        <w:rPr>
          <w:rFonts w:ascii="Arial" w:cs="Arial" w:eastAsia="Arial" w:hAnsi="Arial"/>
          <w:sz w:val="16"/>
          <w:szCs w:val="16"/>
          <w:color w:val="auto"/>
        </w:rPr>
        <w:t xml:space="preserve"> for Directors and executive officers may be made only by Martin Marietta’s Board of Directors or any Committee to which it delegates that authority. Any waivers for Directors and executive officers and any amendments to the </w:t>
      </w:r>
      <w:r>
        <w:rPr>
          <w:rFonts w:ascii="Arial" w:cs="Arial" w:eastAsia="Arial" w:hAnsi="Arial"/>
          <w:sz w:val="16"/>
          <w:szCs w:val="16"/>
          <w:i w:val="1"/>
          <w:iCs w:val="1"/>
          <w:color w:val="auto"/>
        </w:rPr>
        <w:t xml:space="preserve">Code of Ethical Business Conduct </w:t>
      </w:r>
      <w:r>
        <w:rPr>
          <w:rFonts w:ascii="Arial" w:cs="Arial" w:eastAsia="Arial" w:hAnsi="Arial"/>
          <w:sz w:val="16"/>
          <w:szCs w:val="16"/>
          <w:color w:val="auto"/>
        </w:rPr>
        <w:t>will be promptly disclosed to Martin</w:t>
      </w:r>
    </w:p>
    <w:p>
      <w:pPr>
        <w:spacing w:after="0" w:line="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 xml:space="preserve">Marietta’s shareholders by posting on our website, </w:t>
      </w:r>
      <w:r>
        <w:rPr>
          <w:rFonts w:ascii="Arial" w:cs="Arial" w:eastAsia="Arial" w:hAnsi="Arial"/>
          <w:sz w:val="16"/>
          <w:szCs w:val="16"/>
          <w:i w:val="1"/>
          <w:iCs w:val="1"/>
          <w:color w:val="auto"/>
        </w:rPr>
        <w:t>www.martinmarietta.com</w:t>
      </w:r>
      <w:r>
        <w:rPr>
          <w:rFonts w:ascii="Arial" w:cs="Arial" w:eastAsia="Arial" w:hAnsi="Arial"/>
          <w:sz w:val="16"/>
          <w:szCs w:val="16"/>
          <w:color w:val="auto"/>
        </w:rPr>
        <w:t>.</w:t>
      </w:r>
    </w:p>
    <w:p>
      <w:pPr>
        <w:spacing w:after="0" w:line="15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assessing the independence of its members, the Board considers any interests a director may have in any transactions in which Martin Marietta participates. The Board also considers other entities with which the Directors are affiliated and any business Martin Marietta has done with such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180975</wp:posOffset>
            </wp:positionV>
            <wp:extent cx="410845" cy="2482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ectPr>
          <w:pgSz w:w="11900" w:h="16838" w:orient="portrait"/>
          <w:cols w:equalWidth="0" w:num="2">
            <w:col w:w="5500" w:space="320"/>
            <w:col w:w="540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20"/>
        <w:spacing w:after="0"/>
        <w:rPr>
          <w:sz w:val="20"/>
          <w:szCs w:val="20"/>
          <w:color w:val="auto"/>
        </w:rPr>
      </w:pPr>
      <w:r>
        <w:rPr>
          <w:rFonts w:ascii="Arial" w:cs="Arial" w:eastAsia="Arial" w:hAnsi="Arial"/>
          <w:sz w:val="43"/>
          <w:szCs w:val="43"/>
          <w:color w:val="auto"/>
        </w:rPr>
        <w:t>Proposal 2</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7CBA"/>
        </w:rPr>
        <w:t>Independent Auditors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20"/>
          <w:szCs w:val="20"/>
          <w:i w:val="1"/>
          <w:iCs w:val="1"/>
          <w:color w:val="007CBA"/>
        </w:rPr>
        <w:t>(Item 2 on Proxy Card)</w:t>
      </w:r>
    </w:p>
    <w:p>
      <w:pPr>
        <w:spacing w:after="0" w:line="315"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The Audit Committee has appointed PricewaterhouseCoopers LLP (PwC), an independent registered public accounting firm, to audit the consolidated financial statements of Martin Marietta and the effectiveness of Martin Marietta’s internal control over financial reporting for the 2019 fiscal year and the Board of Directors recommends that the shareholders ratify this appointment. The ratification of the appointment of PwC is being submitted to the shareholders because the Board of Directors believes this to be good corporate practice. Should the shareholders fail to ratify this appointment, the Audit Committee will review the matter and determine, in its sole discretion, whether PwC or another independent registered public accounting firm should be retained.</w:t>
      </w:r>
    </w:p>
    <w:p>
      <w:pPr>
        <w:spacing w:after="0" w:line="163"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PwC served as Martin Marietta’s independent auditors for 2018 and audited the consolidated financial statements of Martin Marietta for the year ended December 31, 2018 and the effectiveness of Martin Marietta’s internal control over financial reporting as of December 31, 2018. In connection with the audit of Martin Marietta’s 2018 consolidated financial statements, Martin Marietta entered into an engagement letter with PwC that sets forth the terms by which PwC would perform audit services for Martin Marietta.</w:t>
      </w:r>
    </w:p>
    <w:p>
      <w:pPr>
        <w:spacing w:after="0" w:line="164" w:lineRule="exact"/>
        <w:rPr>
          <w:sz w:val="20"/>
          <w:szCs w:val="20"/>
          <w:color w:val="auto"/>
        </w:rPr>
      </w:pPr>
    </w:p>
    <w:p>
      <w:pPr>
        <w:jc w:val="both"/>
        <w:ind w:left="220"/>
        <w:spacing w:after="0" w:line="257" w:lineRule="auto"/>
        <w:rPr>
          <w:sz w:val="20"/>
          <w:szCs w:val="20"/>
          <w:color w:val="auto"/>
        </w:rPr>
      </w:pPr>
      <w:r>
        <w:rPr>
          <w:rFonts w:ascii="Arial" w:cs="Arial" w:eastAsia="Arial" w:hAnsi="Arial"/>
          <w:sz w:val="16"/>
          <w:szCs w:val="16"/>
          <w:color w:val="auto"/>
        </w:rPr>
        <w:t>The Audit Committee is solely responsible for retaining or terminating Martin Marietta’s independent auditors. Representatives of PwC are expected to attend the Annual Meeting, will have the opportunity to make a statement if they so desire, and will be available to respond to questions from shareholders.</w:t>
      </w:r>
    </w:p>
    <w:p>
      <w:pPr>
        <w:spacing w:after="0" w:line="383" w:lineRule="exact"/>
        <w:rPr>
          <w:sz w:val="20"/>
          <w:szCs w:val="20"/>
          <w:color w:val="auto"/>
        </w:rPr>
      </w:pPr>
    </w:p>
    <w:p>
      <w:pPr>
        <w:ind w:left="2400" w:right="2940"/>
        <w:spacing w:after="0" w:line="288" w:lineRule="auto"/>
        <w:rPr>
          <w:sz w:val="20"/>
          <w:szCs w:val="20"/>
          <w:color w:val="auto"/>
        </w:rPr>
      </w:pPr>
      <w:r>
        <w:rPr>
          <w:rFonts w:ascii="Arial" w:cs="Arial" w:eastAsia="Arial" w:hAnsi="Arial"/>
          <w:sz w:val="25"/>
          <w:szCs w:val="25"/>
          <w:color w:val="007CBA"/>
        </w:rPr>
        <w:t>The Board Unanimously Recommends a Vote “</w:t>
      </w:r>
      <w:r>
        <w:rPr>
          <w:rFonts w:ascii="Arial" w:cs="Arial" w:eastAsia="Arial" w:hAnsi="Arial"/>
          <w:sz w:val="25"/>
          <w:szCs w:val="25"/>
          <w:b w:val="1"/>
          <w:bCs w:val="1"/>
          <w:color w:val="007CBA"/>
        </w:rPr>
        <w:t>FOR</w:t>
      </w:r>
      <w:r>
        <w:rPr>
          <w:rFonts w:ascii="Arial" w:cs="Arial" w:eastAsia="Arial" w:hAnsi="Arial"/>
          <w:sz w:val="25"/>
          <w:szCs w:val="25"/>
          <w:color w:val="007CBA"/>
        </w:rPr>
        <w:t>” on this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1058545</wp:posOffset>
            </wp:positionH>
            <wp:positionV relativeFrom="paragraph">
              <wp:posOffset>-417830</wp:posOffset>
            </wp:positionV>
            <wp:extent cx="325755" cy="3257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spacing w:after="0" w:line="86"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7CBA"/>
        </w:rPr>
        <w:t>Summary of Fees</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 summarizes the aggregate fees billed for professional services rendered to Martin Marietta by PwC in 2018 and 2017.</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6860" w:type="dxa"/>
            <w:vAlign w:val="bottom"/>
            <w:tcBorders>
              <w:right w:val="single" w:sz="8" w:color="007CBA"/>
            </w:tcBorders>
            <w:shd w:val="clear" w:color="auto" w:fill="007CBA"/>
          </w:tcPr>
          <w:p>
            <w:pPr>
              <w:spacing w:after="0"/>
              <w:rPr>
                <w:sz w:val="18"/>
                <w:szCs w:val="18"/>
                <w:color w:val="auto"/>
              </w:rPr>
            </w:pPr>
          </w:p>
        </w:tc>
        <w:tc>
          <w:tcPr>
            <w:tcW w:w="1260" w:type="dxa"/>
            <w:vAlign w:val="bottom"/>
            <w:tcBorders>
              <w:right w:val="single" w:sz="8" w:color="007CBA"/>
            </w:tcBorders>
            <w:shd w:val="clear" w:color="auto" w:fill="007CBA"/>
          </w:tcPr>
          <w:p>
            <w:pPr>
              <w:jc w:val="right"/>
              <w:ind w:right="428"/>
              <w:spacing w:after="0"/>
              <w:rPr>
                <w:sz w:val="20"/>
                <w:szCs w:val="20"/>
                <w:color w:val="auto"/>
              </w:rPr>
            </w:pPr>
            <w:r>
              <w:rPr>
                <w:rFonts w:ascii="Arial" w:cs="Arial" w:eastAsia="Arial" w:hAnsi="Arial"/>
                <w:sz w:val="14"/>
                <w:szCs w:val="14"/>
                <w:b w:val="1"/>
                <w:bCs w:val="1"/>
                <w:color w:val="FFFFFF"/>
              </w:rPr>
              <w:t>2018</w:t>
            </w:r>
          </w:p>
        </w:tc>
        <w:tc>
          <w:tcPr>
            <w:tcW w:w="360" w:type="dxa"/>
            <w:vAlign w:val="bottom"/>
            <w:shd w:val="clear" w:color="auto" w:fill="007CBA"/>
          </w:tcPr>
          <w:p>
            <w:pPr>
              <w:spacing w:after="0"/>
              <w:rPr>
                <w:sz w:val="18"/>
                <w:szCs w:val="18"/>
                <w:color w:val="auto"/>
              </w:rPr>
            </w:pPr>
          </w:p>
        </w:tc>
        <w:tc>
          <w:tcPr>
            <w:tcW w:w="960" w:type="dxa"/>
            <w:vAlign w:val="bottom"/>
            <w:shd w:val="clear" w:color="auto" w:fill="007CBA"/>
          </w:tcPr>
          <w:p>
            <w:pPr>
              <w:jc w:val="right"/>
              <w:ind w:right="448"/>
              <w:spacing w:after="0"/>
              <w:rPr>
                <w:sz w:val="20"/>
                <w:szCs w:val="20"/>
                <w:color w:val="auto"/>
              </w:rPr>
            </w:pPr>
            <w:r>
              <w:rPr>
                <w:rFonts w:ascii="Arial" w:cs="Arial" w:eastAsia="Arial" w:hAnsi="Arial"/>
                <w:sz w:val="14"/>
                <w:szCs w:val="14"/>
                <w:b w:val="1"/>
                <w:bCs w:val="1"/>
                <w:color w:val="FFFFFF"/>
              </w:rPr>
              <w:t>2017</w:t>
            </w:r>
          </w:p>
        </w:tc>
      </w:tr>
      <w:tr>
        <w:trPr>
          <w:trHeight w:val="216"/>
        </w:trPr>
        <w:tc>
          <w:tcPr>
            <w:tcW w:w="6860" w:type="dxa"/>
            <w:vAlign w:val="bottom"/>
            <w:tcBorders>
              <w:right w:val="single" w:sz="8" w:color="007CBA"/>
            </w:tcBorders>
            <w:shd w:val="clear" w:color="auto" w:fill="E5F1F8"/>
          </w:tcPr>
          <w:p>
            <w:pPr>
              <w:ind w:left="60"/>
              <w:spacing w:after="0" w:line="216" w:lineRule="exact"/>
              <w:rPr>
                <w:sz w:val="20"/>
                <w:szCs w:val="20"/>
                <w:color w:val="auto"/>
              </w:rPr>
            </w:pPr>
            <w:r>
              <w:rPr>
                <w:rFonts w:ascii="Arial" w:cs="Arial" w:eastAsia="Arial" w:hAnsi="Arial"/>
                <w:sz w:val="14"/>
                <w:szCs w:val="14"/>
                <w:color w:val="auto"/>
              </w:rPr>
              <w:t>Audit Fees</w:t>
            </w:r>
            <w:r>
              <w:rPr>
                <w:rFonts w:ascii="Arial" w:cs="Arial" w:eastAsia="Arial" w:hAnsi="Arial"/>
                <w:sz w:val="24"/>
                <w:szCs w:val="24"/>
                <w:color w:val="auto"/>
                <w:vertAlign w:val="superscript"/>
              </w:rPr>
              <w:t>1</w:t>
            </w:r>
          </w:p>
        </w:tc>
        <w:tc>
          <w:tcPr>
            <w:tcW w:w="1260" w:type="dxa"/>
            <w:vAlign w:val="bottom"/>
            <w:tcBorders>
              <w:right w:val="single" w:sz="8" w:color="007CBA"/>
            </w:tcBorders>
            <w:shd w:val="clear" w:color="auto" w:fill="E5F1F8"/>
          </w:tcPr>
          <w:p>
            <w:pPr>
              <w:jc w:val="right"/>
              <w:ind w:right="228"/>
              <w:spacing w:after="0"/>
              <w:rPr>
                <w:sz w:val="20"/>
                <w:szCs w:val="20"/>
                <w:color w:val="auto"/>
              </w:rPr>
            </w:pPr>
            <w:r>
              <w:rPr>
                <w:rFonts w:ascii="Arial" w:cs="Arial" w:eastAsia="Arial" w:hAnsi="Arial"/>
                <w:sz w:val="14"/>
                <w:szCs w:val="14"/>
                <w:color w:val="auto"/>
              </w:rPr>
              <w:t>$2,883,000</w:t>
            </w:r>
          </w:p>
        </w:tc>
        <w:tc>
          <w:tcPr>
            <w:tcW w:w="360" w:type="dxa"/>
            <w:vAlign w:val="bottom"/>
            <w:shd w:val="clear" w:color="auto" w:fill="E5F1F8"/>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5F1F8"/>
          </w:tcPr>
          <w:p>
            <w:pPr>
              <w:jc w:val="right"/>
              <w:ind w:right="188"/>
              <w:spacing w:after="0"/>
              <w:rPr>
                <w:sz w:val="20"/>
                <w:szCs w:val="20"/>
                <w:color w:val="auto"/>
              </w:rPr>
            </w:pPr>
            <w:r>
              <w:rPr>
                <w:rFonts w:ascii="Arial" w:cs="Arial" w:eastAsia="Arial" w:hAnsi="Arial"/>
                <w:sz w:val="14"/>
                <w:szCs w:val="14"/>
                <w:color w:val="auto"/>
              </w:rPr>
              <w:t>2,872,000</w:t>
            </w:r>
          </w:p>
        </w:tc>
      </w:tr>
      <w:tr>
        <w:trPr>
          <w:trHeight w:val="216"/>
        </w:trPr>
        <w:tc>
          <w:tcPr>
            <w:tcW w:w="6860" w:type="dxa"/>
            <w:vAlign w:val="bottom"/>
            <w:tcBorders>
              <w:right w:val="single" w:sz="8" w:color="007CBA"/>
            </w:tcBorders>
          </w:tcPr>
          <w:p>
            <w:pPr>
              <w:ind w:left="60"/>
              <w:spacing w:after="0" w:line="216" w:lineRule="exact"/>
              <w:rPr>
                <w:sz w:val="20"/>
                <w:szCs w:val="20"/>
                <w:color w:val="auto"/>
              </w:rPr>
            </w:pPr>
            <w:r>
              <w:rPr>
                <w:rFonts w:ascii="Arial" w:cs="Arial" w:eastAsia="Arial" w:hAnsi="Arial"/>
                <w:sz w:val="14"/>
                <w:szCs w:val="14"/>
                <w:color w:val="auto"/>
              </w:rPr>
              <w:t>Audit-Related Fees</w:t>
            </w:r>
            <w:r>
              <w:rPr>
                <w:rFonts w:ascii="Arial" w:cs="Arial" w:eastAsia="Arial" w:hAnsi="Arial"/>
                <w:sz w:val="24"/>
                <w:szCs w:val="24"/>
                <w:color w:val="auto"/>
                <w:vertAlign w:val="superscript"/>
              </w:rPr>
              <w:t>2</w:t>
            </w:r>
          </w:p>
        </w:tc>
        <w:tc>
          <w:tcPr>
            <w:tcW w:w="1260" w:type="dxa"/>
            <w:vAlign w:val="bottom"/>
            <w:tcBorders>
              <w:right w:val="single" w:sz="8" w:color="007CBA"/>
            </w:tcBorders>
          </w:tcPr>
          <w:p>
            <w:pPr>
              <w:jc w:val="right"/>
              <w:ind w:right="228"/>
              <w:spacing w:after="0"/>
              <w:rPr>
                <w:sz w:val="20"/>
                <w:szCs w:val="20"/>
                <w:color w:val="auto"/>
              </w:rPr>
            </w:pPr>
            <w:r>
              <w:rPr>
                <w:rFonts w:ascii="Arial" w:cs="Arial" w:eastAsia="Arial" w:hAnsi="Arial"/>
                <w:sz w:val="14"/>
                <w:szCs w:val="14"/>
                <w:color w:val="auto"/>
              </w:rPr>
              <w:t>100,000</w:t>
            </w:r>
          </w:p>
        </w:tc>
        <w:tc>
          <w:tcPr>
            <w:tcW w:w="360" w:type="dxa"/>
            <w:vAlign w:val="bottom"/>
          </w:tcPr>
          <w:p>
            <w:pPr>
              <w:spacing w:after="0"/>
              <w:rPr>
                <w:sz w:val="18"/>
                <w:szCs w:val="18"/>
                <w:color w:val="auto"/>
              </w:rPr>
            </w:pP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103,000</w:t>
            </w:r>
          </w:p>
        </w:tc>
      </w:tr>
      <w:tr>
        <w:trPr>
          <w:trHeight w:val="216"/>
        </w:trPr>
        <w:tc>
          <w:tcPr>
            <w:tcW w:w="6860" w:type="dxa"/>
            <w:vAlign w:val="bottom"/>
            <w:tcBorders>
              <w:right w:val="single" w:sz="8" w:color="007CBA"/>
            </w:tcBorders>
            <w:shd w:val="clear" w:color="auto" w:fill="E5F1F8"/>
          </w:tcPr>
          <w:p>
            <w:pPr>
              <w:ind w:left="60"/>
              <w:spacing w:after="0" w:line="216" w:lineRule="exact"/>
              <w:rPr>
                <w:sz w:val="20"/>
                <w:szCs w:val="20"/>
                <w:color w:val="auto"/>
              </w:rPr>
            </w:pPr>
            <w:r>
              <w:rPr>
                <w:rFonts w:ascii="Arial" w:cs="Arial" w:eastAsia="Arial" w:hAnsi="Arial"/>
                <w:sz w:val="14"/>
                <w:szCs w:val="14"/>
                <w:color w:val="auto"/>
              </w:rPr>
              <w:t>Tax Fees</w:t>
            </w:r>
            <w:r>
              <w:rPr>
                <w:rFonts w:ascii="Arial" w:cs="Arial" w:eastAsia="Arial" w:hAnsi="Arial"/>
                <w:sz w:val="24"/>
                <w:szCs w:val="24"/>
                <w:color w:val="auto"/>
                <w:vertAlign w:val="superscript"/>
              </w:rPr>
              <w:t>3</w:t>
            </w:r>
          </w:p>
        </w:tc>
        <w:tc>
          <w:tcPr>
            <w:tcW w:w="1260" w:type="dxa"/>
            <w:vAlign w:val="bottom"/>
            <w:tcBorders>
              <w:right w:val="single" w:sz="8" w:color="007CBA"/>
            </w:tcBorders>
            <w:shd w:val="clear" w:color="auto" w:fill="E5F1F8"/>
          </w:tcPr>
          <w:p>
            <w:pPr>
              <w:jc w:val="right"/>
              <w:ind w:right="228"/>
              <w:spacing w:after="0"/>
              <w:rPr>
                <w:sz w:val="20"/>
                <w:szCs w:val="20"/>
                <w:color w:val="auto"/>
              </w:rPr>
            </w:pPr>
            <w:r>
              <w:rPr>
                <w:rFonts w:ascii="Arial" w:cs="Arial" w:eastAsia="Arial" w:hAnsi="Arial"/>
                <w:sz w:val="14"/>
                <w:szCs w:val="14"/>
                <w:color w:val="auto"/>
              </w:rPr>
              <w:t>22,000</w:t>
            </w:r>
          </w:p>
        </w:tc>
        <w:tc>
          <w:tcPr>
            <w:tcW w:w="360" w:type="dxa"/>
            <w:vAlign w:val="bottom"/>
            <w:shd w:val="clear" w:color="auto" w:fill="E5F1F8"/>
          </w:tcPr>
          <w:p>
            <w:pPr>
              <w:spacing w:after="0"/>
              <w:rPr>
                <w:sz w:val="18"/>
                <w:szCs w:val="18"/>
                <w:color w:val="auto"/>
              </w:rPr>
            </w:pPr>
          </w:p>
        </w:tc>
        <w:tc>
          <w:tcPr>
            <w:tcW w:w="960" w:type="dxa"/>
            <w:vAlign w:val="bottom"/>
            <w:shd w:val="clear" w:color="auto" w:fill="E5F1F8"/>
          </w:tcPr>
          <w:p>
            <w:pPr>
              <w:jc w:val="right"/>
              <w:ind w:right="188"/>
              <w:spacing w:after="0"/>
              <w:rPr>
                <w:sz w:val="20"/>
                <w:szCs w:val="20"/>
                <w:color w:val="auto"/>
              </w:rPr>
            </w:pPr>
            <w:r>
              <w:rPr>
                <w:rFonts w:ascii="Arial" w:cs="Arial" w:eastAsia="Arial" w:hAnsi="Arial"/>
                <w:sz w:val="14"/>
                <w:szCs w:val="14"/>
                <w:color w:val="auto"/>
              </w:rPr>
              <w:t>20,000</w:t>
            </w:r>
          </w:p>
        </w:tc>
      </w:tr>
      <w:tr>
        <w:trPr>
          <w:trHeight w:val="229"/>
        </w:trPr>
        <w:tc>
          <w:tcPr>
            <w:tcW w:w="6860" w:type="dxa"/>
            <w:vAlign w:val="bottom"/>
            <w:tcBorders>
              <w:bottom w:val="single" w:sz="8" w:color="007CBA"/>
              <w:right w:val="single" w:sz="8" w:color="007CBA"/>
            </w:tcBorders>
          </w:tcPr>
          <w:p>
            <w:pPr>
              <w:ind w:left="60"/>
              <w:spacing w:after="0" w:line="229" w:lineRule="exact"/>
              <w:rPr>
                <w:sz w:val="20"/>
                <w:szCs w:val="20"/>
                <w:color w:val="auto"/>
              </w:rPr>
            </w:pPr>
            <w:r>
              <w:rPr>
                <w:rFonts w:ascii="Arial" w:cs="Arial" w:eastAsia="Arial" w:hAnsi="Arial"/>
                <w:sz w:val="14"/>
                <w:szCs w:val="14"/>
                <w:color w:val="auto"/>
              </w:rPr>
              <w:t>All Other Fees</w:t>
            </w:r>
            <w:r>
              <w:rPr>
                <w:rFonts w:ascii="Arial" w:cs="Arial" w:eastAsia="Arial" w:hAnsi="Arial"/>
                <w:sz w:val="24"/>
                <w:szCs w:val="24"/>
                <w:color w:val="auto"/>
                <w:vertAlign w:val="superscript"/>
              </w:rPr>
              <w:t>4</w:t>
            </w:r>
          </w:p>
        </w:tc>
        <w:tc>
          <w:tcPr>
            <w:tcW w:w="1260" w:type="dxa"/>
            <w:vAlign w:val="bottom"/>
            <w:tcBorders>
              <w:bottom w:val="single" w:sz="8" w:color="007CBA"/>
              <w:right w:val="single" w:sz="8" w:color="007CBA"/>
            </w:tcBorders>
          </w:tcPr>
          <w:p>
            <w:pPr>
              <w:jc w:val="right"/>
              <w:ind w:right="228"/>
              <w:spacing w:after="0"/>
              <w:rPr>
                <w:sz w:val="20"/>
                <w:szCs w:val="20"/>
                <w:color w:val="auto"/>
              </w:rPr>
            </w:pPr>
            <w:r>
              <w:rPr>
                <w:rFonts w:ascii="Arial" w:cs="Arial" w:eastAsia="Arial" w:hAnsi="Arial"/>
                <w:sz w:val="14"/>
                <w:szCs w:val="14"/>
                <w:color w:val="auto"/>
              </w:rPr>
              <w:t>3,000</w:t>
            </w:r>
          </w:p>
        </w:tc>
        <w:tc>
          <w:tcPr>
            <w:tcW w:w="360" w:type="dxa"/>
            <w:vAlign w:val="bottom"/>
            <w:tcBorders>
              <w:bottom w:val="single" w:sz="8" w:color="007CBA"/>
            </w:tcBorders>
          </w:tcPr>
          <w:p>
            <w:pPr>
              <w:spacing w:after="0"/>
              <w:rPr>
                <w:sz w:val="19"/>
                <w:szCs w:val="19"/>
                <w:color w:val="auto"/>
              </w:rPr>
            </w:pPr>
          </w:p>
        </w:tc>
        <w:tc>
          <w:tcPr>
            <w:tcW w:w="960" w:type="dxa"/>
            <w:vAlign w:val="bottom"/>
            <w:tcBorders>
              <w:bottom w:val="single" w:sz="8" w:color="007CBA"/>
            </w:tcBorders>
          </w:tcPr>
          <w:p>
            <w:pPr>
              <w:jc w:val="right"/>
              <w:ind w:right="188"/>
              <w:spacing w:after="0"/>
              <w:rPr>
                <w:sz w:val="20"/>
                <w:szCs w:val="20"/>
                <w:color w:val="auto"/>
              </w:rPr>
            </w:pPr>
            <w:r>
              <w:rPr>
                <w:rFonts w:ascii="Arial" w:cs="Arial" w:eastAsia="Arial" w:hAnsi="Arial"/>
                <w:sz w:val="14"/>
                <w:szCs w:val="14"/>
                <w:color w:val="auto"/>
              </w:rPr>
              <w:t>0</w:t>
            </w:r>
          </w:p>
        </w:tc>
      </w:tr>
      <w:tr>
        <w:trPr>
          <w:trHeight w:val="203"/>
        </w:trPr>
        <w:tc>
          <w:tcPr>
            <w:tcW w:w="6860" w:type="dxa"/>
            <w:vAlign w:val="bottom"/>
            <w:tcBorders>
              <w:bottom w:val="single" w:sz="8" w:color="007CBA"/>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TOTAL</w:t>
            </w:r>
          </w:p>
        </w:tc>
        <w:tc>
          <w:tcPr>
            <w:tcW w:w="1260" w:type="dxa"/>
            <w:vAlign w:val="bottom"/>
            <w:tcBorders>
              <w:bottom w:val="single" w:sz="8" w:color="007CBA"/>
              <w:right w:val="single" w:sz="8" w:color="007CBA"/>
            </w:tcBorders>
            <w:shd w:val="clear" w:color="auto" w:fill="E5F1F8"/>
          </w:tcPr>
          <w:p>
            <w:pPr>
              <w:jc w:val="right"/>
              <w:ind w:right="228"/>
              <w:spacing w:after="0"/>
              <w:rPr>
                <w:sz w:val="20"/>
                <w:szCs w:val="20"/>
                <w:color w:val="auto"/>
              </w:rPr>
            </w:pPr>
            <w:r>
              <w:rPr>
                <w:rFonts w:ascii="Arial" w:cs="Arial" w:eastAsia="Arial" w:hAnsi="Arial"/>
                <w:sz w:val="14"/>
                <w:szCs w:val="14"/>
                <w:color w:val="auto"/>
              </w:rPr>
              <w:t>$3,008,000</w:t>
            </w:r>
          </w:p>
        </w:tc>
        <w:tc>
          <w:tcPr>
            <w:tcW w:w="360" w:type="dxa"/>
            <w:vAlign w:val="bottom"/>
            <w:tcBorders>
              <w:bottom w:val="single" w:sz="8" w:color="007CBA"/>
            </w:tcBorders>
            <w:shd w:val="clear" w:color="auto" w:fill="E5F1F8"/>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007CBA"/>
            </w:tcBorders>
            <w:shd w:val="clear" w:color="auto" w:fill="E5F1F8"/>
          </w:tcPr>
          <w:p>
            <w:pPr>
              <w:jc w:val="right"/>
              <w:ind w:right="188"/>
              <w:spacing w:after="0"/>
              <w:rPr>
                <w:sz w:val="20"/>
                <w:szCs w:val="20"/>
                <w:color w:val="auto"/>
              </w:rPr>
            </w:pPr>
            <w:r>
              <w:rPr>
                <w:rFonts w:ascii="Arial" w:cs="Arial" w:eastAsia="Arial" w:hAnsi="Arial"/>
                <w:sz w:val="14"/>
                <w:szCs w:val="14"/>
                <w:color w:val="auto"/>
              </w:rPr>
              <w:t>2,995,000</w:t>
            </w:r>
          </w:p>
        </w:tc>
      </w:tr>
      <w:tr>
        <w:trPr>
          <w:trHeight w:val="209"/>
        </w:trPr>
        <w:tc>
          <w:tcPr>
            <w:tcW w:w="6860" w:type="dxa"/>
            <w:vAlign w:val="bottom"/>
            <w:tcBorders>
              <w:bottom w:val="single" w:sz="8" w:color="007CBA"/>
              <w:right w:val="single" w:sz="8" w:color="007CBA"/>
            </w:tcBorders>
          </w:tcPr>
          <w:p>
            <w:pPr>
              <w:ind w:left="60"/>
              <w:spacing w:after="0"/>
              <w:rPr>
                <w:sz w:val="20"/>
                <w:szCs w:val="20"/>
                <w:color w:val="auto"/>
              </w:rPr>
            </w:pPr>
            <w:r>
              <w:rPr>
                <w:rFonts w:ascii="Arial" w:cs="Arial" w:eastAsia="Arial" w:hAnsi="Arial"/>
                <w:sz w:val="14"/>
                <w:szCs w:val="14"/>
                <w:color w:val="auto"/>
              </w:rPr>
              <w:t>Percentage of Audit &amp; Audit-Related Fees to Total Fees</w:t>
            </w:r>
          </w:p>
        </w:tc>
        <w:tc>
          <w:tcPr>
            <w:tcW w:w="1260" w:type="dxa"/>
            <w:vAlign w:val="bottom"/>
            <w:tcBorders>
              <w:bottom w:val="single" w:sz="8" w:color="007CBA"/>
              <w:right w:val="single" w:sz="8" w:color="007CBA"/>
            </w:tcBorders>
          </w:tcPr>
          <w:p>
            <w:pPr>
              <w:jc w:val="right"/>
              <w:ind w:right="88"/>
              <w:spacing w:after="0"/>
              <w:rPr>
                <w:sz w:val="20"/>
                <w:szCs w:val="20"/>
                <w:color w:val="auto"/>
              </w:rPr>
            </w:pPr>
            <w:r>
              <w:rPr>
                <w:rFonts w:ascii="Arial" w:cs="Arial" w:eastAsia="Arial" w:hAnsi="Arial"/>
                <w:sz w:val="14"/>
                <w:szCs w:val="14"/>
                <w:color w:val="auto"/>
              </w:rPr>
              <w:t>99.2%</w:t>
            </w:r>
          </w:p>
        </w:tc>
        <w:tc>
          <w:tcPr>
            <w:tcW w:w="360" w:type="dxa"/>
            <w:vAlign w:val="bottom"/>
            <w:tcBorders>
              <w:bottom w:val="single" w:sz="8" w:color="007CBA"/>
            </w:tcBorders>
          </w:tcPr>
          <w:p>
            <w:pPr>
              <w:spacing w:after="0"/>
              <w:rPr>
                <w:sz w:val="18"/>
                <w:szCs w:val="18"/>
                <w:color w:val="auto"/>
              </w:rPr>
            </w:pPr>
          </w:p>
        </w:tc>
        <w:tc>
          <w:tcPr>
            <w:tcW w:w="960" w:type="dxa"/>
            <w:vAlign w:val="bottom"/>
            <w:tcBorders>
              <w:bottom w:val="single" w:sz="8" w:color="007CBA"/>
            </w:tcBorders>
          </w:tcPr>
          <w:p>
            <w:pPr>
              <w:jc w:val="right"/>
              <w:ind w:right="68"/>
              <w:spacing w:after="0"/>
              <w:rPr>
                <w:sz w:val="20"/>
                <w:szCs w:val="20"/>
                <w:color w:val="auto"/>
              </w:rPr>
            </w:pPr>
            <w:r>
              <w:rPr>
                <w:rFonts w:ascii="Arial" w:cs="Arial" w:eastAsia="Arial" w:hAnsi="Arial"/>
                <w:sz w:val="14"/>
                <w:szCs w:val="14"/>
                <w:color w:val="auto"/>
              </w:rPr>
              <w:t>99.3%</w:t>
            </w:r>
          </w:p>
        </w:tc>
      </w:tr>
    </w:tbl>
    <w:p>
      <w:pPr>
        <w:spacing w:after="0" w:line="86" w:lineRule="exact"/>
        <w:rPr>
          <w:sz w:val="20"/>
          <w:szCs w:val="20"/>
          <w:color w:val="auto"/>
        </w:rPr>
      </w:pPr>
    </w:p>
    <w:p>
      <w:pPr>
        <w:ind w:left="340" w:right="20" w:hanging="130"/>
        <w:spacing w:after="0" w:line="183" w:lineRule="auto"/>
        <w:tabs>
          <w:tab w:leader="none" w:pos="340" w:val="left"/>
        </w:tabs>
        <w:numPr>
          <w:ilvl w:val="0"/>
          <w:numId w:val="77"/>
        </w:numPr>
        <w:rPr>
          <w:rFonts w:ascii="Arial" w:cs="Arial" w:eastAsia="Arial" w:hAnsi="Arial"/>
          <w:sz w:val="24"/>
          <w:szCs w:val="24"/>
          <w:color w:val="auto"/>
          <w:vertAlign w:val="superscript"/>
        </w:rPr>
      </w:pPr>
      <w:r>
        <w:rPr>
          <w:rFonts w:ascii="Arial" w:cs="Arial" w:eastAsia="Arial" w:hAnsi="Arial"/>
          <w:sz w:val="14"/>
          <w:szCs w:val="14"/>
          <w:color w:val="auto"/>
        </w:rPr>
        <w:t>Services in connection with the annual consolidated financial statement audit, the annual internal controls audit, and reviews of the consolidated financial statements included in the quarterly reports.</w:t>
      </w:r>
    </w:p>
    <w:p>
      <w:pPr>
        <w:ind w:left="340" w:hanging="130"/>
        <w:spacing w:after="0" w:line="200" w:lineRule="auto"/>
        <w:tabs>
          <w:tab w:leader="none" w:pos="340" w:val="left"/>
        </w:tabs>
        <w:numPr>
          <w:ilvl w:val="0"/>
          <w:numId w:val="78"/>
        </w:numPr>
        <w:rPr>
          <w:rFonts w:ascii="Arial" w:cs="Arial" w:eastAsia="Arial" w:hAnsi="Arial"/>
          <w:sz w:val="24"/>
          <w:szCs w:val="24"/>
          <w:color w:val="auto"/>
          <w:vertAlign w:val="superscript"/>
        </w:rPr>
      </w:pPr>
      <w:r>
        <w:rPr>
          <w:rFonts w:ascii="Arial" w:cs="Arial" w:eastAsia="Arial" w:hAnsi="Arial"/>
          <w:sz w:val="14"/>
          <w:szCs w:val="14"/>
          <w:color w:val="auto"/>
        </w:rPr>
        <w:t>Services in connection with audit-related services, including agreed-upon procedures reports and subsidiary audits.</w:t>
      </w:r>
    </w:p>
    <w:p>
      <w:pPr>
        <w:spacing w:after="0" w:line="57" w:lineRule="exact"/>
        <w:rPr>
          <w:rFonts w:ascii="Arial" w:cs="Arial" w:eastAsia="Arial" w:hAnsi="Arial"/>
          <w:sz w:val="24"/>
          <w:szCs w:val="24"/>
          <w:color w:val="auto"/>
          <w:vertAlign w:val="superscript"/>
        </w:rPr>
      </w:pPr>
    </w:p>
    <w:p>
      <w:pPr>
        <w:ind w:left="220" w:right="6280"/>
        <w:spacing w:after="0" w:line="232" w:lineRule="auto"/>
        <w:rPr>
          <w:rFonts w:ascii="Arial" w:cs="Arial" w:eastAsia="Arial" w:hAnsi="Arial"/>
          <w:sz w:val="24"/>
          <w:szCs w:val="24"/>
          <w:color w:val="auto"/>
          <w:vertAlign w:val="superscript"/>
        </w:rPr>
      </w:pPr>
      <w:r>
        <w:rPr>
          <w:rFonts w:ascii="Arial" w:cs="Arial" w:eastAsia="Arial" w:hAnsi="Arial"/>
          <w:sz w:val="24"/>
          <w:szCs w:val="24"/>
          <w:color w:val="auto"/>
          <w:vertAlign w:val="superscript"/>
        </w:rPr>
        <w:t>3</w:t>
      </w:r>
      <w:r>
        <w:rPr>
          <w:rFonts w:ascii="Arial" w:cs="Arial" w:eastAsia="Arial" w:hAnsi="Arial"/>
          <w:sz w:val="14"/>
          <w:szCs w:val="14"/>
          <w:color w:val="auto"/>
        </w:rPr>
        <w:t xml:space="preserve"> Services in connection with tax advice related to transfer pricing matters. </w:t>
      </w:r>
      <w:r>
        <w:rPr>
          <w:rFonts w:ascii="Arial" w:cs="Arial" w:eastAsia="Arial" w:hAnsi="Arial"/>
          <w:sz w:val="24"/>
          <w:szCs w:val="24"/>
          <w:color w:val="auto"/>
          <w:vertAlign w:val="superscript"/>
        </w:rPr>
        <w:t>4</w:t>
      </w:r>
      <w:r>
        <w:rPr>
          <w:rFonts w:ascii="Arial" w:cs="Arial" w:eastAsia="Arial" w:hAnsi="Arial"/>
          <w:sz w:val="14"/>
          <w:szCs w:val="14"/>
          <w:color w:val="auto"/>
        </w:rPr>
        <w:t xml:space="preserve"> Other fees include license fees for technical accounting software.</w:t>
      </w:r>
    </w:p>
    <w:p>
      <w:pPr>
        <w:sectPr>
          <w:pgSz w:w="11900" w:h="16838" w:orient="portrait"/>
          <w:cols w:equalWidth="0" w:num="1">
            <w:col w:w="11220"/>
          </w:cols>
          <w:pgMar w:left="240" w:top="459" w:right="439" w:bottom="1440" w:gutter="0" w:footer="0" w:header="0"/>
        </w:sectPr>
      </w:pPr>
    </w:p>
    <w:p>
      <w:pPr>
        <w:spacing w:after="0" w:line="92"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7CBA"/>
        </w:rPr>
        <w:t>Pre-Approval Policies and Procedures</w:t>
      </w:r>
    </w:p>
    <w:p>
      <w:pPr>
        <w:spacing w:after="0" w:line="150" w:lineRule="exact"/>
        <w:rPr>
          <w:sz w:val="20"/>
          <w:szCs w:val="20"/>
          <w:color w:val="auto"/>
        </w:rPr>
      </w:pPr>
    </w:p>
    <w:p>
      <w:pPr>
        <w:jc w:val="both"/>
        <w:ind w:left="220"/>
        <w:spacing w:after="0" w:line="247" w:lineRule="auto"/>
        <w:rPr>
          <w:sz w:val="20"/>
          <w:szCs w:val="20"/>
          <w:color w:val="auto"/>
        </w:rPr>
      </w:pPr>
      <w:r>
        <w:rPr>
          <w:rFonts w:ascii="Arial" w:cs="Arial" w:eastAsia="Arial" w:hAnsi="Arial"/>
          <w:sz w:val="16"/>
          <w:szCs w:val="16"/>
          <w:color w:val="auto"/>
        </w:rPr>
        <w:t>The Audit Committee has adopted a policy that requires advance approval of all audit, audit-related, tax services, and other services performed by its independent auditor. The policy provides for pre-approval by the Audit Committee of specifically defined audit and non-audit services. Unless the specific service has been previously pre-approved with respect to that year, the Audit Committee must approve the permitted service before the independent auditor is engaged to perform it. The Audit Committee has delegated to the Chair of the Audit Committee authority to approve permitted services, provided that the Chair reports any decision to the Committee at its next scheduled meeting.</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Audit Committee Review</w:t>
      </w:r>
    </w:p>
    <w:p>
      <w:pPr>
        <w:spacing w:after="0" w:line="15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connection with the Audit Committee’s review of services rendered and fees billed by the independent auditor, the Audit Committee has considered whether the provision of the non-audit related services described above is compatible with maintaining the independent auditors’ independence and has concluded that the provision of these services did not compromise such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770255</wp:posOffset>
            </wp:positionV>
            <wp:extent cx="410845" cy="2482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948"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284" w:lineRule="exact"/>
        <w:rPr>
          <w:sz w:val="20"/>
          <w:szCs w:val="20"/>
          <w:color w:val="auto"/>
        </w:rPr>
      </w:pPr>
    </w:p>
    <w:tbl>
      <w:tblPr>
        <w:tblLayout w:type="fixed"/>
        <w:tblInd w:w="926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2019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29</w:t>
            </w:r>
          </w:p>
        </w:tc>
      </w:tr>
    </w:tbl>
    <w:p>
      <w:pPr>
        <w:sectPr>
          <w:pgSz w:w="11900" w:h="16838" w:orient="portrait"/>
          <w:cols w:equalWidth="0" w:num="1">
            <w:col w:w="11220"/>
          </w:cols>
          <w:pgMar w:left="240" w:top="459" w:right="4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219"/>
        <w:spacing w:after="0"/>
        <w:rPr>
          <w:sz w:val="20"/>
          <w:szCs w:val="20"/>
          <w:color w:val="auto"/>
        </w:rPr>
      </w:pPr>
      <w:r>
        <w:rPr>
          <w:rFonts w:ascii="Arial" w:cs="Arial" w:eastAsia="Arial" w:hAnsi="Arial"/>
          <w:sz w:val="43"/>
          <w:szCs w:val="43"/>
          <w:color w:val="auto"/>
        </w:rPr>
        <w:t>Audit Committee Report</w:t>
      </w:r>
    </w:p>
    <w:p>
      <w:pPr>
        <w:spacing w:after="0" w:line="332"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 xml:space="preserve">The Audit Committee operates under a written charter adopted by the Board of Directors, which is reassessed at least annually for adequacy by the Audit Committee. The Directors who serve on the Audit Committee have no financial or personal ties to Martin Marietta (other than Director compensation and equity ownership as described in this proxy statement) and are all “independent” for purposes of the Securities and Exchange Commission’s regulations, the New York Stock Exchange listing standards, and the </w:t>
      </w:r>
      <w:r>
        <w:rPr>
          <w:rFonts w:ascii="Arial" w:cs="Arial" w:eastAsia="Arial" w:hAnsi="Arial"/>
          <w:sz w:val="16"/>
          <w:szCs w:val="16"/>
          <w:i w:val="1"/>
          <w:iCs w:val="1"/>
          <w:color w:val="auto"/>
        </w:rPr>
        <w:t>Guidelines for Director’s Independence</w:t>
      </w:r>
      <w:r>
        <w:rPr>
          <w:rFonts w:ascii="Arial" w:cs="Arial" w:eastAsia="Arial" w:hAnsi="Arial"/>
          <w:sz w:val="16"/>
          <w:szCs w:val="16"/>
          <w:color w:val="auto"/>
        </w:rPr>
        <w:t xml:space="preserve"> adopted by the Board of Directors. The Board of Directors has determined that none of the Audit Committee members has a relationship with Martin Marietta that may interfere with the Director’s independence from Martin Marietta and its management. Copies of the Audit Committee’s charter and Martin Marietta’s </w:t>
      </w:r>
      <w:r>
        <w:rPr>
          <w:rFonts w:ascii="Arial" w:cs="Arial" w:eastAsia="Arial" w:hAnsi="Arial"/>
          <w:sz w:val="16"/>
          <w:szCs w:val="16"/>
          <w:i w:val="1"/>
          <w:iCs w:val="1"/>
          <w:color w:val="auto"/>
        </w:rPr>
        <w:t>Guidelines for Director’s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Independence </w:t>
      </w:r>
      <w:r>
        <w:rPr>
          <w:rFonts w:ascii="Arial" w:cs="Arial" w:eastAsia="Arial" w:hAnsi="Arial"/>
          <w:sz w:val="16"/>
          <w:szCs w:val="16"/>
          <w:color w:val="auto"/>
        </w:rPr>
        <w:t>can be viewed on Martin Marietta’s website at</w:t>
      </w:r>
      <w:r>
        <w:rPr>
          <w:rFonts w:ascii="Arial" w:cs="Arial" w:eastAsia="Arial" w:hAnsi="Arial"/>
          <w:sz w:val="16"/>
          <w:szCs w:val="16"/>
          <w:i w:val="1"/>
          <w:iCs w:val="1"/>
          <w:color w:val="auto"/>
        </w:rPr>
        <w:t xml:space="preserve"> ir.martinmarietta.com/investor-relations/corporate-governance.</w:t>
      </w:r>
    </w:p>
    <w:p>
      <w:pPr>
        <w:spacing w:after="0" w:line="180" w:lineRule="exact"/>
        <w:rPr>
          <w:sz w:val="20"/>
          <w:szCs w:val="20"/>
          <w:color w:val="auto"/>
        </w:rPr>
      </w:pPr>
    </w:p>
    <w:p>
      <w:pPr>
        <w:jc w:val="both"/>
        <w:ind w:left="220"/>
        <w:spacing w:after="0" w:line="253" w:lineRule="auto"/>
        <w:rPr>
          <w:sz w:val="20"/>
          <w:szCs w:val="20"/>
          <w:color w:val="auto"/>
        </w:rPr>
      </w:pPr>
      <w:r>
        <w:rPr>
          <w:rFonts w:ascii="Arial" w:cs="Arial" w:eastAsia="Arial" w:hAnsi="Arial"/>
          <w:sz w:val="16"/>
          <w:szCs w:val="16"/>
          <w:color w:val="auto"/>
        </w:rPr>
        <w:t>The Board of Directors has charged the Audit Committee with a number of responsibilities, including review of the adequacy of Martin Marietta’s financial reporting, accounting systems, and internal controls. Martin Marietta’s independent auditors and the vice president of the internal audit function report directly and are ultimately accountable to the Audit Committee.</w:t>
      </w:r>
    </w:p>
    <w:p>
      <w:pPr>
        <w:spacing w:after="0" w:line="160"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 xml:space="preserve">In the discharge of its responsibilities, the Audit Committee has reviewed and discussed with management and the independent auditors Martin Marietta’s audited consolidated financial statements for fiscal year 2018. In addition, the Committee has discussed with the independent auditors matters such as the quality (in addition to acceptability), clarity, consistency, and completeness of Martin Marietta’s financial reporting, as required by Auditing Standard No. 1301,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as adopted by the Public Company Accounting Oversight Board.</w:t>
      </w:r>
    </w:p>
    <w:p>
      <w:pPr>
        <w:spacing w:after="0" w:line="164"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 xml:space="preserve">The Audit Committee has received from the independent auditors written disclosures and a letter concerning the independent auditors’ independence from Martin Marietta, as required by the Public Company Accounting Oversight Board in Rule 3526, </w:t>
      </w:r>
      <w:r>
        <w:rPr>
          <w:rFonts w:ascii="Arial" w:cs="Arial" w:eastAsia="Arial" w:hAnsi="Arial"/>
          <w:sz w:val="16"/>
          <w:szCs w:val="16"/>
          <w:i w:val="1"/>
          <w:iCs w:val="1"/>
          <w:color w:val="auto"/>
        </w:rPr>
        <w:t>Communication with Audit Committees Concerning</w:t>
      </w:r>
      <w:r>
        <w:rPr>
          <w:rFonts w:ascii="Arial" w:cs="Arial" w:eastAsia="Arial" w:hAnsi="Arial"/>
          <w:sz w:val="16"/>
          <w:szCs w:val="16"/>
          <w:color w:val="auto"/>
        </w:rPr>
        <w:t xml:space="preserve"> </w:t>
      </w:r>
      <w:r>
        <w:rPr>
          <w:rFonts w:ascii="Arial" w:cs="Arial" w:eastAsia="Arial" w:hAnsi="Arial"/>
          <w:sz w:val="16"/>
          <w:szCs w:val="16"/>
          <w:i w:val="1"/>
          <w:iCs w:val="1"/>
          <w:color w:val="auto"/>
        </w:rPr>
        <w:t>Independence</w:t>
      </w:r>
      <w:r>
        <w:rPr>
          <w:rFonts w:ascii="Arial" w:cs="Arial" w:eastAsia="Arial" w:hAnsi="Arial"/>
          <w:sz w:val="16"/>
          <w:szCs w:val="16"/>
          <w:color w:val="auto"/>
        </w:rPr>
        <w:t>, and has discussed with the independent auditors the independent auditors’ independence. These disclosures have been reviewed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and discussed with the independent auditors.</w:t>
      </w:r>
    </w:p>
    <w:p>
      <w:pPr>
        <w:spacing w:after="0" w:line="178" w:lineRule="exact"/>
        <w:rPr>
          <w:sz w:val="20"/>
          <w:szCs w:val="20"/>
          <w:color w:val="auto"/>
        </w:rPr>
      </w:pPr>
    </w:p>
    <w:p>
      <w:pPr>
        <w:jc w:val="both"/>
        <w:ind w:left="220"/>
        <w:spacing w:after="0" w:line="260" w:lineRule="auto"/>
        <w:rPr>
          <w:sz w:val="20"/>
          <w:szCs w:val="20"/>
          <w:color w:val="auto"/>
        </w:rPr>
      </w:pPr>
      <w:r>
        <w:rPr>
          <w:rFonts w:ascii="Arial" w:cs="Arial" w:eastAsia="Arial" w:hAnsi="Arial"/>
          <w:sz w:val="16"/>
          <w:szCs w:val="16"/>
          <w:color w:val="auto"/>
        </w:rPr>
        <w:t>Based on these reviews and discussions, the Audit Committee has recommended to the Board of Directors that the audited financial statements be included in Martin Marietta’s 2018 Annual Report on Form 10-K for filing with the Securities and Exchange Commission.</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February 21, 2019</w:t>
      </w:r>
    </w:p>
    <w:p>
      <w:pPr>
        <w:spacing w:after="0" w:line="152" w:lineRule="exact"/>
        <w:rPr>
          <w:sz w:val="20"/>
          <w:szCs w:val="20"/>
          <w:color w:val="auto"/>
        </w:rPr>
      </w:pPr>
    </w:p>
    <w:p>
      <w:pPr>
        <w:ind w:left="6060"/>
        <w:spacing w:after="0"/>
        <w:rPr>
          <w:sz w:val="20"/>
          <w:szCs w:val="20"/>
          <w:color w:val="auto"/>
        </w:rPr>
      </w:pPr>
      <w:r>
        <w:rPr>
          <w:rFonts w:ascii="Arial" w:cs="Arial" w:eastAsia="Arial" w:hAnsi="Arial"/>
          <w:sz w:val="17"/>
          <w:szCs w:val="17"/>
          <w:b w:val="1"/>
          <w:bCs w:val="1"/>
          <w:color w:val="auto"/>
        </w:rPr>
        <w:t>AUDIT COMMITTEE</w:t>
      </w:r>
    </w:p>
    <w:p>
      <w:pPr>
        <w:spacing w:after="0" w:line="76"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 xml:space="preserve">Laree E. Perez, </w:t>
      </w:r>
      <w:r>
        <w:rPr>
          <w:rFonts w:ascii="Arial" w:cs="Arial" w:eastAsia="Arial" w:hAnsi="Arial"/>
          <w:sz w:val="17"/>
          <w:szCs w:val="17"/>
          <w:i w:val="1"/>
          <w:iCs w:val="1"/>
          <w:color w:val="auto"/>
        </w:rPr>
        <w:t>Chair</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Dorothy M. Ables</w:t>
      </w:r>
    </w:p>
    <w:p>
      <w:pPr>
        <w:ind w:left="6060"/>
        <w:spacing w:after="0" w:line="231" w:lineRule="auto"/>
        <w:rPr>
          <w:sz w:val="20"/>
          <w:szCs w:val="20"/>
          <w:color w:val="auto"/>
        </w:rPr>
      </w:pPr>
      <w:r>
        <w:rPr>
          <w:rFonts w:ascii="Arial" w:cs="Arial" w:eastAsia="Arial" w:hAnsi="Arial"/>
          <w:sz w:val="17"/>
          <w:szCs w:val="17"/>
          <w:color w:val="auto"/>
        </w:rPr>
        <w:t>John J. Koraleski</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Dennis L. Rediker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3517265</wp:posOffset>
            </wp:positionH>
            <wp:positionV relativeFrom="paragraph">
              <wp:posOffset>93980</wp:posOffset>
            </wp:positionV>
            <wp:extent cx="410845" cy="2482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162" w:lineRule="exact"/>
        <w:rPr>
          <w:sz w:val="20"/>
          <w:szCs w:val="20"/>
          <w:color w:val="auto"/>
        </w:rPr>
      </w:pPr>
    </w:p>
    <w:p>
      <w:pPr>
        <w:ind w:left="640" w:hanging="430"/>
        <w:spacing w:after="0"/>
        <w:tabs>
          <w:tab w:leader="none" w:pos="640" w:val="left"/>
        </w:tabs>
        <w:numPr>
          <w:ilvl w:val="0"/>
          <w:numId w:val="79"/>
        </w:numPr>
        <w:rPr>
          <w:rFonts w:ascii="Arial" w:cs="Arial" w:eastAsia="Arial" w:hAnsi="Arial"/>
          <w:sz w:val="13"/>
          <w:szCs w:val="13"/>
          <w:b w:val="1"/>
          <w:bCs w:val="1"/>
          <w:color w:val="auto"/>
        </w:rPr>
      </w:pPr>
      <w:r>
        <w:rPr>
          <w:rFonts w:ascii="Arial" w:cs="Arial" w:eastAsia="Arial" w:hAnsi="Arial"/>
          <w:sz w:val="13"/>
          <w:szCs w:val="13"/>
          <w:color w:val="007CBA"/>
        </w:rPr>
        <w:t>2019 PROXY STATEMENT</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0" w:lineRule="exact"/>
        <w:rPr>
          <w:sz w:val="20"/>
          <w:szCs w:val="20"/>
          <w:color w:val="auto"/>
        </w:rPr>
      </w:pPr>
    </w:p>
    <w:p>
      <w:pPr>
        <w:jc w:val="center"/>
        <w:ind w:right="-199"/>
        <w:spacing w:after="0"/>
        <w:rPr>
          <w:sz w:val="20"/>
          <w:szCs w:val="20"/>
          <w:color w:val="auto"/>
        </w:rPr>
      </w:pPr>
      <w:r>
        <w:rPr>
          <w:rFonts w:ascii="Arial" w:cs="Arial" w:eastAsia="Arial" w:hAnsi="Arial"/>
          <w:sz w:val="43"/>
          <w:szCs w:val="43"/>
          <w:color w:val="auto"/>
        </w:rPr>
        <w:t>Management Development and</w:t>
      </w:r>
    </w:p>
    <w:p>
      <w:pPr>
        <w:spacing w:after="0" w:line="7" w:lineRule="exact"/>
        <w:rPr>
          <w:sz w:val="20"/>
          <w:szCs w:val="20"/>
          <w:color w:val="auto"/>
        </w:rPr>
      </w:pPr>
    </w:p>
    <w:p>
      <w:pPr>
        <w:jc w:val="center"/>
        <w:ind w:right="-199"/>
        <w:spacing w:after="0"/>
        <w:rPr>
          <w:sz w:val="20"/>
          <w:szCs w:val="20"/>
          <w:color w:val="auto"/>
        </w:rPr>
      </w:pPr>
      <w:r>
        <w:rPr>
          <w:rFonts w:ascii="Arial" w:cs="Arial" w:eastAsia="Arial" w:hAnsi="Arial"/>
          <w:sz w:val="43"/>
          <w:szCs w:val="43"/>
          <w:color w:val="auto"/>
        </w:rPr>
        <w:t>Compensation Committee Report</w:t>
      </w:r>
    </w:p>
    <w:p>
      <w:pPr>
        <w:spacing w:after="0" w:line="314" w:lineRule="exact"/>
        <w:rPr>
          <w:sz w:val="20"/>
          <w:szCs w:val="20"/>
          <w:color w:val="auto"/>
        </w:rPr>
      </w:pPr>
    </w:p>
    <w:p>
      <w:pPr>
        <w:jc w:val="both"/>
        <w:ind w:left="220"/>
        <w:spacing w:after="0" w:line="257" w:lineRule="auto"/>
        <w:rPr>
          <w:sz w:val="20"/>
          <w:szCs w:val="20"/>
          <w:color w:val="auto"/>
        </w:rPr>
      </w:pPr>
      <w:r>
        <w:rPr>
          <w:rFonts w:ascii="Arial" w:cs="Arial" w:eastAsia="Arial" w:hAnsi="Arial"/>
          <w:sz w:val="16"/>
          <w:szCs w:val="16"/>
          <w:color w:val="auto"/>
        </w:rPr>
        <w:t xml:space="preserve">The Management Development and Compensation Committee has reviewed and discussed with management the </w:t>
      </w:r>
      <w:r>
        <w:rPr>
          <w:rFonts w:ascii="Arial" w:cs="Arial" w:eastAsia="Arial" w:hAnsi="Arial"/>
          <w:sz w:val="16"/>
          <w:szCs w:val="16"/>
          <w:i w:val="1"/>
          <w:iCs w:val="1"/>
          <w:color w:val="auto"/>
        </w:rPr>
        <w:t>Compensation Discussion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Analysis </w:t>
      </w:r>
      <w:r>
        <w:rPr>
          <w:rFonts w:ascii="Arial" w:cs="Arial" w:eastAsia="Arial" w:hAnsi="Arial"/>
          <w:sz w:val="16"/>
          <w:szCs w:val="16"/>
          <w:color w:val="auto"/>
        </w:rPr>
        <w:t>beginning on page 32 of this Proxy Statement. Based on this review and discussion, the Management Development and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Committee recommended to the Board of Directors that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xml:space="preserve"> be included in Martin Marietta’s 2018 Annual Report on Form 10-K and this Proxy Statement.</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February 20, 2019</w:t>
      </w:r>
    </w:p>
    <w:p>
      <w:pPr>
        <w:spacing w:after="0" w:line="152" w:lineRule="exact"/>
        <w:rPr>
          <w:sz w:val="20"/>
          <w:szCs w:val="20"/>
          <w:color w:val="auto"/>
        </w:rPr>
      </w:pPr>
    </w:p>
    <w:p>
      <w:pPr>
        <w:ind w:left="6060"/>
        <w:spacing w:after="0"/>
        <w:rPr>
          <w:sz w:val="20"/>
          <w:szCs w:val="20"/>
          <w:color w:val="auto"/>
        </w:rPr>
      </w:pPr>
      <w:r>
        <w:rPr>
          <w:rFonts w:ascii="Arial" w:cs="Arial" w:eastAsia="Arial" w:hAnsi="Arial"/>
          <w:sz w:val="17"/>
          <w:szCs w:val="17"/>
          <w:b w:val="1"/>
          <w:bCs w:val="1"/>
          <w:color w:val="auto"/>
        </w:rPr>
        <w:t>MANAGEMENT DEVELOPMENT AND</w:t>
      </w:r>
    </w:p>
    <w:p>
      <w:pPr>
        <w:spacing w:after="0" w:line="13" w:lineRule="exact"/>
        <w:rPr>
          <w:sz w:val="20"/>
          <w:szCs w:val="20"/>
          <w:color w:val="auto"/>
        </w:rPr>
      </w:pPr>
    </w:p>
    <w:p>
      <w:pPr>
        <w:ind w:left="6060"/>
        <w:spacing w:after="0"/>
        <w:rPr>
          <w:sz w:val="20"/>
          <w:szCs w:val="20"/>
          <w:color w:val="auto"/>
        </w:rPr>
      </w:pPr>
      <w:r>
        <w:rPr>
          <w:rFonts w:ascii="Arial" w:cs="Arial" w:eastAsia="Arial" w:hAnsi="Arial"/>
          <w:sz w:val="17"/>
          <w:szCs w:val="17"/>
          <w:b w:val="1"/>
          <w:bCs w:val="1"/>
          <w:color w:val="auto"/>
        </w:rPr>
        <w:t>COMPENSATION COMMITTEE</w:t>
      </w:r>
    </w:p>
    <w:p>
      <w:pPr>
        <w:spacing w:after="0" w:line="43"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 xml:space="preserve">Michael J. Quillen, </w:t>
      </w:r>
      <w:r>
        <w:rPr>
          <w:rFonts w:ascii="Arial" w:cs="Arial" w:eastAsia="Arial" w:hAnsi="Arial"/>
          <w:sz w:val="17"/>
          <w:szCs w:val="17"/>
          <w:i w:val="1"/>
          <w:iCs w:val="1"/>
          <w:color w:val="auto"/>
        </w:rPr>
        <w:t>Chair</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Sue W. Cole</w:t>
      </w:r>
    </w:p>
    <w:p>
      <w:pPr>
        <w:ind w:left="6060"/>
        <w:spacing w:after="0"/>
        <w:rPr>
          <w:sz w:val="20"/>
          <w:szCs w:val="20"/>
          <w:color w:val="auto"/>
        </w:rPr>
      </w:pPr>
      <w:r>
        <w:rPr>
          <w:rFonts w:ascii="Arial" w:cs="Arial" w:eastAsia="Arial" w:hAnsi="Arial"/>
          <w:sz w:val="17"/>
          <w:szCs w:val="17"/>
          <w:color w:val="auto"/>
        </w:rPr>
        <w:t>John J. Koraleski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left="440" w:right="900"/>
        <w:spacing w:after="0" w:line="255" w:lineRule="auto"/>
        <w:rPr>
          <w:sz w:val="20"/>
          <w:szCs w:val="20"/>
          <w:color w:val="auto"/>
        </w:rPr>
      </w:pPr>
      <w:r>
        <w:rPr>
          <w:rFonts w:ascii="Arial" w:cs="Arial" w:eastAsia="Arial" w:hAnsi="Arial"/>
          <w:sz w:val="43"/>
          <w:szCs w:val="43"/>
          <w:color w:val="auto"/>
        </w:rPr>
        <w:t>Compensation Committee Interlocks and Insider Participation in Compensation Decisions</w:t>
      </w:r>
    </w:p>
    <w:p>
      <w:pPr>
        <w:spacing w:after="0" w:line="275"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The members of Martin Marietta’s Management Development and Compensation Committee are Directors Cole, Koraleski, and Quillen, none of whom has ever been an officer or employee of Martin Marietta or any of its subsidiaries, or had any relationship requiring disclosure by Martin Marietta under Item 404 of Regulation S-K of the SEC. There are no executive officer-Director interlocks where an executive of Martin Marietta serves on the compensation committee of another corporation that has an executive officer serving on Martin Marietta’s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3439795</wp:posOffset>
            </wp:positionH>
            <wp:positionV relativeFrom="paragraph">
              <wp:posOffset>85725</wp:posOffset>
            </wp:positionV>
            <wp:extent cx="410845" cy="2482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134" w:lineRule="exact"/>
        <w:rPr>
          <w:sz w:val="20"/>
          <w:szCs w:val="20"/>
          <w:color w:val="auto"/>
        </w:rPr>
      </w:pPr>
    </w:p>
    <w:tbl>
      <w:tblPr>
        <w:tblLayout w:type="fixed"/>
        <w:tblInd w:w="926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2019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31</w:t>
            </w:r>
          </w:p>
        </w:tc>
      </w:tr>
    </w:tbl>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right"/>
        <w:ind w:right="1720"/>
        <w:spacing w:after="0"/>
        <w:rPr>
          <w:sz w:val="20"/>
          <w:szCs w:val="20"/>
          <w:color w:val="auto"/>
        </w:rPr>
      </w:pPr>
      <w:r>
        <w:rPr>
          <w:rFonts w:ascii="Arial" w:cs="Arial" w:eastAsia="Arial" w:hAnsi="Arial"/>
          <w:sz w:val="43"/>
          <w:szCs w:val="43"/>
          <w:color w:val="auto"/>
        </w:rPr>
        <w:t>Compensation Discussion and Analysis</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418"/>
        </w:trPr>
        <w:tc>
          <w:tcPr>
            <w:tcW w:w="340" w:type="dxa"/>
            <w:vAlign w:val="bottom"/>
            <w:tcBorders>
              <w:bottom w:val="single" w:sz="8" w:color="E5F1F8"/>
            </w:tcBorders>
            <w:shd w:val="clear" w:color="auto" w:fill="E5F1F8"/>
          </w:tcPr>
          <w:p>
            <w:pPr>
              <w:spacing w:after="0"/>
              <w:rPr>
                <w:sz w:val="24"/>
                <w:szCs w:val="24"/>
                <w:color w:val="auto"/>
              </w:rPr>
            </w:pPr>
          </w:p>
        </w:tc>
        <w:tc>
          <w:tcPr>
            <w:tcW w:w="840" w:type="dxa"/>
            <w:vAlign w:val="bottom"/>
            <w:tcBorders>
              <w:bottom w:val="single" w:sz="8" w:color="0000EE"/>
            </w:tcBorders>
            <w:shd w:val="clear" w:color="auto" w:fill="E5F1F8"/>
          </w:tcPr>
          <w:p>
            <w:pPr>
              <w:spacing w:after="0"/>
              <w:rPr>
                <w:rFonts w:ascii="Arial" w:cs="Arial" w:eastAsia="Arial" w:hAnsi="Arial"/>
                <w:sz w:val="16"/>
                <w:szCs w:val="16"/>
                <w:color w:val="0000EE"/>
                <w:w w:val="98"/>
              </w:rPr>
            </w:pPr>
            <w:hyperlink w:anchor="page37">
              <w:r>
                <w:rPr>
                  <w:rFonts w:ascii="Arial" w:cs="Arial" w:eastAsia="Arial" w:hAnsi="Arial"/>
                  <w:sz w:val="16"/>
                  <w:szCs w:val="16"/>
                  <w:color w:val="0000EE"/>
                  <w:w w:val="98"/>
                </w:rPr>
                <w:t>Introduction</w:t>
              </w:r>
            </w:hyperlink>
          </w:p>
        </w:tc>
        <w:tc>
          <w:tcPr>
            <w:tcW w:w="3380" w:type="dxa"/>
            <w:vAlign w:val="bottom"/>
            <w:tcBorders>
              <w:bottom w:val="single" w:sz="8" w:color="E5F1F8"/>
            </w:tcBorders>
            <w:gridSpan w:val="23"/>
            <w:shd w:val="clear" w:color="auto" w:fill="E5F1F8"/>
          </w:tcPr>
          <w:p>
            <w:pPr>
              <w:spacing w:after="0"/>
              <w:rPr>
                <w:sz w:val="24"/>
                <w:szCs w:val="24"/>
                <w:color w:val="auto"/>
              </w:rPr>
            </w:pPr>
          </w:p>
        </w:tc>
        <w:tc>
          <w:tcPr>
            <w:tcW w:w="700" w:type="dxa"/>
            <w:vAlign w:val="bottom"/>
            <w:tcBorders>
              <w:bottom w:val="single" w:sz="8" w:color="E5F1F8"/>
            </w:tcBorders>
            <w:shd w:val="clear" w:color="auto" w:fill="E5F1F8"/>
          </w:tcPr>
          <w:p>
            <w:pPr>
              <w:jc w:val="right"/>
              <w:ind w:right="59"/>
              <w:spacing w:after="0"/>
              <w:rPr>
                <w:sz w:val="20"/>
                <w:szCs w:val="20"/>
                <w:color w:val="auto"/>
              </w:rPr>
            </w:pPr>
            <w:r>
              <w:rPr>
                <w:rFonts w:ascii="Arial" w:cs="Arial" w:eastAsia="Arial" w:hAnsi="Arial"/>
                <w:sz w:val="16"/>
                <w:szCs w:val="16"/>
                <w:color w:val="007CBA"/>
              </w:rPr>
              <w:t>32</w:t>
            </w:r>
          </w:p>
        </w:tc>
      </w:tr>
      <w:tr>
        <w:trPr>
          <w:trHeight w:val="236"/>
        </w:trPr>
        <w:tc>
          <w:tcPr>
            <w:tcW w:w="340" w:type="dxa"/>
            <w:vAlign w:val="bottom"/>
            <w:tcBorders>
              <w:bottom w:val="single" w:sz="8" w:color="E5F1F8"/>
            </w:tcBorders>
            <w:shd w:val="clear" w:color="auto" w:fill="E5F1F8"/>
          </w:tcPr>
          <w:p>
            <w:pPr>
              <w:spacing w:after="0"/>
              <w:rPr>
                <w:sz w:val="20"/>
                <w:szCs w:val="20"/>
                <w:color w:val="auto"/>
              </w:rPr>
            </w:pPr>
          </w:p>
        </w:tc>
        <w:tc>
          <w:tcPr>
            <w:tcW w:w="1440" w:type="dxa"/>
            <w:vAlign w:val="bottom"/>
            <w:tcBorders>
              <w:bottom w:val="single" w:sz="8" w:color="0000EE"/>
            </w:tcBorders>
            <w:gridSpan w:val="6"/>
            <w:shd w:val="clear" w:color="auto" w:fill="E5F1F8"/>
          </w:tcPr>
          <w:p>
            <w:pPr>
              <w:spacing w:after="0"/>
              <w:rPr>
                <w:rFonts w:ascii="Arial" w:cs="Arial" w:eastAsia="Arial" w:hAnsi="Arial"/>
                <w:sz w:val="16"/>
                <w:szCs w:val="16"/>
                <w:color w:val="0000EE"/>
                <w:w w:val="99"/>
              </w:rPr>
            </w:pPr>
            <w:hyperlink w:anchor="page38">
              <w:r>
                <w:rPr>
                  <w:rFonts w:ascii="Arial" w:cs="Arial" w:eastAsia="Arial" w:hAnsi="Arial"/>
                  <w:sz w:val="16"/>
                  <w:szCs w:val="16"/>
                  <w:color w:val="0000EE"/>
                  <w:w w:val="99"/>
                </w:rPr>
                <w:t>Executive Summary</w:t>
              </w:r>
            </w:hyperlink>
          </w:p>
        </w:tc>
        <w:tc>
          <w:tcPr>
            <w:tcW w:w="2780" w:type="dxa"/>
            <w:vAlign w:val="bottom"/>
            <w:tcBorders>
              <w:bottom w:val="single" w:sz="8" w:color="E5F1F8"/>
            </w:tcBorders>
            <w:gridSpan w:val="18"/>
            <w:shd w:val="clear" w:color="auto" w:fill="E5F1F8"/>
          </w:tcPr>
          <w:p>
            <w:pPr>
              <w:spacing w:after="0"/>
              <w:rPr>
                <w:sz w:val="20"/>
                <w:szCs w:val="20"/>
                <w:color w:val="auto"/>
              </w:rPr>
            </w:pPr>
          </w:p>
        </w:tc>
        <w:tc>
          <w:tcPr>
            <w:tcW w:w="700" w:type="dxa"/>
            <w:vAlign w:val="bottom"/>
            <w:tcBorders>
              <w:bottom w:val="single" w:sz="8" w:color="E5F1F8"/>
            </w:tcBorders>
            <w:shd w:val="clear" w:color="auto" w:fill="E5F1F8"/>
          </w:tcPr>
          <w:p>
            <w:pPr>
              <w:jc w:val="right"/>
              <w:ind w:right="59"/>
              <w:spacing w:after="0"/>
              <w:rPr>
                <w:sz w:val="20"/>
                <w:szCs w:val="20"/>
                <w:color w:val="auto"/>
              </w:rPr>
            </w:pPr>
            <w:r>
              <w:rPr>
                <w:rFonts w:ascii="Arial" w:cs="Arial" w:eastAsia="Arial" w:hAnsi="Arial"/>
                <w:sz w:val="16"/>
                <w:szCs w:val="16"/>
                <w:color w:val="007CBA"/>
              </w:rPr>
              <w:t>33</w:t>
            </w:r>
          </w:p>
        </w:tc>
      </w:tr>
      <w:tr>
        <w:trPr>
          <w:trHeight w:val="236"/>
        </w:trPr>
        <w:tc>
          <w:tcPr>
            <w:tcW w:w="340" w:type="dxa"/>
            <w:vAlign w:val="bottom"/>
            <w:tcBorders>
              <w:bottom w:val="single" w:sz="8" w:color="E5F1F8"/>
            </w:tcBorders>
            <w:shd w:val="clear" w:color="auto" w:fill="E5F1F8"/>
          </w:tcPr>
          <w:p>
            <w:pPr>
              <w:spacing w:after="0"/>
              <w:rPr>
                <w:sz w:val="20"/>
                <w:szCs w:val="20"/>
                <w:color w:val="auto"/>
              </w:rPr>
            </w:pPr>
          </w:p>
        </w:tc>
        <w:tc>
          <w:tcPr>
            <w:tcW w:w="4220" w:type="dxa"/>
            <w:vAlign w:val="bottom"/>
            <w:tcBorders>
              <w:bottom w:val="single" w:sz="8" w:color="0000EE"/>
            </w:tcBorders>
            <w:gridSpan w:val="24"/>
            <w:shd w:val="clear" w:color="auto" w:fill="E5F1F8"/>
          </w:tcPr>
          <w:p>
            <w:pPr>
              <w:spacing w:after="0"/>
              <w:rPr>
                <w:rFonts w:ascii="Arial" w:cs="Arial" w:eastAsia="Arial" w:hAnsi="Arial"/>
                <w:sz w:val="16"/>
                <w:szCs w:val="16"/>
                <w:color w:val="0000EE"/>
              </w:rPr>
            </w:pPr>
            <w:hyperlink w:anchor="page38">
              <w:r>
                <w:rPr>
                  <w:rFonts w:ascii="Arial" w:cs="Arial" w:eastAsia="Arial" w:hAnsi="Arial"/>
                  <w:sz w:val="16"/>
                  <w:szCs w:val="16"/>
                  <w:color w:val="0000EE"/>
                </w:rPr>
                <w:t>Shareholder Outreach and Shareholder Feedback on 2018</w:t>
              </w:r>
            </w:hyperlink>
          </w:p>
        </w:tc>
        <w:tc>
          <w:tcPr>
            <w:tcW w:w="700" w:type="dxa"/>
            <w:vAlign w:val="bottom"/>
            <w:tcBorders>
              <w:bottom w:val="single" w:sz="8" w:color="E5F1F8"/>
            </w:tcBorders>
            <w:shd w:val="clear" w:color="auto" w:fill="E5F1F8"/>
          </w:tcPr>
          <w:p>
            <w:pPr>
              <w:spacing w:after="0"/>
              <w:rPr>
                <w:sz w:val="20"/>
                <w:szCs w:val="20"/>
                <w:color w:val="auto"/>
              </w:rPr>
            </w:pPr>
          </w:p>
        </w:tc>
      </w:tr>
      <w:tr>
        <w:trPr>
          <w:trHeight w:val="169"/>
        </w:trPr>
        <w:tc>
          <w:tcPr>
            <w:tcW w:w="340" w:type="dxa"/>
            <w:vAlign w:val="bottom"/>
            <w:tcBorders>
              <w:bottom w:val="single" w:sz="8" w:color="E5F1F8"/>
            </w:tcBorders>
            <w:shd w:val="clear" w:color="auto" w:fill="E5F1F8"/>
          </w:tcPr>
          <w:p>
            <w:pPr>
              <w:spacing w:after="0"/>
              <w:rPr>
                <w:sz w:val="14"/>
                <w:szCs w:val="14"/>
                <w:color w:val="auto"/>
              </w:rPr>
            </w:pPr>
          </w:p>
        </w:tc>
        <w:tc>
          <w:tcPr>
            <w:tcW w:w="860" w:type="dxa"/>
            <w:vAlign w:val="bottom"/>
            <w:tcBorders>
              <w:bottom w:val="single" w:sz="8" w:color="0000EE"/>
            </w:tcBorders>
            <w:gridSpan w:val="2"/>
            <w:shd w:val="clear" w:color="auto" w:fill="E5F1F8"/>
          </w:tcPr>
          <w:p>
            <w:pPr>
              <w:spacing w:after="0" w:line="169" w:lineRule="exact"/>
              <w:rPr>
                <w:rFonts w:ascii="Arial" w:cs="Arial" w:eastAsia="Arial" w:hAnsi="Arial"/>
                <w:sz w:val="16"/>
                <w:szCs w:val="16"/>
                <w:color w:val="0000EE"/>
                <w:w w:val="98"/>
              </w:rPr>
            </w:pPr>
            <w:hyperlink w:anchor="page38">
              <w:r>
                <w:rPr>
                  <w:rFonts w:ascii="Arial" w:cs="Arial" w:eastAsia="Arial" w:hAnsi="Arial"/>
                  <w:sz w:val="16"/>
                  <w:szCs w:val="16"/>
                  <w:color w:val="0000EE"/>
                  <w:w w:val="98"/>
                </w:rPr>
                <w:t>Say On Pay</w:t>
              </w:r>
            </w:hyperlink>
          </w:p>
        </w:tc>
        <w:tc>
          <w:tcPr>
            <w:tcW w:w="3360" w:type="dxa"/>
            <w:vAlign w:val="bottom"/>
            <w:tcBorders>
              <w:bottom w:val="single" w:sz="8" w:color="E5F1F8"/>
            </w:tcBorders>
            <w:gridSpan w:val="22"/>
            <w:shd w:val="clear" w:color="auto" w:fill="E5F1F8"/>
          </w:tcPr>
          <w:p>
            <w:pPr>
              <w:spacing w:after="0"/>
              <w:rPr>
                <w:sz w:val="14"/>
                <w:szCs w:val="14"/>
                <w:color w:val="auto"/>
              </w:rPr>
            </w:pPr>
          </w:p>
        </w:tc>
        <w:tc>
          <w:tcPr>
            <w:tcW w:w="700" w:type="dxa"/>
            <w:vAlign w:val="bottom"/>
            <w:tcBorders>
              <w:bottom w:val="single" w:sz="8" w:color="E5F1F8"/>
            </w:tcBorders>
            <w:shd w:val="clear" w:color="auto" w:fill="E5F1F8"/>
          </w:tcPr>
          <w:p>
            <w:pPr>
              <w:jc w:val="right"/>
              <w:ind w:right="59"/>
              <w:spacing w:after="0" w:line="169" w:lineRule="exact"/>
              <w:rPr>
                <w:sz w:val="20"/>
                <w:szCs w:val="20"/>
                <w:color w:val="auto"/>
              </w:rPr>
            </w:pPr>
            <w:r>
              <w:rPr>
                <w:rFonts w:ascii="Arial" w:cs="Arial" w:eastAsia="Arial" w:hAnsi="Arial"/>
                <w:sz w:val="16"/>
                <w:szCs w:val="16"/>
                <w:color w:val="007CBA"/>
              </w:rPr>
              <w:t>33</w:t>
            </w:r>
          </w:p>
        </w:tc>
      </w:tr>
      <w:tr>
        <w:trPr>
          <w:trHeight w:val="236"/>
        </w:trPr>
        <w:tc>
          <w:tcPr>
            <w:tcW w:w="340" w:type="dxa"/>
            <w:vAlign w:val="bottom"/>
            <w:tcBorders>
              <w:bottom w:val="single" w:sz="8" w:color="E5F1F8"/>
            </w:tcBorders>
            <w:shd w:val="clear" w:color="auto" w:fill="E5F1F8"/>
          </w:tcPr>
          <w:p>
            <w:pPr>
              <w:spacing w:after="0"/>
              <w:rPr>
                <w:sz w:val="20"/>
                <w:szCs w:val="20"/>
                <w:color w:val="auto"/>
              </w:rPr>
            </w:pPr>
          </w:p>
        </w:tc>
        <w:tc>
          <w:tcPr>
            <w:tcW w:w="1640" w:type="dxa"/>
            <w:vAlign w:val="bottom"/>
            <w:tcBorders>
              <w:bottom w:val="single" w:sz="8" w:color="0000EE"/>
            </w:tcBorders>
            <w:gridSpan w:val="7"/>
            <w:shd w:val="clear" w:color="auto" w:fill="E5F1F8"/>
          </w:tcPr>
          <w:p>
            <w:pPr>
              <w:spacing w:after="0"/>
              <w:rPr>
                <w:rFonts w:ascii="Arial" w:cs="Arial" w:eastAsia="Arial" w:hAnsi="Arial"/>
                <w:sz w:val="16"/>
                <w:szCs w:val="16"/>
                <w:color w:val="0000EE"/>
                <w:w w:val="99"/>
              </w:rPr>
            </w:pPr>
            <w:hyperlink w:anchor="page39">
              <w:r>
                <w:rPr>
                  <w:rFonts w:ascii="Arial" w:cs="Arial" w:eastAsia="Arial" w:hAnsi="Arial"/>
                  <w:sz w:val="16"/>
                  <w:szCs w:val="16"/>
                  <w:color w:val="0000EE"/>
                  <w:w w:val="99"/>
                </w:rPr>
                <w:t>Our 2018 Performance</w:t>
              </w:r>
            </w:hyperlink>
          </w:p>
        </w:tc>
        <w:tc>
          <w:tcPr>
            <w:tcW w:w="2580" w:type="dxa"/>
            <w:vAlign w:val="bottom"/>
            <w:tcBorders>
              <w:bottom w:val="single" w:sz="8" w:color="E5F1F8"/>
            </w:tcBorders>
            <w:gridSpan w:val="17"/>
            <w:shd w:val="clear" w:color="auto" w:fill="E5F1F8"/>
          </w:tcPr>
          <w:p>
            <w:pPr>
              <w:spacing w:after="0"/>
              <w:rPr>
                <w:sz w:val="20"/>
                <w:szCs w:val="20"/>
                <w:color w:val="auto"/>
              </w:rPr>
            </w:pPr>
          </w:p>
        </w:tc>
        <w:tc>
          <w:tcPr>
            <w:tcW w:w="700" w:type="dxa"/>
            <w:vAlign w:val="bottom"/>
            <w:tcBorders>
              <w:bottom w:val="single" w:sz="8" w:color="E5F1F8"/>
            </w:tcBorders>
            <w:shd w:val="clear" w:color="auto" w:fill="E5F1F8"/>
          </w:tcPr>
          <w:p>
            <w:pPr>
              <w:jc w:val="right"/>
              <w:ind w:right="59"/>
              <w:spacing w:after="0"/>
              <w:rPr>
                <w:sz w:val="20"/>
                <w:szCs w:val="20"/>
                <w:color w:val="auto"/>
              </w:rPr>
            </w:pPr>
            <w:r>
              <w:rPr>
                <w:rFonts w:ascii="Arial" w:cs="Arial" w:eastAsia="Arial" w:hAnsi="Arial"/>
                <w:sz w:val="16"/>
                <w:szCs w:val="16"/>
                <w:color w:val="007CBA"/>
              </w:rPr>
              <w:t>34</w:t>
            </w:r>
          </w:p>
        </w:tc>
      </w:tr>
      <w:tr>
        <w:trPr>
          <w:trHeight w:val="236"/>
        </w:trPr>
        <w:tc>
          <w:tcPr>
            <w:tcW w:w="340" w:type="dxa"/>
            <w:vAlign w:val="bottom"/>
            <w:shd w:val="clear" w:color="auto" w:fill="E5F1F8"/>
          </w:tcPr>
          <w:p>
            <w:pPr>
              <w:spacing w:after="0"/>
              <w:rPr>
                <w:sz w:val="20"/>
                <w:szCs w:val="20"/>
                <w:color w:val="auto"/>
              </w:rPr>
            </w:pPr>
          </w:p>
        </w:tc>
        <w:tc>
          <w:tcPr>
            <w:tcW w:w="4220" w:type="dxa"/>
            <w:vAlign w:val="bottom"/>
            <w:gridSpan w:val="24"/>
            <w:shd w:val="clear" w:color="auto" w:fill="E5F1F8"/>
          </w:tcPr>
          <w:p>
            <w:pPr>
              <w:spacing w:after="0"/>
              <w:rPr>
                <w:rFonts w:ascii="Arial" w:cs="Arial" w:eastAsia="Arial" w:hAnsi="Arial"/>
                <w:sz w:val="16"/>
                <w:szCs w:val="16"/>
                <w:color w:val="0000EE"/>
              </w:rPr>
            </w:pPr>
            <w:hyperlink w:anchor="page41">
              <w:r>
                <w:rPr>
                  <w:rFonts w:ascii="Arial" w:cs="Arial" w:eastAsia="Arial" w:hAnsi="Arial"/>
                  <w:sz w:val="16"/>
                  <w:szCs w:val="16"/>
                  <w:color w:val="0000EE"/>
                </w:rPr>
                <w:t>Safety and Sustainability</w:t>
              </w:r>
            </w:hyperlink>
          </w:p>
        </w:tc>
        <w:tc>
          <w:tcPr>
            <w:tcW w:w="700" w:type="dxa"/>
            <w:vAlign w:val="bottom"/>
            <w:shd w:val="clear" w:color="auto" w:fill="E5F1F8"/>
          </w:tcPr>
          <w:p>
            <w:pPr>
              <w:jc w:val="right"/>
              <w:ind w:right="59"/>
              <w:spacing w:after="0"/>
              <w:rPr>
                <w:sz w:val="20"/>
                <w:szCs w:val="20"/>
                <w:color w:val="auto"/>
              </w:rPr>
            </w:pPr>
            <w:r>
              <w:rPr>
                <w:rFonts w:ascii="Arial" w:cs="Arial" w:eastAsia="Arial" w:hAnsi="Arial"/>
                <w:sz w:val="16"/>
                <w:szCs w:val="16"/>
                <w:color w:val="007CBA"/>
              </w:rPr>
              <w:t>36</w:t>
            </w:r>
          </w:p>
        </w:tc>
      </w:tr>
      <w:tr>
        <w:trPr>
          <w:trHeight w:val="20"/>
        </w:trPr>
        <w:tc>
          <w:tcPr>
            <w:tcW w:w="340" w:type="dxa"/>
            <w:vAlign w:val="bottom"/>
            <w:shd w:val="clear" w:color="auto" w:fill="E5F1F8"/>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E5F1F8"/>
          </w:tcPr>
          <w:p>
            <w:pPr>
              <w:spacing w:after="0" w:line="20" w:lineRule="exact"/>
              <w:rPr>
                <w:sz w:val="1"/>
                <w:szCs w:val="1"/>
                <w:color w:val="auto"/>
              </w:rPr>
            </w:pPr>
          </w:p>
        </w:tc>
        <w:tc>
          <w:tcPr>
            <w:tcW w:w="180" w:type="dxa"/>
            <w:vAlign w:val="bottom"/>
            <w:shd w:val="clear" w:color="auto" w:fill="E5F1F8"/>
          </w:tcPr>
          <w:p>
            <w:pPr>
              <w:spacing w:after="0" w:line="20" w:lineRule="exact"/>
              <w:rPr>
                <w:sz w:val="1"/>
                <w:szCs w:val="1"/>
                <w:color w:val="auto"/>
              </w:rPr>
            </w:pPr>
          </w:p>
        </w:tc>
        <w:tc>
          <w:tcPr>
            <w:tcW w:w="320" w:type="dxa"/>
            <w:vAlign w:val="bottom"/>
            <w:tcBorders>
              <w:right w:val="single" w:sz="8" w:color="E5F1F8"/>
            </w:tcBorders>
            <w:shd w:val="clear" w:color="auto" w:fill="E5F1F8"/>
          </w:tcPr>
          <w:p>
            <w:pPr>
              <w:spacing w:after="0" w:line="20" w:lineRule="exact"/>
              <w:rPr>
                <w:sz w:val="1"/>
                <w:szCs w:val="1"/>
                <w:color w:val="auto"/>
              </w:rPr>
            </w:pPr>
          </w:p>
        </w:tc>
        <w:tc>
          <w:tcPr>
            <w:tcW w:w="240" w:type="dxa"/>
            <w:vAlign w:val="bottom"/>
            <w:shd w:val="clear" w:color="auto" w:fill="E5F1F8"/>
          </w:tcPr>
          <w:p>
            <w:pPr>
              <w:spacing w:after="0" w:line="20" w:lineRule="exact"/>
              <w:rPr>
                <w:sz w:val="1"/>
                <w:szCs w:val="1"/>
                <w:color w:val="auto"/>
              </w:rPr>
            </w:pPr>
          </w:p>
        </w:tc>
        <w:tc>
          <w:tcPr>
            <w:tcW w:w="80" w:type="dxa"/>
            <w:vAlign w:val="bottom"/>
            <w:shd w:val="clear" w:color="auto" w:fill="E5F1F8"/>
          </w:tcPr>
          <w:p>
            <w:pPr>
              <w:spacing w:after="0" w:line="20" w:lineRule="exact"/>
              <w:rPr>
                <w:sz w:val="1"/>
                <w:szCs w:val="1"/>
                <w:color w:val="auto"/>
              </w:rPr>
            </w:pPr>
          </w:p>
        </w:tc>
        <w:tc>
          <w:tcPr>
            <w:tcW w:w="240" w:type="dxa"/>
            <w:vAlign w:val="bottom"/>
            <w:shd w:val="clear" w:color="auto" w:fill="E5F1F8"/>
          </w:tcPr>
          <w:p>
            <w:pPr>
              <w:spacing w:after="0" w:line="20" w:lineRule="exact"/>
              <w:rPr>
                <w:sz w:val="1"/>
                <w:szCs w:val="1"/>
                <w:color w:val="auto"/>
              </w:rPr>
            </w:pPr>
          </w:p>
        </w:tc>
        <w:tc>
          <w:tcPr>
            <w:tcW w:w="60" w:type="dxa"/>
            <w:vAlign w:val="bottom"/>
            <w:shd w:val="clear" w:color="auto" w:fill="E5F1F8"/>
          </w:tcPr>
          <w:p>
            <w:pPr>
              <w:spacing w:after="0" w:line="20" w:lineRule="exact"/>
              <w:rPr>
                <w:sz w:val="1"/>
                <w:szCs w:val="1"/>
                <w:color w:val="auto"/>
              </w:rPr>
            </w:pPr>
          </w:p>
        </w:tc>
        <w:tc>
          <w:tcPr>
            <w:tcW w:w="20" w:type="dxa"/>
            <w:vAlign w:val="bottom"/>
            <w:shd w:val="clear" w:color="auto" w:fill="E5F1F8"/>
          </w:tcPr>
          <w:p>
            <w:pPr>
              <w:spacing w:after="0" w:line="20" w:lineRule="exact"/>
              <w:rPr>
                <w:sz w:val="1"/>
                <w:szCs w:val="1"/>
                <w:color w:val="auto"/>
              </w:rPr>
            </w:pPr>
          </w:p>
        </w:tc>
        <w:tc>
          <w:tcPr>
            <w:tcW w:w="380" w:type="dxa"/>
            <w:vAlign w:val="bottom"/>
            <w:shd w:val="clear" w:color="auto" w:fill="E5F1F8"/>
          </w:tcPr>
          <w:p>
            <w:pPr>
              <w:spacing w:after="0" w:line="20" w:lineRule="exact"/>
              <w:rPr>
                <w:sz w:val="1"/>
                <w:szCs w:val="1"/>
                <w:color w:val="auto"/>
              </w:rPr>
            </w:pPr>
          </w:p>
        </w:tc>
        <w:tc>
          <w:tcPr>
            <w:tcW w:w="20" w:type="dxa"/>
            <w:vAlign w:val="bottom"/>
            <w:shd w:val="clear" w:color="auto" w:fill="E5F1F8"/>
          </w:tcPr>
          <w:p>
            <w:pPr>
              <w:spacing w:after="0" w:line="20" w:lineRule="exact"/>
              <w:rPr>
                <w:sz w:val="1"/>
                <w:szCs w:val="1"/>
                <w:color w:val="auto"/>
              </w:rPr>
            </w:pPr>
          </w:p>
        </w:tc>
        <w:tc>
          <w:tcPr>
            <w:tcW w:w="420" w:type="dxa"/>
            <w:vAlign w:val="bottom"/>
            <w:shd w:val="clear" w:color="auto" w:fill="E5F1F8"/>
          </w:tcPr>
          <w:p>
            <w:pPr>
              <w:spacing w:after="0" w:line="20" w:lineRule="exact"/>
              <w:rPr>
                <w:sz w:val="1"/>
                <w:szCs w:val="1"/>
                <w:color w:val="auto"/>
              </w:rPr>
            </w:pPr>
          </w:p>
        </w:tc>
        <w:tc>
          <w:tcPr>
            <w:tcW w:w="20" w:type="dxa"/>
            <w:vAlign w:val="bottom"/>
            <w:shd w:val="clear" w:color="auto" w:fill="E5F1F8"/>
          </w:tcPr>
          <w:p>
            <w:pPr>
              <w:spacing w:after="0" w:line="20" w:lineRule="exact"/>
              <w:rPr>
                <w:sz w:val="1"/>
                <w:szCs w:val="1"/>
                <w:color w:val="auto"/>
              </w:rPr>
            </w:pPr>
          </w:p>
        </w:tc>
        <w:tc>
          <w:tcPr>
            <w:tcW w:w="220" w:type="dxa"/>
            <w:vAlign w:val="bottom"/>
            <w:shd w:val="clear" w:color="auto" w:fill="E5F1F8"/>
          </w:tcPr>
          <w:p>
            <w:pPr>
              <w:spacing w:after="0" w:line="20" w:lineRule="exact"/>
              <w:rPr>
                <w:sz w:val="1"/>
                <w:szCs w:val="1"/>
                <w:color w:val="auto"/>
              </w:rPr>
            </w:pPr>
          </w:p>
        </w:tc>
        <w:tc>
          <w:tcPr>
            <w:tcW w:w="20" w:type="dxa"/>
            <w:vAlign w:val="bottom"/>
            <w:shd w:val="clear" w:color="auto" w:fill="E5F1F8"/>
          </w:tcPr>
          <w:p>
            <w:pPr>
              <w:spacing w:after="0" w:line="20" w:lineRule="exact"/>
              <w:rPr>
                <w:sz w:val="1"/>
                <w:szCs w:val="1"/>
                <w:color w:val="auto"/>
              </w:rPr>
            </w:pPr>
          </w:p>
        </w:tc>
        <w:tc>
          <w:tcPr>
            <w:tcW w:w="160" w:type="dxa"/>
            <w:vAlign w:val="bottom"/>
            <w:shd w:val="clear" w:color="auto" w:fill="E5F1F8"/>
          </w:tcPr>
          <w:p>
            <w:pPr>
              <w:spacing w:after="0" w:line="20" w:lineRule="exact"/>
              <w:rPr>
                <w:sz w:val="1"/>
                <w:szCs w:val="1"/>
                <w:color w:val="auto"/>
              </w:rPr>
            </w:pPr>
          </w:p>
        </w:tc>
        <w:tc>
          <w:tcPr>
            <w:tcW w:w="700" w:type="dxa"/>
            <w:vAlign w:val="bottom"/>
            <w:shd w:val="clear" w:color="auto" w:fill="E5F1F8"/>
          </w:tcPr>
          <w:p>
            <w:pPr>
              <w:spacing w:after="0" w:line="20" w:lineRule="exact"/>
              <w:rPr>
                <w:sz w:val="1"/>
                <w:szCs w:val="1"/>
                <w:color w:val="auto"/>
              </w:rPr>
            </w:pPr>
          </w:p>
        </w:tc>
      </w:tr>
      <w:tr>
        <w:trPr>
          <w:trHeight w:val="236"/>
        </w:trPr>
        <w:tc>
          <w:tcPr>
            <w:tcW w:w="340" w:type="dxa"/>
            <w:vAlign w:val="bottom"/>
            <w:shd w:val="clear" w:color="auto" w:fill="E5F1F8"/>
          </w:tcPr>
          <w:p>
            <w:pPr>
              <w:spacing w:after="0"/>
              <w:rPr>
                <w:sz w:val="20"/>
                <w:szCs w:val="20"/>
                <w:color w:val="auto"/>
              </w:rPr>
            </w:pPr>
          </w:p>
        </w:tc>
        <w:tc>
          <w:tcPr>
            <w:tcW w:w="4220" w:type="dxa"/>
            <w:vAlign w:val="bottom"/>
            <w:gridSpan w:val="24"/>
            <w:shd w:val="clear" w:color="auto" w:fill="E5F1F8"/>
          </w:tcPr>
          <w:p>
            <w:pPr>
              <w:spacing w:after="0"/>
              <w:rPr>
                <w:rFonts w:ascii="Arial" w:cs="Arial" w:eastAsia="Arial" w:hAnsi="Arial"/>
                <w:sz w:val="16"/>
                <w:szCs w:val="16"/>
                <w:color w:val="0000EE"/>
              </w:rPr>
            </w:pPr>
            <w:hyperlink w:anchor="page44">
              <w:r>
                <w:rPr>
                  <w:rFonts w:ascii="Arial" w:cs="Arial" w:eastAsia="Arial" w:hAnsi="Arial"/>
                  <w:sz w:val="16"/>
                  <w:szCs w:val="16"/>
                  <w:color w:val="0000EE"/>
                </w:rPr>
                <w:t>Components of Executive Compensation - Performance-</w:t>
              </w:r>
            </w:hyperlink>
          </w:p>
        </w:tc>
        <w:tc>
          <w:tcPr>
            <w:tcW w:w="700" w:type="dxa"/>
            <w:vAlign w:val="bottom"/>
            <w:shd w:val="clear" w:color="auto" w:fill="E5F1F8"/>
          </w:tcPr>
          <w:p>
            <w:pPr>
              <w:spacing w:after="0"/>
              <w:rPr>
                <w:sz w:val="20"/>
                <w:szCs w:val="20"/>
                <w:color w:val="auto"/>
              </w:rPr>
            </w:pPr>
          </w:p>
        </w:tc>
      </w:tr>
      <w:tr>
        <w:trPr>
          <w:trHeight w:val="169"/>
        </w:trPr>
        <w:tc>
          <w:tcPr>
            <w:tcW w:w="340" w:type="dxa"/>
            <w:vAlign w:val="bottom"/>
            <w:tcBorders>
              <w:top w:val="single" w:sz="8" w:color="E5F1F8"/>
              <w:bottom w:val="single" w:sz="8" w:color="E5F1F8"/>
            </w:tcBorders>
            <w:shd w:val="clear" w:color="auto" w:fill="E5F1F8"/>
          </w:tcPr>
          <w:p>
            <w:pPr>
              <w:spacing w:after="0"/>
              <w:rPr>
                <w:sz w:val="14"/>
                <w:szCs w:val="14"/>
                <w:color w:val="auto"/>
              </w:rPr>
            </w:pPr>
          </w:p>
        </w:tc>
        <w:tc>
          <w:tcPr>
            <w:tcW w:w="1640" w:type="dxa"/>
            <w:vAlign w:val="bottom"/>
            <w:tcBorders>
              <w:top w:val="single" w:sz="8" w:color="0000EE"/>
              <w:bottom w:val="single" w:sz="8" w:color="0000EE"/>
            </w:tcBorders>
            <w:gridSpan w:val="7"/>
            <w:shd w:val="clear" w:color="auto" w:fill="E5F1F8"/>
          </w:tcPr>
          <w:p>
            <w:pPr>
              <w:spacing w:after="0" w:line="169" w:lineRule="exact"/>
              <w:rPr>
                <w:rFonts w:ascii="Arial" w:cs="Arial" w:eastAsia="Arial" w:hAnsi="Arial"/>
                <w:sz w:val="16"/>
                <w:szCs w:val="16"/>
                <w:color w:val="0000EE"/>
                <w:w w:val="99"/>
              </w:rPr>
            </w:pPr>
            <w:hyperlink w:anchor="page44">
              <w:r>
                <w:rPr>
                  <w:rFonts w:ascii="Arial" w:cs="Arial" w:eastAsia="Arial" w:hAnsi="Arial"/>
                  <w:sz w:val="16"/>
                  <w:szCs w:val="16"/>
                  <w:color w:val="0000EE"/>
                  <w:w w:val="99"/>
                </w:rPr>
                <w:t>Related Compensation</w:t>
              </w:r>
            </w:hyperlink>
          </w:p>
        </w:tc>
        <w:tc>
          <w:tcPr>
            <w:tcW w:w="2400" w:type="dxa"/>
            <w:vAlign w:val="bottom"/>
            <w:tcBorders>
              <w:top w:val="single" w:sz="8" w:color="0000EE"/>
              <w:bottom w:val="single" w:sz="8" w:color="E5F1F8"/>
            </w:tcBorders>
            <w:gridSpan w:val="15"/>
            <w:shd w:val="clear" w:color="auto" w:fill="E5F1F8"/>
          </w:tcPr>
          <w:p>
            <w:pPr>
              <w:spacing w:after="0"/>
              <w:rPr>
                <w:sz w:val="14"/>
                <w:szCs w:val="14"/>
                <w:color w:val="auto"/>
              </w:rPr>
            </w:pPr>
          </w:p>
        </w:tc>
        <w:tc>
          <w:tcPr>
            <w:tcW w:w="180" w:type="dxa"/>
            <w:vAlign w:val="bottom"/>
            <w:tcBorders>
              <w:top w:val="single" w:sz="8" w:color="E5F1F8"/>
              <w:bottom w:val="single" w:sz="8" w:color="E5F1F8"/>
            </w:tcBorders>
            <w:gridSpan w:val="2"/>
            <w:shd w:val="clear" w:color="auto" w:fill="E5F1F8"/>
          </w:tcPr>
          <w:p>
            <w:pPr>
              <w:spacing w:after="0"/>
              <w:rPr>
                <w:sz w:val="14"/>
                <w:szCs w:val="14"/>
                <w:color w:val="auto"/>
              </w:rPr>
            </w:pPr>
          </w:p>
        </w:tc>
        <w:tc>
          <w:tcPr>
            <w:tcW w:w="700" w:type="dxa"/>
            <w:vAlign w:val="bottom"/>
            <w:tcBorders>
              <w:top w:val="single" w:sz="8" w:color="E5F1F8"/>
              <w:bottom w:val="single" w:sz="8" w:color="E5F1F8"/>
            </w:tcBorders>
            <w:shd w:val="clear" w:color="auto" w:fill="E5F1F8"/>
          </w:tcPr>
          <w:p>
            <w:pPr>
              <w:jc w:val="right"/>
              <w:ind w:right="59"/>
              <w:spacing w:after="0" w:line="169" w:lineRule="exact"/>
              <w:rPr>
                <w:sz w:val="20"/>
                <w:szCs w:val="20"/>
                <w:color w:val="auto"/>
              </w:rPr>
            </w:pPr>
            <w:r>
              <w:rPr>
                <w:rFonts w:ascii="Arial" w:cs="Arial" w:eastAsia="Arial" w:hAnsi="Arial"/>
                <w:sz w:val="16"/>
                <w:szCs w:val="16"/>
                <w:color w:val="007CBA"/>
              </w:rPr>
              <w:t>39</w:t>
            </w:r>
          </w:p>
        </w:tc>
      </w:tr>
      <w:tr>
        <w:trPr>
          <w:trHeight w:val="236"/>
        </w:trPr>
        <w:tc>
          <w:tcPr>
            <w:tcW w:w="340" w:type="dxa"/>
            <w:vAlign w:val="bottom"/>
            <w:tcBorders>
              <w:bottom w:val="single" w:sz="8" w:color="E5F1F8"/>
            </w:tcBorders>
            <w:shd w:val="clear" w:color="auto" w:fill="E5F1F8"/>
          </w:tcPr>
          <w:p>
            <w:pPr>
              <w:spacing w:after="0"/>
              <w:rPr>
                <w:sz w:val="20"/>
                <w:szCs w:val="20"/>
                <w:color w:val="auto"/>
              </w:rPr>
            </w:pPr>
          </w:p>
        </w:tc>
        <w:tc>
          <w:tcPr>
            <w:tcW w:w="4060" w:type="dxa"/>
            <w:vAlign w:val="bottom"/>
            <w:tcBorders>
              <w:bottom w:val="single" w:sz="8" w:color="0000EE"/>
            </w:tcBorders>
            <w:gridSpan w:val="23"/>
            <w:shd w:val="clear" w:color="auto" w:fill="E5F1F8"/>
          </w:tcPr>
          <w:p>
            <w:pPr>
              <w:spacing w:after="0"/>
              <w:rPr>
                <w:rFonts w:ascii="Arial" w:cs="Arial" w:eastAsia="Arial" w:hAnsi="Arial"/>
                <w:sz w:val="16"/>
                <w:szCs w:val="16"/>
                <w:color w:val="0000EE"/>
              </w:rPr>
            </w:pPr>
            <w:hyperlink w:anchor="page44">
              <w:r>
                <w:rPr>
                  <w:rFonts w:ascii="Arial" w:cs="Arial" w:eastAsia="Arial" w:hAnsi="Arial"/>
                  <w:sz w:val="16"/>
                  <w:szCs w:val="16"/>
                  <w:color w:val="0000EE"/>
                </w:rPr>
                <w:t>Pay Decisions and Compensation Governance Practices</w:t>
              </w:r>
            </w:hyperlink>
          </w:p>
        </w:tc>
        <w:tc>
          <w:tcPr>
            <w:tcW w:w="160" w:type="dxa"/>
            <w:vAlign w:val="bottom"/>
            <w:tcBorders>
              <w:bottom w:val="single" w:sz="8" w:color="E5F1F8"/>
            </w:tcBorders>
            <w:shd w:val="clear" w:color="auto" w:fill="E5F1F8"/>
          </w:tcPr>
          <w:p>
            <w:pPr>
              <w:spacing w:after="0"/>
              <w:rPr>
                <w:sz w:val="20"/>
                <w:szCs w:val="20"/>
                <w:color w:val="auto"/>
              </w:rPr>
            </w:pPr>
          </w:p>
        </w:tc>
        <w:tc>
          <w:tcPr>
            <w:tcW w:w="700" w:type="dxa"/>
            <w:vAlign w:val="bottom"/>
            <w:tcBorders>
              <w:bottom w:val="single" w:sz="8" w:color="E5F1F8"/>
            </w:tcBorders>
            <w:shd w:val="clear" w:color="auto" w:fill="E5F1F8"/>
          </w:tcPr>
          <w:p>
            <w:pPr>
              <w:jc w:val="right"/>
              <w:ind w:right="59"/>
              <w:spacing w:after="0"/>
              <w:rPr>
                <w:sz w:val="20"/>
                <w:szCs w:val="20"/>
                <w:color w:val="auto"/>
              </w:rPr>
            </w:pPr>
            <w:r>
              <w:rPr>
                <w:rFonts w:ascii="Arial" w:cs="Arial" w:eastAsia="Arial" w:hAnsi="Arial"/>
                <w:sz w:val="16"/>
                <w:szCs w:val="16"/>
                <w:color w:val="007CBA"/>
              </w:rPr>
              <w:t>39</w:t>
            </w:r>
          </w:p>
        </w:tc>
      </w:tr>
      <w:tr>
        <w:trPr>
          <w:trHeight w:val="236"/>
        </w:trPr>
        <w:tc>
          <w:tcPr>
            <w:tcW w:w="340" w:type="dxa"/>
            <w:vAlign w:val="bottom"/>
            <w:shd w:val="clear" w:color="auto" w:fill="E5F1F8"/>
          </w:tcPr>
          <w:p>
            <w:pPr>
              <w:spacing w:after="0"/>
              <w:rPr>
                <w:sz w:val="20"/>
                <w:szCs w:val="20"/>
                <w:color w:val="auto"/>
              </w:rPr>
            </w:pPr>
          </w:p>
        </w:tc>
        <w:tc>
          <w:tcPr>
            <w:tcW w:w="4220" w:type="dxa"/>
            <w:vAlign w:val="bottom"/>
            <w:gridSpan w:val="24"/>
            <w:shd w:val="clear" w:color="auto" w:fill="E5F1F8"/>
          </w:tcPr>
          <w:p>
            <w:pPr>
              <w:spacing w:after="0"/>
              <w:rPr>
                <w:rFonts w:ascii="Arial" w:cs="Arial" w:eastAsia="Arial" w:hAnsi="Arial"/>
                <w:sz w:val="16"/>
                <w:szCs w:val="16"/>
                <w:color w:val="0000EE"/>
              </w:rPr>
            </w:pPr>
            <w:hyperlink w:anchor="page45">
              <w:r>
                <w:rPr>
                  <w:rFonts w:ascii="Arial" w:cs="Arial" w:eastAsia="Arial" w:hAnsi="Arial"/>
                  <w:sz w:val="16"/>
                  <w:szCs w:val="16"/>
                  <w:color w:val="0000EE"/>
                </w:rPr>
                <w:t>2018 Chairman, President and CEO</w:t>
              </w:r>
            </w:hyperlink>
          </w:p>
        </w:tc>
        <w:tc>
          <w:tcPr>
            <w:tcW w:w="700" w:type="dxa"/>
            <w:vAlign w:val="bottom"/>
            <w:shd w:val="clear" w:color="auto" w:fill="E5F1F8"/>
          </w:tcPr>
          <w:p>
            <w:pPr>
              <w:spacing w:after="0"/>
              <w:rPr>
                <w:sz w:val="20"/>
                <w:szCs w:val="20"/>
                <w:color w:val="auto"/>
              </w:rPr>
            </w:pPr>
          </w:p>
        </w:tc>
      </w:tr>
      <w:tr>
        <w:trPr>
          <w:trHeight w:val="169"/>
        </w:trPr>
        <w:tc>
          <w:tcPr>
            <w:tcW w:w="340" w:type="dxa"/>
            <w:vAlign w:val="bottom"/>
            <w:tcBorders>
              <w:top w:val="single" w:sz="8" w:color="E5F1F8"/>
              <w:bottom w:val="single" w:sz="8" w:color="E5F1F8"/>
            </w:tcBorders>
            <w:shd w:val="clear" w:color="auto" w:fill="E5F1F8"/>
          </w:tcPr>
          <w:p>
            <w:pPr>
              <w:spacing w:after="0"/>
              <w:rPr>
                <w:sz w:val="14"/>
                <w:szCs w:val="14"/>
                <w:color w:val="auto"/>
              </w:rPr>
            </w:pPr>
          </w:p>
        </w:tc>
        <w:tc>
          <w:tcPr>
            <w:tcW w:w="1040" w:type="dxa"/>
            <w:vAlign w:val="bottom"/>
            <w:tcBorders>
              <w:top w:val="single" w:sz="8" w:color="0000EE"/>
              <w:bottom w:val="single" w:sz="8" w:color="0000EE"/>
            </w:tcBorders>
            <w:gridSpan w:val="3"/>
            <w:shd w:val="clear" w:color="auto" w:fill="E5F1F8"/>
          </w:tcPr>
          <w:p>
            <w:pPr>
              <w:spacing w:after="0" w:line="169" w:lineRule="exact"/>
              <w:rPr>
                <w:rFonts w:ascii="Arial" w:cs="Arial" w:eastAsia="Arial" w:hAnsi="Arial"/>
                <w:sz w:val="16"/>
                <w:szCs w:val="16"/>
                <w:color w:val="0000EE"/>
                <w:w w:val="98"/>
              </w:rPr>
            </w:pPr>
            <w:hyperlink w:anchor="page45">
              <w:r>
                <w:rPr>
                  <w:rFonts w:ascii="Arial" w:cs="Arial" w:eastAsia="Arial" w:hAnsi="Arial"/>
                  <w:sz w:val="16"/>
                  <w:szCs w:val="16"/>
                  <w:color w:val="0000EE"/>
                  <w:w w:val="98"/>
                </w:rPr>
                <w:t>Compensation</w:t>
              </w:r>
            </w:hyperlink>
          </w:p>
        </w:tc>
        <w:tc>
          <w:tcPr>
            <w:tcW w:w="1540" w:type="dxa"/>
            <w:vAlign w:val="bottom"/>
            <w:tcBorders>
              <w:top w:val="single" w:sz="8" w:color="0000EE"/>
              <w:bottom w:val="single" w:sz="8" w:color="E5F1F8"/>
            </w:tcBorders>
            <w:gridSpan w:val="10"/>
            <w:shd w:val="clear" w:color="auto" w:fill="E5F1F8"/>
          </w:tcPr>
          <w:p>
            <w:pPr>
              <w:spacing w:after="0"/>
              <w:rPr>
                <w:sz w:val="14"/>
                <w:szCs w:val="14"/>
                <w:color w:val="auto"/>
              </w:rPr>
            </w:pPr>
          </w:p>
        </w:tc>
        <w:tc>
          <w:tcPr>
            <w:tcW w:w="1640" w:type="dxa"/>
            <w:vAlign w:val="bottom"/>
            <w:tcBorders>
              <w:top w:val="single" w:sz="8" w:color="E5F1F8"/>
              <w:bottom w:val="single" w:sz="8" w:color="E5F1F8"/>
            </w:tcBorders>
            <w:gridSpan w:val="11"/>
            <w:shd w:val="clear" w:color="auto" w:fill="E5F1F8"/>
          </w:tcPr>
          <w:p>
            <w:pPr>
              <w:spacing w:after="0"/>
              <w:rPr>
                <w:sz w:val="14"/>
                <w:szCs w:val="14"/>
                <w:color w:val="auto"/>
              </w:rPr>
            </w:pPr>
          </w:p>
        </w:tc>
        <w:tc>
          <w:tcPr>
            <w:tcW w:w="700" w:type="dxa"/>
            <w:vAlign w:val="bottom"/>
            <w:tcBorders>
              <w:top w:val="single" w:sz="8" w:color="E5F1F8"/>
              <w:bottom w:val="single" w:sz="8" w:color="E5F1F8"/>
            </w:tcBorders>
            <w:shd w:val="clear" w:color="auto" w:fill="E5F1F8"/>
          </w:tcPr>
          <w:p>
            <w:pPr>
              <w:jc w:val="right"/>
              <w:ind w:right="59"/>
              <w:spacing w:after="0" w:line="169" w:lineRule="exact"/>
              <w:rPr>
                <w:sz w:val="20"/>
                <w:szCs w:val="20"/>
                <w:color w:val="auto"/>
              </w:rPr>
            </w:pPr>
            <w:r>
              <w:rPr>
                <w:rFonts w:ascii="Arial" w:cs="Arial" w:eastAsia="Arial" w:hAnsi="Arial"/>
                <w:sz w:val="16"/>
                <w:szCs w:val="16"/>
                <w:color w:val="007CBA"/>
              </w:rPr>
              <w:t>40</w:t>
            </w:r>
          </w:p>
        </w:tc>
      </w:tr>
      <w:tr>
        <w:trPr>
          <w:trHeight w:val="236"/>
        </w:trPr>
        <w:tc>
          <w:tcPr>
            <w:tcW w:w="340" w:type="dxa"/>
            <w:vAlign w:val="bottom"/>
            <w:tcBorders>
              <w:bottom w:val="single" w:sz="8" w:color="E5F1F8"/>
            </w:tcBorders>
            <w:shd w:val="clear" w:color="auto" w:fill="E5F1F8"/>
          </w:tcPr>
          <w:p>
            <w:pPr>
              <w:spacing w:after="0"/>
              <w:rPr>
                <w:sz w:val="20"/>
                <w:szCs w:val="20"/>
                <w:color w:val="auto"/>
              </w:rPr>
            </w:pPr>
          </w:p>
        </w:tc>
        <w:tc>
          <w:tcPr>
            <w:tcW w:w="2020" w:type="dxa"/>
            <w:vAlign w:val="bottom"/>
            <w:tcBorders>
              <w:bottom w:val="single" w:sz="8" w:color="0000EE"/>
            </w:tcBorders>
            <w:gridSpan w:val="11"/>
            <w:shd w:val="clear" w:color="auto" w:fill="E5F1F8"/>
          </w:tcPr>
          <w:p>
            <w:pPr>
              <w:spacing w:after="0"/>
              <w:rPr>
                <w:rFonts w:ascii="Arial" w:cs="Arial" w:eastAsia="Arial" w:hAnsi="Arial"/>
                <w:sz w:val="16"/>
                <w:szCs w:val="16"/>
                <w:color w:val="0000EE"/>
                <w:w w:val="99"/>
              </w:rPr>
            </w:pPr>
            <w:hyperlink w:anchor="page45">
              <w:r>
                <w:rPr>
                  <w:rFonts w:ascii="Arial" w:cs="Arial" w:eastAsia="Arial" w:hAnsi="Arial"/>
                  <w:sz w:val="16"/>
                  <w:szCs w:val="16"/>
                  <w:color w:val="0000EE"/>
                  <w:w w:val="99"/>
                </w:rPr>
                <w:t>CEO Target Opportunity Mix</w:t>
              </w:r>
            </w:hyperlink>
          </w:p>
        </w:tc>
        <w:tc>
          <w:tcPr>
            <w:tcW w:w="2200" w:type="dxa"/>
            <w:vAlign w:val="bottom"/>
            <w:tcBorders>
              <w:bottom w:val="single" w:sz="8" w:color="E5F1F8"/>
            </w:tcBorders>
            <w:gridSpan w:val="13"/>
            <w:shd w:val="clear" w:color="auto" w:fill="E5F1F8"/>
          </w:tcPr>
          <w:p>
            <w:pPr>
              <w:spacing w:after="0"/>
              <w:rPr>
                <w:sz w:val="20"/>
                <w:szCs w:val="20"/>
                <w:color w:val="auto"/>
              </w:rPr>
            </w:pPr>
          </w:p>
        </w:tc>
        <w:tc>
          <w:tcPr>
            <w:tcW w:w="700" w:type="dxa"/>
            <w:vAlign w:val="bottom"/>
            <w:tcBorders>
              <w:bottom w:val="single" w:sz="8" w:color="E5F1F8"/>
            </w:tcBorders>
            <w:shd w:val="clear" w:color="auto" w:fill="E5F1F8"/>
          </w:tcPr>
          <w:p>
            <w:pPr>
              <w:jc w:val="right"/>
              <w:ind w:right="59"/>
              <w:spacing w:after="0"/>
              <w:rPr>
                <w:sz w:val="20"/>
                <w:szCs w:val="20"/>
                <w:color w:val="auto"/>
              </w:rPr>
            </w:pPr>
            <w:r>
              <w:rPr>
                <w:rFonts w:ascii="Arial" w:cs="Arial" w:eastAsia="Arial" w:hAnsi="Arial"/>
                <w:sz w:val="16"/>
                <w:szCs w:val="16"/>
                <w:color w:val="007CBA"/>
              </w:rPr>
              <w:t>40</w:t>
            </w:r>
          </w:p>
        </w:tc>
      </w:tr>
      <w:tr>
        <w:trPr>
          <w:trHeight w:val="236"/>
        </w:trPr>
        <w:tc>
          <w:tcPr>
            <w:tcW w:w="340" w:type="dxa"/>
            <w:vAlign w:val="bottom"/>
            <w:shd w:val="clear" w:color="auto" w:fill="E5F1F8"/>
          </w:tcPr>
          <w:p>
            <w:pPr>
              <w:spacing w:after="0"/>
              <w:rPr>
                <w:sz w:val="20"/>
                <w:szCs w:val="20"/>
                <w:color w:val="auto"/>
              </w:rPr>
            </w:pPr>
          </w:p>
        </w:tc>
        <w:tc>
          <w:tcPr>
            <w:tcW w:w="4220" w:type="dxa"/>
            <w:vAlign w:val="bottom"/>
            <w:gridSpan w:val="24"/>
            <w:shd w:val="clear" w:color="auto" w:fill="E5F1F8"/>
          </w:tcPr>
          <w:p>
            <w:pPr>
              <w:spacing w:after="0"/>
              <w:rPr>
                <w:rFonts w:ascii="Arial" w:cs="Arial" w:eastAsia="Arial" w:hAnsi="Arial"/>
                <w:sz w:val="16"/>
                <w:szCs w:val="16"/>
                <w:color w:val="0000EE"/>
              </w:rPr>
            </w:pPr>
            <w:hyperlink w:anchor="page45">
              <w:r>
                <w:rPr>
                  <w:rFonts w:ascii="Arial" w:cs="Arial" w:eastAsia="Arial" w:hAnsi="Arial"/>
                  <w:sz w:val="16"/>
                  <w:szCs w:val="16"/>
                  <w:color w:val="0000EE"/>
                </w:rPr>
                <w:t>Determination of CEO Compensation</w:t>
              </w:r>
            </w:hyperlink>
          </w:p>
        </w:tc>
        <w:tc>
          <w:tcPr>
            <w:tcW w:w="700" w:type="dxa"/>
            <w:vAlign w:val="bottom"/>
            <w:shd w:val="clear" w:color="auto" w:fill="E5F1F8"/>
          </w:tcPr>
          <w:p>
            <w:pPr>
              <w:jc w:val="right"/>
              <w:ind w:right="59"/>
              <w:spacing w:after="0"/>
              <w:rPr>
                <w:sz w:val="20"/>
                <w:szCs w:val="20"/>
                <w:color w:val="auto"/>
              </w:rPr>
            </w:pPr>
            <w:r>
              <w:rPr>
                <w:rFonts w:ascii="Arial" w:cs="Arial" w:eastAsia="Arial" w:hAnsi="Arial"/>
                <w:sz w:val="16"/>
                <w:szCs w:val="16"/>
                <w:color w:val="007CBA"/>
              </w:rPr>
              <w:t>40</w:t>
            </w:r>
          </w:p>
        </w:tc>
      </w:tr>
      <w:tr>
        <w:trPr>
          <w:trHeight w:val="20"/>
        </w:trPr>
        <w:tc>
          <w:tcPr>
            <w:tcW w:w="340" w:type="dxa"/>
            <w:vAlign w:val="bottom"/>
            <w:shd w:val="clear" w:color="auto" w:fill="E5F1F8"/>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shd w:val="clear" w:color="auto" w:fill="E5F1F8"/>
          </w:tcPr>
          <w:p>
            <w:pPr>
              <w:spacing w:after="0" w:line="20" w:lineRule="exact"/>
              <w:rPr>
                <w:sz w:val="1"/>
                <w:szCs w:val="1"/>
                <w:color w:val="auto"/>
              </w:rPr>
            </w:pPr>
          </w:p>
        </w:tc>
        <w:tc>
          <w:tcPr>
            <w:tcW w:w="60" w:type="dxa"/>
            <w:vAlign w:val="bottom"/>
            <w:shd w:val="clear" w:color="auto" w:fill="E5F1F8"/>
          </w:tcPr>
          <w:p>
            <w:pPr>
              <w:spacing w:after="0" w:line="20" w:lineRule="exact"/>
              <w:rPr>
                <w:sz w:val="1"/>
                <w:szCs w:val="1"/>
                <w:color w:val="auto"/>
              </w:rPr>
            </w:pPr>
          </w:p>
        </w:tc>
        <w:tc>
          <w:tcPr>
            <w:tcW w:w="20" w:type="dxa"/>
            <w:vAlign w:val="bottom"/>
            <w:shd w:val="clear" w:color="auto" w:fill="E5F1F8"/>
          </w:tcPr>
          <w:p>
            <w:pPr>
              <w:spacing w:after="0" w:line="20" w:lineRule="exact"/>
              <w:rPr>
                <w:sz w:val="1"/>
                <w:szCs w:val="1"/>
                <w:color w:val="auto"/>
              </w:rPr>
            </w:pPr>
          </w:p>
        </w:tc>
        <w:tc>
          <w:tcPr>
            <w:tcW w:w="380" w:type="dxa"/>
            <w:vAlign w:val="bottom"/>
            <w:shd w:val="clear" w:color="auto" w:fill="E5F1F8"/>
          </w:tcPr>
          <w:p>
            <w:pPr>
              <w:spacing w:after="0" w:line="20" w:lineRule="exact"/>
              <w:rPr>
                <w:sz w:val="1"/>
                <w:szCs w:val="1"/>
                <w:color w:val="auto"/>
              </w:rPr>
            </w:pPr>
          </w:p>
        </w:tc>
        <w:tc>
          <w:tcPr>
            <w:tcW w:w="20" w:type="dxa"/>
            <w:vAlign w:val="bottom"/>
            <w:shd w:val="clear" w:color="auto" w:fill="E5F1F8"/>
          </w:tcPr>
          <w:p>
            <w:pPr>
              <w:spacing w:after="0" w:line="20" w:lineRule="exact"/>
              <w:rPr>
                <w:sz w:val="1"/>
                <w:szCs w:val="1"/>
                <w:color w:val="auto"/>
              </w:rPr>
            </w:pPr>
          </w:p>
        </w:tc>
        <w:tc>
          <w:tcPr>
            <w:tcW w:w="420" w:type="dxa"/>
            <w:vAlign w:val="bottom"/>
            <w:shd w:val="clear" w:color="auto" w:fill="E5F1F8"/>
          </w:tcPr>
          <w:p>
            <w:pPr>
              <w:spacing w:after="0" w:line="20" w:lineRule="exact"/>
              <w:rPr>
                <w:sz w:val="1"/>
                <w:szCs w:val="1"/>
                <w:color w:val="auto"/>
              </w:rPr>
            </w:pPr>
          </w:p>
        </w:tc>
        <w:tc>
          <w:tcPr>
            <w:tcW w:w="20" w:type="dxa"/>
            <w:vAlign w:val="bottom"/>
            <w:shd w:val="clear" w:color="auto" w:fill="E5F1F8"/>
          </w:tcPr>
          <w:p>
            <w:pPr>
              <w:spacing w:after="0" w:line="20" w:lineRule="exact"/>
              <w:rPr>
                <w:sz w:val="1"/>
                <w:szCs w:val="1"/>
                <w:color w:val="auto"/>
              </w:rPr>
            </w:pPr>
          </w:p>
        </w:tc>
        <w:tc>
          <w:tcPr>
            <w:tcW w:w="400" w:type="dxa"/>
            <w:vAlign w:val="bottom"/>
            <w:gridSpan w:val="3"/>
            <w:shd w:val="clear" w:color="auto" w:fill="E5F1F8"/>
          </w:tcPr>
          <w:p>
            <w:pPr>
              <w:spacing w:after="0" w:line="20" w:lineRule="exact"/>
              <w:rPr>
                <w:sz w:val="1"/>
                <w:szCs w:val="1"/>
                <w:color w:val="auto"/>
              </w:rPr>
            </w:pPr>
          </w:p>
        </w:tc>
        <w:tc>
          <w:tcPr>
            <w:tcW w:w="700" w:type="dxa"/>
            <w:vAlign w:val="bottom"/>
            <w:shd w:val="clear" w:color="auto" w:fill="E5F1F8"/>
          </w:tcPr>
          <w:p>
            <w:pPr>
              <w:spacing w:after="0" w:line="20" w:lineRule="exact"/>
              <w:rPr>
                <w:sz w:val="1"/>
                <w:szCs w:val="1"/>
                <w:color w:val="auto"/>
              </w:rPr>
            </w:pPr>
          </w:p>
        </w:tc>
      </w:tr>
      <w:tr>
        <w:trPr>
          <w:trHeight w:val="236"/>
        </w:trPr>
        <w:tc>
          <w:tcPr>
            <w:tcW w:w="340" w:type="dxa"/>
            <w:vAlign w:val="bottom"/>
            <w:shd w:val="clear" w:color="auto" w:fill="E5F1F8"/>
          </w:tcPr>
          <w:p>
            <w:pPr>
              <w:spacing w:after="0"/>
              <w:rPr>
                <w:sz w:val="20"/>
                <w:szCs w:val="20"/>
                <w:color w:val="auto"/>
              </w:rPr>
            </w:pPr>
          </w:p>
        </w:tc>
        <w:tc>
          <w:tcPr>
            <w:tcW w:w="4220" w:type="dxa"/>
            <w:vAlign w:val="bottom"/>
            <w:gridSpan w:val="24"/>
            <w:shd w:val="clear" w:color="auto" w:fill="E5F1F8"/>
          </w:tcPr>
          <w:p>
            <w:pPr>
              <w:spacing w:after="0"/>
              <w:rPr>
                <w:rFonts w:ascii="Arial" w:cs="Arial" w:eastAsia="Arial" w:hAnsi="Arial"/>
                <w:sz w:val="16"/>
                <w:szCs w:val="16"/>
                <w:color w:val="0000EE"/>
              </w:rPr>
            </w:pPr>
            <w:hyperlink w:anchor="page46">
              <w:r>
                <w:rPr>
                  <w:rFonts w:ascii="Arial" w:cs="Arial" w:eastAsia="Arial" w:hAnsi="Arial"/>
                  <w:sz w:val="16"/>
                  <w:szCs w:val="16"/>
                  <w:color w:val="0000EE"/>
                </w:rPr>
                <w:t>2018 Named Executive Officers’ Compensation - Our</w:t>
              </w:r>
            </w:hyperlink>
          </w:p>
        </w:tc>
        <w:tc>
          <w:tcPr>
            <w:tcW w:w="700" w:type="dxa"/>
            <w:vAlign w:val="bottom"/>
            <w:shd w:val="clear" w:color="auto" w:fill="E5F1F8"/>
          </w:tcPr>
          <w:p>
            <w:pPr>
              <w:spacing w:after="0"/>
              <w:rPr>
                <w:sz w:val="20"/>
                <w:szCs w:val="20"/>
                <w:color w:val="auto"/>
              </w:rPr>
            </w:pPr>
          </w:p>
        </w:tc>
      </w:tr>
      <w:tr>
        <w:trPr>
          <w:trHeight w:val="169"/>
        </w:trPr>
        <w:tc>
          <w:tcPr>
            <w:tcW w:w="340" w:type="dxa"/>
            <w:vAlign w:val="bottom"/>
            <w:tcBorders>
              <w:top w:val="single" w:sz="8" w:color="E5F1F8"/>
            </w:tcBorders>
            <w:shd w:val="clear" w:color="auto" w:fill="E5F1F8"/>
          </w:tcPr>
          <w:p>
            <w:pPr>
              <w:spacing w:after="0"/>
              <w:rPr>
                <w:sz w:val="14"/>
                <w:szCs w:val="14"/>
                <w:color w:val="auto"/>
              </w:rPr>
            </w:pPr>
          </w:p>
        </w:tc>
        <w:tc>
          <w:tcPr>
            <w:tcW w:w="3800" w:type="dxa"/>
            <w:vAlign w:val="bottom"/>
            <w:tcBorders>
              <w:top w:val="single" w:sz="8" w:color="0000EE"/>
            </w:tcBorders>
            <w:gridSpan w:val="20"/>
            <w:shd w:val="clear" w:color="auto" w:fill="E5F1F8"/>
          </w:tcPr>
          <w:p>
            <w:pPr>
              <w:spacing w:after="0" w:line="169" w:lineRule="exact"/>
              <w:rPr>
                <w:rFonts w:ascii="Arial" w:cs="Arial" w:eastAsia="Arial" w:hAnsi="Arial"/>
                <w:sz w:val="16"/>
                <w:szCs w:val="16"/>
                <w:color w:val="0000EE"/>
              </w:rPr>
            </w:pPr>
            <w:hyperlink w:anchor="page46">
              <w:r>
                <w:rPr>
                  <w:rFonts w:ascii="Arial" w:cs="Arial" w:eastAsia="Arial" w:hAnsi="Arial"/>
                  <w:sz w:val="16"/>
                  <w:szCs w:val="16"/>
                  <w:color w:val="0000EE"/>
                </w:rPr>
                <w:t>Compensation Strategy</w:t>
              </w:r>
            </w:hyperlink>
          </w:p>
        </w:tc>
        <w:tc>
          <w:tcPr>
            <w:tcW w:w="420" w:type="dxa"/>
            <w:vAlign w:val="bottom"/>
            <w:tcBorders>
              <w:top w:val="single" w:sz="8" w:color="E5F1F8"/>
            </w:tcBorders>
            <w:gridSpan w:val="4"/>
            <w:shd w:val="clear" w:color="auto" w:fill="E5F1F8"/>
          </w:tcPr>
          <w:p>
            <w:pPr>
              <w:spacing w:after="0"/>
              <w:rPr>
                <w:sz w:val="14"/>
                <w:szCs w:val="14"/>
                <w:color w:val="auto"/>
              </w:rPr>
            </w:pPr>
          </w:p>
        </w:tc>
        <w:tc>
          <w:tcPr>
            <w:tcW w:w="700" w:type="dxa"/>
            <w:vAlign w:val="bottom"/>
            <w:tcBorders>
              <w:top w:val="single" w:sz="8" w:color="E5F1F8"/>
            </w:tcBorders>
            <w:shd w:val="clear" w:color="auto" w:fill="E5F1F8"/>
          </w:tcPr>
          <w:p>
            <w:pPr>
              <w:jc w:val="right"/>
              <w:ind w:right="59"/>
              <w:spacing w:after="0" w:line="169" w:lineRule="exact"/>
              <w:rPr>
                <w:sz w:val="20"/>
                <w:szCs w:val="20"/>
                <w:color w:val="auto"/>
              </w:rPr>
            </w:pPr>
            <w:r>
              <w:rPr>
                <w:rFonts w:ascii="Arial" w:cs="Arial" w:eastAsia="Arial" w:hAnsi="Arial"/>
                <w:sz w:val="16"/>
                <w:szCs w:val="16"/>
                <w:color w:val="007CBA"/>
              </w:rPr>
              <w:t>41</w:t>
            </w:r>
          </w:p>
        </w:tc>
      </w:tr>
      <w:tr>
        <w:trPr>
          <w:trHeight w:val="20"/>
        </w:trPr>
        <w:tc>
          <w:tcPr>
            <w:tcW w:w="340" w:type="dxa"/>
            <w:vAlign w:val="bottom"/>
            <w:shd w:val="clear" w:color="auto" w:fill="E5F1F8"/>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E5F1F8"/>
          </w:tcPr>
          <w:p>
            <w:pPr>
              <w:spacing w:after="0" w:line="20" w:lineRule="exact"/>
              <w:rPr>
                <w:sz w:val="1"/>
                <w:szCs w:val="1"/>
                <w:color w:val="auto"/>
              </w:rPr>
            </w:pPr>
          </w:p>
        </w:tc>
        <w:tc>
          <w:tcPr>
            <w:tcW w:w="500" w:type="dxa"/>
            <w:vAlign w:val="bottom"/>
            <w:tcBorders>
              <w:right w:val="single" w:sz="8" w:color="E5F1F8"/>
            </w:tcBorders>
            <w:gridSpan w:val="2"/>
            <w:shd w:val="clear" w:color="auto" w:fill="E5F1F8"/>
          </w:tcPr>
          <w:p>
            <w:pPr>
              <w:spacing w:after="0" w:line="20" w:lineRule="exact"/>
              <w:rPr>
                <w:sz w:val="1"/>
                <w:szCs w:val="1"/>
                <w:color w:val="auto"/>
              </w:rPr>
            </w:pPr>
          </w:p>
        </w:tc>
        <w:tc>
          <w:tcPr>
            <w:tcW w:w="560" w:type="dxa"/>
            <w:vAlign w:val="bottom"/>
            <w:gridSpan w:val="3"/>
            <w:shd w:val="clear" w:color="auto" w:fill="E5F1F8"/>
          </w:tcPr>
          <w:p>
            <w:pPr>
              <w:spacing w:after="0" w:line="20" w:lineRule="exact"/>
              <w:rPr>
                <w:sz w:val="1"/>
                <w:szCs w:val="1"/>
                <w:color w:val="auto"/>
              </w:rPr>
            </w:pPr>
          </w:p>
        </w:tc>
        <w:tc>
          <w:tcPr>
            <w:tcW w:w="60" w:type="dxa"/>
            <w:vAlign w:val="bottom"/>
            <w:shd w:val="clear" w:color="auto" w:fill="E5F1F8"/>
          </w:tcPr>
          <w:p>
            <w:pPr>
              <w:spacing w:after="0" w:line="20" w:lineRule="exact"/>
              <w:rPr>
                <w:sz w:val="1"/>
                <w:szCs w:val="1"/>
                <w:color w:val="auto"/>
              </w:rPr>
            </w:pPr>
          </w:p>
        </w:tc>
        <w:tc>
          <w:tcPr>
            <w:tcW w:w="20" w:type="dxa"/>
            <w:vAlign w:val="bottom"/>
            <w:shd w:val="clear" w:color="auto" w:fill="E5F1F8"/>
          </w:tcPr>
          <w:p>
            <w:pPr>
              <w:spacing w:after="0" w:line="20" w:lineRule="exact"/>
              <w:rPr>
                <w:sz w:val="1"/>
                <w:szCs w:val="1"/>
                <w:color w:val="auto"/>
              </w:rPr>
            </w:pPr>
          </w:p>
        </w:tc>
        <w:tc>
          <w:tcPr>
            <w:tcW w:w="380" w:type="dxa"/>
            <w:vAlign w:val="bottom"/>
            <w:shd w:val="clear" w:color="auto" w:fill="E5F1F8"/>
          </w:tcPr>
          <w:p>
            <w:pPr>
              <w:spacing w:after="0" w:line="20" w:lineRule="exact"/>
              <w:rPr>
                <w:sz w:val="1"/>
                <w:szCs w:val="1"/>
                <w:color w:val="auto"/>
              </w:rPr>
            </w:pPr>
          </w:p>
        </w:tc>
        <w:tc>
          <w:tcPr>
            <w:tcW w:w="20" w:type="dxa"/>
            <w:vAlign w:val="bottom"/>
            <w:shd w:val="clear" w:color="auto" w:fill="E5F1F8"/>
          </w:tcPr>
          <w:p>
            <w:pPr>
              <w:spacing w:after="0" w:line="20" w:lineRule="exact"/>
              <w:rPr>
                <w:sz w:val="1"/>
                <w:szCs w:val="1"/>
                <w:color w:val="auto"/>
              </w:rPr>
            </w:pPr>
          </w:p>
        </w:tc>
        <w:tc>
          <w:tcPr>
            <w:tcW w:w="440" w:type="dxa"/>
            <w:vAlign w:val="bottom"/>
            <w:gridSpan w:val="2"/>
            <w:shd w:val="clear" w:color="auto" w:fill="E5F1F8"/>
          </w:tcPr>
          <w:p>
            <w:pPr>
              <w:spacing w:after="0" w:line="20" w:lineRule="exact"/>
              <w:rPr>
                <w:sz w:val="1"/>
                <w:szCs w:val="1"/>
                <w:color w:val="auto"/>
              </w:rPr>
            </w:pPr>
          </w:p>
        </w:tc>
        <w:tc>
          <w:tcPr>
            <w:tcW w:w="400" w:type="dxa"/>
            <w:vAlign w:val="bottom"/>
            <w:gridSpan w:val="3"/>
            <w:shd w:val="clear" w:color="auto" w:fill="E5F1F8"/>
          </w:tcPr>
          <w:p>
            <w:pPr>
              <w:spacing w:after="0" w:line="20" w:lineRule="exact"/>
              <w:rPr>
                <w:sz w:val="1"/>
                <w:szCs w:val="1"/>
                <w:color w:val="auto"/>
              </w:rPr>
            </w:pPr>
          </w:p>
        </w:tc>
        <w:tc>
          <w:tcPr>
            <w:tcW w:w="700" w:type="dxa"/>
            <w:vAlign w:val="bottom"/>
            <w:shd w:val="clear" w:color="auto" w:fill="E5F1F8"/>
          </w:tcPr>
          <w:p>
            <w:pPr>
              <w:spacing w:after="0" w:line="20" w:lineRule="exact"/>
              <w:rPr>
                <w:sz w:val="1"/>
                <w:szCs w:val="1"/>
                <w:color w:val="auto"/>
              </w:rPr>
            </w:pPr>
          </w:p>
        </w:tc>
      </w:tr>
      <w:tr>
        <w:trPr>
          <w:trHeight w:val="236"/>
        </w:trPr>
        <w:tc>
          <w:tcPr>
            <w:tcW w:w="340" w:type="dxa"/>
            <w:vAlign w:val="bottom"/>
            <w:tcBorders>
              <w:bottom w:val="single" w:sz="8" w:color="E5F1F8"/>
            </w:tcBorders>
            <w:shd w:val="clear" w:color="auto" w:fill="E5F1F8"/>
          </w:tcPr>
          <w:p>
            <w:pPr>
              <w:spacing w:after="0"/>
              <w:rPr>
                <w:sz w:val="20"/>
                <w:szCs w:val="20"/>
                <w:color w:val="auto"/>
              </w:rPr>
            </w:pPr>
          </w:p>
        </w:tc>
        <w:tc>
          <w:tcPr>
            <w:tcW w:w="3360" w:type="dxa"/>
            <w:vAlign w:val="bottom"/>
            <w:tcBorders>
              <w:bottom w:val="single" w:sz="8" w:color="0000EE"/>
            </w:tcBorders>
            <w:gridSpan w:val="18"/>
            <w:shd w:val="clear" w:color="auto" w:fill="E5F1F8"/>
          </w:tcPr>
          <w:p>
            <w:pPr>
              <w:spacing w:after="0"/>
              <w:rPr>
                <w:rFonts w:ascii="Arial" w:cs="Arial" w:eastAsia="Arial" w:hAnsi="Arial"/>
                <w:sz w:val="16"/>
                <w:szCs w:val="16"/>
                <w:color w:val="0000EE"/>
              </w:rPr>
            </w:pPr>
            <w:hyperlink w:anchor="page48">
              <w:r>
                <w:rPr>
                  <w:rFonts w:ascii="Arial" w:cs="Arial" w:eastAsia="Arial" w:hAnsi="Arial"/>
                  <w:sz w:val="16"/>
                  <w:szCs w:val="16"/>
                  <w:color w:val="0000EE"/>
                </w:rPr>
                <w:t>Considerations Regarding 2018 Compensation</w:t>
              </w:r>
            </w:hyperlink>
          </w:p>
        </w:tc>
        <w:tc>
          <w:tcPr>
            <w:tcW w:w="860" w:type="dxa"/>
            <w:vAlign w:val="bottom"/>
            <w:tcBorders>
              <w:bottom w:val="single" w:sz="8" w:color="E5F1F8"/>
            </w:tcBorders>
            <w:gridSpan w:val="6"/>
            <w:shd w:val="clear" w:color="auto" w:fill="E5F1F8"/>
          </w:tcPr>
          <w:p>
            <w:pPr>
              <w:spacing w:after="0"/>
              <w:rPr>
                <w:sz w:val="20"/>
                <w:szCs w:val="20"/>
                <w:color w:val="auto"/>
              </w:rPr>
            </w:pPr>
          </w:p>
        </w:tc>
        <w:tc>
          <w:tcPr>
            <w:tcW w:w="700" w:type="dxa"/>
            <w:vAlign w:val="bottom"/>
            <w:tcBorders>
              <w:bottom w:val="single" w:sz="8" w:color="E5F1F8"/>
            </w:tcBorders>
            <w:shd w:val="clear" w:color="auto" w:fill="E5F1F8"/>
          </w:tcPr>
          <w:p>
            <w:pPr>
              <w:jc w:val="right"/>
              <w:ind w:right="59"/>
              <w:spacing w:after="0"/>
              <w:rPr>
                <w:sz w:val="20"/>
                <w:szCs w:val="20"/>
                <w:color w:val="auto"/>
              </w:rPr>
            </w:pPr>
            <w:r>
              <w:rPr>
                <w:rFonts w:ascii="Arial" w:cs="Arial" w:eastAsia="Arial" w:hAnsi="Arial"/>
                <w:sz w:val="16"/>
                <w:szCs w:val="16"/>
                <w:color w:val="007CBA"/>
              </w:rPr>
              <w:t>43</w:t>
            </w:r>
          </w:p>
        </w:tc>
      </w:tr>
      <w:tr>
        <w:trPr>
          <w:trHeight w:val="236"/>
        </w:trPr>
        <w:tc>
          <w:tcPr>
            <w:tcW w:w="340" w:type="dxa"/>
            <w:vAlign w:val="bottom"/>
            <w:shd w:val="clear" w:color="auto" w:fill="E5F1F8"/>
          </w:tcPr>
          <w:p>
            <w:pPr>
              <w:spacing w:after="0"/>
              <w:rPr>
                <w:sz w:val="20"/>
                <w:szCs w:val="20"/>
                <w:color w:val="auto"/>
              </w:rPr>
            </w:pPr>
          </w:p>
        </w:tc>
        <w:tc>
          <w:tcPr>
            <w:tcW w:w="4220" w:type="dxa"/>
            <w:vAlign w:val="bottom"/>
            <w:gridSpan w:val="24"/>
            <w:shd w:val="clear" w:color="auto" w:fill="E5F1F8"/>
          </w:tcPr>
          <w:p>
            <w:pPr>
              <w:spacing w:after="0"/>
              <w:rPr>
                <w:rFonts w:ascii="Arial" w:cs="Arial" w:eastAsia="Arial" w:hAnsi="Arial"/>
                <w:sz w:val="16"/>
                <w:szCs w:val="16"/>
                <w:color w:val="0000EE"/>
              </w:rPr>
            </w:pPr>
            <w:hyperlink w:anchor="page48">
              <w:r>
                <w:rPr>
                  <w:rFonts w:ascii="Arial" w:cs="Arial" w:eastAsia="Arial" w:hAnsi="Arial"/>
                  <w:sz w:val="16"/>
                  <w:szCs w:val="16"/>
                  <w:color w:val="0000EE"/>
                </w:rPr>
                <w:t>2018 Base Salary</w:t>
              </w:r>
            </w:hyperlink>
          </w:p>
        </w:tc>
        <w:tc>
          <w:tcPr>
            <w:tcW w:w="700" w:type="dxa"/>
            <w:vAlign w:val="bottom"/>
            <w:shd w:val="clear" w:color="auto" w:fill="E5F1F8"/>
          </w:tcPr>
          <w:p>
            <w:pPr>
              <w:jc w:val="right"/>
              <w:ind w:right="59"/>
              <w:spacing w:after="0"/>
              <w:rPr>
                <w:sz w:val="20"/>
                <w:szCs w:val="20"/>
                <w:color w:val="auto"/>
              </w:rPr>
            </w:pPr>
            <w:r>
              <w:rPr>
                <w:rFonts w:ascii="Arial" w:cs="Arial" w:eastAsia="Arial" w:hAnsi="Arial"/>
                <w:sz w:val="16"/>
                <w:szCs w:val="16"/>
                <w:color w:val="007CBA"/>
              </w:rPr>
              <w:t>43</w:t>
            </w:r>
          </w:p>
        </w:tc>
      </w:tr>
      <w:tr>
        <w:trPr>
          <w:trHeight w:val="20"/>
        </w:trPr>
        <w:tc>
          <w:tcPr>
            <w:tcW w:w="340" w:type="dxa"/>
            <w:vAlign w:val="bottom"/>
            <w:shd w:val="clear" w:color="auto" w:fill="E5F1F8"/>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5"/>
            <w:shd w:val="clear" w:color="auto" w:fill="E5F1F8"/>
          </w:tcPr>
          <w:p>
            <w:pPr>
              <w:spacing w:after="0" w:line="20" w:lineRule="exact"/>
              <w:rPr>
                <w:sz w:val="1"/>
                <w:szCs w:val="1"/>
                <w:color w:val="auto"/>
              </w:rPr>
            </w:pPr>
          </w:p>
        </w:tc>
        <w:tc>
          <w:tcPr>
            <w:tcW w:w="500" w:type="dxa"/>
            <w:vAlign w:val="bottom"/>
            <w:tcBorders>
              <w:right w:val="single" w:sz="8" w:color="E5F1F8"/>
            </w:tcBorders>
            <w:gridSpan w:val="2"/>
            <w:shd w:val="clear" w:color="auto" w:fill="E5F1F8"/>
          </w:tcPr>
          <w:p>
            <w:pPr>
              <w:spacing w:after="0" w:line="20" w:lineRule="exact"/>
              <w:rPr>
                <w:sz w:val="1"/>
                <w:szCs w:val="1"/>
                <w:color w:val="auto"/>
              </w:rPr>
            </w:pPr>
          </w:p>
        </w:tc>
        <w:tc>
          <w:tcPr>
            <w:tcW w:w="560" w:type="dxa"/>
            <w:vAlign w:val="bottom"/>
            <w:gridSpan w:val="3"/>
            <w:shd w:val="clear" w:color="auto" w:fill="E5F1F8"/>
          </w:tcPr>
          <w:p>
            <w:pPr>
              <w:spacing w:after="0" w:line="20" w:lineRule="exact"/>
              <w:rPr>
                <w:sz w:val="1"/>
                <w:szCs w:val="1"/>
                <w:color w:val="auto"/>
              </w:rPr>
            </w:pPr>
          </w:p>
        </w:tc>
        <w:tc>
          <w:tcPr>
            <w:tcW w:w="60" w:type="dxa"/>
            <w:vAlign w:val="bottom"/>
            <w:shd w:val="clear" w:color="auto" w:fill="E5F1F8"/>
          </w:tcPr>
          <w:p>
            <w:pPr>
              <w:spacing w:after="0" w:line="20" w:lineRule="exact"/>
              <w:rPr>
                <w:sz w:val="1"/>
                <w:szCs w:val="1"/>
                <w:color w:val="auto"/>
              </w:rPr>
            </w:pPr>
          </w:p>
        </w:tc>
        <w:tc>
          <w:tcPr>
            <w:tcW w:w="20" w:type="dxa"/>
            <w:vAlign w:val="bottom"/>
            <w:shd w:val="clear" w:color="auto" w:fill="E5F1F8"/>
          </w:tcPr>
          <w:p>
            <w:pPr>
              <w:spacing w:after="0" w:line="20" w:lineRule="exact"/>
              <w:rPr>
                <w:sz w:val="1"/>
                <w:szCs w:val="1"/>
                <w:color w:val="auto"/>
              </w:rPr>
            </w:pPr>
          </w:p>
        </w:tc>
        <w:tc>
          <w:tcPr>
            <w:tcW w:w="400" w:type="dxa"/>
            <w:vAlign w:val="bottom"/>
            <w:gridSpan w:val="2"/>
            <w:shd w:val="clear" w:color="auto" w:fill="E5F1F8"/>
          </w:tcPr>
          <w:p>
            <w:pPr>
              <w:spacing w:after="0" w:line="20" w:lineRule="exact"/>
              <w:rPr>
                <w:sz w:val="1"/>
                <w:szCs w:val="1"/>
                <w:color w:val="auto"/>
              </w:rPr>
            </w:pPr>
          </w:p>
        </w:tc>
        <w:tc>
          <w:tcPr>
            <w:tcW w:w="440" w:type="dxa"/>
            <w:vAlign w:val="bottom"/>
            <w:gridSpan w:val="2"/>
            <w:shd w:val="clear" w:color="auto" w:fill="E5F1F8"/>
          </w:tcPr>
          <w:p>
            <w:pPr>
              <w:spacing w:after="0" w:line="20" w:lineRule="exact"/>
              <w:rPr>
                <w:sz w:val="1"/>
                <w:szCs w:val="1"/>
                <w:color w:val="auto"/>
              </w:rPr>
            </w:pPr>
          </w:p>
        </w:tc>
        <w:tc>
          <w:tcPr>
            <w:tcW w:w="400" w:type="dxa"/>
            <w:vAlign w:val="bottom"/>
            <w:gridSpan w:val="3"/>
            <w:shd w:val="clear" w:color="auto" w:fill="E5F1F8"/>
          </w:tcPr>
          <w:p>
            <w:pPr>
              <w:spacing w:after="0" w:line="20" w:lineRule="exact"/>
              <w:rPr>
                <w:sz w:val="1"/>
                <w:szCs w:val="1"/>
                <w:color w:val="auto"/>
              </w:rPr>
            </w:pPr>
          </w:p>
        </w:tc>
        <w:tc>
          <w:tcPr>
            <w:tcW w:w="700" w:type="dxa"/>
            <w:vAlign w:val="bottom"/>
            <w:shd w:val="clear" w:color="auto" w:fill="E5F1F8"/>
          </w:tcPr>
          <w:p>
            <w:pPr>
              <w:spacing w:after="0" w:line="20" w:lineRule="exact"/>
              <w:rPr>
                <w:sz w:val="1"/>
                <w:szCs w:val="1"/>
                <w:color w:val="auto"/>
              </w:rPr>
            </w:pPr>
          </w:p>
        </w:tc>
      </w:tr>
      <w:tr>
        <w:trPr>
          <w:trHeight w:val="236"/>
        </w:trPr>
        <w:tc>
          <w:tcPr>
            <w:tcW w:w="340" w:type="dxa"/>
            <w:vAlign w:val="bottom"/>
            <w:shd w:val="clear" w:color="auto" w:fill="E5F1F8"/>
          </w:tcPr>
          <w:p>
            <w:pPr>
              <w:spacing w:after="0"/>
              <w:rPr>
                <w:sz w:val="20"/>
                <w:szCs w:val="20"/>
                <w:color w:val="auto"/>
              </w:rPr>
            </w:pPr>
          </w:p>
        </w:tc>
        <w:tc>
          <w:tcPr>
            <w:tcW w:w="4220" w:type="dxa"/>
            <w:vAlign w:val="bottom"/>
            <w:gridSpan w:val="24"/>
            <w:shd w:val="clear" w:color="auto" w:fill="E5F1F8"/>
          </w:tcPr>
          <w:p>
            <w:pPr>
              <w:spacing w:after="0"/>
              <w:rPr>
                <w:rFonts w:ascii="Arial" w:cs="Arial" w:eastAsia="Arial" w:hAnsi="Arial"/>
                <w:sz w:val="16"/>
                <w:szCs w:val="16"/>
                <w:color w:val="0000EE"/>
              </w:rPr>
            </w:pPr>
            <w:hyperlink w:anchor="page49">
              <w:r>
                <w:rPr>
                  <w:rFonts w:ascii="Arial" w:cs="Arial" w:eastAsia="Arial" w:hAnsi="Arial"/>
                  <w:sz w:val="16"/>
                  <w:szCs w:val="16"/>
                  <w:color w:val="0000EE"/>
                </w:rPr>
                <w:t>2018 Annual Cash Incentive Goals and Results</w:t>
              </w:r>
            </w:hyperlink>
          </w:p>
        </w:tc>
        <w:tc>
          <w:tcPr>
            <w:tcW w:w="700" w:type="dxa"/>
            <w:vAlign w:val="bottom"/>
            <w:shd w:val="clear" w:color="auto" w:fill="E5F1F8"/>
          </w:tcPr>
          <w:p>
            <w:pPr>
              <w:jc w:val="right"/>
              <w:ind w:right="59"/>
              <w:spacing w:after="0"/>
              <w:rPr>
                <w:sz w:val="20"/>
                <w:szCs w:val="20"/>
                <w:color w:val="auto"/>
              </w:rPr>
            </w:pPr>
            <w:r>
              <w:rPr>
                <w:rFonts w:ascii="Arial" w:cs="Arial" w:eastAsia="Arial" w:hAnsi="Arial"/>
                <w:sz w:val="16"/>
                <w:szCs w:val="16"/>
                <w:color w:val="007CBA"/>
              </w:rPr>
              <w:t>44</w:t>
            </w:r>
          </w:p>
        </w:tc>
      </w:tr>
      <w:tr>
        <w:trPr>
          <w:trHeight w:val="236"/>
        </w:trPr>
        <w:tc>
          <w:tcPr>
            <w:tcW w:w="340" w:type="dxa"/>
            <w:vAlign w:val="bottom"/>
            <w:tcBorders>
              <w:top w:val="single" w:sz="8" w:color="E5F1F8"/>
              <w:bottom w:val="single" w:sz="8" w:color="E5F1F8"/>
            </w:tcBorders>
            <w:shd w:val="clear" w:color="auto" w:fill="E5F1F8"/>
          </w:tcPr>
          <w:p>
            <w:pPr>
              <w:spacing w:after="0"/>
              <w:rPr>
                <w:sz w:val="20"/>
                <w:szCs w:val="20"/>
                <w:color w:val="auto"/>
              </w:rPr>
            </w:pPr>
          </w:p>
        </w:tc>
        <w:tc>
          <w:tcPr>
            <w:tcW w:w="2960" w:type="dxa"/>
            <w:vAlign w:val="bottom"/>
            <w:tcBorders>
              <w:top w:val="single" w:sz="8" w:color="0000EE"/>
              <w:bottom w:val="single" w:sz="8" w:color="0000EE"/>
            </w:tcBorders>
            <w:gridSpan w:val="16"/>
            <w:shd w:val="clear" w:color="auto" w:fill="E5F1F8"/>
          </w:tcPr>
          <w:p>
            <w:pPr>
              <w:spacing w:after="0"/>
              <w:rPr>
                <w:rFonts w:ascii="Arial" w:cs="Arial" w:eastAsia="Arial" w:hAnsi="Arial"/>
                <w:sz w:val="16"/>
                <w:szCs w:val="16"/>
                <w:color w:val="0000EE"/>
                <w:w w:val="99"/>
              </w:rPr>
            </w:pPr>
            <w:hyperlink w:anchor="page51">
              <w:r>
                <w:rPr>
                  <w:rFonts w:ascii="Arial" w:cs="Arial" w:eastAsia="Arial" w:hAnsi="Arial"/>
                  <w:sz w:val="16"/>
                  <w:szCs w:val="16"/>
                  <w:color w:val="0000EE"/>
                  <w:w w:val="99"/>
                </w:rPr>
                <w:t>2018 Long-Term Incentive Compensation</w:t>
              </w:r>
            </w:hyperlink>
          </w:p>
        </w:tc>
        <w:tc>
          <w:tcPr>
            <w:tcW w:w="420" w:type="dxa"/>
            <w:vAlign w:val="bottom"/>
            <w:tcBorders>
              <w:top w:val="single" w:sz="8" w:color="0000EE"/>
              <w:bottom w:val="single" w:sz="8" w:color="E5F1F8"/>
            </w:tcBorders>
            <w:gridSpan w:val="3"/>
            <w:shd w:val="clear" w:color="auto" w:fill="E5F1F8"/>
          </w:tcPr>
          <w:p>
            <w:pPr>
              <w:spacing w:after="0"/>
              <w:rPr>
                <w:sz w:val="20"/>
                <w:szCs w:val="20"/>
                <w:color w:val="auto"/>
              </w:rPr>
            </w:pPr>
          </w:p>
        </w:tc>
        <w:tc>
          <w:tcPr>
            <w:tcW w:w="840" w:type="dxa"/>
            <w:vAlign w:val="bottom"/>
            <w:tcBorders>
              <w:top w:val="single" w:sz="8" w:color="E5F1F8"/>
              <w:bottom w:val="single" w:sz="8" w:color="E5F1F8"/>
            </w:tcBorders>
            <w:gridSpan w:val="5"/>
            <w:shd w:val="clear" w:color="auto" w:fill="E5F1F8"/>
          </w:tcPr>
          <w:p>
            <w:pPr>
              <w:spacing w:after="0"/>
              <w:rPr>
                <w:sz w:val="20"/>
                <w:szCs w:val="20"/>
                <w:color w:val="auto"/>
              </w:rPr>
            </w:pPr>
          </w:p>
        </w:tc>
        <w:tc>
          <w:tcPr>
            <w:tcW w:w="700" w:type="dxa"/>
            <w:vAlign w:val="bottom"/>
            <w:tcBorders>
              <w:top w:val="single" w:sz="8" w:color="E5F1F8"/>
              <w:bottom w:val="single" w:sz="8" w:color="E5F1F8"/>
            </w:tcBorders>
            <w:shd w:val="clear" w:color="auto" w:fill="E5F1F8"/>
          </w:tcPr>
          <w:p>
            <w:pPr>
              <w:jc w:val="right"/>
              <w:ind w:right="59"/>
              <w:spacing w:after="0"/>
              <w:rPr>
                <w:sz w:val="20"/>
                <w:szCs w:val="20"/>
                <w:color w:val="auto"/>
              </w:rPr>
            </w:pPr>
            <w:r>
              <w:rPr>
                <w:rFonts w:ascii="Arial" w:cs="Arial" w:eastAsia="Arial" w:hAnsi="Arial"/>
                <w:sz w:val="16"/>
                <w:szCs w:val="16"/>
                <w:color w:val="007CBA"/>
              </w:rPr>
              <w:t>46</w:t>
            </w:r>
          </w:p>
        </w:tc>
      </w:tr>
      <w:tr>
        <w:trPr>
          <w:trHeight w:val="236"/>
        </w:trPr>
        <w:tc>
          <w:tcPr>
            <w:tcW w:w="340" w:type="dxa"/>
            <w:vAlign w:val="bottom"/>
            <w:tcBorders>
              <w:bottom w:val="single" w:sz="8" w:color="E5F1F8"/>
            </w:tcBorders>
            <w:shd w:val="clear" w:color="auto" w:fill="E5F1F8"/>
          </w:tcPr>
          <w:p>
            <w:pPr>
              <w:spacing w:after="0"/>
              <w:rPr>
                <w:sz w:val="20"/>
                <w:szCs w:val="20"/>
                <w:color w:val="auto"/>
              </w:rPr>
            </w:pPr>
          </w:p>
        </w:tc>
        <w:tc>
          <w:tcPr>
            <w:tcW w:w="2340" w:type="dxa"/>
            <w:vAlign w:val="bottom"/>
            <w:tcBorders>
              <w:bottom w:val="single" w:sz="8" w:color="0000EE"/>
              <w:right w:val="single" w:sz="8" w:color="E5F1F8"/>
            </w:tcBorders>
            <w:gridSpan w:val="12"/>
            <w:shd w:val="clear" w:color="auto" w:fill="E5F1F8"/>
          </w:tcPr>
          <w:p>
            <w:pPr>
              <w:spacing w:after="0"/>
              <w:rPr>
                <w:rFonts w:ascii="Arial" w:cs="Arial" w:eastAsia="Arial" w:hAnsi="Arial"/>
                <w:sz w:val="16"/>
                <w:szCs w:val="16"/>
                <w:color w:val="0000EE"/>
                <w:w w:val="98"/>
              </w:rPr>
            </w:pPr>
            <w:hyperlink w:anchor="page51">
              <w:r>
                <w:rPr>
                  <w:rFonts w:ascii="Arial" w:cs="Arial" w:eastAsia="Arial" w:hAnsi="Arial"/>
                  <w:sz w:val="16"/>
                  <w:szCs w:val="16"/>
                  <w:color w:val="0000EE"/>
                  <w:w w:val="98"/>
                </w:rPr>
                <w:t>PSU Awards (55% of LTI Award)</w:t>
              </w:r>
            </w:hyperlink>
          </w:p>
        </w:tc>
        <w:tc>
          <w:tcPr>
            <w:tcW w:w="1880" w:type="dxa"/>
            <w:vAlign w:val="bottom"/>
            <w:tcBorders>
              <w:bottom w:val="single" w:sz="8" w:color="E5F1F8"/>
            </w:tcBorders>
            <w:gridSpan w:val="12"/>
            <w:shd w:val="clear" w:color="auto" w:fill="E5F1F8"/>
          </w:tcPr>
          <w:p>
            <w:pPr>
              <w:spacing w:after="0"/>
              <w:rPr>
                <w:sz w:val="20"/>
                <w:szCs w:val="20"/>
                <w:color w:val="auto"/>
              </w:rPr>
            </w:pPr>
          </w:p>
        </w:tc>
        <w:tc>
          <w:tcPr>
            <w:tcW w:w="700" w:type="dxa"/>
            <w:vAlign w:val="bottom"/>
            <w:tcBorders>
              <w:bottom w:val="single" w:sz="8" w:color="E5F1F8"/>
            </w:tcBorders>
            <w:shd w:val="clear" w:color="auto" w:fill="E5F1F8"/>
          </w:tcPr>
          <w:p>
            <w:pPr>
              <w:jc w:val="right"/>
              <w:ind w:right="59"/>
              <w:spacing w:after="0"/>
              <w:rPr>
                <w:sz w:val="20"/>
                <w:szCs w:val="20"/>
                <w:color w:val="auto"/>
              </w:rPr>
            </w:pPr>
            <w:r>
              <w:rPr>
                <w:rFonts w:ascii="Arial" w:cs="Arial" w:eastAsia="Arial" w:hAnsi="Arial"/>
                <w:sz w:val="16"/>
                <w:szCs w:val="16"/>
                <w:color w:val="007CBA"/>
              </w:rPr>
              <w:t>46</w:t>
            </w:r>
          </w:p>
        </w:tc>
      </w:tr>
      <w:tr>
        <w:trPr>
          <w:trHeight w:val="236"/>
        </w:trPr>
        <w:tc>
          <w:tcPr>
            <w:tcW w:w="340" w:type="dxa"/>
            <w:vAlign w:val="bottom"/>
            <w:tcBorders>
              <w:bottom w:val="single" w:sz="8" w:color="E5F1F8"/>
            </w:tcBorders>
            <w:shd w:val="clear" w:color="auto" w:fill="E5F1F8"/>
          </w:tcPr>
          <w:p>
            <w:pPr>
              <w:spacing w:after="0"/>
              <w:rPr>
                <w:sz w:val="20"/>
                <w:szCs w:val="20"/>
                <w:color w:val="auto"/>
              </w:rPr>
            </w:pPr>
          </w:p>
        </w:tc>
        <w:tc>
          <w:tcPr>
            <w:tcW w:w="1840" w:type="dxa"/>
            <w:vAlign w:val="bottom"/>
            <w:tcBorders>
              <w:bottom w:val="single" w:sz="8" w:color="0000EE"/>
            </w:tcBorders>
            <w:gridSpan w:val="10"/>
            <w:shd w:val="clear" w:color="auto" w:fill="E5F1F8"/>
          </w:tcPr>
          <w:p>
            <w:pPr>
              <w:spacing w:after="0"/>
              <w:rPr>
                <w:rFonts w:ascii="Arial" w:cs="Arial" w:eastAsia="Arial" w:hAnsi="Arial"/>
                <w:sz w:val="16"/>
                <w:szCs w:val="16"/>
                <w:color w:val="0000EE"/>
                <w:w w:val="99"/>
              </w:rPr>
            </w:pPr>
            <w:hyperlink w:anchor="page52">
              <w:r>
                <w:rPr>
                  <w:rFonts w:ascii="Arial" w:cs="Arial" w:eastAsia="Arial" w:hAnsi="Arial"/>
                  <w:sz w:val="16"/>
                  <w:szCs w:val="16"/>
                  <w:color w:val="0000EE"/>
                  <w:w w:val="99"/>
                </w:rPr>
                <w:t>Selection of Relative TSR</w:t>
              </w:r>
            </w:hyperlink>
          </w:p>
        </w:tc>
        <w:tc>
          <w:tcPr>
            <w:tcW w:w="2380" w:type="dxa"/>
            <w:vAlign w:val="bottom"/>
            <w:tcBorders>
              <w:bottom w:val="single" w:sz="8" w:color="E5F1F8"/>
            </w:tcBorders>
            <w:gridSpan w:val="14"/>
            <w:shd w:val="clear" w:color="auto" w:fill="E5F1F8"/>
          </w:tcPr>
          <w:p>
            <w:pPr>
              <w:spacing w:after="0"/>
              <w:rPr>
                <w:sz w:val="20"/>
                <w:szCs w:val="20"/>
                <w:color w:val="auto"/>
              </w:rPr>
            </w:pPr>
          </w:p>
        </w:tc>
        <w:tc>
          <w:tcPr>
            <w:tcW w:w="700" w:type="dxa"/>
            <w:vAlign w:val="bottom"/>
            <w:tcBorders>
              <w:bottom w:val="single" w:sz="8" w:color="E5F1F8"/>
            </w:tcBorders>
            <w:shd w:val="clear" w:color="auto" w:fill="E5F1F8"/>
          </w:tcPr>
          <w:p>
            <w:pPr>
              <w:jc w:val="right"/>
              <w:ind w:right="59"/>
              <w:spacing w:after="0"/>
              <w:rPr>
                <w:sz w:val="20"/>
                <w:szCs w:val="20"/>
                <w:color w:val="auto"/>
              </w:rPr>
            </w:pPr>
            <w:r>
              <w:rPr>
                <w:rFonts w:ascii="Arial" w:cs="Arial" w:eastAsia="Arial" w:hAnsi="Arial"/>
                <w:sz w:val="16"/>
                <w:szCs w:val="16"/>
                <w:color w:val="007CBA"/>
              </w:rPr>
              <w:t>47</w:t>
            </w:r>
          </w:p>
        </w:tc>
      </w:tr>
      <w:tr>
        <w:trPr>
          <w:trHeight w:val="236"/>
        </w:trPr>
        <w:tc>
          <w:tcPr>
            <w:tcW w:w="340" w:type="dxa"/>
            <w:vAlign w:val="bottom"/>
            <w:shd w:val="clear" w:color="auto" w:fill="E5F1F8"/>
          </w:tcPr>
          <w:p>
            <w:pPr>
              <w:spacing w:after="0"/>
              <w:rPr>
                <w:sz w:val="20"/>
                <w:szCs w:val="20"/>
                <w:color w:val="auto"/>
              </w:rPr>
            </w:pPr>
          </w:p>
        </w:tc>
        <w:tc>
          <w:tcPr>
            <w:tcW w:w="4220" w:type="dxa"/>
            <w:vAlign w:val="bottom"/>
            <w:gridSpan w:val="24"/>
            <w:shd w:val="clear" w:color="auto" w:fill="E5F1F8"/>
          </w:tcPr>
          <w:p>
            <w:pPr>
              <w:spacing w:after="0"/>
              <w:rPr>
                <w:rFonts w:ascii="Arial" w:cs="Arial" w:eastAsia="Arial" w:hAnsi="Arial"/>
                <w:sz w:val="16"/>
                <w:szCs w:val="16"/>
                <w:color w:val="0000EE"/>
              </w:rPr>
            </w:pPr>
            <w:hyperlink w:anchor="page52">
              <w:r>
                <w:rPr>
                  <w:rFonts w:ascii="Arial" w:cs="Arial" w:eastAsia="Arial" w:hAnsi="Arial"/>
                  <w:sz w:val="16"/>
                  <w:szCs w:val="16"/>
                  <w:color w:val="0000EE"/>
                </w:rPr>
                <w:t>Performance-Based RSU Awards (45% of LTI Award)</w:t>
              </w:r>
            </w:hyperlink>
          </w:p>
        </w:tc>
        <w:tc>
          <w:tcPr>
            <w:tcW w:w="700" w:type="dxa"/>
            <w:vAlign w:val="bottom"/>
            <w:shd w:val="clear" w:color="auto" w:fill="E5F1F8"/>
          </w:tcPr>
          <w:p>
            <w:pPr>
              <w:jc w:val="right"/>
              <w:ind w:right="59"/>
              <w:spacing w:after="0"/>
              <w:rPr>
                <w:sz w:val="20"/>
                <w:szCs w:val="20"/>
                <w:color w:val="auto"/>
              </w:rPr>
            </w:pPr>
            <w:r>
              <w:rPr>
                <w:rFonts w:ascii="Arial" w:cs="Arial" w:eastAsia="Arial" w:hAnsi="Arial"/>
                <w:sz w:val="16"/>
                <w:szCs w:val="16"/>
                <w:color w:val="007CBA"/>
              </w:rPr>
              <w:t>47</w:t>
            </w:r>
          </w:p>
        </w:tc>
      </w:tr>
      <w:tr>
        <w:trPr>
          <w:trHeight w:val="236"/>
        </w:trPr>
        <w:tc>
          <w:tcPr>
            <w:tcW w:w="340" w:type="dxa"/>
            <w:vAlign w:val="bottom"/>
            <w:tcBorders>
              <w:top w:val="single" w:sz="8" w:color="E5F1F8"/>
              <w:bottom w:val="single" w:sz="8" w:color="E5F1F8"/>
            </w:tcBorders>
            <w:shd w:val="clear" w:color="auto" w:fill="E5F1F8"/>
          </w:tcPr>
          <w:p>
            <w:pPr>
              <w:spacing w:after="0"/>
              <w:rPr>
                <w:sz w:val="20"/>
                <w:szCs w:val="20"/>
                <w:color w:val="auto"/>
              </w:rPr>
            </w:pPr>
          </w:p>
        </w:tc>
        <w:tc>
          <w:tcPr>
            <w:tcW w:w="2340" w:type="dxa"/>
            <w:vAlign w:val="bottom"/>
            <w:tcBorders>
              <w:top w:val="single" w:sz="8" w:color="0000EE"/>
              <w:bottom w:val="single" w:sz="8" w:color="0000EE"/>
              <w:right w:val="single" w:sz="8" w:color="E5F1F8"/>
            </w:tcBorders>
            <w:gridSpan w:val="12"/>
            <w:shd w:val="clear" w:color="auto" w:fill="E5F1F8"/>
          </w:tcPr>
          <w:p>
            <w:pPr>
              <w:spacing w:after="0"/>
              <w:rPr>
                <w:rFonts w:ascii="Arial" w:cs="Arial" w:eastAsia="Arial" w:hAnsi="Arial"/>
                <w:sz w:val="16"/>
                <w:szCs w:val="16"/>
                <w:color w:val="0000EE"/>
              </w:rPr>
            </w:pPr>
            <w:hyperlink w:anchor="page52">
              <w:r>
                <w:rPr>
                  <w:rFonts w:ascii="Arial" w:cs="Arial" w:eastAsia="Arial" w:hAnsi="Arial"/>
                  <w:sz w:val="16"/>
                  <w:szCs w:val="16"/>
                  <w:color w:val="0000EE"/>
                </w:rPr>
                <w:t>2018 LTI (PSU and RSU) Goals</w:t>
              </w:r>
            </w:hyperlink>
          </w:p>
        </w:tc>
        <w:tc>
          <w:tcPr>
            <w:tcW w:w="1480" w:type="dxa"/>
            <w:vAlign w:val="bottom"/>
            <w:tcBorders>
              <w:top w:val="single" w:sz="8" w:color="0000EE"/>
              <w:bottom w:val="single" w:sz="8" w:color="E5F1F8"/>
            </w:tcBorders>
            <w:gridSpan w:val="9"/>
            <w:shd w:val="clear" w:color="auto" w:fill="E5F1F8"/>
          </w:tcPr>
          <w:p>
            <w:pPr>
              <w:spacing w:after="0"/>
              <w:rPr>
                <w:sz w:val="20"/>
                <w:szCs w:val="20"/>
                <w:color w:val="auto"/>
              </w:rPr>
            </w:pPr>
          </w:p>
        </w:tc>
        <w:tc>
          <w:tcPr>
            <w:tcW w:w="400" w:type="dxa"/>
            <w:vAlign w:val="bottom"/>
            <w:tcBorders>
              <w:top w:val="single" w:sz="8" w:color="E5F1F8"/>
              <w:bottom w:val="single" w:sz="8" w:color="E5F1F8"/>
            </w:tcBorders>
            <w:gridSpan w:val="3"/>
            <w:shd w:val="clear" w:color="auto" w:fill="E5F1F8"/>
          </w:tcPr>
          <w:p>
            <w:pPr>
              <w:spacing w:after="0"/>
              <w:rPr>
                <w:sz w:val="20"/>
                <w:szCs w:val="20"/>
                <w:color w:val="auto"/>
              </w:rPr>
            </w:pPr>
          </w:p>
        </w:tc>
        <w:tc>
          <w:tcPr>
            <w:tcW w:w="700" w:type="dxa"/>
            <w:vAlign w:val="bottom"/>
            <w:tcBorders>
              <w:top w:val="single" w:sz="8" w:color="E5F1F8"/>
              <w:bottom w:val="single" w:sz="8" w:color="E5F1F8"/>
            </w:tcBorders>
            <w:shd w:val="clear" w:color="auto" w:fill="E5F1F8"/>
          </w:tcPr>
          <w:p>
            <w:pPr>
              <w:jc w:val="right"/>
              <w:ind w:right="59"/>
              <w:spacing w:after="0"/>
              <w:rPr>
                <w:sz w:val="20"/>
                <w:szCs w:val="20"/>
                <w:color w:val="auto"/>
              </w:rPr>
            </w:pPr>
            <w:r>
              <w:rPr>
                <w:rFonts w:ascii="Arial" w:cs="Arial" w:eastAsia="Arial" w:hAnsi="Arial"/>
                <w:sz w:val="16"/>
                <w:szCs w:val="16"/>
                <w:color w:val="007CBA"/>
              </w:rPr>
              <w:t>47</w:t>
            </w:r>
          </w:p>
        </w:tc>
      </w:tr>
      <w:tr>
        <w:trPr>
          <w:trHeight w:val="236"/>
        </w:trPr>
        <w:tc>
          <w:tcPr>
            <w:tcW w:w="340" w:type="dxa"/>
            <w:vAlign w:val="bottom"/>
            <w:shd w:val="clear" w:color="auto" w:fill="E5F1F8"/>
          </w:tcPr>
          <w:p>
            <w:pPr>
              <w:spacing w:after="0"/>
              <w:rPr>
                <w:sz w:val="20"/>
                <w:szCs w:val="20"/>
                <w:color w:val="auto"/>
              </w:rPr>
            </w:pPr>
          </w:p>
        </w:tc>
        <w:tc>
          <w:tcPr>
            <w:tcW w:w="4220" w:type="dxa"/>
            <w:vAlign w:val="bottom"/>
            <w:gridSpan w:val="24"/>
            <w:shd w:val="clear" w:color="auto" w:fill="E5F1F8"/>
          </w:tcPr>
          <w:p>
            <w:pPr>
              <w:spacing w:after="0"/>
              <w:rPr>
                <w:rFonts w:ascii="Arial" w:cs="Arial" w:eastAsia="Arial" w:hAnsi="Arial"/>
                <w:sz w:val="16"/>
                <w:szCs w:val="16"/>
                <w:color w:val="0000EE"/>
              </w:rPr>
            </w:pPr>
            <w:hyperlink w:anchor="page53">
              <w:r>
                <w:rPr>
                  <w:rFonts w:ascii="Arial" w:cs="Arial" w:eastAsia="Arial" w:hAnsi="Arial"/>
                  <w:sz w:val="16"/>
                  <w:szCs w:val="16"/>
                  <w:color w:val="0000EE"/>
                </w:rPr>
                <w:t>2018-2020 Performance Goals</w:t>
              </w:r>
            </w:hyperlink>
          </w:p>
        </w:tc>
        <w:tc>
          <w:tcPr>
            <w:tcW w:w="700" w:type="dxa"/>
            <w:vAlign w:val="bottom"/>
            <w:shd w:val="clear" w:color="auto" w:fill="E5F1F8"/>
          </w:tcPr>
          <w:p>
            <w:pPr>
              <w:jc w:val="right"/>
              <w:ind w:right="59"/>
              <w:spacing w:after="0"/>
              <w:rPr>
                <w:sz w:val="20"/>
                <w:szCs w:val="20"/>
                <w:color w:val="auto"/>
              </w:rPr>
            </w:pPr>
            <w:r>
              <w:rPr>
                <w:rFonts w:ascii="Arial" w:cs="Arial" w:eastAsia="Arial" w:hAnsi="Arial"/>
                <w:sz w:val="16"/>
                <w:szCs w:val="16"/>
                <w:color w:val="007CBA"/>
              </w:rPr>
              <w:t>48</w:t>
            </w:r>
          </w:p>
        </w:tc>
      </w:tr>
      <w:tr>
        <w:trPr>
          <w:trHeight w:val="20"/>
        </w:trPr>
        <w:tc>
          <w:tcPr>
            <w:tcW w:w="340" w:type="dxa"/>
            <w:vAlign w:val="bottom"/>
            <w:shd w:val="clear" w:color="auto" w:fill="E5F1F8"/>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1160" w:type="dxa"/>
            <w:vAlign w:val="bottom"/>
            <w:tcBorders>
              <w:right w:val="single" w:sz="8" w:color="E5F1F8"/>
            </w:tcBorders>
            <w:gridSpan w:val="8"/>
            <w:shd w:val="clear" w:color="auto" w:fill="0000EE"/>
          </w:tcPr>
          <w:p>
            <w:pPr>
              <w:spacing w:after="0" w:line="20" w:lineRule="exact"/>
              <w:rPr>
                <w:sz w:val="1"/>
                <w:szCs w:val="1"/>
                <w:color w:val="auto"/>
              </w:rPr>
            </w:pPr>
          </w:p>
        </w:tc>
        <w:tc>
          <w:tcPr>
            <w:tcW w:w="560" w:type="dxa"/>
            <w:vAlign w:val="bottom"/>
            <w:gridSpan w:val="3"/>
            <w:shd w:val="clear" w:color="auto" w:fill="E5F1F8"/>
          </w:tcPr>
          <w:p>
            <w:pPr>
              <w:spacing w:after="0" w:line="20" w:lineRule="exact"/>
              <w:rPr>
                <w:sz w:val="1"/>
                <w:szCs w:val="1"/>
                <w:color w:val="auto"/>
              </w:rPr>
            </w:pPr>
          </w:p>
        </w:tc>
        <w:tc>
          <w:tcPr>
            <w:tcW w:w="80" w:type="dxa"/>
            <w:vAlign w:val="bottom"/>
            <w:gridSpan w:val="2"/>
            <w:shd w:val="clear" w:color="auto" w:fill="E5F1F8"/>
          </w:tcPr>
          <w:p>
            <w:pPr>
              <w:spacing w:after="0" w:line="20" w:lineRule="exact"/>
              <w:rPr>
                <w:sz w:val="1"/>
                <w:szCs w:val="1"/>
                <w:color w:val="auto"/>
              </w:rPr>
            </w:pPr>
          </w:p>
        </w:tc>
        <w:tc>
          <w:tcPr>
            <w:tcW w:w="1240" w:type="dxa"/>
            <w:vAlign w:val="bottom"/>
            <w:gridSpan w:val="7"/>
            <w:shd w:val="clear" w:color="auto" w:fill="E5F1F8"/>
          </w:tcPr>
          <w:p>
            <w:pPr>
              <w:spacing w:after="0" w:line="20" w:lineRule="exact"/>
              <w:rPr>
                <w:sz w:val="1"/>
                <w:szCs w:val="1"/>
                <w:color w:val="auto"/>
              </w:rPr>
            </w:pPr>
          </w:p>
        </w:tc>
        <w:tc>
          <w:tcPr>
            <w:tcW w:w="700" w:type="dxa"/>
            <w:vAlign w:val="bottom"/>
            <w:shd w:val="clear" w:color="auto" w:fill="E5F1F8"/>
          </w:tcPr>
          <w:p>
            <w:pPr>
              <w:spacing w:after="0" w:line="20" w:lineRule="exact"/>
              <w:rPr>
                <w:sz w:val="1"/>
                <w:szCs w:val="1"/>
                <w:color w:val="auto"/>
              </w:rPr>
            </w:pPr>
          </w:p>
        </w:tc>
      </w:tr>
      <w:tr>
        <w:trPr>
          <w:trHeight w:val="236"/>
        </w:trPr>
        <w:tc>
          <w:tcPr>
            <w:tcW w:w="340" w:type="dxa"/>
            <w:vAlign w:val="bottom"/>
            <w:tcBorders>
              <w:bottom w:val="single" w:sz="8" w:color="E5F1F8"/>
            </w:tcBorders>
            <w:shd w:val="clear" w:color="auto" w:fill="E5F1F8"/>
          </w:tcPr>
          <w:p>
            <w:pPr>
              <w:spacing w:after="0"/>
              <w:rPr>
                <w:sz w:val="20"/>
                <w:szCs w:val="20"/>
                <w:color w:val="auto"/>
              </w:rPr>
            </w:pPr>
          </w:p>
        </w:tc>
        <w:tc>
          <w:tcPr>
            <w:tcW w:w="2340" w:type="dxa"/>
            <w:vAlign w:val="bottom"/>
            <w:tcBorders>
              <w:bottom w:val="single" w:sz="8" w:color="0000EE"/>
              <w:right w:val="single" w:sz="8" w:color="E5F1F8"/>
            </w:tcBorders>
            <w:gridSpan w:val="12"/>
            <w:shd w:val="clear" w:color="auto" w:fill="E5F1F8"/>
          </w:tcPr>
          <w:p>
            <w:pPr>
              <w:spacing w:after="0"/>
              <w:rPr>
                <w:rFonts w:ascii="Arial" w:cs="Arial" w:eastAsia="Arial" w:hAnsi="Arial"/>
                <w:sz w:val="16"/>
                <w:szCs w:val="16"/>
                <w:color w:val="0000EE"/>
              </w:rPr>
            </w:pPr>
            <w:hyperlink w:anchor="page53">
              <w:r>
                <w:rPr>
                  <w:rFonts w:ascii="Arial" w:cs="Arial" w:eastAsia="Arial" w:hAnsi="Arial"/>
                  <w:sz w:val="16"/>
                  <w:szCs w:val="16"/>
                  <w:color w:val="0000EE"/>
                </w:rPr>
                <w:t>2016-2018 PSU Award Payouts</w:t>
              </w:r>
            </w:hyperlink>
          </w:p>
        </w:tc>
        <w:tc>
          <w:tcPr>
            <w:tcW w:w="1880" w:type="dxa"/>
            <w:vAlign w:val="bottom"/>
            <w:tcBorders>
              <w:bottom w:val="single" w:sz="8" w:color="E5F1F8"/>
            </w:tcBorders>
            <w:gridSpan w:val="12"/>
            <w:shd w:val="clear" w:color="auto" w:fill="E5F1F8"/>
          </w:tcPr>
          <w:p>
            <w:pPr>
              <w:spacing w:after="0"/>
              <w:rPr>
                <w:sz w:val="20"/>
                <w:szCs w:val="20"/>
                <w:color w:val="auto"/>
              </w:rPr>
            </w:pPr>
          </w:p>
        </w:tc>
        <w:tc>
          <w:tcPr>
            <w:tcW w:w="700" w:type="dxa"/>
            <w:vAlign w:val="bottom"/>
            <w:tcBorders>
              <w:bottom w:val="single" w:sz="8" w:color="E5F1F8"/>
            </w:tcBorders>
            <w:shd w:val="clear" w:color="auto" w:fill="E5F1F8"/>
          </w:tcPr>
          <w:p>
            <w:pPr>
              <w:jc w:val="right"/>
              <w:ind w:right="59"/>
              <w:spacing w:after="0"/>
              <w:rPr>
                <w:sz w:val="20"/>
                <w:szCs w:val="20"/>
                <w:color w:val="auto"/>
              </w:rPr>
            </w:pPr>
            <w:r>
              <w:rPr>
                <w:rFonts w:ascii="Arial" w:cs="Arial" w:eastAsia="Arial" w:hAnsi="Arial"/>
                <w:sz w:val="16"/>
                <w:szCs w:val="16"/>
                <w:color w:val="007CBA"/>
              </w:rPr>
              <w:t>48</w:t>
            </w:r>
          </w:p>
        </w:tc>
      </w:tr>
      <w:tr>
        <w:trPr>
          <w:trHeight w:val="236"/>
        </w:trPr>
        <w:tc>
          <w:tcPr>
            <w:tcW w:w="340" w:type="dxa"/>
            <w:vAlign w:val="bottom"/>
            <w:tcBorders>
              <w:bottom w:val="single" w:sz="8" w:color="E5F1F8"/>
            </w:tcBorders>
            <w:shd w:val="clear" w:color="auto" w:fill="E5F1F8"/>
          </w:tcPr>
          <w:p>
            <w:pPr>
              <w:spacing w:after="0"/>
              <w:rPr>
                <w:sz w:val="20"/>
                <w:szCs w:val="20"/>
                <w:color w:val="auto"/>
              </w:rPr>
            </w:pPr>
          </w:p>
        </w:tc>
        <w:tc>
          <w:tcPr>
            <w:tcW w:w="2900" w:type="dxa"/>
            <w:vAlign w:val="bottom"/>
            <w:tcBorders>
              <w:bottom w:val="single" w:sz="8" w:color="0000EE"/>
            </w:tcBorders>
            <w:gridSpan w:val="15"/>
            <w:shd w:val="clear" w:color="auto" w:fill="E5F1F8"/>
          </w:tcPr>
          <w:p>
            <w:pPr>
              <w:spacing w:after="0"/>
              <w:rPr>
                <w:rFonts w:ascii="Arial" w:cs="Arial" w:eastAsia="Arial" w:hAnsi="Arial"/>
                <w:sz w:val="16"/>
                <w:szCs w:val="16"/>
                <w:color w:val="0000EE"/>
              </w:rPr>
            </w:pPr>
            <w:hyperlink w:anchor="page54">
              <w:r>
                <w:rPr>
                  <w:rFonts w:ascii="Arial" w:cs="Arial" w:eastAsia="Arial" w:hAnsi="Arial"/>
                  <w:sz w:val="16"/>
                  <w:szCs w:val="16"/>
                  <w:color w:val="0000EE"/>
                </w:rPr>
                <w:t>Ongoing Corporate Governance Policies</w:t>
              </w:r>
            </w:hyperlink>
          </w:p>
        </w:tc>
        <w:tc>
          <w:tcPr>
            <w:tcW w:w="1320" w:type="dxa"/>
            <w:vAlign w:val="bottom"/>
            <w:tcBorders>
              <w:bottom w:val="single" w:sz="8" w:color="E5F1F8"/>
            </w:tcBorders>
            <w:gridSpan w:val="9"/>
            <w:shd w:val="clear" w:color="auto" w:fill="E5F1F8"/>
          </w:tcPr>
          <w:p>
            <w:pPr>
              <w:spacing w:after="0"/>
              <w:rPr>
                <w:sz w:val="20"/>
                <w:szCs w:val="20"/>
                <w:color w:val="auto"/>
              </w:rPr>
            </w:pPr>
          </w:p>
        </w:tc>
        <w:tc>
          <w:tcPr>
            <w:tcW w:w="700" w:type="dxa"/>
            <w:vAlign w:val="bottom"/>
            <w:tcBorders>
              <w:bottom w:val="single" w:sz="8" w:color="E5F1F8"/>
            </w:tcBorders>
            <w:shd w:val="clear" w:color="auto" w:fill="E5F1F8"/>
          </w:tcPr>
          <w:p>
            <w:pPr>
              <w:jc w:val="right"/>
              <w:ind w:right="59"/>
              <w:spacing w:after="0"/>
              <w:rPr>
                <w:sz w:val="20"/>
                <w:szCs w:val="20"/>
                <w:color w:val="auto"/>
              </w:rPr>
            </w:pPr>
            <w:r>
              <w:rPr>
                <w:rFonts w:ascii="Arial" w:cs="Arial" w:eastAsia="Arial" w:hAnsi="Arial"/>
                <w:sz w:val="16"/>
                <w:szCs w:val="16"/>
                <w:color w:val="007CBA"/>
              </w:rPr>
              <w:t>49</w:t>
            </w:r>
          </w:p>
        </w:tc>
      </w:tr>
      <w:tr>
        <w:trPr>
          <w:trHeight w:val="236"/>
        </w:trPr>
        <w:tc>
          <w:tcPr>
            <w:tcW w:w="340" w:type="dxa"/>
            <w:vAlign w:val="bottom"/>
            <w:tcBorders>
              <w:bottom w:val="single" w:sz="8" w:color="E5F1F8"/>
            </w:tcBorders>
            <w:shd w:val="clear" w:color="auto" w:fill="E5F1F8"/>
          </w:tcPr>
          <w:p>
            <w:pPr>
              <w:spacing w:after="0"/>
              <w:rPr>
                <w:sz w:val="20"/>
                <w:szCs w:val="20"/>
                <w:color w:val="auto"/>
              </w:rPr>
            </w:pPr>
          </w:p>
        </w:tc>
        <w:tc>
          <w:tcPr>
            <w:tcW w:w="2340" w:type="dxa"/>
            <w:vAlign w:val="bottom"/>
            <w:tcBorders>
              <w:bottom w:val="single" w:sz="8" w:color="0000EE"/>
              <w:right w:val="single" w:sz="8" w:color="E5F1F8"/>
            </w:tcBorders>
            <w:gridSpan w:val="12"/>
            <w:shd w:val="clear" w:color="auto" w:fill="E5F1F8"/>
          </w:tcPr>
          <w:p>
            <w:pPr>
              <w:spacing w:after="0"/>
              <w:rPr>
                <w:rFonts w:ascii="Arial" w:cs="Arial" w:eastAsia="Arial" w:hAnsi="Arial"/>
                <w:sz w:val="16"/>
                <w:szCs w:val="16"/>
                <w:color w:val="0000EE"/>
                <w:w w:val="99"/>
              </w:rPr>
            </w:pPr>
            <w:hyperlink w:anchor="page54">
              <w:r>
                <w:rPr>
                  <w:rFonts w:ascii="Arial" w:cs="Arial" w:eastAsia="Arial" w:hAnsi="Arial"/>
                  <w:sz w:val="16"/>
                  <w:szCs w:val="16"/>
                  <w:color w:val="0000EE"/>
                  <w:w w:val="99"/>
                </w:rPr>
                <w:t>Compensation Decision Process</w:t>
              </w:r>
            </w:hyperlink>
          </w:p>
        </w:tc>
        <w:tc>
          <w:tcPr>
            <w:tcW w:w="1880" w:type="dxa"/>
            <w:vAlign w:val="bottom"/>
            <w:tcBorders>
              <w:bottom w:val="single" w:sz="8" w:color="E5F1F8"/>
            </w:tcBorders>
            <w:gridSpan w:val="12"/>
            <w:shd w:val="clear" w:color="auto" w:fill="E5F1F8"/>
          </w:tcPr>
          <w:p>
            <w:pPr>
              <w:spacing w:after="0"/>
              <w:rPr>
                <w:sz w:val="20"/>
                <w:szCs w:val="20"/>
                <w:color w:val="auto"/>
              </w:rPr>
            </w:pPr>
          </w:p>
        </w:tc>
        <w:tc>
          <w:tcPr>
            <w:tcW w:w="700" w:type="dxa"/>
            <w:vAlign w:val="bottom"/>
            <w:tcBorders>
              <w:bottom w:val="single" w:sz="8" w:color="E5F1F8"/>
            </w:tcBorders>
            <w:shd w:val="clear" w:color="auto" w:fill="E5F1F8"/>
          </w:tcPr>
          <w:p>
            <w:pPr>
              <w:jc w:val="right"/>
              <w:ind w:right="59"/>
              <w:spacing w:after="0"/>
              <w:rPr>
                <w:sz w:val="20"/>
                <w:szCs w:val="20"/>
                <w:color w:val="auto"/>
              </w:rPr>
            </w:pPr>
            <w:r>
              <w:rPr>
                <w:rFonts w:ascii="Arial" w:cs="Arial" w:eastAsia="Arial" w:hAnsi="Arial"/>
                <w:sz w:val="16"/>
                <w:szCs w:val="16"/>
                <w:color w:val="007CBA"/>
              </w:rPr>
              <w:t>49</w:t>
            </w:r>
          </w:p>
        </w:tc>
      </w:tr>
      <w:tr>
        <w:trPr>
          <w:trHeight w:val="236"/>
        </w:trPr>
        <w:tc>
          <w:tcPr>
            <w:tcW w:w="340" w:type="dxa"/>
            <w:vAlign w:val="bottom"/>
            <w:shd w:val="clear" w:color="auto" w:fill="E5F1F8"/>
          </w:tcPr>
          <w:p>
            <w:pPr>
              <w:spacing w:after="0"/>
              <w:rPr>
                <w:sz w:val="20"/>
                <w:szCs w:val="20"/>
                <w:color w:val="auto"/>
              </w:rPr>
            </w:pPr>
          </w:p>
        </w:tc>
        <w:tc>
          <w:tcPr>
            <w:tcW w:w="4220" w:type="dxa"/>
            <w:vAlign w:val="bottom"/>
            <w:gridSpan w:val="24"/>
            <w:shd w:val="clear" w:color="auto" w:fill="E5F1F8"/>
          </w:tcPr>
          <w:p>
            <w:pPr>
              <w:spacing w:after="0"/>
              <w:rPr>
                <w:rFonts w:ascii="Arial" w:cs="Arial" w:eastAsia="Arial" w:hAnsi="Arial"/>
                <w:sz w:val="16"/>
                <w:szCs w:val="16"/>
                <w:color w:val="0000EE"/>
              </w:rPr>
            </w:pPr>
            <w:hyperlink w:anchor="page55">
              <w:r>
                <w:rPr>
                  <w:rFonts w:ascii="Arial" w:cs="Arial" w:eastAsia="Arial" w:hAnsi="Arial"/>
                  <w:sz w:val="16"/>
                  <w:szCs w:val="16"/>
                  <w:color w:val="0000EE"/>
                </w:rPr>
                <w:t>Compensation Program Risk Assessment</w:t>
              </w:r>
            </w:hyperlink>
          </w:p>
        </w:tc>
        <w:tc>
          <w:tcPr>
            <w:tcW w:w="700" w:type="dxa"/>
            <w:vAlign w:val="bottom"/>
            <w:shd w:val="clear" w:color="auto" w:fill="E5F1F8"/>
          </w:tcPr>
          <w:p>
            <w:pPr>
              <w:jc w:val="right"/>
              <w:ind w:right="59"/>
              <w:spacing w:after="0"/>
              <w:rPr>
                <w:sz w:val="20"/>
                <w:szCs w:val="20"/>
                <w:color w:val="auto"/>
              </w:rPr>
            </w:pPr>
            <w:r>
              <w:rPr>
                <w:rFonts w:ascii="Arial" w:cs="Arial" w:eastAsia="Arial" w:hAnsi="Arial"/>
                <w:sz w:val="16"/>
                <w:szCs w:val="16"/>
                <w:color w:val="007CBA"/>
              </w:rPr>
              <w:t>50</w:t>
            </w:r>
          </w:p>
        </w:tc>
      </w:tr>
      <w:tr>
        <w:trPr>
          <w:trHeight w:val="236"/>
        </w:trPr>
        <w:tc>
          <w:tcPr>
            <w:tcW w:w="340" w:type="dxa"/>
            <w:vAlign w:val="bottom"/>
            <w:tcBorders>
              <w:top w:val="single" w:sz="8" w:color="E5F1F8"/>
            </w:tcBorders>
            <w:shd w:val="clear" w:color="auto" w:fill="E5F1F8"/>
          </w:tcPr>
          <w:p>
            <w:pPr>
              <w:spacing w:after="0"/>
              <w:rPr>
                <w:sz w:val="20"/>
                <w:szCs w:val="20"/>
                <w:color w:val="auto"/>
              </w:rPr>
            </w:pPr>
          </w:p>
        </w:tc>
        <w:tc>
          <w:tcPr>
            <w:tcW w:w="2980" w:type="dxa"/>
            <w:vAlign w:val="bottom"/>
            <w:tcBorders>
              <w:top w:val="single" w:sz="8" w:color="0000EE"/>
            </w:tcBorders>
            <w:gridSpan w:val="17"/>
            <w:shd w:val="clear" w:color="auto" w:fill="E5F1F8"/>
          </w:tcPr>
          <w:p>
            <w:pPr>
              <w:spacing w:after="0"/>
              <w:rPr>
                <w:rFonts w:ascii="Arial" w:cs="Arial" w:eastAsia="Arial" w:hAnsi="Arial"/>
                <w:sz w:val="16"/>
                <w:szCs w:val="16"/>
                <w:color w:val="0000EE"/>
              </w:rPr>
            </w:pPr>
            <w:hyperlink w:anchor="page56">
              <w:r>
                <w:rPr>
                  <w:rFonts w:ascii="Arial" w:cs="Arial" w:eastAsia="Arial" w:hAnsi="Arial"/>
                  <w:sz w:val="16"/>
                  <w:szCs w:val="16"/>
                  <w:color w:val="0000EE"/>
                </w:rPr>
                <w:t>Stock-Based Awards Generally</w:t>
              </w:r>
            </w:hyperlink>
          </w:p>
        </w:tc>
        <w:tc>
          <w:tcPr>
            <w:tcW w:w="1240" w:type="dxa"/>
            <w:vAlign w:val="bottom"/>
            <w:tcBorders>
              <w:top w:val="single" w:sz="8" w:color="E5F1F8"/>
            </w:tcBorders>
            <w:gridSpan w:val="7"/>
            <w:shd w:val="clear" w:color="auto" w:fill="E5F1F8"/>
          </w:tcPr>
          <w:p>
            <w:pPr>
              <w:spacing w:after="0"/>
              <w:rPr>
                <w:sz w:val="20"/>
                <w:szCs w:val="20"/>
                <w:color w:val="auto"/>
              </w:rPr>
            </w:pPr>
          </w:p>
        </w:tc>
        <w:tc>
          <w:tcPr>
            <w:tcW w:w="700" w:type="dxa"/>
            <w:vAlign w:val="bottom"/>
            <w:tcBorders>
              <w:top w:val="single" w:sz="8" w:color="E5F1F8"/>
            </w:tcBorders>
            <w:shd w:val="clear" w:color="auto" w:fill="E5F1F8"/>
          </w:tcPr>
          <w:p>
            <w:pPr>
              <w:jc w:val="right"/>
              <w:ind w:right="59"/>
              <w:spacing w:after="0"/>
              <w:rPr>
                <w:sz w:val="20"/>
                <w:szCs w:val="20"/>
                <w:color w:val="auto"/>
              </w:rPr>
            </w:pPr>
            <w:r>
              <w:rPr>
                <w:rFonts w:ascii="Arial" w:cs="Arial" w:eastAsia="Arial" w:hAnsi="Arial"/>
                <w:sz w:val="16"/>
                <w:szCs w:val="16"/>
                <w:color w:val="007CBA"/>
              </w:rPr>
              <w:t>51</w:t>
            </w:r>
          </w:p>
        </w:tc>
      </w:tr>
      <w:tr>
        <w:trPr>
          <w:trHeight w:val="20"/>
        </w:trPr>
        <w:tc>
          <w:tcPr>
            <w:tcW w:w="340" w:type="dxa"/>
            <w:vAlign w:val="bottom"/>
            <w:shd w:val="clear" w:color="auto" w:fill="E5F1F8"/>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1160" w:type="dxa"/>
            <w:vAlign w:val="bottom"/>
            <w:tcBorders>
              <w:right w:val="single" w:sz="8" w:color="0000EE"/>
            </w:tcBorders>
            <w:gridSpan w:val="8"/>
            <w:shd w:val="clear" w:color="auto" w:fill="0000EE"/>
          </w:tcPr>
          <w:p>
            <w:pPr>
              <w:spacing w:after="0" w:line="20" w:lineRule="exact"/>
              <w:rPr>
                <w:sz w:val="1"/>
                <w:szCs w:val="1"/>
                <w:color w:val="auto"/>
              </w:rPr>
            </w:pPr>
          </w:p>
        </w:tc>
        <w:tc>
          <w:tcPr>
            <w:tcW w:w="1880" w:type="dxa"/>
            <w:vAlign w:val="bottom"/>
            <w:gridSpan w:val="12"/>
            <w:shd w:val="clear" w:color="auto" w:fill="E5F1F8"/>
          </w:tcPr>
          <w:p>
            <w:pPr>
              <w:spacing w:after="0" w:line="20" w:lineRule="exact"/>
              <w:rPr>
                <w:sz w:val="1"/>
                <w:szCs w:val="1"/>
                <w:color w:val="auto"/>
              </w:rPr>
            </w:pPr>
          </w:p>
        </w:tc>
        <w:tc>
          <w:tcPr>
            <w:tcW w:w="700" w:type="dxa"/>
            <w:vAlign w:val="bottom"/>
            <w:shd w:val="clear" w:color="auto" w:fill="E5F1F8"/>
          </w:tcPr>
          <w:p>
            <w:pPr>
              <w:spacing w:after="0" w:line="20" w:lineRule="exact"/>
              <w:rPr>
                <w:sz w:val="1"/>
                <w:szCs w:val="1"/>
                <w:color w:val="auto"/>
              </w:rPr>
            </w:pPr>
          </w:p>
        </w:tc>
      </w:tr>
      <w:tr>
        <w:trPr>
          <w:trHeight w:val="236"/>
        </w:trPr>
        <w:tc>
          <w:tcPr>
            <w:tcW w:w="340" w:type="dxa"/>
            <w:vAlign w:val="bottom"/>
            <w:shd w:val="clear" w:color="auto" w:fill="E5F1F8"/>
          </w:tcPr>
          <w:p>
            <w:pPr>
              <w:spacing w:after="0"/>
              <w:rPr>
                <w:sz w:val="20"/>
                <w:szCs w:val="20"/>
                <w:color w:val="auto"/>
              </w:rPr>
            </w:pPr>
          </w:p>
        </w:tc>
        <w:tc>
          <w:tcPr>
            <w:tcW w:w="4220" w:type="dxa"/>
            <w:vAlign w:val="bottom"/>
            <w:gridSpan w:val="24"/>
            <w:shd w:val="clear" w:color="auto" w:fill="E5F1F8"/>
          </w:tcPr>
          <w:p>
            <w:pPr>
              <w:spacing w:after="0"/>
              <w:rPr>
                <w:rFonts w:ascii="Arial" w:cs="Arial" w:eastAsia="Arial" w:hAnsi="Arial"/>
                <w:sz w:val="16"/>
                <w:szCs w:val="16"/>
                <w:color w:val="0000EE"/>
              </w:rPr>
            </w:pPr>
            <w:hyperlink w:anchor="page56">
              <w:r>
                <w:rPr>
                  <w:rFonts w:ascii="Arial" w:cs="Arial" w:eastAsia="Arial" w:hAnsi="Arial"/>
                  <w:sz w:val="16"/>
                  <w:szCs w:val="16"/>
                  <w:color w:val="0000EE"/>
                </w:rPr>
                <w:t>Stock Ownership Requirements</w:t>
              </w:r>
            </w:hyperlink>
          </w:p>
        </w:tc>
        <w:tc>
          <w:tcPr>
            <w:tcW w:w="700" w:type="dxa"/>
            <w:vAlign w:val="bottom"/>
            <w:shd w:val="clear" w:color="auto" w:fill="E5F1F8"/>
          </w:tcPr>
          <w:p>
            <w:pPr>
              <w:jc w:val="right"/>
              <w:ind w:right="59"/>
              <w:spacing w:after="0"/>
              <w:rPr>
                <w:sz w:val="20"/>
                <w:szCs w:val="20"/>
                <w:color w:val="auto"/>
              </w:rPr>
            </w:pPr>
            <w:r>
              <w:rPr>
                <w:rFonts w:ascii="Arial" w:cs="Arial" w:eastAsia="Arial" w:hAnsi="Arial"/>
                <w:sz w:val="16"/>
                <w:szCs w:val="16"/>
                <w:color w:val="007CBA"/>
              </w:rPr>
              <w:t>51</w:t>
            </w:r>
          </w:p>
        </w:tc>
      </w:tr>
      <w:tr>
        <w:trPr>
          <w:trHeight w:val="236"/>
        </w:trPr>
        <w:tc>
          <w:tcPr>
            <w:tcW w:w="340" w:type="dxa"/>
            <w:vAlign w:val="bottom"/>
            <w:tcBorders>
              <w:top w:val="single" w:sz="8" w:color="E5F1F8"/>
            </w:tcBorders>
            <w:shd w:val="clear" w:color="auto" w:fill="E5F1F8"/>
          </w:tcPr>
          <w:p>
            <w:pPr>
              <w:spacing w:after="0"/>
              <w:rPr>
                <w:sz w:val="20"/>
                <w:szCs w:val="20"/>
                <w:color w:val="auto"/>
              </w:rPr>
            </w:pPr>
          </w:p>
        </w:tc>
        <w:tc>
          <w:tcPr>
            <w:tcW w:w="2340" w:type="dxa"/>
            <w:vAlign w:val="bottom"/>
            <w:tcBorders>
              <w:top w:val="single" w:sz="8" w:color="0000EE"/>
              <w:right w:val="single" w:sz="8" w:color="E5F1F8"/>
            </w:tcBorders>
            <w:gridSpan w:val="12"/>
            <w:shd w:val="clear" w:color="auto" w:fill="E5F1F8"/>
          </w:tcPr>
          <w:p>
            <w:pPr>
              <w:spacing w:after="0"/>
              <w:rPr>
                <w:rFonts w:ascii="Arial" w:cs="Arial" w:eastAsia="Arial" w:hAnsi="Arial"/>
                <w:sz w:val="16"/>
                <w:szCs w:val="16"/>
                <w:color w:val="0000EE"/>
              </w:rPr>
            </w:pPr>
            <w:hyperlink w:anchor="page56">
              <w:r>
                <w:rPr>
                  <w:rFonts w:ascii="Arial" w:cs="Arial" w:eastAsia="Arial" w:hAnsi="Arial"/>
                  <w:sz w:val="16"/>
                  <w:szCs w:val="16"/>
                  <w:color w:val="0000EE"/>
                </w:rPr>
                <w:t>Clawback Policy</w:t>
              </w:r>
            </w:hyperlink>
          </w:p>
        </w:tc>
        <w:tc>
          <w:tcPr>
            <w:tcW w:w="1880" w:type="dxa"/>
            <w:vAlign w:val="bottom"/>
            <w:tcBorders>
              <w:top w:val="single" w:sz="8" w:color="E5F1F8"/>
            </w:tcBorders>
            <w:gridSpan w:val="12"/>
            <w:shd w:val="clear" w:color="auto" w:fill="E5F1F8"/>
          </w:tcPr>
          <w:p>
            <w:pPr>
              <w:spacing w:after="0"/>
              <w:rPr>
                <w:sz w:val="20"/>
                <w:szCs w:val="20"/>
                <w:color w:val="auto"/>
              </w:rPr>
            </w:pPr>
          </w:p>
        </w:tc>
        <w:tc>
          <w:tcPr>
            <w:tcW w:w="700" w:type="dxa"/>
            <w:vAlign w:val="bottom"/>
            <w:tcBorders>
              <w:top w:val="single" w:sz="8" w:color="E5F1F8"/>
            </w:tcBorders>
            <w:shd w:val="clear" w:color="auto" w:fill="E5F1F8"/>
          </w:tcPr>
          <w:p>
            <w:pPr>
              <w:jc w:val="right"/>
              <w:ind w:right="59"/>
              <w:spacing w:after="0"/>
              <w:rPr>
                <w:sz w:val="20"/>
                <w:szCs w:val="20"/>
                <w:color w:val="auto"/>
              </w:rPr>
            </w:pPr>
            <w:r>
              <w:rPr>
                <w:rFonts w:ascii="Arial" w:cs="Arial" w:eastAsia="Arial" w:hAnsi="Arial"/>
                <w:sz w:val="16"/>
                <w:szCs w:val="16"/>
                <w:color w:val="007CBA"/>
              </w:rPr>
              <w:t>51</w:t>
            </w:r>
          </w:p>
        </w:tc>
      </w:tr>
      <w:tr>
        <w:trPr>
          <w:trHeight w:val="250"/>
        </w:trPr>
        <w:tc>
          <w:tcPr>
            <w:tcW w:w="340" w:type="dxa"/>
            <w:vAlign w:val="bottom"/>
            <w:tcBorders>
              <w:top w:val="single" w:sz="8" w:color="E5F1F8"/>
            </w:tcBorders>
            <w:shd w:val="clear" w:color="auto" w:fill="E5F1F8"/>
          </w:tcPr>
          <w:p>
            <w:pPr>
              <w:spacing w:after="0"/>
              <w:rPr>
                <w:sz w:val="21"/>
                <w:szCs w:val="21"/>
                <w:color w:val="auto"/>
              </w:rPr>
            </w:pPr>
          </w:p>
        </w:tc>
        <w:tc>
          <w:tcPr>
            <w:tcW w:w="840" w:type="dxa"/>
            <w:vAlign w:val="bottom"/>
            <w:tcBorders>
              <w:top w:val="single" w:sz="8" w:color="0000EE"/>
            </w:tcBorders>
            <w:shd w:val="clear" w:color="auto" w:fill="E5F1F8"/>
          </w:tcPr>
          <w:p>
            <w:pPr>
              <w:spacing w:after="0"/>
              <w:rPr>
                <w:sz w:val="21"/>
                <w:szCs w:val="21"/>
                <w:color w:val="auto"/>
              </w:rPr>
            </w:pPr>
          </w:p>
        </w:tc>
        <w:tc>
          <w:tcPr>
            <w:tcW w:w="20" w:type="dxa"/>
            <w:vAlign w:val="bottom"/>
            <w:tcBorders>
              <w:top w:val="single" w:sz="8" w:color="0000EE"/>
            </w:tcBorders>
            <w:shd w:val="clear" w:color="auto" w:fill="E5F1F8"/>
          </w:tcPr>
          <w:p>
            <w:pPr>
              <w:spacing w:after="0"/>
              <w:rPr>
                <w:sz w:val="21"/>
                <w:szCs w:val="21"/>
                <w:color w:val="auto"/>
              </w:rPr>
            </w:pPr>
          </w:p>
        </w:tc>
        <w:tc>
          <w:tcPr>
            <w:tcW w:w="180" w:type="dxa"/>
            <w:vAlign w:val="bottom"/>
            <w:tcBorders>
              <w:top w:val="single" w:sz="8" w:color="0000EE"/>
            </w:tcBorders>
            <w:shd w:val="clear" w:color="auto" w:fill="E5F1F8"/>
          </w:tcPr>
          <w:p>
            <w:pPr>
              <w:spacing w:after="0"/>
              <w:rPr>
                <w:sz w:val="21"/>
                <w:szCs w:val="21"/>
                <w:color w:val="auto"/>
              </w:rPr>
            </w:pPr>
          </w:p>
        </w:tc>
        <w:tc>
          <w:tcPr>
            <w:tcW w:w="140" w:type="dxa"/>
            <w:vAlign w:val="bottom"/>
            <w:tcBorders>
              <w:top w:val="single" w:sz="8" w:color="0000EE"/>
            </w:tcBorders>
            <w:shd w:val="clear" w:color="auto" w:fill="E5F1F8"/>
          </w:tcPr>
          <w:p>
            <w:pPr>
              <w:spacing w:after="0"/>
              <w:rPr>
                <w:sz w:val="21"/>
                <w:szCs w:val="21"/>
                <w:color w:val="auto"/>
              </w:rPr>
            </w:pPr>
          </w:p>
        </w:tc>
        <w:tc>
          <w:tcPr>
            <w:tcW w:w="80" w:type="dxa"/>
            <w:vAlign w:val="bottom"/>
            <w:tcBorders>
              <w:top w:val="single" w:sz="8" w:color="E5F1F8"/>
            </w:tcBorders>
            <w:shd w:val="clear" w:color="auto" w:fill="E5F1F8"/>
          </w:tcPr>
          <w:p>
            <w:pPr>
              <w:spacing w:after="0"/>
              <w:rPr>
                <w:sz w:val="21"/>
                <w:szCs w:val="21"/>
                <w:color w:val="auto"/>
              </w:rPr>
            </w:pPr>
          </w:p>
        </w:tc>
        <w:tc>
          <w:tcPr>
            <w:tcW w:w="180" w:type="dxa"/>
            <w:vAlign w:val="bottom"/>
            <w:tcBorders>
              <w:top w:val="single" w:sz="8" w:color="E5F1F8"/>
            </w:tcBorders>
            <w:shd w:val="clear" w:color="auto" w:fill="E5F1F8"/>
          </w:tcPr>
          <w:p>
            <w:pPr>
              <w:spacing w:after="0"/>
              <w:rPr>
                <w:sz w:val="21"/>
                <w:szCs w:val="21"/>
                <w:color w:val="auto"/>
              </w:rPr>
            </w:pPr>
          </w:p>
        </w:tc>
        <w:tc>
          <w:tcPr>
            <w:tcW w:w="200" w:type="dxa"/>
            <w:vAlign w:val="bottom"/>
            <w:tcBorders>
              <w:top w:val="single" w:sz="8" w:color="E5F1F8"/>
            </w:tcBorders>
            <w:shd w:val="clear" w:color="auto" w:fill="E5F1F8"/>
          </w:tcPr>
          <w:p>
            <w:pPr>
              <w:spacing w:after="0"/>
              <w:rPr>
                <w:sz w:val="21"/>
                <w:szCs w:val="21"/>
                <w:color w:val="auto"/>
              </w:rPr>
            </w:pPr>
          </w:p>
        </w:tc>
        <w:tc>
          <w:tcPr>
            <w:tcW w:w="40" w:type="dxa"/>
            <w:vAlign w:val="bottom"/>
            <w:tcBorders>
              <w:top w:val="single" w:sz="8" w:color="E5F1F8"/>
            </w:tcBorders>
            <w:shd w:val="clear" w:color="auto" w:fill="E5F1F8"/>
          </w:tcPr>
          <w:p>
            <w:pPr>
              <w:spacing w:after="0"/>
              <w:rPr>
                <w:sz w:val="21"/>
                <w:szCs w:val="21"/>
                <w:color w:val="auto"/>
              </w:rPr>
            </w:pPr>
          </w:p>
        </w:tc>
        <w:tc>
          <w:tcPr>
            <w:tcW w:w="80" w:type="dxa"/>
            <w:vAlign w:val="bottom"/>
            <w:tcBorders>
              <w:top w:val="single" w:sz="8" w:color="E5F1F8"/>
            </w:tcBorders>
            <w:shd w:val="clear" w:color="auto" w:fill="E5F1F8"/>
          </w:tcPr>
          <w:p>
            <w:pPr>
              <w:spacing w:after="0"/>
              <w:rPr>
                <w:sz w:val="21"/>
                <w:szCs w:val="21"/>
                <w:color w:val="auto"/>
              </w:rPr>
            </w:pPr>
          </w:p>
        </w:tc>
        <w:tc>
          <w:tcPr>
            <w:tcW w:w="80" w:type="dxa"/>
            <w:vAlign w:val="bottom"/>
            <w:tcBorders>
              <w:top w:val="single" w:sz="8" w:color="E5F1F8"/>
            </w:tcBorders>
            <w:shd w:val="clear" w:color="auto" w:fill="E5F1F8"/>
          </w:tcPr>
          <w:p>
            <w:pPr>
              <w:spacing w:after="0"/>
              <w:rPr>
                <w:sz w:val="21"/>
                <w:szCs w:val="21"/>
                <w:color w:val="auto"/>
              </w:rPr>
            </w:pPr>
          </w:p>
        </w:tc>
        <w:tc>
          <w:tcPr>
            <w:tcW w:w="180" w:type="dxa"/>
            <w:vAlign w:val="bottom"/>
            <w:tcBorders>
              <w:top w:val="single" w:sz="8" w:color="E5F1F8"/>
            </w:tcBorders>
            <w:shd w:val="clear" w:color="auto" w:fill="E5F1F8"/>
          </w:tcPr>
          <w:p>
            <w:pPr>
              <w:spacing w:after="0"/>
              <w:rPr>
                <w:sz w:val="21"/>
                <w:szCs w:val="21"/>
                <w:color w:val="auto"/>
              </w:rPr>
            </w:pPr>
          </w:p>
        </w:tc>
        <w:tc>
          <w:tcPr>
            <w:tcW w:w="320" w:type="dxa"/>
            <w:vAlign w:val="bottom"/>
            <w:tcBorders>
              <w:top w:val="single" w:sz="8" w:color="E5F1F8"/>
              <w:right w:val="single" w:sz="8" w:color="E5F1F8"/>
            </w:tcBorders>
            <w:shd w:val="clear" w:color="auto" w:fill="E5F1F8"/>
          </w:tcPr>
          <w:p>
            <w:pPr>
              <w:spacing w:after="0"/>
              <w:rPr>
                <w:sz w:val="21"/>
                <w:szCs w:val="21"/>
                <w:color w:val="auto"/>
              </w:rPr>
            </w:pPr>
          </w:p>
        </w:tc>
        <w:tc>
          <w:tcPr>
            <w:tcW w:w="240" w:type="dxa"/>
            <w:vAlign w:val="bottom"/>
            <w:tcBorders>
              <w:top w:val="single" w:sz="8" w:color="E5F1F8"/>
            </w:tcBorders>
            <w:shd w:val="clear" w:color="auto" w:fill="E5F1F8"/>
          </w:tcPr>
          <w:p>
            <w:pPr>
              <w:spacing w:after="0"/>
              <w:rPr>
                <w:sz w:val="21"/>
                <w:szCs w:val="21"/>
                <w:color w:val="auto"/>
              </w:rPr>
            </w:pPr>
          </w:p>
        </w:tc>
        <w:tc>
          <w:tcPr>
            <w:tcW w:w="80" w:type="dxa"/>
            <w:vAlign w:val="bottom"/>
            <w:tcBorders>
              <w:top w:val="single" w:sz="8" w:color="E5F1F8"/>
            </w:tcBorders>
            <w:shd w:val="clear" w:color="auto" w:fill="E5F1F8"/>
          </w:tcPr>
          <w:p>
            <w:pPr>
              <w:spacing w:after="0"/>
              <w:rPr>
                <w:sz w:val="21"/>
                <w:szCs w:val="21"/>
                <w:color w:val="auto"/>
              </w:rPr>
            </w:pPr>
          </w:p>
        </w:tc>
        <w:tc>
          <w:tcPr>
            <w:tcW w:w="240" w:type="dxa"/>
            <w:vAlign w:val="bottom"/>
            <w:tcBorders>
              <w:top w:val="single" w:sz="8" w:color="E5F1F8"/>
            </w:tcBorders>
            <w:shd w:val="clear" w:color="auto" w:fill="E5F1F8"/>
          </w:tcPr>
          <w:p>
            <w:pPr>
              <w:spacing w:after="0"/>
              <w:rPr>
                <w:sz w:val="21"/>
                <w:szCs w:val="21"/>
                <w:color w:val="auto"/>
              </w:rPr>
            </w:pPr>
          </w:p>
        </w:tc>
        <w:tc>
          <w:tcPr>
            <w:tcW w:w="60" w:type="dxa"/>
            <w:vAlign w:val="bottom"/>
            <w:tcBorders>
              <w:top w:val="single" w:sz="8" w:color="E5F1F8"/>
            </w:tcBorders>
            <w:shd w:val="clear" w:color="auto" w:fill="E5F1F8"/>
          </w:tcPr>
          <w:p>
            <w:pPr>
              <w:spacing w:after="0"/>
              <w:rPr>
                <w:sz w:val="21"/>
                <w:szCs w:val="21"/>
                <w:color w:val="auto"/>
              </w:rPr>
            </w:pPr>
          </w:p>
        </w:tc>
        <w:tc>
          <w:tcPr>
            <w:tcW w:w="20" w:type="dxa"/>
            <w:vAlign w:val="bottom"/>
            <w:tcBorders>
              <w:top w:val="single" w:sz="8" w:color="E5F1F8"/>
            </w:tcBorders>
            <w:shd w:val="clear" w:color="auto" w:fill="E5F1F8"/>
          </w:tcPr>
          <w:p>
            <w:pPr>
              <w:spacing w:after="0"/>
              <w:rPr>
                <w:sz w:val="21"/>
                <w:szCs w:val="21"/>
                <w:color w:val="auto"/>
              </w:rPr>
            </w:pPr>
          </w:p>
        </w:tc>
        <w:tc>
          <w:tcPr>
            <w:tcW w:w="380" w:type="dxa"/>
            <w:vAlign w:val="bottom"/>
            <w:tcBorders>
              <w:top w:val="single" w:sz="8" w:color="E5F1F8"/>
            </w:tcBorders>
            <w:shd w:val="clear" w:color="auto" w:fill="E5F1F8"/>
          </w:tcPr>
          <w:p>
            <w:pPr>
              <w:spacing w:after="0"/>
              <w:rPr>
                <w:sz w:val="21"/>
                <w:szCs w:val="21"/>
                <w:color w:val="auto"/>
              </w:rPr>
            </w:pPr>
          </w:p>
        </w:tc>
        <w:tc>
          <w:tcPr>
            <w:tcW w:w="20" w:type="dxa"/>
            <w:vAlign w:val="bottom"/>
            <w:tcBorders>
              <w:top w:val="single" w:sz="8" w:color="E5F1F8"/>
            </w:tcBorders>
            <w:shd w:val="clear" w:color="auto" w:fill="E5F1F8"/>
          </w:tcPr>
          <w:p>
            <w:pPr>
              <w:spacing w:after="0"/>
              <w:rPr>
                <w:sz w:val="21"/>
                <w:szCs w:val="21"/>
                <w:color w:val="auto"/>
              </w:rPr>
            </w:pPr>
          </w:p>
        </w:tc>
        <w:tc>
          <w:tcPr>
            <w:tcW w:w="420" w:type="dxa"/>
            <w:vAlign w:val="bottom"/>
            <w:tcBorders>
              <w:top w:val="single" w:sz="8" w:color="E5F1F8"/>
            </w:tcBorders>
            <w:shd w:val="clear" w:color="auto" w:fill="E5F1F8"/>
          </w:tcPr>
          <w:p>
            <w:pPr>
              <w:spacing w:after="0"/>
              <w:rPr>
                <w:sz w:val="21"/>
                <w:szCs w:val="21"/>
                <w:color w:val="auto"/>
              </w:rPr>
            </w:pPr>
          </w:p>
        </w:tc>
        <w:tc>
          <w:tcPr>
            <w:tcW w:w="20" w:type="dxa"/>
            <w:vAlign w:val="bottom"/>
            <w:tcBorders>
              <w:top w:val="single" w:sz="8" w:color="E5F1F8"/>
            </w:tcBorders>
            <w:shd w:val="clear" w:color="auto" w:fill="E5F1F8"/>
          </w:tcPr>
          <w:p>
            <w:pPr>
              <w:spacing w:after="0"/>
              <w:rPr>
                <w:sz w:val="21"/>
                <w:szCs w:val="21"/>
                <w:color w:val="auto"/>
              </w:rPr>
            </w:pPr>
          </w:p>
        </w:tc>
        <w:tc>
          <w:tcPr>
            <w:tcW w:w="220" w:type="dxa"/>
            <w:vAlign w:val="bottom"/>
            <w:tcBorders>
              <w:top w:val="single" w:sz="8" w:color="E5F1F8"/>
            </w:tcBorders>
            <w:shd w:val="clear" w:color="auto" w:fill="E5F1F8"/>
          </w:tcPr>
          <w:p>
            <w:pPr>
              <w:spacing w:after="0"/>
              <w:rPr>
                <w:sz w:val="21"/>
                <w:szCs w:val="21"/>
                <w:color w:val="auto"/>
              </w:rPr>
            </w:pPr>
          </w:p>
        </w:tc>
        <w:tc>
          <w:tcPr>
            <w:tcW w:w="20" w:type="dxa"/>
            <w:vAlign w:val="bottom"/>
            <w:tcBorders>
              <w:top w:val="single" w:sz="8" w:color="E5F1F8"/>
            </w:tcBorders>
            <w:shd w:val="clear" w:color="auto" w:fill="E5F1F8"/>
          </w:tcPr>
          <w:p>
            <w:pPr>
              <w:spacing w:after="0"/>
              <w:rPr>
                <w:sz w:val="21"/>
                <w:szCs w:val="21"/>
                <w:color w:val="auto"/>
              </w:rPr>
            </w:pPr>
          </w:p>
        </w:tc>
        <w:tc>
          <w:tcPr>
            <w:tcW w:w="160" w:type="dxa"/>
            <w:vAlign w:val="bottom"/>
            <w:tcBorders>
              <w:top w:val="single" w:sz="8" w:color="E5F1F8"/>
            </w:tcBorders>
            <w:shd w:val="clear" w:color="auto" w:fill="E5F1F8"/>
          </w:tcPr>
          <w:p>
            <w:pPr>
              <w:spacing w:after="0"/>
              <w:rPr>
                <w:sz w:val="21"/>
                <w:szCs w:val="21"/>
                <w:color w:val="auto"/>
              </w:rPr>
            </w:pPr>
          </w:p>
        </w:tc>
        <w:tc>
          <w:tcPr>
            <w:tcW w:w="700" w:type="dxa"/>
            <w:vAlign w:val="bottom"/>
            <w:tcBorders>
              <w:top w:val="single" w:sz="8" w:color="E5F1F8"/>
            </w:tcBorders>
            <w:shd w:val="clear" w:color="auto" w:fill="E5F1F8"/>
          </w:tcPr>
          <w:p>
            <w:pPr>
              <w:spacing w:after="0"/>
              <w:rPr>
                <w:sz w:val="21"/>
                <w:szCs w:val="2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418"/>
        </w:trPr>
        <w:tc>
          <w:tcPr>
            <w:tcW w:w="320" w:type="dxa"/>
            <w:vAlign w:val="bottom"/>
            <w:shd w:val="clear" w:color="auto" w:fill="E5F1F8"/>
          </w:tcPr>
          <w:p>
            <w:pPr>
              <w:spacing w:after="0"/>
              <w:rPr>
                <w:sz w:val="24"/>
                <w:szCs w:val="24"/>
                <w:color w:val="auto"/>
              </w:rPr>
            </w:pPr>
          </w:p>
        </w:tc>
        <w:tc>
          <w:tcPr>
            <w:tcW w:w="3700" w:type="dxa"/>
            <w:vAlign w:val="bottom"/>
            <w:gridSpan w:val="11"/>
            <w:shd w:val="clear" w:color="auto" w:fill="E5F1F8"/>
          </w:tcPr>
          <w:p>
            <w:pPr>
              <w:spacing w:after="0"/>
              <w:rPr>
                <w:rFonts w:ascii="Arial" w:cs="Arial" w:eastAsia="Arial" w:hAnsi="Arial"/>
                <w:sz w:val="16"/>
                <w:szCs w:val="16"/>
                <w:color w:val="0000EE"/>
              </w:rPr>
            </w:pPr>
            <w:hyperlink w:anchor="page57">
              <w:r>
                <w:rPr>
                  <w:rFonts w:ascii="Arial" w:cs="Arial" w:eastAsia="Arial" w:hAnsi="Arial"/>
                  <w:sz w:val="16"/>
                  <w:szCs w:val="16"/>
                  <w:color w:val="0000EE"/>
                </w:rPr>
                <w:t>Our Use of Independent</w:t>
              </w:r>
            </w:hyperlink>
          </w:p>
        </w:tc>
        <w:tc>
          <w:tcPr>
            <w:tcW w:w="1360" w:type="dxa"/>
            <w:vAlign w:val="bottom"/>
            <w:shd w:val="clear" w:color="auto" w:fill="E5F1F8"/>
          </w:tcPr>
          <w:p>
            <w:pPr>
              <w:spacing w:after="0"/>
              <w:rPr>
                <w:sz w:val="24"/>
                <w:szCs w:val="24"/>
                <w:color w:val="auto"/>
              </w:rPr>
            </w:pPr>
          </w:p>
        </w:tc>
      </w:tr>
      <w:tr>
        <w:trPr>
          <w:trHeight w:val="20"/>
        </w:trPr>
        <w:tc>
          <w:tcPr>
            <w:tcW w:w="320" w:type="dxa"/>
            <w:vAlign w:val="bottom"/>
            <w:shd w:val="clear" w:color="auto" w:fill="E5F1F8"/>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E5F1F8"/>
          </w:tcPr>
          <w:p>
            <w:pPr>
              <w:spacing w:after="0" w:line="20" w:lineRule="exact"/>
              <w:rPr>
                <w:sz w:val="1"/>
                <w:szCs w:val="1"/>
                <w:color w:val="auto"/>
              </w:rPr>
            </w:pPr>
          </w:p>
        </w:tc>
        <w:tc>
          <w:tcPr>
            <w:tcW w:w="140" w:type="dxa"/>
            <w:vAlign w:val="bottom"/>
            <w:shd w:val="clear" w:color="auto" w:fill="E5F1F8"/>
          </w:tcPr>
          <w:p>
            <w:pPr>
              <w:spacing w:after="0" w:line="20" w:lineRule="exact"/>
              <w:rPr>
                <w:sz w:val="1"/>
                <w:szCs w:val="1"/>
                <w:color w:val="auto"/>
              </w:rPr>
            </w:pPr>
          </w:p>
        </w:tc>
        <w:tc>
          <w:tcPr>
            <w:tcW w:w="100" w:type="dxa"/>
            <w:vAlign w:val="bottom"/>
            <w:shd w:val="clear" w:color="auto" w:fill="E5F1F8"/>
          </w:tcPr>
          <w:p>
            <w:pPr>
              <w:spacing w:after="0" w:line="20" w:lineRule="exact"/>
              <w:rPr>
                <w:sz w:val="1"/>
                <w:szCs w:val="1"/>
                <w:color w:val="auto"/>
              </w:rPr>
            </w:pPr>
          </w:p>
        </w:tc>
        <w:tc>
          <w:tcPr>
            <w:tcW w:w="120" w:type="dxa"/>
            <w:vAlign w:val="bottom"/>
            <w:shd w:val="clear" w:color="auto" w:fill="E5F1F8"/>
          </w:tcPr>
          <w:p>
            <w:pPr>
              <w:spacing w:after="0" w:line="20" w:lineRule="exact"/>
              <w:rPr>
                <w:sz w:val="1"/>
                <w:szCs w:val="1"/>
                <w:color w:val="auto"/>
              </w:rPr>
            </w:pPr>
          </w:p>
        </w:tc>
        <w:tc>
          <w:tcPr>
            <w:tcW w:w="380" w:type="dxa"/>
            <w:vAlign w:val="bottom"/>
            <w:shd w:val="clear" w:color="auto" w:fill="E5F1F8"/>
          </w:tcPr>
          <w:p>
            <w:pPr>
              <w:spacing w:after="0" w:line="20" w:lineRule="exact"/>
              <w:rPr>
                <w:sz w:val="1"/>
                <w:szCs w:val="1"/>
                <w:color w:val="auto"/>
              </w:rPr>
            </w:pPr>
          </w:p>
        </w:tc>
        <w:tc>
          <w:tcPr>
            <w:tcW w:w="1020" w:type="dxa"/>
            <w:vAlign w:val="bottom"/>
            <w:shd w:val="clear" w:color="auto" w:fill="E5F1F8"/>
          </w:tcPr>
          <w:p>
            <w:pPr>
              <w:spacing w:after="0" w:line="20" w:lineRule="exact"/>
              <w:rPr>
                <w:sz w:val="1"/>
                <w:szCs w:val="1"/>
                <w:color w:val="auto"/>
              </w:rPr>
            </w:pPr>
          </w:p>
        </w:tc>
        <w:tc>
          <w:tcPr>
            <w:tcW w:w="1360" w:type="dxa"/>
            <w:vAlign w:val="bottom"/>
            <w:shd w:val="clear" w:color="auto" w:fill="E5F1F8"/>
          </w:tcPr>
          <w:p>
            <w:pPr>
              <w:spacing w:after="0" w:line="20" w:lineRule="exact"/>
              <w:rPr>
                <w:sz w:val="1"/>
                <w:szCs w:val="1"/>
                <w:color w:val="auto"/>
              </w:rPr>
            </w:pPr>
          </w:p>
        </w:tc>
      </w:tr>
      <w:tr>
        <w:trPr>
          <w:trHeight w:val="169"/>
        </w:trPr>
        <w:tc>
          <w:tcPr>
            <w:tcW w:w="320" w:type="dxa"/>
            <w:vAlign w:val="bottom"/>
            <w:tcBorders>
              <w:bottom w:val="single" w:sz="8" w:color="E5F1F8"/>
            </w:tcBorders>
            <w:shd w:val="clear" w:color="auto" w:fill="E5F1F8"/>
          </w:tcPr>
          <w:p>
            <w:pPr>
              <w:spacing w:after="0"/>
              <w:rPr>
                <w:sz w:val="14"/>
                <w:szCs w:val="14"/>
                <w:color w:val="auto"/>
              </w:rPr>
            </w:pPr>
          </w:p>
        </w:tc>
        <w:tc>
          <w:tcPr>
            <w:tcW w:w="1940" w:type="dxa"/>
            <w:vAlign w:val="bottom"/>
            <w:tcBorders>
              <w:bottom w:val="single" w:sz="8" w:color="0000EE"/>
            </w:tcBorders>
            <w:gridSpan w:val="6"/>
            <w:shd w:val="clear" w:color="auto" w:fill="E5F1F8"/>
          </w:tcPr>
          <w:p>
            <w:pPr>
              <w:spacing w:after="0" w:line="155" w:lineRule="exact"/>
              <w:rPr>
                <w:rFonts w:ascii="Arial" w:cs="Arial" w:eastAsia="Arial" w:hAnsi="Arial"/>
                <w:sz w:val="16"/>
                <w:szCs w:val="16"/>
                <w:color w:val="0000EE"/>
                <w:w w:val="99"/>
              </w:rPr>
            </w:pPr>
            <w:hyperlink w:anchor="page57">
              <w:r>
                <w:rPr>
                  <w:rFonts w:ascii="Arial" w:cs="Arial" w:eastAsia="Arial" w:hAnsi="Arial"/>
                  <w:sz w:val="16"/>
                  <w:szCs w:val="16"/>
                  <w:color w:val="0000EE"/>
                  <w:w w:val="99"/>
                </w:rPr>
                <w:t>Compensation Consultants</w:t>
              </w:r>
            </w:hyperlink>
          </w:p>
        </w:tc>
        <w:tc>
          <w:tcPr>
            <w:tcW w:w="1760" w:type="dxa"/>
            <w:vAlign w:val="bottom"/>
            <w:tcBorders>
              <w:bottom w:val="single" w:sz="8" w:color="E5F1F8"/>
            </w:tcBorders>
            <w:gridSpan w:val="5"/>
            <w:shd w:val="clear" w:color="auto" w:fill="E5F1F8"/>
          </w:tcPr>
          <w:p>
            <w:pPr>
              <w:spacing w:after="0"/>
              <w:rPr>
                <w:sz w:val="14"/>
                <w:szCs w:val="14"/>
                <w:color w:val="auto"/>
              </w:rPr>
            </w:pPr>
          </w:p>
        </w:tc>
        <w:tc>
          <w:tcPr>
            <w:tcW w:w="1360" w:type="dxa"/>
            <w:vAlign w:val="bottom"/>
            <w:tcBorders>
              <w:bottom w:val="single" w:sz="8" w:color="E5F1F8"/>
            </w:tcBorders>
            <w:shd w:val="clear" w:color="auto" w:fill="E5F1F8"/>
          </w:tcPr>
          <w:p>
            <w:pPr>
              <w:jc w:val="right"/>
              <w:ind w:right="59"/>
              <w:spacing w:after="0" w:line="155" w:lineRule="exact"/>
              <w:rPr>
                <w:sz w:val="20"/>
                <w:szCs w:val="20"/>
                <w:color w:val="auto"/>
              </w:rPr>
            </w:pPr>
            <w:r>
              <w:rPr>
                <w:rFonts w:ascii="Arial" w:cs="Arial" w:eastAsia="Arial" w:hAnsi="Arial"/>
                <w:sz w:val="16"/>
                <w:szCs w:val="16"/>
                <w:color w:val="007CBA"/>
              </w:rPr>
              <w:t>52</w:t>
            </w:r>
          </w:p>
        </w:tc>
      </w:tr>
      <w:tr>
        <w:trPr>
          <w:trHeight w:val="250"/>
        </w:trPr>
        <w:tc>
          <w:tcPr>
            <w:tcW w:w="320" w:type="dxa"/>
            <w:vAlign w:val="bottom"/>
            <w:tcBorders>
              <w:bottom w:val="single" w:sz="8" w:color="E5F1F8"/>
            </w:tcBorders>
            <w:shd w:val="clear" w:color="auto" w:fill="E5F1F8"/>
          </w:tcPr>
          <w:p>
            <w:pPr>
              <w:spacing w:after="0"/>
              <w:rPr>
                <w:sz w:val="21"/>
                <w:szCs w:val="21"/>
                <w:color w:val="auto"/>
              </w:rPr>
            </w:pPr>
          </w:p>
        </w:tc>
        <w:tc>
          <w:tcPr>
            <w:tcW w:w="2080" w:type="dxa"/>
            <w:vAlign w:val="bottom"/>
            <w:tcBorders>
              <w:bottom w:val="single" w:sz="8" w:color="0000EE"/>
            </w:tcBorders>
            <w:gridSpan w:val="7"/>
            <w:shd w:val="clear" w:color="auto" w:fill="E5F1F8"/>
          </w:tcPr>
          <w:p>
            <w:pPr>
              <w:spacing w:after="0"/>
              <w:rPr>
                <w:rFonts w:ascii="Arial" w:cs="Arial" w:eastAsia="Arial" w:hAnsi="Arial"/>
                <w:sz w:val="16"/>
                <w:szCs w:val="16"/>
                <w:color w:val="0000EE"/>
                <w:w w:val="99"/>
              </w:rPr>
            </w:pPr>
            <w:hyperlink w:anchor="page57">
              <w:r>
                <w:rPr>
                  <w:rFonts w:ascii="Arial" w:cs="Arial" w:eastAsia="Arial" w:hAnsi="Arial"/>
                  <w:sz w:val="16"/>
                  <w:szCs w:val="16"/>
                  <w:color w:val="0000EE"/>
                  <w:w w:val="99"/>
                </w:rPr>
                <w:t>Practice Regarding Timing of</w:t>
              </w:r>
            </w:hyperlink>
          </w:p>
        </w:tc>
        <w:tc>
          <w:tcPr>
            <w:tcW w:w="1620" w:type="dxa"/>
            <w:vAlign w:val="bottom"/>
            <w:tcBorders>
              <w:bottom w:val="single" w:sz="8" w:color="E5F1F8"/>
            </w:tcBorders>
            <w:gridSpan w:val="4"/>
            <w:shd w:val="clear" w:color="auto" w:fill="E5F1F8"/>
          </w:tcPr>
          <w:p>
            <w:pPr>
              <w:spacing w:after="0"/>
              <w:rPr>
                <w:sz w:val="21"/>
                <w:szCs w:val="21"/>
                <w:color w:val="auto"/>
              </w:rPr>
            </w:pPr>
          </w:p>
        </w:tc>
        <w:tc>
          <w:tcPr>
            <w:tcW w:w="1360" w:type="dxa"/>
            <w:vAlign w:val="bottom"/>
            <w:tcBorders>
              <w:bottom w:val="single" w:sz="8" w:color="E5F1F8"/>
            </w:tcBorders>
            <w:shd w:val="clear" w:color="auto" w:fill="E5F1F8"/>
          </w:tcPr>
          <w:p>
            <w:pPr>
              <w:spacing w:after="0"/>
              <w:rPr>
                <w:sz w:val="21"/>
                <w:szCs w:val="21"/>
                <w:color w:val="auto"/>
              </w:rPr>
            </w:pPr>
          </w:p>
        </w:tc>
      </w:tr>
      <w:tr>
        <w:trPr>
          <w:trHeight w:val="169"/>
        </w:trPr>
        <w:tc>
          <w:tcPr>
            <w:tcW w:w="320" w:type="dxa"/>
            <w:vAlign w:val="bottom"/>
            <w:shd w:val="clear" w:color="auto" w:fill="E5F1F8"/>
          </w:tcPr>
          <w:p>
            <w:pPr>
              <w:spacing w:after="0"/>
              <w:rPr>
                <w:sz w:val="14"/>
                <w:szCs w:val="14"/>
                <w:color w:val="auto"/>
              </w:rPr>
            </w:pPr>
          </w:p>
        </w:tc>
        <w:tc>
          <w:tcPr>
            <w:tcW w:w="3700" w:type="dxa"/>
            <w:vAlign w:val="bottom"/>
            <w:gridSpan w:val="11"/>
            <w:shd w:val="clear" w:color="auto" w:fill="E5F1F8"/>
          </w:tcPr>
          <w:p>
            <w:pPr>
              <w:spacing w:after="0" w:line="155" w:lineRule="exact"/>
              <w:rPr>
                <w:rFonts w:ascii="Arial" w:cs="Arial" w:eastAsia="Arial" w:hAnsi="Arial"/>
                <w:sz w:val="16"/>
                <w:szCs w:val="16"/>
                <w:color w:val="0000EE"/>
              </w:rPr>
            </w:pPr>
            <w:hyperlink w:anchor="page57">
              <w:r>
                <w:rPr>
                  <w:rFonts w:ascii="Arial" w:cs="Arial" w:eastAsia="Arial" w:hAnsi="Arial"/>
                  <w:sz w:val="16"/>
                  <w:szCs w:val="16"/>
                  <w:color w:val="0000EE"/>
                </w:rPr>
                <w:t>Equity Grants</w:t>
              </w:r>
            </w:hyperlink>
          </w:p>
        </w:tc>
        <w:tc>
          <w:tcPr>
            <w:tcW w:w="1360" w:type="dxa"/>
            <w:vAlign w:val="bottom"/>
            <w:shd w:val="clear" w:color="auto" w:fill="E5F1F8"/>
          </w:tcPr>
          <w:p>
            <w:pPr>
              <w:jc w:val="right"/>
              <w:ind w:right="59"/>
              <w:spacing w:after="0" w:line="155" w:lineRule="exact"/>
              <w:rPr>
                <w:sz w:val="20"/>
                <w:szCs w:val="20"/>
                <w:color w:val="auto"/>
              </w:rPr>
            </w:pPr>
            <w:r>
              <w:rPr>
                <w:rFonts w:ascii="Arial" w:cs="Arial" w:eastAsia="Arial" w:hAnsi="Arial"/>
                <w:sz w:val="16"/>
                <w:szCs w:val="16"/>
                <w:color w:val="007CBA"/>
              </w:rPr>
              <w:t>52</w:t>
            </w:r>
          </w:p>
        </w:tc>
      </w:tr>
      <w:tr>
        <w:trPr>
          <w:trHeight w:val="20"/>
        </w:trPr>
        <w:tc>
          <w:tcPr>
            <w:tcW w:w="320" w:type="dxa"/>
            <w:vAlign w:val="bottom"/>
            <w:shd w:val="clear" w:color="auto" w:fill="E5F1F8"/>
          </w:tcPr>
          <w:p>
            <w:pPr>
              <w:spacing w:after="0" w:line="20" w:lineRule="exact"/>
              <w:rPr>
                <w:sz w:val="1"/>
                <w:szCs w:val="1"/>
                <w:color w:val="auto"/>
              </w:rPr>
            </w:pPr>
          </w:p>
        </w:tc>
        <w:tc>
          <w:tcPr>
            <w:tcW w:w="480" w:type="dxa"/>
            <w:vAlign w:val="bottom"/>
            <w:tcBorders>
              <w:right w:val="single" w:sz="8" w:color="E5F1F8"/>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E5F1F8"/>
          </w:tcPr>
          <w:p>
            <w:pPr>
              <w:spacing w:after="0" w:line="20" w:lineRule="exact"/>
              <w:rPr>
                <w:sz w:val="1"/>
                <w:szCs w:val="1"/>
                <w:color w:val="auto"/>
              </w:rPr>
            </w:pPr>
          </w:p>
        </w:tc>
        <w:tc>
          <w:tcPr>
            <w:tcW w:w="680" w:type="dxa"/>
            <w:vAlign w:val="bottom"/>
            <w:gridSpan w:val="4"/>
            <w:shd w:val="clear" w:color="auto" w:fill="E5F1F8"/>
          </w:tcPr>
          <w:p>
            <w:pPr>
              <w:spacing w:after="0" w:line="20" w:lineRule="exact"/>
              <w:rPr>
                <w:sz w:val="1"/>
                <w:szCs w:val="1"/>
                <w:color w:val="auto"/>
              </w:rPr>
            </w:pPr>
          </w:p>
        </w:tc>
        <w:tc>
          <w:tcPr>
            <w:tcW w:w="120" w:type="dxa"/>
            <w:vAlign w:val="bottom"/>
            <w:shd w:val="clear" w:color="auto" w:fill="E5F1F8"/>
          </w:tcPr>
          <w:p>
            <w:pPr>
              <w:spacing w:after="0" w:line="20" w:lineRule="exact"/>
              <w:rPr>
                <w:sz w:val="1"/>
                <w:szCs w:val="1"/>
                <w:color w:val="auto"/>
              </w:rPr>
            </w:pPr>
          </w:p>
        </w:tc>
        <w:tc>
          <w:tcPr>
            <w:tcW w:w="380" w:type="dxa"/>
            <w:vAlign w:val="bottom"/>
            <w:shd w:val="clear" w:color="auto" w:fill="E5F1F8"/>
          </w:tcPr>
          <w:p>
            <w:pPr>
              <w:spacing w:after="0" w:line="20" w:lineRule="exact"/>
              <w:rPr>
                <w:sz w:val="1"/>
                <w:szCs w:val="1"/>
                <w:color w:val="auto"/>
              </w:rPr>
            </w:pPr>
          </w:p>
        </w:tc>
        <w:tc>
          <w:tcPr>
            <w:tcW w:w="1020" w:type="dxa"/>
            <w:vAlign w:val="bottom"/>
            <w:shd w:val="clear" w:color="auto" w:fill="E5F1F8"/>
          </w:tcPr>
          <w:p>
            <w:pPr>
              <w:spacing w:after="0" w:line="20" w:lineRule="exact"/>
              <w:rPr>
                <w:sz w:val="1"/>
                <w:szCs w:val="1"/>
                <w:color w:val="auto"/>
              </w:rPr>
            </w:pPr>
          </w:p>
        </w:tc>
        <w:tc>
          <w:tcPr>
            <w:tcW w:w="1360" w:type="dxa"/>
            <w:vAlign w:val="bottom"/>
            <w:shd w:val="clear" w:color="auto" w:fill="E5F1F8"/>
          </w:tcPr>
          <w:p>
            <w:pPr>
              <w:spacing w:after="0" w:line="20" w:lineRule="exact"/>
              <w:rPr>
                <w:sz w:val="1"/>
                <w:szCs w:val="1"/>
                <w:color w:val="auto"/>
              </w:rPr>
            </w:pPr>
          </w:p>
        </w:tc>
      </w:tr>
      <w:tr>
        <w:trPr>
          <w:trHeight w:val="250"/>
        </w:trPr>
        <w:tc>
          <w:tcPr>
            <w:tcW w:w="320" w:type="dxa"/>
            <w:vAlign w:val="bottom"/>
            <w:tcBorders>
              <w:bottom w:val="single" w:sz="8" w:color="E5F1F8"/>
            </w:tcBorders>
            <w:shd w:val="clear" w:color="auto" w:fill="E5F1F8"/>
          </w:tcPr>
          <w:p>
            <w:pPr>
              <w:spacing w:after="0"/>
              <w:rPr>
                <w:sz w:val="21"/>
                <w:szCs w:val="21"/>
                <w:color w:val="auto"/>
              </w:rPr>
            </w:pPr>
          </w:p>
        </w:tc>
        <w:tc>
          <w:tcPr>
            <w:tcW w:w="800" w:type="dxa"/>
            <w:vAlign w:val="bottom"/>
            <w:tcBorders>
              <w:bottom w:val="single" w:sz="8" w:color="0000EE"/>
            </w:tcBorders>
            <w:gridSpan w:val="2"/>
            <w:shd w:val="clear" w:color="auto" w:fill="E5F1F8"/>
          </w:tcPr>
          <w:p>
            <w:pPr>
              <w:spacing w:after="0"/>
              <w:rPr>
                <w:rFonts w:ascii="Arial" w:cs="Arial" w:eastAsia="Arial" w:hAnsi="Arial"/>
                <w:sz w:val="16"/>
                <w:szCs w:val="16"/>
                <w:color w:val="0000EE"/>
                <w:w w:val="98"/>
              </w:rPr>
            </w:pPr>
            <w:hyperlink w:anchor="page58">
              <w:r>
                <w:rPr>
                  <w:rFonts w:ascii="Arial" w:cs="Arial" w:eastAsia="Arial" w:hAnsi="Arial"/>
                  <w:sz w:val="16"/>
                  <w:szCs w:val="16"/>
                  <w:color w:val="0000EE"/>
                  <w:w w:val="98"/>
                </w:rPr>
                <w:t>Perquisites</w:t>
              </w:r>
            </w:hyperlink>
          </w:p>
        </w:tc>
        <w:tc>
          <w:tcPr>
            <w:tcW w:w="2900" w:type="dxa"/>
            <w:vAlign w:val="bottom"/>
            <w:tcBorders>
              <w:bottom w:val="single" w:sz="8" w:color="E5F1F8"/>
            </w:tcBorders>
            <w:gridSpan w:val="9"/>
            <w:shd w:val="clear" w:color="auto" w:fill="E5F1F8"/>
          </w:tcPr>
          <w:p>
            <w:pPr>
              <w:spacing w:after="0"/>
              <w:rPr>
                <w:sz w:val="21"/>
                <w:szCs w:val="21"/>
                <w:color w:val="auto"/>
              </w:rPr>
            </w:pPr>
          </w:p>
        </w:tc>
        <w:tc>
          <w:tcPr>
            <w:tcW w:w="1360" w:type="dxa"/>
            <w:vAlign w:val="bottom"/>
            <w:tcBorders>
              <w:bottom w:val="single" w:sz="8" w:color="E5F1F8"/>
            </w:tcBorders>
            <w:shd w:val="clear" w:color="auto" w:fill="E5F1F8"/>
          </w:tcPr>
          <w:p>
            <w:pPr>
              <w:jc w:val="right"/>
              <w:ind w:right="59"/>
              <w:spacing w:after="0"/>
              <w:rPr>
                <w:sz w:val="20"/>
                <w:szCs w:val="20"/>
                <w:color w:val="auto"/>
              </w:rPr>
            </w:pPr>
            <w:r>
              <w:rPr>
                <w:rFonts w:ascii="Arial" w:cs="Arial" w:eastAsia="Arial" w:hAnsi="Arial"/>
                <w:sz w:val="16"/>
                <w:szCs w:val="16"/>
                <w:color w:val="007CBA"/>
              </w:rPr>
              <w:t>53</w:t>
            </w:r>
          </w:p>
        </w:tc>
      </w:tr>
      <w:tr>
        <w:trPr>
          <w:trHeight w:val="236"/>
        </w:trPr>
        <w:tc>
          <w:tcPr>
            <w:tcW w:w="320" w:type="dxa"/>
            <w:vAlign w:val="bottom"/>
            <w:tcBorders>
              <w:bottom w:val="single" w:sz="8" w:color="E5F1F8"/>
            </w:tcBorders>
            <w:shd w:val="clear" w:color="auto" w:fill="E5F1F8"/>
          </w:tcPr>
          <w:p>
            <w:pPr>
              <w:spacing w:after="0"/>
              <w:rPr>
                <w:sz w:val="20"/>
                <w:szCs w:val="20"/>
                <w:color w:val="auto"/>
              </w:rPr>
            </w:pPr>
          </w:p>
        </w:tc>
        <w:tc>
          <w:tcPr>
            <w:tcW w:w="2180" w:type="dxa"/>
            <w:vAlign w:val="bottom"/>
            <w:tcBorders>
              <w:bottom w:val="single" w:sz="8" w:color="0000EE"/>
            </w:tcBorders>
            <w:gridSpan w:val="8"/>
            <w:shd w:val="clear" w:color="auto" w:fill="E5F1F8"/>
          </w:tcPr>
          <w:p>
            <w:pPr>
              <w:spacing w:after="0"/>
              <w:rPr>
                <w:rFonts w:ascii="Arial" w:cs="Arial" w:eastAsia="Arial" w:hAnsi="Arial"/>
                <w:sz w:val="16"/>
                <w:szCs w:val="16"/>
                <w:color w:val="0000EE"/>
                <w:w w:val="99"/>
              </w:rPr>
            </w:pPr>
            <w:hyperlink w:anchor="page58">
              <w:r>
                <w:rPr>
                  <w:rFonts w:ascii="Arial" w:cs="Arial" w:eastAsia="Arial" w:hAnsi="Arial"/>
                  <w:sz w:val="16"/>
                  <w:szCs w:val="16"/>
                  <w:color w:val="0000EE"/>
                  <w:w w:val="99"/>
                </w:rPr>
                <w:t>Retirement and Other Benefits</w:t>
              </w:r>
            </w:hyperlink>
          </w:p>
        </w:tc>
        <w:tc>
          <w:tcPr>
            <w:tcW w:w="1520" w:type="dxa"/>
            <w:vAlign w:val="bottom"/>
            <w:tcBorders>
              <w:bottom w:val="single" w:sz="8" w:color="E5F1F8"/>
            </w:tcBorders>
            <w:gridSpan w:val="3"/>
            <w:shd w:val="clear" w:color="auto" w:fill="E5F1F8"/>
          </w:tcPr>
          <w:p>
            <w:pPr>
              <w:spacing w:after="0"/>
              <w:rPr>
                <w:sz w:val="20"/>
                <w:szCs w:val="20"/>
                <w:color w:val="auto"/>
              </w:rPr>
            </w:pPr>
          </w:p>
        </w:tc>
        <w:tc>
          <w:tcPr>
            <w:tcW w:w="1360" w:type="dxa"/>
            <w:vAlign w:val="bottom"/>
            <w:tcBorders>
              <w:bottom w:val="single" w:sz="8" w:color="E5F1F8"/>
            </w:tcBorders>
            <w:shd w:val="clear" w:color="auto" w:fill="E5F1F8"/>
          </w:tcPr>
          <w:p>
            <w:pPr>
              <w:jc w:val="right"/>
              <w:ind w:right="59"/>
              <w:spacing w:after="0"/>
              <w:rPr>
                <w:sz w:val="20"/>
                <w:szCs w:val="20"/>
                <w:color w:val="auto"/>
              </w:rPr>
            </w:pPr>
            <w:r>
              <w:rPr>
                <w:rFonts w:ascii="Arial" w:cs="Arial" w:eastAsia="Arial" w:hAnsi="Arial"/>
                <w:sz w:val="16"/>
                <w:szCs w:val="16"/>
                <w:color w:val="007CBA"/>
              </w:rPr>
              <w:t>53</w:t>
            </w:r>
          </w:p>
        </w:tc>
      </w:tr>
      <w:tr>
        <w:trPr>
          <w:trHeight w:val="236"/>
        </w:trPr>
        <w:tc>
          <w:tcPr>
            <w:tcW w:w="320" w:type="dxa"/>
            <w:vAlign w:val="bottom"/>
            <w:tcBorders>
              <w:bottom w:val="single" w:sz="8" w:color="E5F1F8"/>
            </w:tcBorders>
            <w:shd w:val="clear" w:color="auto" w:fill="E5F1F8"/>
          </w:tcPr>
          <w:p>
            <w:pPr>
              <w:spacing w:after="0"/>
              <w:rPr>
                <w:sz w:val="20"/>
                <w:szCs w:val="20"/>
                <w:color w:val="auto"/>
              </w:rPr>
            </w:pPr>
          </w:p>
        </w:tc>
        <w:tc>
          <w:tcPr>
            <w:tcW w:w="2680" w:type="dxa"/>
            <w:vAlign w:val="bottom"/>
            <w:tcBorders>
              <w:bottom w:val="single" w:sz="8" w:color="0000EE"/>
            </w:tcBorders>
            <w:gridSpan w:val="10"/>
            <w:shd w:val="clear" w:color="auto" w:fill="E5F1F8"/>
          </w:tcPr>
          <w:p>
            <w:pPr>
              <w:spacing w:after="0"/>
              <w:rPr>
                <w:rFonts w:ascii="Arial" w:cs="Arial" w:eastAsia="Arial" w:hAnsi="Arial"/>
                <w:sz w:val="16"/>
                <w:szCs w:val="16"/>
                <w:color w:val="0000EE"/>
                <w:w w:val="99"/>
              </w:rPr>
            </w:pPr>
            <w:hyperlink w:anchor="page58">
              <w:r>
                <w:rPr>
                  <w:rFonts w:ascii="Arial" w:cs="Arial" w:eastAsia="Arial" w:hAnsi="Arial"/>
                  <w:sz w:val="16"/>
                  <w:szCs w:val="16"/>
                  <w:color w:val="0000EE"/>
                  <w:w w:val="99"/>
                </w:rPr>
                <w:t>Potential Payments upon Termination</w:t>
              </w:r>
            </w:hyperlink>
          </w:p>
        </w:tc>
        <w:tc>
          <w:tcPr>
            <w:tcW w:w="1020" w:type="dxa"/>
            <w:vAlign w:val="bottom"/>
            <w:tcBorders>
              <w:bottom w:val="single" w:sz="8" w:color="E5F1F8"/>
            </w:tcBorders>
            <w:shd w:val="clear" w:color="auto" w:fill="E5F1F8"/>
          </w:tcPr>
          <w:p>
            <w:pPr>
              <w:spacing w:after="0"/>
              <w:rPr>
                <w:sz w:val="20"/>
                <w:szCs w:val="20"/>
                <w:color w:val="auto"/>
              </w:rPr>
            </w:pPr>
          </w:p>
        </w:tc>
        <w:tc>
          <w:tcPr>
            <w:tcW w:w="1360" w:type="dxa"/>
            <w:vAlign w:val="bottom"/>
            <w:tcBorders>
              <w:bottom w:val="single" w:sz="8" w:color="E5F1F8"/>
            </w:tcBorders>
            <w:shd w:val="clear" w:color="auto" w:fill="E5F1F8"/>
          </w:tcPr>
          <w:p>
            <w:pPr>
              <w:spacing w:after="0"/>
              <w:rPr>
                <w:sz w:val="20"/>
                <w:szCs w:val="20"/>
                <w:color w:val="auto"/>
              </w:rPr>
            </w:pPr>
          </w:p>
        </w:tc>
      </w:tr>
      <w:tr>
        <w:trPr>
          <w:trHeight w:val="169"/>
        </w:trPr>
        <w:tc>
          <w:tcPr>
            <w:tcW w:w="320" w:type="dxa"/>
            <w:vAlign w:val="bottom"/>
            <w:tcBorders>
              <w:bottom w:val="single" w:sz="8" w:color="E5F1F8"/>
            </w:tcBorders>
            <w:shd w:val="clear" w:color="auto" w:fill="E5F1F8"/>
          </w:tcPr>
          <w:p>
            <w:pPr>
              <w:spacing w:after="0"/>
              <w:rPr>
                <w:sz w:val="14"/>
                <w:szCs w:val="14"/>
                <w:color w:val="auto"/>
              </w:rPr>
            </w:pPr>
          </w:p>
        </w:tc>
        <w:tc>
          <w:tcPr>
            <w:tcW w:w="1500" w:type="dxa"/>
            <w:vAlign w:val="bottom"/>
            <w:tcBorders>
              <w:bottom w:val="single" w:sz="8" w:color="0000EE"/>
            </w:tcBorders>
            <w:gridSpan w:val="4"/>
            <w:shd w:val="clear" w:color="auto" w:fill="E5F1F8"/>
          </w:tcPr>
          <w:p>
            <w:pPr>
              <w:spacing w:after="0" w:line="155" w:lineRule="exact"/>
              <w:rPr>
                <w:rFonts w:ascii="Arial" w:cs="Arial" w:eastAsia="Arial" w:hAnsi="Arial"/>
                <w:sz w:val="16"/>
                <w:szCs w:val="16"/>
                <w:color w:val="0000EE"/>
                <w:w w:val="99"/>
              </w:rPr>
            </w:pPr>
            <w:hyperlink w:anchor="page58">
              <w:r>
                <w:rPr>
                  <w:rFonts w:ascii="Arial" w:cs="Arial" w:eastAsia="Arial" w:hAnsi="Arial"/>
                  <w:sz w:val="16"/>
                  <w:szCs w:val="16"/>
                  <w:color w:val="0000EE"/>
                  <w:w w:val="99"/>
                </w:rPr>
                <w:t>or Change of Control</w:t>
              </w:r>
            </w:hyperlink>
          </w:p>
        </w:tc>
        <w:tc>
          <w:tcPr>
            <w:tcW w:w="2200" w:type="dxa"/>
            <w:vAlign w:val="bottom"/>
            <w:tcBorders>
              <w:bottom w:val="single" w:sz="8" w:color="E5F1F8"/>
            </w:tcBorders>
            <w:gridSpan w:val="7"/>
            <w:shd w:val="clear" w:color="auto" w:fill="E5F1F8"/>
          </w:tcPr>
          <w:p>
            <w:pPr>
              <w:spacing w:after="0"/>
              <w:rPr>
                <w:sz w:val="14"/>
                <w:szCs w:val="14"/>
                <w:color w:val="auto"/>
              </w:rPr>
            </w:pPr>
          </w:p>
        </w:tc>
        <w:tc>
          <w:tcPr>
            <w:tcW w:w="1360" w:type="dxa"/>
            <w:vAlign w:val="bottom"/>
            <w:tcBorders>
              <w:bottom w:val="single" w:sz="8" w:color="E5F1F8"/>
            </w:tcBorders>
            <w:shd w:val="clear" w:color="auto" w:fill="E5F1F8"/>
          </w:tcPr>
          <w:p>
            <w:pPr>
              <w:jc w:val="right"/>
              <w:ind w:right="59"/>
              <w:spacing w:after="0" w:line="155" w:lineRule="exact"/>
              <w:rPr>
                <w:sz w:val="20"/>
                <w:szCs w:val="20"/>
                <w:color w:val="auto"/>
              </w:rPr>
            </w:pPr>
            <w:r>
              <w:rPr>
                <w:rFonts w:ascii="Arial" w:cs="Arial" w:eastAsia="Arial" w:hAnsi="Arial"/>
                <w:sz w:val="16"/>
                <w:szCs w:val="16"/>
                <w:color w:val="007CBA"/>
              </w:rPr>
              <w:t>53</w:t>
            </w:r>
          </w:p>
        </w:tc>
      </w:tr>
      <w:tr>
        <w:trPr>
          <w:trHeight w:val="250"/>
        </w:trPr>
        <w:tc>
          <w:tcPr>
            <w:tcW w:w="320" w:type="dxa"/>
            <w:vAlign w:val="bottom"/>
            <w:shd w:val="clear" w:color="auto" w:fill="E5F1F8"/>
          </w:tcPr>
          <w:p>
            <w:pPr>
              <w:spacing w:after="0"/>
              <w:rPr>
                <w:sz w:val="21"/>
                <w:szCs w:val="21"/>
                <w:color w:val="auto"/>
              </w:rPr>
            </w:pPr>
          </w:p>
        </w:tc>
        <w:tc>
          <w:tcPr>
            <w:tcW w:w="3700" w:type="dxa"/>
            <w:vAlign w:val="bottom"/>
            <w:gridSpan w:val="11"/>
            <w:shd w:val="clear" w:color="auto" w:fill="E5F1F8"/>
          </w:tcPr>
          <w:p>
            <w:pPr>
              <w:spacing w:after="0"/>
              <w:rPr>
                <w:rFonts w:ascii="Arial" w:cs="Arial" w:eastAsia="Arial" w:hAnsi="Arial"/>
                <w:sz w:val="16"/>
                <w:szCs w:val="16"/>
                <w:color w:val="0000EE"/>
              </w:rPr>
            </w:pPr>
            <w:hyperlink w:anchor="page58">
              <w:r>
                <w:rPr>
                  <w:rFonts w:ascii="Arial" w:cs="Arial" w:eastAsia="Arial" w:hAnsi="Arial"/>
                  <w:sz w:val="16"/>
                  <w:szCs w:val="16"/>
                  <w:color w:val="0000EE"/>
                </w:rPr>
                <w:t>Tax and Accounting Implications</w:t>
              </w:r>
            </w:hyperlink>
          </w:p>
        </w:tc>
        <w:tc>
          <w:tcPr>
            <w:tcW w:w="1360" w:type="dxa"/>
            <w:vAlign w:val="bottom"/>
            <w:shd w:val="clear" w:color="auto" w:fill="E5F1F8"/>
          </w:tcPr>
          <w:p>
            <w:pPr>
              <w:jc w:val="right"/>
              <w:ind w:right="59"/>
              <w:spacing w:after="0"/>
              <w:rPr>
                <w:sz w:val="20"/>
                <w:szCs w:val="20"/>
                <w:color w:val="auto"/>
              </w:rPr>
            </w:pPr>
            <w:r>
              <w:rPr>
                <w:rFonts w:ascii="Arial" w:cs="Arial" w:eastAsia="Arial" w:hAnsi="Arial"/>
                <w:sz w:val="16"/>
                <w:szCs w:val="16"/>
                <w:color w:val="007CBA"/>
              </w:rPr>
              <w:t>53</w:t>
            </w:r>
          </w:p>
        </w:tc>
      </w:tr>
      <w:tr>
        <w:trPr>
          <w:trHeight w:val="263"/>
        </w:trPr>
        <w:tc>
          <w:tcPr>
            <w:tcW w:w="320" w:type="dxa"/>
            <w:vAlign w:val="bottom"/>
            <w:tcBorders>
              <w:top w:val="single" w:sz="8" w:color="E5F1F8"/>
            </w:tcBorders>
            <w:shd w:val="clear" w:color="auto" w:fill="E5F1F8"/>
          </w:tcPr>
          <w:p>
            <w:pPr>
              <w:spacing w:after="0"/>
              <w:rPr>
                <w:sz w:val="22"/>
                <w:szCs w:val="22"/>
                <w:color w:val="auto"/>
              </w:rPr>
            </w:pPr>
          </w:p>
        </w:tc>
        <w:tc>
          <w:tcPr>
            <w:tcW w:w="480" w:type="dxa"/>
            <w:vAlign w:val="bottom"/>
            <w:tcBorders>
              <w:top w:val="single" w:sz="8" w:color="0000EE"/>
              <w:right w:val="single" w:sz="8" w:color="E5F1F8"/>
            </w:tcBorders>
            <w:shd w:val="clear" w:color="auto" w:fill="E5F1F8"/>
          </w:tcPr>
          <w:p>
            <w:pPr>
              <w:spacing w:after="0"/>
              <w:rPr>
                <w:sz w:val="22"/>
                <w:szCs w:val="22"/>
                <w:color w:val="auto"/>
              </w:rPr>
            </w:pPr>
          </w:p>
        </w:tc>
        <w:tc>
          <w:tcPr>
            <w:tcW w:w="320" w:type="dxa"/>
            <w:vAlign w:val="bottom"/>
            <w:tcBorders>
              <w:top w:val="single" w:sz="8" w:color="0000EE"/>
            </w:tcBorders>
            <w:shd w:val="clear" w:color="auto" w:fill="E5F1F8"/>
          </w:tcPr>
          <w:p>
            <w:pPr>
              <w:spacing w:after="0"/>
              <w:rPr>
                <w:sz w:val="22"/>
                <w:szCs w:val="22"/>
                <w:color w:val="auto"/>
              </w:rPr>
            </w:pPr>
          </w:p>
        </w:tc>
        <w:tc>
          <w:tcPr>
            <w:tcW w:w="180" w:type="dxa"/>
            <w:vAlign w:val="bottom"/>
            <w:tcBorders>
              <w:top w:val="single" w:sz="8" w:color="0000EE"/>
            </w:tcBorders>
            <w:shd w:val="clear" w:color="auto" w:fill="E5F1F8"/>
          </w:tcPr>
          <w:p>
            <w:pPr>
              <w:spacing w:after="0"/>
              <w:rPr>
                <w:sz w:val="22"/>
                <w:szCs w:val="22"/>
                <w:color w:val="auto"/>
              </w:rPr>
            </w:pPr>
          </w:p>
        </w:tc>
        <w:tc>
          <w:tcPr>
            <w:tcW w:w="520" w:type="dxa"/>
            <w:vAlign w:val="bottom"/>
            <w:tcBorders>
              <w:top w:val="single" w:sz="8" w:color="0000EE"/>
            </w:tcBorders>
            <w:shd w:val="clear" w:color="auto" w:fill="E5F1F8"/>
          </w:tcPr>
          <w:p>
            <w:pPr>
              <w:spacing w:after="0"/>
              <w:rPr>
                <w:sz w:val="22"/>
                <w:szCs w:val="22"/>
                <w:color w:val="auto"/>
              </w:rPr>
            </w:pPr>
          </w:p>
        </w:tc>
        <w:tc>
          <w:tcPr>
            <w:tcW w:w="220" w:type="dxa"/>
            <w:vAlign w:val="bottom"/>
            <w:tcBorders>
              <w:top w:val="single" w:sz="8" w:color="0000EE"/>
            </w:tcBorders>
            <w:shd w:val="clear" w:color="auto" w:fill="E5F1F8"/>
          </w:tcPr>
          <w:p>
            <w:pPr>
              <w:spacing w:after="0"/>
              <w:rPr>
                <w:sz w:val="22"/>
                <w:szCs w:val="22"/>
                <w:color w:val="auto"/>
              </w:rPr>
            </w:pPr>
          </w:p>
        </w:tc>
        <w:tc>
          <w:tcPr>
            <w:tcW w:w="220" w:type="dxa"/>
            <w:vAlign w:val="bottom"/>
            <w:tcBorders>
              <w:top w:val="single" w:sz="8" w:color="0000EE"/>
            </w:tcBorders>
            <w:shd w:val="clear" w:color="auto" w:fill="E5F1F8"/>
          </w:tcPr>
          <w:p>
            <w:pPr>
              <w:spacing w:after="0"/>
              <w:rPr>
                <w:sz w:val="22"/>
                <w:szCs w:val="22"/>
                <w:color w:val="auto"/>
              </w:rPr>
            </w:pPr>
          </w:p>
        </w:tc>
        <w:tc>
          <w:tcPr>
            <w:tcW w:w="140" w:type="dxa"/>
            <w:vAlign w:val="bottom"/>
            <w:tcBorders>
              <w:top w:val="single" w:sz="8" w:color="0000EE"/>
            </w:tcBorders>
            <w:shd w:val="clear" w:color="auto" w:fill="E5F1F8"/>
          </w:tcPr>
          <w:p>
            <w:pPr>
              <w:spacing w:after="0"/>
              <w:rPr>
                <w:sz w:val="22"/>
                <w:szCs w:val="22"/>
                <w:color w:val="auto"/>
              </w:rPr>
            </w:pPr>
          </w:p>
        </w:tc>
        <w:tc>
          <w:tcPr>
            <w:tcW w:w="100" w:type="dxa"/>
            <w:vAlign w:val="bottom"/>
            <w:tcBorders>
              <w:top w:val="single" w:sz="8" w:color="0000EE"/>
            </w:tcBorders>
            <w:shd w:val="clear" w:color="auto" w:fill="E5F1F8"/>
          </w:tcPr>
          <w:p>
            <w:pPr>
              <w:spacing w:after="0"/>
              <w:rPr>
                <w:sz w:val="22"/>
                <w:szCs w:val="22"/>
                <w:color w:val="auto"/>
              </w:rPr>
            </w:pPr>
          </w:p>
        </w:tc>
        <w:tc>
          <w:tcPr>
            <w:tcW w:w="120" w:type="dxa"/>
            <w:vAlign w:val="bottom"/>
            <w:tcBorders>
              <w:top w:val="single" w:sz="8" w:color="0000EE"/>
            </w:tcBorders>
            <w:shd w:val="clear" w:color="auto" w:fill="E5F1F8"/>
          </w:tcPr>
          <w:p>
            <w:pPr>
              <w:spacing w:after="0"/>
              <w:rPr>
                <w:sz w:val="22"/>
                <w:szCs w:val="22"/>
                <w:color w:val="auto"/>
              </w:rPr>
            </w:pPr>
          </w:p>
        </w:tc>
        <w:tc>
          <w:tcPr>
            <w:tcW w:w="380" w:type="dxa"/>
            <w:vAlign w:val="bottom"/>
            <w:tcBorders>
              <w:top w:val="single" w:sz="8" w:color="E5F1F8"/>
            </w:tcBorders>
            <w:shd w:val="clear" w:color="auto" w:fill="E5F1F8"/>
          </w:tcPr>
          <w:p>
            <w:pPr>
              <w:spacing w:after="0"/>
              <w:rPr>
                <w:sz w:val="22"/>
                <w:szCs w:val="22"/>
                <w:color w:val="auto"/>
              </w:rPr>
            </w:pPr>
          </w:p>
        </w:tc>
        <w:tc>
          <w:tcPr>
            <w:tcW w:w="1020" w:type="dxa"/>
            <w:vAlign w:val="bottom"/>
            <w:tcBorders>
              <w:top w:val="single" w:sz="8" w:color="E5F1F8"/>
            </w:tcBorders>
            <w:shd w:val="clear" w:color="auto" w:fill="E5F1F8"/>
          </w:tcPr>
          <w:p>
            <w:pPr>
              <w:spacing w:after="0"/>
              <w:rPr>
                <w:sz w:val="22"/>
                <w:szCs w:val="22"/>
                <w:color w:val="auto"/>
              </w:rPr>
            </w:pPr>
          </w:p>
        </w:tc>
        <w:tc>
          <w:tcPr>
            <w:tcW w:w="1360" w:type="dxa"/>
            <w:vAlign w:val="bottom"/>
            <w:tcBorders>
              <w:top w:val="single" w:sz="8" w:color="E5F1F8"/>
            </w:tcBorders>
            <w:shd w:val="clear" w:color="auto" w:fill="E5F1F8"/>
          </w:tcPr>
          <w:p>
            <w:pPr>
              <w:spacing w:after="0"/>
              <w:rPr>
                <w:sz w:val="22"/>
                <w:szCs w:val="22"/>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Introduction</w:t>
      </w:r>
    </w:p>
    <w:p>
      <w:pPr>
        <w:spacing w:after="0" w:line="15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This Compensation Discussion and Analysis, or CD&amp;A, describes our 2018 executive compensation program and the attendant oversight provided by the Management Development and Compensation Committee of the Board of Directors (the Committee). It also summarizes our executive compensation structure and discusses the compensation earned by Martin Marietta’s NEOs (the CEO, the CFO, and the three other most highly compensated executive officers in 2018) as presented below in the tables under “</w:t>
      </w:r>
      <w:r>
        <w:rPr>
          <w:rFonts w:ascii="Arial" w:cs="Arial" w:eastAsia="Arial" w:hAnsi="Arial"/>
          <w:sz w:val="16"/>
          <w:szCs w:val="16"/>
          <w:i w:val="1"/>
          <w:iCs w:val="1"/>
          <w:color w:val="auto"/>
        </w:rPr>
        <w:t>Executive Compensation</w:t>
      </w:r>
      <w:r>
        <w:rPr>
          <w:rFonts w:ascii="Arial" w:cs="Arial" w:eastAsia="Arial" w:hAnsi="Arial"/>
          <w:sz w:val="16"/>
          <w:szCs w:val="16"/>
          <w:color w:val="auto"/>
        </w:rPr>
        <w:t>” following this CD&amp;A, which contain detailed compensation information quantifying and further explaining our NEOs’ compensation.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100" w:type="dxa"/>
            <w:vAlign w:val="bottom"/>
            <w:gridSpan w:val="2"/>
          </w:tcPr>
          <w:p>
            <w:pPr>
              <w:spacing w:after="0"/>
              <w:rPr>
                <w:sz w:val="20"/>
                <w:szCs w:val="20"/>
                <w:color w:val="auto"/>
              </w:rPr>
            </w:pPr>
            <w:r>
              <w:rPr>
                <w:rFonts w:ascii="Arial" w:cs="Arial" w:eastAsia="Arial" w:hAnsi="Arial"/>
                <w:sz w:val="16"/>
                <w:szCs w:val="16"/>
                <w:color w:val="auto"/>
              </w:rPr>
              <w:t>For 2018, our NEOs were:</w:t>
            </w:r>
          </w:p>
        </w:tc>
        <w:tc>
          <w:tcPr>
            <w:tcW w:w="3300" w:type="dxa"/>
            <w:vAlign w:val="bottom"/>
          </w:tcPr>
          <w:p>
            <w:pPr>
              <w:spacing w:after="0"/>
              <w:rPr>
                <w:sz w:val="16"/>
                <w:szCs w:val="16"/>
                <w:color w:val="auto"/>
              </w:rPr>
            </w:pPr>
          </w:p>
        </w:tc>
      </w:tr>
      <w:tr>
        <w:trPr>
          <w:trHeight w:val="208"/>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56"/>
        </w:trPr>
        <w:tc>
          <w:tcPr>
            <w:tcW w:w="20" w:type="dxa"/>
            <w:vAlign w:val="bottom"/>
          </w:tcPr>
          <w:p>
            <w:pPr>
              <w:spacing w:after="0"/>
              <w:rPr>
                <w:sz w:val="22"/>
                <w:szCs w:val="22"/>
                <w:color w:val="auto"/>
              </w:rPr>
            </w:pPr>
          </w:p>
        </w:tc>
        <w:tc>
          <w:tcPr>
            <w:tcW w:w="2080" w:type="dxa"/>
            <w:vAlign w:val="bottom"/>
            <w:shd w:val="clear" w:color="auto" w:fill="007CBA"/>
          </w:tcPr>
          <w:p>
            <w:pPr>
              <w:ind w:left="60"/>
              <w:spacing w:after="0"/>
              <w:rPr>
                <w:sz w:val="20"/>
                <w:szCs w:val="20"/>
                <w:color w:val="auto"/>
              </w:rPr>
            </w:pPr>
            <w:r>
              <w:rPr>
                <w:rFonts w:ascii="Arial" w:cs="Arial" w:eastAsia="Arial" w:hAnsi="Arial"/>
                <w:sz w:val="16"/>
                <w:szCs w:val="16"/>
                <w:b w:val="1"/>
                <w:bCs w:val="1"/>
                <w:color w:val="FFFFFF"/>
              </w:rPr>
              <w:t>NEO</w:t>
            </w:r>
          </w:p>
        </w:tc>
        <w:tc>
          <w:tcPr>
            <w:tcW w:w="3300" w:type="dxa"/>
            <w:vAlign w:val="bottom"/>
            <w:shd w:val="clear" w:color="auto" w:fill="007CBA"/>
          </w:tcPr>
          <w:p>
            <w:pPr>
              <w:ind w:left="200"/>
              <w:spacing w:after="0"/>
              <w:rPr>
                <w:sz w:val="20"/>
                <w:szCs w:val="20"/>
                <w:color w:val="auto"/>
              </w:rPr>
            </w:pPr>
            <w:r>
              <w:rPr>
                <w:rFonts w:ascii="Arial" w:cs="Arial" w:eastAsia="Arial" w:hAnsi="Arial"/>
                <w:sz w:val="16"/>
                <w:szCs w:val="16"/>
                <w:b w:val="1"/>
                <w:bCs w:val="1"/>
                <w:color w:val="FFFFFF"/>
              </w:rPr>
              <w:t>Title</w:t>
            </w:r>
          </w:p>
        </w:tc>
      </w:tr>
      <w:tr>
        <w:trPr>
          <w:trHeight w:val="231"/>
        </w:trPr>
        <w:tc>
          <w:tcPr>
            <w:tcW w:w="20" w:type="dxa"/>
            <w:vAlign w:val="bottom"/>
          </w:tcPr>
          <w:p>
            <w:pPr>
              <w:spacing w:after="0"/>
              <w:rPr>
                <w:sz w:val="20"/>
                <w:szCs w:val="20"/>
                <w:color w:val="auto"/>
              </w:rPr>
            </w:pPr>
          </w:p>
        </w:tc>
        <w:tc>
          <w:tcPr>
            <w:tcW w:w="2080" w:type="dxa"/>
            <w:vAlign w:val="bottom"/>
            <w:shd w:val="clear" w:color="auto" w:fill="E5F1F8"/>
          </w:tcPr>
          <w:p>
            <w:pPr>
              <w:ind w:left="60"/>
              <w:spacing w:after="0"/>
              <w:rPr>
                <w:sz w:val="20"/>
                <w:szCs w:val="20"/>
                <w:color w:val="auto"/>
              </w:rPr>
            </w:pPr>
            <w:r>
              <w:rPr>
                <w:rFonts w:ascii="Arial" w:cs="Arial" w:eastAsia="Arial" w:hAnsi="Arial"/>
                <w:sz w:val="16"/>
                <w:szCs w:val="16"/>
                <w:color w:val="auto"/>
              </w:rPr>
              <w:t>C. Howard Nye</w:t>
            </w:r>
          </w:p>
        </w:tc>
        <w:tc>
          <w:tcPr>
            <w:tcW w:w="3300" w:type="dxa"/>
            <w:vAlign w:val="bottom"/>
            <w:shd w:val="clear" w:color="auto" w:fill="E5F1F8"/>
          </w:tcPr>
          <w:p>
            <w:pPr>
              <w:ind w:left="200"/>
              <w:spacing w:after="0"/>
              <w:rPr>
                <w:sz w:val="20"/>
                <w:szCs w:val="20"/>
                <w:color w:val="auto"/>
              </w:rPr>
            </w:pPr>
            <w:r>
              <w:rPr>
                <w:rFonts w:ascii="Arial" w:cs="Arial" w:eastAsia="Arial" w:hAnsi="Arial"/>
                <w:sz w:val="16"/>
                <w:szCs w:val="16"/>
                <w:color w:val="auto"/>
              </w:rPr>
              <w:t>Chairman of the Board, President and</w:t>
            </w:r>
          </w:p>
        </w:tc>
      </w:tr>
      <w:tr>
        <w:trPr>
          <w:trHeight w:val="214"/>
        </w:trPr>
        <w:tc>
          <w:tcPr>
            <w:tcW w:w="20" w:type="dxa"/>
            <w:vAlign w:val="bottom"/>
          </w:tcPr>
          <w:p>
            <w:pPr>
              <w:spacing w:after="0"/>
              <w:rPr>
                <w:sz w:val="18"/>
                <w:szCs w:val="18"/>
                <w:color w:val="auto"/>
              </w:rPr>
            </w:pPr>
          </w:p>
        </w:tc>
        <w:tc>
          <w:tcPr>
            <w:tcW w:w="2080" w:type="dxa"/>
            <w:vAlign w:val="bottom"/>
            <w:shd w:val="clear" w:color="auto" w:fill="E5F1F8"/>
          </w:tcPr>
          <w:p>
            <w:pPr>
              <w:spacing w:after="0"/>
              <w:rPr>
                <w:sz w:val="18"/>
                <w:szCs w:val="18"/>
                <w:color w:val="auto"/>
              </w:rPr>
            </w:pPr>
          </w:p>
        </w:tc>
        <w:tc>
          <w:tcPr>
            <w:tcW w:w="3300" w:type="dxa"/>
            <w:vAlign w:val="bottom"/>
            <w:shd w:val="clear" w:color="auto" w:fill="E5F1F8"/>
          </w:tcPr>
          <w:p>
            <w:pPr>
              <w:ind w:left="200"/>
              <w:spacing w:after="0"/>
              <w:rPr>
                <w:sz w:val="20"/>
                <w:szCs w:val="20"/>
                <w:color w:val="auto"/>
              </w:rPr>
            </w:pPr>
            <w:r>
              <w:rPr>
                <w:rFonts w:ascii="Arial" w:cs="Arial" w:eastAsia="Arial" w:hAnsi="Arial"/>
                <w:sz w:val="16"/>
                <w:szCs w:val="16"/>
                <w:color w:val="auto"/>
              </w:rPr>
              <w:t>Chief Executive Officer</w:t>
            </w:r>
          </w:p>
        </w:tc>
      </w:tr>
      <w:tr>
        <w:trPr>
          <w:trHeight w:val="231"/>
        </w:trPr>
        <w:tc>
          <w:tcPr>
            <w:tcW w:w="20" w:type="dxa"/>
            <w:vAlign w:val="bottom"/>
          </w:tcPr>
          <w:p>
            <w:pPr>
              <w:spacing w:after="0"/>
              <w:rPr>
                <w:sz w:val="20"/>
                <w:szCs w:val="20"/>
                <w:color w:val="auto"/>
              </w:rPr>
            </w:pPr>
          </w:p>
        </w:tc>
        <w:tc>
          <w:tcPr>
            <w:tcW w:w="2080" w:type="dxa"/>
            <w:vAlign w:val="bottom"/>
          </w:tcPr>
          <w:p>
            <w:pPr>
              <w:ind w:left="60"/>
              <w:spacing w:after="0"/>
              <w:rPr>
                <w:sz w:val="20"/>
                <w:szCs w:val="20"/>
                <w:color w:val="auto"/>
              </w:rPr>
            </w:pPr>
            <w:r>
              <w:rPr>
                <w:rFonts w:ascii="Arial" w:cs="Arial" w:eastAsia="Arial" w:hAnsi="Arial"/>
                <w:sz w:val="16"/>
                <w:szCs w:val="16"/>
                <w:color w:val="auto"/>
              </w:rPr>
              <w:t>James A. J. Nickolas</w:t>
            </w:r>
          </w:p>
        </w:tc>
        <w:tc>
          <w:tcPr>
            <w:tcW w:w="3300" w:type="dxa"/>
            <w:vAlign w:val="bottom"/>
          </w:tcPr>
          <w:p>
            <w:pPr>
              <w:ind w:left="200"/>
              <w:spacing w:after="0"/>
              <w:rPr>
                <w:sz w:val="20"/>
                <w:szCs w:val="20"/>
                <w:color w:val="auto"/>
              </w:rPr>
            </w:pPr>
            <w:r>
              <w:rPr>
                <w:rFonts w:ascii="Arial" w:cs="Arial" w:eastAsia="Arial" w:hAnsi="Arial"/>
                <w:sz w:val="16"/>
                <w:szCs w:val="16"/>
                <w:color w:val="auto"/>
              </w:rPr>
              <w:t>Senior   Vice   President   and   Chief</w:t>
            </w:r>
          </w:p>
        </w:tc>
      </w:tr>
      <w:tr>
        <w:trPr>
          <w:trHeight w:val="204"/>
        </w:trPr>
        <w:tc>
          <w:tcPr>
            <w:tcW w:w="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300" w:type="dxa"/>
            <w:vAlign w:val="bottom"/>
          </w:tcPr>
          <w:p>
            <w:pPr>
              <w:ind w:left="200"/>
              <w:spacing w:after="0"/>
              <w:rPr>
                <w:sz w:val="20"/>
                <w:szCs w:val="20"/>
                <w:color w:val="auto"/>
              </w:rPr>
            </w:pPr>
            <w:r>
              <w:rPr>
                <w:rFonts w:ascii="Arial" w:cs="Arial" w:eastAsia="Arial" w:hAnsi="Arial"/>
                <w:sz w:val="16"/>
                <w:szCs w:val="16"/>
                <w:color w:val="auto"/>
              </w:rPr>
              <w:t>Financial Officer</w:t>
            </w:r>
          </w:p>
        </w:tc>
      </w:tr>
      <w:tr>
        <w:trPr>
          <w:trHeight w:val="241"/>
        </w:trPr>
        <w:tc>
          <w:tcPr>
            <w:tcW w:w="20" w:type="dxa"/>
            <w:vAlign w:val="bottom"/>
          </w:tcPr>
          <w:p>
            <w:pPr>
              <w:spacing w:after="0"/>
              <w:rPr>
                <w:sz w:val="20"/>
                <w:szCs w:val="20"/>
                <w:color w:val="auto"/>
              </w:rPr>
            </w:pPr>
          </w:p>
        </w:tc>
        <w:tc>
          <w:tcPr>
            <w:tcW w:w="2080" w:type="dxa"/>
            <w:vAlign w:val="bottom"/>
            <w:shd w:val="clear" w:color="auto" w:fill="E5F1F8"/>
          </w:tcPr>
          <w:p>
            <w:pPr>
              <w:ind w:left="60"/>
              <w:spacing w:after="0"/>
              <w:rPr>
                <w:sz w:val="20"/>
                <w:szCs w:val="20"/>
                <w:color w:val="auto"/>
              </w:rPr>
            </w:pPr>
            <w:r>
              <w:rPr>
                <w:rFonts w:ascii="Arial" w:cs="Arial" w:eastAsia="Arial" w:hAnsi="Arial"/>
                <w:sz w:val="16"/>
                <w:szCs w:val="16"/>
                <w:color w:val="auto"/>
              </w:rPr>
              <w:t>Roselyn R. Bar</w:t>
            </w:r>
          </w:p>
        </w:tc>
        <w:tc>
          <w:tcPr>
            <w:tcW w:w="3300" w:type="dxa"/>
            <w:vAlign w:val="bottom"/>
            <w:shd w:val="clear" w:color="auto" w:fill="E5F1F8"/>
          </w:tcPr>
          <w:p>
            <w:pPr>
              <w:ind w:left="200"/>
              <w:spacing w:after="0"/>
              <w:rPr>
                <w:sz w:val="20"/>
                <w:szCs w:val="20"/>
                <w:color w:val="auto"/>
              </w:rPr>
            </w:pPr>
            <w:r>
              <w:rPr>
                <w:rFonts w:ascii="Arial" w:cs="Arial" w:eastAsia="Arial" w:hAnsi="Arial"/>
                <w:sz w:val="16"/>
                <w:szCs w:val="16"/>
                <w:color w:val="auto"/>
              </w:rPr>
              <w:t>Executive  Vice  President,  General</w:t>
            </w:r>
          </w:p>
        </w:tc>
      </w:tr>
      <w:tr>
        <w:trPr>
          <w:trHeight w:val="214"/>
        </w:trPr>
        <w:tc>
          <w:tcPr>
            <w:tcW w:w="20" w:type="dxa"/>
            <w:vAlign w:val="bottom"/>
          </w:tcPr>
          <w:p>
            <w:pPr>
              <w:spacing w:after="0"/>
              <w:rPr>
                <w:sz w:val="18"/>
                <w:szCs w:val="18"/>
                <w:color w:val="auto"/>
              </w:rPr>
            </w:pPr>
          </w:p>
        </w:tc>
        <w:tc>
          <w:tcPr>
            <w:tcW w:w="2080" w:type="dxa"/>
            <w:vAlign w:val="bottom"/>
            <w:shd w:val="clear" w:color="auto" w:fill="E5F1F8"/>
          </w:tcPr>
          <w:p>
            <w:pPr>
              <w:spacing w:after="0"/>
              <w:rPr>
                <w:sz w:val="18"/>
                <w:szCs w:val="18"/>
                <w:color w:val="auto"/>
              </w:rPr>
            </w:pPr>
          </w:p>
        </w:tc>
        <w:tc>
          <w:tcPr>
            <w:tcW w:w="3300" w:type="dxa"/>
            <w:vAlign w:val="bottom"/>
            <w:shd w:val="clear" w:color="auto" w:fill="E5F1F8"/>
          </w:tcPr>
          <w:p>
            <w:pPr>
              <w:ind w:left="200"/>
              <w:spacing w:after="0"/>
              <w:rPr>
                <w:sz w:val="20"/>
                <w:szCs w:val="20"/>
                <w:color w:val="auto"/>
              </w:rPr>
            </w:pPr>
            <w:r>
              <w:rPr>
                <w:rFonts w:ascii="Arial" w:cs="Arial" w:eastAsia="Arial" w:hAnsi="Arial"/>
                <w:sz w:val="16"/>
                <w:szCs w:val="16"/>
                <w:color w:val="auto"/>
              </w:rPr>
              <w:t>Counsel and Corporate Secretary</w:t>
            </w:r>
          </w:p>
        </w:tc>
      </w:tr>
      <w:tr>
        <w:trPr>
          <w:trHeight w:val="231"/>
        </w:trPr>
        <w:tc>
          <w:tcPr>
            <w:tcW w:w="20" w:type="dxa"/>
            <w:vAlign w:val="bottom"/>
          </w:tcPr>
          <w:p>
            <w:pPr>
              <w:spacing w:after="0"/>
              <w:rPr>
                <w:sz w:val="20"/>
                <w:szCs w:val="20"/>
                <w:color w:val="auto"/>
              </w:rPr>
            </w:pPr>
          </w:p>
        </w:tc>
        <w:tc>
          <w:tcPr>
            <w:tcW w:w="2080" w:type="dxa"/>
            <w:vAlign w:val="bottom"/>
          </w:tcPr>
          <w:p>
            <w:pPr>
              <w:ind w:left="60"/>
              <w:spacing w:after="0"/>
              <w:rPr>
                <w:sz w:val="20"/>
                <w:szCs w:val="20"/>
                <w:color w:val="auto"/>
              </w:rPr>
            </w:pPr>
            <w:r>
              <w:rPr>
                <w:rFonts w:ascii="Arial" w:cs="Arial" w:eastAsia="Arial" w:hAnsi="Arial"/>
                <w:sz w:val="16"/>
                <w:szCs w:val="16"/>
                <w:color w:val="auto"/>
              </w:rPr>
              <w:t>Daniel L. Grant</w:t>
            </w:r>
          </w:p>
        </w:tc>
        <w:tc>
          <w:tcPr>
            <w:tcW w:w="3300" w:type="dxa"/>
            <w:vAlign w:val="bottom"/>
          </w:tcPr>
          <w:p>
            <w:pPr>
              <w:ind w:left="200"/>
              <w:spacing w:after="0"/>
              <w:rPr>
                <w:sz w:val="20"/>
                <w:szCs w:val="20"/>
                <w:color w:val="auto"/>
              </w:rPr>
            </w:pPr>
            <w:r>
              <w:rPr>
                <w:rFonts w:ascii="Arial" w:cs="Arial" w:eastAsia="Arial" w:hAnsi="Arial"/>
                <w:sz w:val="16"/>
                <w:szCs w:val="16"/>
                <w:color w:val="auto"/>
              </w:rPr>
              <w:t>Senior Vice President – Strategy and</w:t>
            </w:r>
          </w:p>
        </w:tc>
      </w:tr>
      <w:tr>
        <w:trPr>
          <w:trHeight w:val="204"/>
        </w:trPr>
        <w:tc>
          <w:tcPr>
            <w:tcW w:w="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300" w:type="dxa"/>
            <w:vAlign w:val="bottom"/>
          </w:tcPr>
          <w:p>
            <w:pPr>
              <w:ind w:left="200"/>
              <w:spacing w:after="0"/>
              <w:rPr>
                <w:sz w:val="20"/>
                <w:szCs w:val="20"/>
                <w:color w:val="auto"/>
              </w:rPr>
            </w:pPr>
            <w:r>
              <w:rPr>
                <w:rFonts w:ascii="Arial" w:cs="Arial" w:eastAsia="Arial" w:hAnsi="Arial"/>
                <w:sz w:val="16"/>
                <w:szCs w:val="16"/>
                <w:color w:val="auto"/>
              </w:rPr>
              <w:t>Development</w:t>
            </w:r>
          </w:p>
        </w:tc>
      </w:tr>
      <w:tr>
        <w:trPr>
          <w:trHeight w:val="241"/>
        </w:trPr>
        <w:tc>
          <w:tcPr>
            <w:tcW w:w="20" w:type="dxa"/>
            <w:vAlign w:val="bottom"/>
          </w:tcPr>
          <w:p>
            <w:pPr>
              <w:spacing w:after="0"/>
              <w:rPr>
                <w:sz w:val="20"/>
                <w:szCs w:val="20"/>
                <w:color w:val="auto"/>
              </w:rPr>
            </w:pPr>
          </w:p>
        </w:tc>
        <w:tc>
          <w:tcPr>
            <w:tcW w:w="2080" w:type="dxa"/>
            <w:vAlign w:val="bottom"/>
            <w:shd w:val="clear" w:color="auto" w:fill="E5F1F8"/>
          </w:tcPr>
          <w:p>
            <w:pPr>
              <w:ind w:left="60"/>
              <w:spacing w:after="0"/>
              <w:rPr>
                <w:sz w:val="20"/>
                <w:szCs w:val="20"/>
                <w:color w:val="auto"/>
              </w:rPr>
            </w:pPr>
            <w:r>
              <w:rPr>
                <w:rFonts w:ascii="Arial" w:cs="Arial" w:eastAsia="Arial" w:hAnsi="Arial"/>
                <w:sz w:val="16"/>
                <w:szCs w:val="16"/>
                <w:color w:val="auto"/>
              </w:rPr>
              <w:t>Donald A. McCunniff</w:t>
            </w:r>
          </w:p>
        </w:tc>
        <w:tc>
          <w:tcPr>
            <w:tcW w:w="3300" w:type="dxa"/>
            <w:vAlign w:val="bottom"/>
            <w:shd w:val="clear" w:color="auto" w:fill="E5F1F8"/>
          </w:tcPr>
          <w:p>
            <w:pPr>
              <w:ind w:left="200"/>
              <w:spacing w:after="0"/>
              <w:rPr>
                <w:sz w:val="20"/>
                <w:szCs w:val="20"/>
                <w:color w:val="auto"/>
              </w:rPr>
            </w:pPr>
            <w:r>
              <w:rPr>
                <w:rFonts w:ascii="Arial" w:cs="Arial" w:eastAsia="Arial" w:hAnsi="Arial"/>
                <w:sz w:val="16"/>
                <w:szCs w:val="16"/>
                <w:color w:val="auto"/>
              </w:rPr>
              <w:t>Senior   Vice   President   –   Human</w:t>
            </w:r>
          </w:p>
        </w:tc>
      </w:tr>
      <w:tr>
        <w:trPr>
          <w:trHeight w:val="207"/>
        </w:trPr>
        <w:tc>
          <w:tcPr>
            <w:tcW w:w="20" w:type="dxa"/>
            <w:vAlign w:val="bottom"/>
          </w:tcPr>
          <w:p>
            <w:pPr>
              <w:spacing w:after="0"/>
              <w:rPr>
                <w:sz w:val="18"/>
                <w:szCs w:val="18"/>
                <w:color w:val="auto"/>
              </w:rPr>
            </w:pPr>
          </w:p>
        </w:tc>
        <w:tc>
          <w:tcPr>
            <w:tcW w:w="2080" w:type="dxa"/>
            <w:vAlign w:val="bottom"/>
            <w:tcBorders>
              <w:bottom w:val="single" w:sz="8" w:color="007CBA"/>
            </w:tcBorders>
            <w:shd w:val="clear" w:color="auto" w:fill="E5F1F8"/>
          </w:tcPr>
          <w:p>
            <w:pPr>
              <w:spacing w:after="0"/>
              <w:rPr>
                <w:sz w:val="18"/>
                <w:szCs w:val="18"/>
                <w:color w:val="auto"/>
              </w:rPr>
            </w:pPr>
          </w:p>
        </w:tc>
        <w:tc>
          <w:tcPr>
            <w:tcW w:w="3300" w:type="dxa"/>
            <w:vAlign w:val="bottom"/>
            <w:tcBorders>
              <w:bottom w:val="single" w:sz="8" w:color="007CBA"/>
            </w:tcBorders>
            <w:shd w:val="clear" w:color="auto" w:fill="E5F1F8"/>
          </w:tcPr>
          <w:p>
            <w:pPr>
              <w:ind w:left="200"/>
              <w:spacing w:after="0"/>
              <w:rPr>
                <w:sz w:val="20"/>
                <w:szCs w:val="20"/>
                <w:color w:val="auto"/>
              </w:rPr>
            </w:pPr>
            <w:r>
              <w:rPr>
                <w:rFonts w:ascii="Arial" w:cs="Arial" w:eastAsia="Arial" w:hAnsi="Arial"/>
                <w:sz w:val="16"/>
                <w:szCs w:val="16"/>
                <w:color w:val="auto"/>
              </w:rPr>
              <w:t>Resources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179705</wp:posOffset>
            </wp:positionV>
            <wp:extent cx="410845" cy="2482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340"/>
            <w:col w:w="5400"/>
          </w:cols>
          <w:pgMar w:left="240" w:top="459" w:right="439" w:bottom="1440" w:gutter="0" w:footer="0" w:header="0"/>
          <w:type w:val="continuous"/>
        </w:sectPr>
      </w:pPr>
    </w:p>
    <w:p>
      <w:pPr>
        <w:spacing w:after="0" w:line="118" w:lineRule="exact"/>
        <w:rPr>
          <w:sz w:val="20"/>
          <w:szCs w:val="20"/>
          <w:color w:val="auto"/>
        </w:rPr>
      </w:pPr>
    </w:p>
    <w:p>
      <w:pPr>
        <w:ind w:left="640" w:hanging="430"/>
        <w:spacing w:after="0"/>
        <w:tabs>
          <w:tab w:leader="none" w:pos="640" w:val="left"/>
        </w:tabs>
        <w:numPr>
          <w:ilvl w:val="0"/>
          <w:numId w:val="80"/>
        </w:numPr>
        <w:rPr>
          <w:rFonts w:ascii="Arial" w:cs="Arial" w:eastAsia="Arial" w:hAnsi="Arial"/>
          <w:sz w:val="12"/>
          <w:szCs w:val="12"/>
          <w:b w:val="1"/>
          <w:bCs w:val="1"/>
          <w:color w:val="auto"/>
        </w:rPr>
      </w:pPr>
      <w:r>
        <w:rPr>
          <w:rFonts w:ascii="Arial" w:cs="Arial" w:eastAsia="Arial" w:hAnsi="Arial"/>
          <w:sz w:val="12"/>
          <w:szCs w:val="12"/>
          <w:color w:val="007CBA"/>
        </w:rPr>
        <w:t>2019 PROXY STATEMENT</w:t>
      </w:r>
    </w:p>
    <w:p>
      <w:pPr>
        <w:sectPr>
          <w:pgSz w:w="11900" w:h="16838" w:orient="portrait"/>
          <w:cols w:equalWidth="0" w:num="1">
            <w:col w:w="11220"/>
          </w:cols>
          <w:pgMar w:left="240" w:top="459" w:right="4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9" w:lineRule="exact"/>
        <w:rPr>
          <w:sz w:val="20"/>
          <w:szCs w:val="20"/>
          <w:color w:val="auto"/>
        </w:rPr>
      </w:pPr>
    </w:p>
    <w:p>
      <w:pPr>
        <w:jc w:val="right"/>
        <w:spacing w:after="0" w:line="288" w:lineRule="exact"/>
        <w:rPr>
          <w:sz w:val="20"/>
          <w:szCs w:val="20"/>
          <w:color w:val="auto"/>
        </w:rPr>
      </w:pPr>
      <w:r>
        <w:rPr>
          <w:rFonts w:ascii="Arial" w:cs="Arial" w:eastAsia="Arial" w:hAnsi="Arial"/>
          <w:sz w:val="13"/>
          <w:szCs w:val="13"/>
          <w:color w:val="auto"/>
        </w:rPr>
        <w:t xml:space="preserve">Executive Summary </w:t>
      </w:r>
      <w:r>
        <w:rPr>
          <w:rFonts w:ascii="MS PGothic" w:cs="MS PGothic" w:eastAsia="MS PGothic" w:hAnsi="MS PGothic"/>
          <w:sz w:val="25"/>
          <w:szCs w:val="25"/>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Compensation Discussion and Analysis</w:t>
      </w: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7CBA"/>
        </w:rPr>
        <w:t>Executive Summary</w:t>
      </w:r>
    </w:p>
    <w:p>
      <w:pPr>
        <w:sectPr>
          <w:pgSz w:w="11900" w:h="16838" w:orient="portrait"/>
          <w:cols w:equalWidth="0" w:num="1">
            <w:col w:w="11220"/>
          </w:cols>
          <w:pgMar w:left="240" w:top="459" w:right="439" w:bottom="1440" w:gutter="0" w:footer="0" w:header="0"/>
        </w:sectPr>
      </w:pPr>
    </w:p>
    <w:p>
      <w:pPr>
        <w:spacing w:after="0" w:line="311" w:lineRule="exact"/>
        <w:rPr>
          <w:sz w:val="20"/>
          <w:szCs w:val="20"/>
          <w:color w:val="auto"/>
        </w:rPr>
      </w:pPr>
    </w:p>
    <w:p>
      <w:pPr>
        <w:jc w:val="both"/>
        <w:ind w:left="220" w:right="20"/>
        <w:spacing w:after="0" w:line="253" w:lineRule="auto"/>
        <w:rPr>
          <w:sz w:val="20"/>
          <w:szCs w:val="20"/>
          <w:color w:val="auto"/>
        </w:rPr>
      </w:pPr>
      <w:r>
        <w:rPr>
          <w:rFonts w:ascii="Arial" w:cs="Arial" w:eastAsia="Arial" w:hAnsi="Arial"/>
          <w:sz w:val="16"/>
          <w:szCs w:val="16"/>
          <w:color w:val="auto"/>
        </w:rPr>
        <w:t>We are committed to maintaining strong pay and governance practices in which pay is tied to performance. We hired Mercer, a leading independent consulting firm to help us in this regard.</w:t>
      </w:r>
    </w:p>
    <w:p>
      <w:pPr>
        <w:spacing w:after="0" w:line="174"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The Committee feels strongly that our executive compensation programs should evolve and be adjusted over time to support the achievement of our business goals, to reflect our challenges, and to promote both the near- and long-term profitable growth of Martin Marietta. During 2018, the Committee reviewed and evaluated market trends and best practices in designing and implementing elements of our compensation program. The Committee continues to believe that the goals for our executive</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compensation programs are to incentivize and reward achievement that creates value for our shareholders.</w:t>
      </w:r>
    </w:p>
    <w:p>
      <w:pPr>
        <w:spacing w:after="0" w:line="1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annual incentives are based on the achievement of various performance metrics, including overall financial performance, shareholder returns, safety performance, sustainability, environmental and regulatory compliance results, management of working capital, and organic and inorganic growth. In addition to looking carefully at our results in these areas, we also conduct an annual assessment of compensation practices, which are more fully described below. Our long-term incentives are designed to align executives with shareholder interests and to tie incentives with long-term goals.</w:t>
      </w:r>
    </w:p>
    <w:p>
      <w:pPr>
        <w:spacing w:after="0" w:line="200"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107"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7CBA"/>
        </w:rPr>
        <w:t>Shareholder Outreach and Shareholder Feedback on 2018 Say On Pay</w:t>
      </w:r>
    </w:p>
    <w:p>
      <w:pPr>
        <w:sectPr>
          <w:pgSz w:w="11900" w:h="16838" w:orient="portrait"/>
          <w:cols w:equalWidth="0" w:num="1">
            <w:col w:w="11220"/>
          </w:cols>
          <w:pgMar w:left="240" w:top="459" w:right="439" w:bottom="1440" w:gutter="0" w:footer="0" w:header="0"/>
          <w:type w:val="continuous"/>
        </w:sectPr>
      </w:pPr>
    </w:p>
    <w:p>
      <w:pPr>
        <w:spacing w:after="0" w:line="311" w:lineRule="exact"/>
        <w:rPr>
          <w:sz w:val="20"/>
          <w:szCs w:val="20"/>
          <w:color w:val="auto"/>
        </w:rPr>
      </w:pPr>
    </w:p>
    <w:p>
      <w:pPr>
        <w:jc w:val="both"/>
        <w:ind w:left="220"/>
        <w:spacing w:after="0" w:line="247" w:lineRule="auto"/>
        <w:rPr>
          <w:sz w:val="20"/>
          <w:szCs w:val="20"/>
          <w:color w:val="auto"/>
        </w:rPr>
      </w:pPr>
      <w:r>
        <w:rPr>
          <w:rFonts w:ascii="Arial" w:cs="Arial" w:eastAsia="Arial" w:hAnsi="Arial"/>
          <w:sz w:val="16"/>
          <w:szCs w:val="16"/>
          <w:color w:val="auto"/>
        </w:rPr>
        <w:t>We regularly engage with our shareholders to understand the topics that matter most to them as they relate to executive compensation. We consider the input of our shareholders, along with emerging best practices, to ensure alignment with our executive pay programs. Notably, in 2018, most investors with whom we engaged reacted positively to our pay-for-performance alignment and executive compensation programs. However, they indicated concern with the inclusion of an excise tax gross-up and walk-right in our legacy change in control agreements. We spoke to many of our shareholders in 2018, including most of our top 30 shareholders, and listened to their feedback. Based on that, we made meaningful changes to our compensation arrangements intended to be responsive to the concerns raised. In this regard:</w:t>
      </w:r>
    </w:p>
    <w:p>
      <w:pPr>
        <w:spacing w:after="0" w:line="75" w:lineRule="exact"/>
        <w:rPr>
          <w:sz w:val="20"/>
          <w:szCs w:val="20"/>
          <w:color w:val="auto"/>
        </w:rPr>
      </w:pPr>
    </w:p>
    <w:p>
      <w:pPr>
        <w:jc w:val="both"/>
        <w:ind w:left="580" w:right="20" w:hanging="289"/>
        <w:spacing w:after="0" w:line="253" w:lineRule="auto"/>
        <w:tabs>
          <w:tab w:leader="none" w:pos="580" w:val="left"/>
        </w:tabs>
        <w:numPr>
          <w:ilvl w:val="0"/>
          <w:numId w:val="81"/>
        </w:numPr>
        <w:rPr>
          <w:rFonts w:ascii="Arial" w:cs="Arial" w:eastAsia="Arial" w:hAnsi="Arial"/>
          <w:sz w:val="16"/>
          <w:szCs w:val="16"/>
          <w:color w:val="007CBA"/>
        </w:rPr>
      </w:pPr>
      <w:r>
        <w:rPr>
          <w:rFonts w:ascii="Arial" w:cs="Arial" w:eastAsia="Arial" w:hAnsi="Arial"/>
          <w:sz w:val="16"/>
          <w:szCs w:val="16"/>
          <w:color w:val="auto"/>
        </w:rPr>
        <w:t>We received over 96% support on our Say On Pay vote in 2017 and 2016. Prior to 2018, the lowest Say on Pay vote we received was 93.6%.</w:t>
      </w:r>
    </w:p>
    <w:p>
      <w:pPr>
        <w:spacing w:after="0" w:line="65" w:lineRule="exact"/>
        <w:rPr>
          <w:rFonts w:ascii="Arial" w:cs="Arial" w:eastAsia="Arial" w:hAnsi="Arial"/>
          <w:sz w:val="16"/>
          <w:szCs w:val="16"/>
          <w:color w:val="007CBA"/>
        </w:rPr>
      </w:pPr>
    </w:p>
    <w:p>
      <w:pPr>
        <w:jc w:val="both"/>
        <w:ind w:left="580" w:right="20" w:hanging="289"/>
        <w:spacing w:after="0" w:line="253" w:lineRule="auto"/>
        <w:tabs>
          <w:tab w:leader="none" w:pos="580" w:val="left"/>
        </w:tabs>
        <w:numPr>
          <w:ilvl w:val="0"/>
          <w:numId w:val="81"/>
        </w:numPr>
        <w:rPr>
          <w:rFonts w:ascii="Arial" w:cs="Arial" w:eastAsia="Arial" w:hAnsi="Arial"/>
          <w:sz w:val="16"/>
          <w:szCs w:val="16"/>
          <w:color w:val="007CBA"/>
        </w:rPr>
      </w:pPr>
      <w:r>
        <w:rPr>
          <w:rFonts w:ascii="Arial" w:cs="Arial" w:eastAsia="Arial" w:hAnsi="Arial"/>
          <w:sz w:val="16"/>
          <w:szCs w:val="16"/>
          <w:color w:val="auto"/>
        </w:rPr>
        <w:t>In connection with the 2018 Say On Pay vote of 78.9%, we engaged and integrated shareholder feedback. This led to the following changes:</w:t>
      </w:r>
    </w:p>
    <w:p>
      <w:pPr>
        <w:spacing w:after="0" w:line="65" w:lineRule="exact"/>
        <w:rPr>
          <w:rFonts w:ascii="Arial" w:cs="Arial" w:eastAsia="Arial" w:hAnsi="Arial"/>
          <w:sz w:val="16"/>
          <w:szCs w:val="16"/>
          <w:color w:val="007CBA"/>
        </w:rPr>
      </w:pPr>
    </w:p>
    <w:p>
      <w:pPr>
        <w:ind w:left="920" w:right="20" w:hanging="297"/>
        <w:spacing w:after="0" w:line="253" w:lineRule="auto"/>
        <w:rPr>
          <w:rFonts w:ascii="Arial" w:cs="Arial" w:eastAsia="Arial" w:hAnsi="Arial"/>
          <w:sz w:val="16"/>
          <w:szCs w:val="16"/>
          <w:color w:val="007CBA"/>
        </w:rPr>
      </w:pPr>
      <w:r>
        <w:rPr>
          <w:rFonts w:ascii="Arial" w:cs="Arial" w:eastAsia="Arial" w:hAnsi="Arial"/>
          <w:sz w:val="16"/>
          <w:szCs w:val="16"/>
          <w:color w:val="auto"/>
        </w:rPr>
        <w:t>— The existing Employment Protection Agreement (EPA) with each executive officer has been modified to eliminate the IRS 280G excise tax gross-up</w:t>
      </w:r>
    </w:p>
    <w:p>
      <w:pPr>
        <w:spacing w:after="0" w:line="65" w:lineRule="exact"/>
        <w:rPr>
          <w:rFonts w:ascii="Arial" w:cs="Arial" w:eastAsia="Arial" w:hAnsi="Arial"/>
          <w:sz w:val="16"/>
          <w:szCs w:val="16"/>
          <w:color w:val="007CBA"/>
        </w:rPr>
      </w:pPr>
    </w:p>
    <w:p>
      <w:pPr>
        <w:ind w:left="920" w:right="20" w:hanging="297"/>
        <w:spacing w:after="0" w:line="253" w:lineRule="auto"/>
        <w:rPr>
          <w:rFonts w:ascii="Arial" w:cs="Arial" w:eastAsia="Arial" w:hAnsi="Arial"/>
          <w:sz w:val="16"/>
          <w:szCs w:val="16"/>
          <w:color w:val="007CBA"/>
        </w:rPr>
      </w:pPr>
      <w:r>
        <w:rPr>
          <w:rFonts w:ascii="Arial" w:cs="Arial" w:eastAsia="Arial" w:hAnsi="Arial"/>
          <w:sz w:val="16"/>
          <w:szCs w:val="16"/>
          <w:color w:val="auto"/>
        </w:rPr>
        <w:t>— The existing EPA with each executive officer has been modified to also eliminate the walk-right and the inclusion of the value of perquisites in the severance calculation</w:t>
      </w:r>
    </w:p>
    <w:p>
      <w:pPr>
        <w:spacing w:after="0" w:line="65" w:lineRule="exact"/>
        <w:rPr>
          <w:rFonts w:ascii="Arial" w:cs="Arial" w:eastAsia="Arial" w:hAnsi="Arial"/>
          <w:sz w:val="16"/>
          <w:szCs w:val="16"/>
          <w:color w:val="007CBA"/>
        </w:rPr>
      </w:pPr>
    </w:p>
    <w:p>
      <w:pPr>
        <w:ind w:left="620"/>
        <w:spacing w:after="0"/>
        <w:rPr>
          <w:rFonts w:ascii="Arial" w:cs="Arial" w:eastAsia="Arial" w:hAnsi="Arial"/>
          <w:sz w:val="16"/>
          <w:szCs w:val="16"/>
          <w:color w:val="007CBA"/>
        </w:rPr>
      </w:pPr>
      <w:r>
        <w:rPr>
          <w:rFonts w:ascii="Arial" w:cs="Arial" w:eastAsia="Arial" w:hAnsi="Arial"/>
          <w:sz w:val="16"/>
          <w:szCs w:val="16"/>
          <w:color w:val="auto"/>
        </w:rPr>
        <w:t>—  New EPAs will not contain the provisions that were eliminated</w:t>
      </w:r>
    </w:p>
    <w:p>
      <w:pPr>
        <w:spacing w:after="0" w:line="85" w:lineRule="exact"/>
        <w:rPr>
          <w:rFonts w:ascii="Arial" w:cs="Arial" w:eastAsia="Arial" w:hAnsi="Arial"/>
          <w:sz w:val="16"/>
          <w:szCs w:val="16"/>
          <w:color w:val="007CBA"/>
        </w:rPr>
      </w:pPr>
    </w:p>
    <w:p>
      <w:pPr>
        <w:ind w:left="920" w:right="20" w:hanging="297"/>
        <w:spacing w:after="0" w:line="260" w:lineRule="auto"/>
        <w:rPr>
          <w:rFonts w:ascii="Arial" w:cs="Arial" w:eastAsia="Arial" w:hAnsi="Arial"/>
          <w:sz w:val="16"/>
          <w:szCs w:val="16"/>
          <w:color w:val="007CBA"/>
        </w:rPr>
      </w:pPr>
      <w:r>
        <w:rPr>
          <w:rFonts w:ascii="Arial" w:cs="Arial" w:eastAsia="Arial" w:hAnsi="Arial"/>
          <w:sz w:val="16"/>
          <w:szCs w:val="16"/>
          <w:color w:val="auto"/>
        </w:rPr>
        <w:t>— Beginning in 2019, equity award agreements will no longer contain single-trigger vesting provisions</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have a history of being responsive to our shareholders. At our 2017 Annual Meeting, a nonbinding advisory shareholder proposal to adopt a proxy access Bylaw was supported by a majority of the shares that voted on the proposal. Martin Marietta engaged in discussion with some of our largest shareholders regarding proxy access and, while not unanimous in their view, they generally supported the concept of proxy access. Based on the vote, these discussions, and additional dialogue with the proposal’s proponent, the Board amended our Bylaws in February 2018 to implement proxy access.</w:t>
      </w:r>
    </w:p>
    <w:p>
      <w:pPr>
        <w:spacing w:after="0" w:line="7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regularly talk to long-term shareholders and appreciate the opportunity to gain further insight and understanding into their views. In 2018 our investor relations outreach extended to 111 meetings with 324 investment groups in the United States, Canada, the United Kingdom, and Europe.</w:t>
      </w:r>
    </w:p>
    <w:p>
      <w:pPr>
        <w:spacing w:after="0" w:line="5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update the Committee and the Board on our conversations with investors, and this investor input, along with the feedback from its independent compensation consultant, assists the Committee as it maintains its focus on aligning pay and performance.</w:t>
      </w:r>
    </w:p>
    <w:p>
      <w:pPr>
        <w:spacing w:after="0" w:line="5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speak to almost all of our top 25 shareholders at least annually, which represents approximately 70% of our outstanding shares.</w:t>
      </w:r>
    </w:p>
    <w:p>
      <w:pPr>
        <w:spacing w:after="0" w:line="16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We view a continuing, constructive dialogue with our long-term shareholders as critically important to ensuring that we remain aligned with their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828675</wp:posOffset>
            </wp:positionV>
            <wp:extent cx="410845" cy="2482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1230"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92" w:lineRule="exact"/>
        <w:rPr>
          <w:sz w:val="20"/>
          <w:szCs w:val="20"/>
          <w:color w:val="auto"/>
        </w:rPr>
      </w:pPr>
    </w:p>
    <w:tbl>
      <w:tblPr>
        <w:tblLayout w:type="fixed"/>
        <w:tblInd w:w="926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2019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33</w:t>
            </w:r>
          </w:p>
        </w:tc>
      </w:tr>
    </w:tbl>
    <w:p>
      <w:pPr>
        <w:sectPr>
          <w:pgSz w:w="11900" w:h="16838" w:orient="portrait"/>
          <w:cols w:equalWidth="0" w:num="1">
            <w:col w:w="11220"/>
          </w:cols>
          <w:pgMar w:left="240" w:top="459" w:right="4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9" w:lineRule="exact"/>
        <w:rPr>
          <w:sz w:val="20"/>
          <w:szCs w:val="20"/>
          <w:color w:val="auto"/>
        </w:rPr>
      </w:pPr>
    </w:p>
    <w:p>
      <w:pPr>
        <w:ind w:left="220"/>
        <w:spacing w:after="0" w:line="288" w:lineRule="exact"/>
        <w:rPr>
          <w:sz w:val="20"/>
          <w:szCs w:val="20"/>
          <w:color w:val="auto"/>
        </w:rPr>
      </w:pPr>
      <w:r>
        <w:rPr>
          <w:rFonts w:ascii="Arial" w:cs="Arial" w:eastAsia="Arial" w:hAnsi="Arial"/>
          <w:sz w:val="13"/>
          <w:szCs w:val="13"/>
          <w:color w:val="007CBA"/>
        </w:rPr>
        <w:t xml:space="preserve">Compensation Discussion and Analysis </w:t>
      </w:r>
      <w:r>
        <w:rPr>
          <w:rFonts w:ascii="MS PGothic" w:cs="MS PGothic" w:eastAsia="MS PGothic" w:hAnsi="MS PGothic"/>
          <w:sz w:val="25"/>
          <w:szCs w:val="25"/>
          <w:color w:val="007CBA"/>
        </w:rPr>
        <w:t>◆</w:t>
      </w:r>
      <w:r>
        <w:rPr>
          <w:rFonts w:ascii="Arial" w:cs="Arial" w:eastAsia="Arial" w:hAnsi="Arial"/>
          <w:sz w:val="13"/>
          <w:szCs w:val="13"/>
          <w:color w:val="007CBA"/>
        </w:rPr>
        <w:t xml:space="preserve"> </w:t>
      </w:r>
      <w:r>
        <w:rPr>
          <w:rFonts w:ascii="Arial" w:cs="Arial" w:eastAsia="Arial" w:hAnsi="Arial"/>
          <w:sz w:val="13"/>
          <w:szCs w:val="13"/>
          <w:color w:val="000000"/>
        </w:rPr>
        <w:t>Our 2018 Performance</w:t>
      </w: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7CBA"/>
        </w:rPr>
        <w:t>Our 2018 Performance</w:t>
      </w:r>
    </w:p>
    <w:p>
      <w:pPr>
        <w:spacing w:after="0" w:line="231"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By almost any meaningful measure, 2018 was a remarkable year for Martin Marietta. We achieved full-year record financial results for the seventh year in a row. We continue to focus not only on the operations of the Company, but also on the best practices needed to make Martin Marietta not just the best aggregates company, but rather one of the world’s best companies. Our Company performance, coupled with the achievement of key strategic goals, delivered excellent results in 2018, and established an enhanced solid foundation for continued performance and delivery of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128905</wp:posOffset>
            </wp:positionV>
            <wp:extent cx="351155" cy="3257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51155" cy="32575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128905</wp:posOffset>
            </wp:positionV>
            <wp:extent cx="513715" cy="3340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3715" cy="33401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367" w:lineRule="exact"/>
        <w:rPr>
          <w:sz w:val="20"/>
          <w:szCs w:val="20"/>
          <w:color w:val="auto"/>
        </w:rPr>
      </w:pPr>
    </w:p>
    <w:p>
      <w:pPr>
        <w:ind w:left="1080"/>
        <w:spacing w:after="0"/>
        <w:rPr>
          <w:sz w:val="20"/>
          <w:szCs w:val="20"/>
          <w:color w:val="auto"/>
        </w:rPr>
      </w:pPr>
      <w:r>
        <w:rPr>
          <w:rFonts w:ascii="Arial" w:cs="Arial" w:eastAsia="Arial" w:hAnsi="Arial"/>
          <w:sz w:val="16"/>
          <w:szCs w:val="16"/>
          <w:color w:val="007CBA"/>
        </w:rPr>
        <w:t xml:space="preserve">Adjusted EBITDA* of $1.1 BILLION, </w:t>
      </w:r>
      <w:r>
        <w:rPr>
          <w:rFonts w:ascii="Arial" w:cs="Arial" w:eastAsia="Arial" w:hAnsi="Arial"/>
          <w:sz w:val="16"/>
          <w:szCs w:val="16"/>
          <w:color w:val="000000"/>
        </w:rPr>
        <w:t>an all-time high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173355</wp:posOffset>
            </wp:positionV>
            <wp:extent cx="291465" cy="410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91465" cy="41084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173355</wp:posOffset>
            </wp:positionV>
            <wp:extent cx="419735" cy="419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19735" cy="419735"/>
                    </a:xfrm>
                    <a:prstGeom prst="rect">
                      <a:avLst/>
                    </a:prstGeom>
                    <a:noFill/>
                  </pic:spPr>
                </pic:pic>
              </a:graphicData>
            </a:graphic>
          </wp:anchor>
        </w:drawing>
      </w:r>
    </w:p>
    <w:p>
      <w:pPr>
        <w:spacing w:after="0" w:line="390" w:lineRule="exact"/>
        <w:rPr>
          <w:sz w:val="20"/>
          <w:szCs w:val="20"/>
          <w:color w:val="auto"/>
        </w:rPr>
      </w:pPr>
    </w:p>
    <w:p>
      <w:pPr>
        <w:ind w:left="1080" w:right="600"/>
        <w:spacing w:after="0" w:line="260" w:lineRule="auto"/>
        <w:rPr>
          <w:sz w:val="20"/>
          <w:szCs w:val="20"/>
          <w:color w:val="auto"/>
        </w:rPr>
      </w:pPr>
      <w:r>
        <w:rPr>
          <w:rFonts w:ascii="Arial" w:cs="Arial" w:eastAsia="Arial" w:hAnsi="Arial"/>
          <w:sz w:val="16"/>
          <w:szCs w:val="16"/>
          <w:color w:val="007CBA"/>
        </w:rPr>
        <w:t xml:space="preserve">SOLID PRICING GAINS AND MODEST IMPROVEMENT IN SHIPMENTS </w:t>
      </w:r>
      <w:r>
        <w:rPr>
          <w:rFonts w:ascii="Arial" w:cs="Arial" w:eastAsia="Arial" w:hAnsi="Arial"/>
          <w:sz w:val="16"/>
          <w:szCs w:val="16"/>
          <w:color w:val="000000"/>
        </w:rPr>
        <w:t>across heritage Building Materials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139700</wp:posOffset>
            </wp:positionV>
            <wp:extent cx="419735" cy="419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19735" cy="41973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191135</wp:posOffset>
            </wp:positionV>
            <wp:extent cx="462280" cy="3086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62280" cy="308610"/>
                    </a:xfrm>
                    <a:prstGeom prst="rect">
                      <a:avLst/>
                    </a:prstGeom>
                    <a:noFill/>
                  </pic:spPr>
                </pic:pic>
              </a:graphicData>
            </a:graphic>
          </wp:anchor>
        </w:drawing>
      </w:r>
    </w:p>
    <w:p>
      <w:pPr>
        <w:spacing w:after="0" w:line="337"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Disciplined execution of our</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6"/>
          <w:szCs w:val="16"/>
          <w:color w:val="007CBA"/>
        </w:rPr>
        <w:t>LONG-TERM STRATEGIC PLAN</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Revenue and profitability growth driven largely by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07CBA"/>
        </w:rPr>
        <w:t>BLUEGRASS MATERIALS ACQUISITION</w:t>
      </w:r>
    </w:p>
    <w:p>
      <w:pPr>
        <w:spacing w:after="0" w:line="275"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 xml:space="preserve">Meaningful </w:t>
      </w:r>
      <w:r>
        <w:rPr>
          <w:rFonts w:ascii="Arial" w:cs="Arial" w:eastAsia="Arial" w:hAnsi="Arial"/>
          <w:sz w:val="16"/>
          <w:szCs w:val="16"/>
          <w:color w:val="007CBA"/>
        </w:rPr>
        <w:t>INCREASE IN DIVIDEND</w:t>
      </w:r>
      <w:r>
        <w:rPr>
          <w:rFonts w:ascii="Arial" w:cs="Arial" w:eastAsia="Arial" w:hAnsi="Arial"/>
          <w:sz w:val="16"/>
          <w:szCs w:val="16"/>
          <w:color w:val="auto"/>
        </w:rPr>
        <w:t xml:space="preserve"> and resumed </w:t>
      </w:r>
      <w:r>
        <w:rPr>
          <w:rFonts w:ascii="Arial" w:cs="Arial" w:eastAsia="Arial" w:hAnsi="Arial"/>
          <w:sz w:val="16"/>
          <w:szCs w:val="16"/>
          <w:color w:val="007CBA"/>
        </w:rPr>
        <w:t>SHARE</w:t>
      </w:r>
      <w:r>
        <w:rPr>
          <w:rFonts w:ascii="Arial" w:cs="Arial" w:eastAsia="Arial" w:hAnsi="Arial"/>
          <w:sz w:val="16"/>
          <w:szCs w:val="16"/>
          <w:color w:val="auto"/>
        </w:rPr>
        <w:t xml:space="preserve"> </w:t>
      </w:r>
      <w:r>
        <w:rPr>
          <w:rFonts w:ascii="Arial" w:cs="Arial" w:eastAsia="Arial" w:hAnsi="Arial"/>
          <w:sz w:val="16"/>
          <w:szCs w:val="16"/>
          <w:color w:val="007CBA"/>
        </w:rPr>
        <w:t xml:space="preserve">REPURCHASE </w:t>
      </w:r>
      <w:r>
        <w:rPr>
          <w:rFonts w:ascii="Arial" w:cs="Arial" w:eastAsia="Arial" w:hAnsi="Arial"/>
          <w:sz w:val="16"/>
          <w:szCs w:val="16"/>
          <w:color w:val="000000"/>
        </w:rPr>
        <w:t>program</w:t>
      </w:r>
    </w:p>
    <w:p>
      <w:pPr>
        <w:spacing w:after="0" w:line="370"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007CBA"/>
        </w:rPr>
        <w:t xml:space="preserve">BEST HERITAGE SAFETY PERFORMANCE </w:t>
      </w:r>
      <w:r>
        <w:rPr>
          <w:rFonts w:ascii="Arial" w:cs="Arial" w:eastAsia="Arial" w:hAnsi="Arial"/>
          <w:sz w:val="16"/>
          <w:szCs w:val="16"/>
          <w:color w:val="000000"/>
        </w:rPr>
        <w:t>in Company’s</w:t>
      </w:r>
      <w:r>
        <w:rPr>
          <w:rFonts w:ascii="Arial" w:cs="Arial" w:eastAsia="Arial" w:hAnsi="Arial"/>
          <w:sz w:val="16"/>
          <w:szCs w:val="16"/>
          <w:color w:val="007CBA"/>
        </w:rPr>
        <w:t xml:space="preserve"> </w:t>
      </w:r>
      <w:r>
        <w:rPr>
          <w:rFonts w:ascii="Arial" w:cs="Arial" w:eastAsia="Arial" w:hAnsi="Arial"/>
          <w:sz w:val="16"/>
          <w:szCs w:val="16"/>
          <w:color w:val="000000"/>
        </w:rPr>
        <w:t>history</w:t>
      </w:r>
    </w:p>
    <w:p>
      <w:pPr>
        <w:spacing w:after="0" w:line="200" w:lineRule="exact"/>
        <w:rPr>
          <w:sz w:val="20"/>
          <w:szCs w:val="20"/>
          <w:color w:val="auto"/>
        </w:rPr>
      </w:pPr>
    </w:p>
    <w:p>
      <w:pPr>
        <w:sectPr>
          <w:pgSz w:w="11900" w:h="16838" w:orient="portrait"/>
          <w:cols w:equalWidth="0" w:num="2">
            <w:col w:w="6020" w:space="720"/>
            <w:col w:w="4480"/>
          </w:cols>
          <w:pgMar w:left="240" w:top="459" w:right="439" w:bottom="1440" w:gutter="0" w:footer="0" w:header="0"/>
          <w:type w:val="continuous"/>
        </w:sectPr>
      </w:pPr>
    </w:p>
    <w:p>
      <w:pPr>
        <w:spacing w:after="0" w:line="146" w:lineRule="exact"/>
        <w:rPr>
          <w:sz w:val="20"/>
          <w:szCs w:val="20"/>
          <w:color w:val="auto"/>
        </w:rPr>
      </w:pPr>
    </w:p>
    <w:p>
      <w:pPr>
        <w:ind w:left="540" w:hanging="222"/>
        <w:spacing w:after="0"/>
        <w:tabs>
          <w:tab w:leader="none" w:pos="5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Adjusted for certain non-reconciliation. See Appendix B for reconciliation to reported net earnings. Adjusted EBITDA is a metric used for executive performances targets</w:t>
      </w:r>
    </w:p>
    <w:p>
      <w:pPr>
        <w:spacing w:after="0" w:line="52" w:lineRule="exact"/>
        <w:rPr>
          <w:sz w:val="20"/>
          <w:szCs w:val="20"/>
          <w:color w:val="auto"/>
        </w:rPr>
      </w:pPr>
    </w:p>
    <w:p>
      <w:pPr>
        <w:jc w:val="both"/>
        <w:ind w:left="220"/>
        <w:spacing w:after="0" w:line="260" w:lineRule="auto"/>
        <w:rPr>
          <w:sz w:val="20"/>
          <w:szCs w:val="20"/>
          <w:color w:val="auto"/>
        </w:rPr>
      </w:pPr>
      <w:r>
        <w:rPr>
          <w:rFonts w:ascii="Arial" w:cs="Arial" w:eastAsia="Arial" w:hAnsi="Arial"/>
          <w:sz w:val="16"/>
          <w:szCs w:val="16"/>
          <w:color w:val="auto"/>
        </w:rPr>
        <w:t>We continue to focus on our capital allocation and shareholder returns to create shareholder value. Martin Marietta has returned more capital to its shareholders over the last five years than any of our peers in heavy construction materials.</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Cumulative Capital Return as % of Operating Cash Flow (2014 –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148590</wp:posOffset>
            </wp:positionV>
            <wp:extent cx="3314700" cy="11734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14700" cy="117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Source: company filings, FactSet as of 3/15/2019</w:t>
      </w:r>
    </w:p>
    <w:p>
      <w:pPr>
        <w:spacing w:after="0" w:line="173" w:lineRule="exact"/>
        <w:rPr>
          <w:sz w:val="20"/>
          <w:szCs w:val="20"/>
          <w:color w:val="auto"/>
        </w:rPr>
      </w:pPr>
    </w:p>
    <w:p>
      <w:pPr>
        <w:jc w:val="both"/>
        <w:ind w:left="220"/>
        <w:spacing w:after="0" w:line="253" w:lineRule="auto"/>
        <w:rPr>
          <w:sz w:val="20"/>
          <w:szCs w:val="20"/>
          <w:color w:val="auto"/>
        </w:rPr>
      </w:pPr>
      <w:r>
        <w:rPr>
          <w:rFonts w:ascii="Arial" w:cs="Arial" w:eastAsia="Arial" w:hAnsi="Arial"/>
          <w:sz w:val="16"/>
          <w:szCs w:val="16"/>
          <w:color w:val="auto"/>
        </w:rPr>
        <w:t>In 2018, we continued to focus on strategically positioning ourselves in high-growth areas. Consistent with our strategic plan and our assessment of the attractiveness of markets, we completed the acquisition of Bluegrass Materials, the largest privately-held, pure-play aggregates business in the United States with locations in Maryland, Georgia, Kentucky, Tennessee and South Carolina.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143510</wp:posOffset>
            </wp:positionV>
            <wp:extent cx="4737100" cy="21329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737100" cy="2132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hanging="430"/>
        <w:spacing w:after="0"/>
        <w:tabs>
          <w:tab w:leader="none" w:pos="640" w:val="left"/>
        </w:tabs>
        <w:numPr>
          <w:ilvl w:val="0"/>
          <w:numId w:val="83"/>
        </w:numPr>
        <w:rPr>
          <w:rFonts w:ascii="Arial" w:cs="Arial" w:eastAsia="Arial" w:hAnsi="Arial"/>
          <w:sz w:val="13"/>
          <w:szCs w:val="13"/>
          <w:b w:val="1"/>
          <w:bCs w:val="1"/>
          <w:color w:val="auto"/>
        </w:rPr>
      </w:pPr>
      <w:r>
        <w:rPr>
          <w:rFonts w:ascii="Arial" w:cs="Arial" w:eastAsia="Arial" w:hAnsi="Arial"/>
          <w:sz w:val="13"/>
          <w:szCs w:val="13"/>
          <w:color w:val="007CBA"/>
        </w:rPr>
        <w:t>2019 PROXY STATEMENT</w:t>
      </w:r>
    </w:p>
    <w:p>
      <w:pPr>
        <w:sectPr>
          <w:pgSz w:w="11900" w:h="16838" w:orient="portrait"/>
          <w:cols w:equalWidth="0" w:num="1">
            <w:col w:w="11220"/>
          </w:cols>
          <w:pgMar w:left="240" w:top="459" w:right="4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9" w:lineRule="exact"/>
        <w:rPr>
          <w:sz w:val="20"/>
          <w:szCs w:val="20"/>
          <w:color w:val="auto"/>
        </w:rPr>
      </w:pPr>
    </w:p>
    <w:p>
      <w:pPr>
        <w:jc w:val="right"/>
        <w:spacing w:after="0" w:line="288" w:lineRule="exact"/>
        <w:rPr>
          <w:sz w:val="20"/>
          <w:szCs w:val="20"/>
          <w:color w:val="auto"/>
        </w:rPr>
      </w:pPr>
      <w:r>
        <w:rPr>
          <w:rFonts w:ascii="Arial" w:cs="Arial" w:eastAsia="Arial" w:hAnsi="Arial"/>
          <w:sz w:val="13"/>
          <w:szCs w:val="13"/>
          <w:color w:val="auto"/>
        </w:rPr>
        <w:t xml:space="preserve">Our 2018 Performance </w:t>
      </w:r>
      <w:r>
        <w:rPr>
          <w:rFonts w:ascii="MS PGothic" w:cs="MS PGothic" w:eastAsia="MS PGothic" w:hAnsi="MS PGothic"/>
          <w:sz w:val="25"/>
          <w:szCs w:val="25"/>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Compensation Discussion and Analysis</w:t>
      </w:r>
    </w:p>
    <w:p>
      <w:pPr>
        <w:spacing w:after="0" w:line="200" w:lineRule="exact"/>
        <w:rPr>
          <w:sz w:val="20"/>
          <w:szCs w:val="20"/>
          <w:color w:val="auto"/>
        </w:rPr>
      </w:pPr>
    </w:p>
    <w:p>
      <w:pPr>
        <w:spacing w:after="0" w:line="240"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The successful, continued implementation of our strategic plan has helped us achieve a leading position in 90% of the markets in which we operate. Our strategic plan focuses on our trajectory in those regions with attractive population dynamics and long term expected growth. The following chart shows the 30-year forecasted population and gross state product growth for the highest growth states in which we generated sales in 2018, with the size of the circle for each state indicating the relative amount of our revenues attributable to sales in that state.</w:t>
      </w:r>
    </w:p>
    <w:p>
      <w:pPr>
        <w:spacing w:after="0" w:line="150"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Martin Marietta Sales-Generating States</w:t>
      </w:r>
      <w:r>
        <w:rPr>
          <w:rFonts w:ascii="Arial" w:cs="Arial" w:eastAsia="Arial" w:hAnsi="Arial"/>
          <w:sz w:val="14"/>
          <w:szCs w:val="14"/>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1487170</wp:posOffset>
            </wp:positionH>
            <wp:positionV relativeFrom="paragraph">
              <wp:posOffset>149225</wp:posOffset>
            </wp:positionV>
            <wp:extent cx="4283075" cy="36061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283075" cy="3606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Source: Company filings and IHS Markit</w:t>
      </w:r>
    </w:p>
    <w:p>
      <w:pPr>
        <w:ind w:left="1760" w:hanging="120"/>
        <w:spacing w:after="0" w:line="187" w:lineRule="auto"/>
        <w:tabs>
          <w:tab w:leader="none" w:pos="1760" w:val="left"/>
        </w:tabs>
        <w:numPr>
          <w:ilvl w:val="0"/>
          <w:numId w:val="84"/>
        </w:numPr>
        <w:rPr>
          <w:rFonts w:ascii="Arial" w:cs="Arial" w:eastAsia="Arial" w:hAnsi="Arial"/>
          <w:sz w:val="20"/>
          <w:szCs w:val="20"/>
          <w:color w:val="auto"/>
          <w:vertAlign w:val="superscript"/>
        </w:rPr>
      </w:pPr>
      <w:r>
        <w:rPr>
          <w:rFonts w:ascii="Arial" w:cs="Arial" w:eastAsia="Arial" w:hAnsi="Arial"/>
          <w:sz w:val="12"/>
          <w:szCs w:val="12"/>
          <w:color w:val="auto"/>
        </w:rPr>
        <w:t>Based on 2018 products and services revenue by state of destination; assumes equal sales-weighted exposure to all states with &lt;1%</w:t>
      </w:r>
    </w:p>
    <w:p>
      <w:pPr>
        <w:spacing w:after="0" w:line="57" w:lineRule="exact"/>
        <w:rPr>
          <w:rFonts w:ascii="Arial" w:cs="Arial" w:eastAsia="Arial" w:hAnsi="Arial"/>
          <w:sz w:val="20"/>
          <w:szCs w:val="20"/>
          <w:color w:val="auto"/>
          <w:vertAlign w:val="superscript"/>
        </w:rPr>
      </w:pPr>
    </w:p>
    <w:p>
      <w:pPr>
        <w:ind w:left="1640"/>
        <w:spacing w:after="0" w:line="199" w:lineRule="auto"/>
        <w:rPr>
          <w:rFonts w:ascii="Arial" w:cs="Arial" w:eastAsia="Arial" w:hAnsi="Arial"/>
          <w:sz w:val="20"/>
          <w:szCs w:val="20"/>
          <w:color w:val="auto"/>
          <w:vertAlign w:val="superscript"/>
        </w:rPr>
      </w:pPr>
      <w:r>
        <w:rPr>
          <w:rFonts w:ascii="Arial" w:cs="Arial" w:eastAsia="Arial" w:hAnsi="Arial"/>
          <w:sz w:val="24"/>
          <w:szCs w:val="24"/>
          <w:color w:val="auto"/>
          <w:vertAlign w:val="superscript"/>
        </w:rPr>
        <w:t>2.</w:t>
      </w:r>
      <w:r>
        <w:rPr>
          <w:rFonts w:ascii="Arial" w:cs="Arial" w:eastAsia="Arial" w:hAnsi="Arial"/>
          <w:sz w:val="14"/>
          <w:szCs w:val="14"/>
          <w:color w:val="auto"/>
        </w:rPr>
        <w:t xml:space="preserve"> Long-term Gross State Product growth calculated as forecasted 30-year CAGR (2018-2048)</w:t>
      </w:r>
    </w:p>
    <w:p>
      <w:pPr>
        <w:ind w:left="1640"/>
        <w:spacing w:after="0"/>
        <w:rPr>
          <w:rFonts w:ascii="Arial" w:cs="Arial" w:eastAsia="Arial" w:hAnsi="Arial"/>
          <w:sz w:val="20"/>
          <w:szCs w:val="20"/>
          <w:color w:val="auto"/>
          <w:vertAlign w:val="superscript"/>
        </w:rPr>
      </w:pPr>
      <w:r>
        <w:rPr>
          <w:rFonts w:ascii="Arial" w:cs="Arial" w:eastAsia="Arial" w:hAnsi="Arial"/>
          <w:sz w:val="24"/>
          <w:szCs w:val="24"/>
          <w:color w:val="auto"/>
          <w:vertAlign w:val="superscript"/>
        </w:rPr>
        <w:t>3.</w:t>
      </w:r>
      <w:r>
        <w:rPr>
          <w:rFonts w:ascii="Arial" w:cs="Arial" w:eastAsia="Arial" w:hAnsi="Arial"/>
          <w:sz w:val="14"/>
          <w:szCs w:val="14"/>
          <w:color w:val="auto"/>
        </w:rPr>
        <w:t xml:space="preserve"> Long-term state population growth calculated as forecasted 30-year CAGR (2018-2048)</w:t>
      </w:r>
    </w:p>
    <w:p>
      <w:pPr>
        <w:spacing w:after="0" w:line="58" w:lineRule="exact"/>
        <w:rPr>
          <w:sz w:val="20"/>
          <w:szCs w:val="20"/>
          <w:color w:val="auto"/>
        </w:rPr>
      </w:pPr>
    </w:p>
    <w:p>
      <w:pPr>
        <w:ind w:left="220"/>
        <w:spacing w:after="0" w:line="260" w:lineRule="auto"/>
        <w:rPr>
          <w:sz w:val="20"/>
          <w:szCs w:val="20"/>
          <w:color w:val="auto"/>
        </w:rPr>
      </w:pPr>
      <w:r>
        <w:rPr>
          <w:rFonts w:ascii="Arial" w:cs="Arial" w:eastAsia="Arial" w:hAnsi="Arial"/>
          <w:sz w:val="16"/>
          <w:szCs w:val="16"/>
          <w:color w:val="auto"/>
        </w:rPr>
        <w:t>Despite significant precipitation in many of our key markets, we achieved record financial performance in 2018. Effective management provided us the ability to prudently reinvest in our business, pursue strategic opportunities, and return cash to our shareholders.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 summary, Martin Marietta continued to execute its strategic plan while delivering strong performance in 2018 as compared to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139065</wp:posOffset>
            </wp:positionV>
            <wp:extent cx="7023735" cy="19100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023735" cy="191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40" w:right="20" w:hanging="330"/>
        <w:spacing w:after="0" w:line="246" w:lineRule="auto"/>
        <w:tabs>
          <w:tab w:leader="none" w:pos="5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2018 adjusted gross profit excludes the $18.7 million impact of selling acquired inventory after its markup to fair value as part of acquisition accounting. See Appendix B for reconciliation to reported gross profit.</w:t>
      </w:r>
    </w:p>
    <w:p>
      <w:pPr>
        <w:spacing w:after="0" w:line="1" w:lineRule="exact"/>
        <w:rPr>
          <w:sz w:val="20"/>
          <w:szCs w:val="20"/>
          <w:color w:val="auto"/>
        </w:rPr>
      </w:pPr>
    </w:p>
    <w:p>
      <w:pPr>
        <w:ind w:left="540" w:right="20" w:hanging="330"/>
        <w:spacing w:after="0" w:line="260" w:lineRule="auto"/>
        <w:tabs>
          <w:tab w:leader="none" w:pos="5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2017 adjusted earnings per diluted share excludes the $4.07 per share one-time tax benefit from the 2017 Tax Act. See Appendix B for reconciliation to reported earnings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3439795</wp:posOffset>
            </wp:positionH>
            <wp:positionV relativeFrom="paragraph">
              <wp:posOffset>80010</wp:posOffset>
            </wp:positionV>
            <wp:extent cx="410845" cy="2482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124" w:lineRule="exact"/>
        <w:rPr>
          <w:sz w:val="20"/>
          <w:szCs w:val="20"/>
          <w:color w:val="auto"/>
        </w:rPr>
      </w:pPr>
    </w:p>
    <w:tbl>
      <w:tblPr>
        <w:tblLayout w:type="fixed"/>
        <w:tblInd w:w="926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2019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35</w:t>
            </w:r>
          </w:p>
        </w:tc>
      </w:tr>
    </w:tbl>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9" w:lineRule="exact"/>
        <w:rPr>
          <w:sz w:val="20"/>
          <w:szCs w:val="20"/>
          <w:color w:val="auto"/>
        </w:rPr>
      </w:pPr>
    </w:p>
    <w:tbl>
      <w:tblPr>
        <w:tblLayout w:type="fixed"/>
        <w:tblInd w:w="220" w:type="dxa"/>
        <w:tblCellMar>
          <w:top w:w="0" w:type="dxa"/>
          <w:left w:w="0" w:type="dxa"/>
          <w:bottom w:w="0" w:type="dxa"/>
          <w:right w:w="0" w:type="dxa"/>
        </w:tblCellMar>
      </w:tblPr>
      <w:tr>
        <w:trPr>
          <w:trHeight w:val="398"/>
        </w:trPr>
        <w:tc>
          <w:tcPr>
            <w:tcW w:w="4940" w:type="dxa"/>
            <w:vAlign w:val="bottom"/>
            <w:gridSpan w:val="3"/>
          </w:tcPr>
          <w:p>
            <w:pPr>
              <w:spacing w:after="0" w:line="288" w:lineRule="exact"/>
              <w:rPr>
                <w:sz w:val="20"/>
                <w:szCs w:val="20"/>
                <w:color w:val="auto"/>
              </w:rPr>
            </w:pPr>
            <w:r>
              <w:rPr>
                <w:rFonts w:ascii="Arial" w:cs="Arial" w:eastAsia="Arial" w:hAnsi="Arial"/>
                <w:sz w:val="13"/>
                <w:szCs w:val="13"/>
                <w:color w:val="007CBA"/>
              </w:rPr>
              <w:t xml:space="preserve">Compensation Discussion and Analysis </w:t>
            </w:r>
            <w:r>
              <w:rPr>
                <w:rFonts w:ascii="MS PGothic" w:cs="MS PGothic" w:eastAsia="MS PGothic" w:hAnsi="MS PGothic"/>
                <w:sz w:val="25"/>
                <w:szCs w:val="25"/>
                <w:color w:val="007CBA"/>
              </w:rPr>
              <w:t>◆</w:t>
            </w:r>
            <w:r>
              <w:rPr>
                <w:rFonts w:ascii="Arial" w:cs="Arial" w:eastAsia="Arial" w:hAnsi="Arial"/>
                <w:sz w:val="13"/>
                <w:szCs w:val="13"/>
                <w:color w:val="007CBA"/>
              </w:rPr>
              <w:t xml:space="preserve"> </w:t>
            </w:r>
            <w:r>
              <w:rPr>
                <w:rFonts w:ascii="Arial" w:cs="Arial" w:eastAsia="Arial" w:hAnsi="Arial"/>
                <w:sz w:val="13"/>
                <w:szCs w:val="13"/>
                <w:color w:val="000000"/>
              </w:rPr>
              <w:t>Our 2018 Performance</w:t>
            </w:r>
          </w:p>
        </w:tc>
        <w:tc>
          <w:tcPr>
            <w:tcW w:w="54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5480" w:type="dxa"/>
            <w:vAlign w:val="bottom"/>
            <w:gridSpan w:val="4"/>
          </w:tcPr>
          <w:p>
            <w:pPr>
              <w:jc w:val="right"/>
              <w:ind w:right="139"/>
              <w:spacing w:after="0"/>
              <w:rPr>
                <w:sz w:val="20"/>
                <w:szCs w:val="20"/>
                <w:color w:val="auto"/>
              </w:rPr>
            </w:pPr>
            <w:r>
              <w:rPr>
                <w:rFonts w:ascii="Arial" w:cs="Arial" w:eastAsia="Arial" w:hAnsi="Arial"/>
                <w:sz w:val="16"/>
                <w:szCs w:val="16"/>
                <w:color w:val="auto"/>
              </w:rPr>
              <w:t>This financial performance allowed us to achieve our additional strategic</w:t>
            </w:r>
          </w:p>
        </w:tc>
        <w:tc>
          <w:tcPr>
            <w:tcW w:w="5500" w:type="dxa"/>
            <w:vAlign w:val="bottom"/>
          </w:tcPr>
          <w:p>
            <w:pPr>
              <w:jc w:val="right"/>
              <w:spacing w:after="0"/>
              <w:rPr>
                <w:sz w:val="20"/>
                <w:szCs w:val="20"/>
                <w:color w:val="auto"/>
              </w:rPr>
            </w:pPr>
            <w:r>
              <w:rPr>
                <w:rFonts w:ascii="Arial" w:cs="Arial" w:eastAsia="Arial" w:hAnsi="Arial"/>
                <w:sz w:val="16"/>
                <w:szCs w:val="16"/>
                <w:b w:val="1"/>
                <w:bCs w:val="1"/>
                <w:color w:val="007CBA"/>
              </w:rPr>
              <w:t xml:space="preserve">•   </w:t>
            </w:r>
            <w:r>
              <w:rPr>
                <w:rFonts w:ascii="Arial" w:cs="Arial" w:eastAsia="Arial" w:hAnsi="Arial"/>
                <w:sz w:val="16"/>
                <w:szCs w:val="16"/>
                <w:b w:val="1"/>
                <w:bCs w:val="1"/>
                <w:color w:val="000000"/>
              </w:rPr>
              <w:t>Returning $1.4 billion to shareholders, in the form of dividend</w:t>
            </w:r>
          </w:p>
        </w:tc>
        <w:tc>
          <w:tcPr>
            <w:tcW w:w="0" w:type="dxa"/>
            <w:vAlign w:val="bottom"/>
          </w:tcPr>
          <w:p>
            <w:pPr>
              <w:spacing w:after="0"/>
              <w:rPr>
                <w:sz w:val="1"/>
                <w:szCs w:val="1"/>
                <w:color w:val="auto"/>
              </w:rPr>
            </w:pPr>
          </w:p>
        </w:tc>
      </w:tr>
      <w:tr>
        <w:trPr>
          <w:trHeight w:val="189"/>
        </w:trPr>
        <w:tc>
          <w:tcPr>
            <w:tcW w:w="3260" w:type="dxa"/>
            <w:vAlign w:val="bottom"/>
          </w:tcPr>
          <w:p>
            <w:pPr>
              <w:spacing w:after="0"/>
              <w:rPr>
                <w:sz w:val="20"/>
                <w:szCs w:val="20"/>
                <w:color w:val="auto"/>
              </w:rPr>
            </w:pPr>
            <w:r>
              <w:rPr>
                <w:rFonts w:ascii="Arial" w:cs="Arial" w:eastAsia="Arial" w:hAnsi="Arial"/>
                <w:sz w:val="16"/>
                <w:szCs w:val="16"/>
                <w:color w:val="auto"/>
              </w:rPr>
              <w:t>objectives, including:</w:t>
            </w: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500" w:type="dxa"/>
            <w:vAlign w:val="bottom"/>
          </w:tcPr>
          <w:p>
            <w:pPr>
              <w:jc w:val="right"/>
              <w:spacing w:after="0"/>
              <w:rPr>
                <w:sz w:val="20"/>
                <w:szCs w:val="20"/>
                <w:color w:val="auto"/>
              </w:rPr>
            </w:pPr>
            <w:r>
              <w:rPr>
                <w:rFonts w:ascii="Arial" w:cs="Arial" w:eastAsia="Arial" w:hAnsi="Arial"/>
                <w:sz w:val="16"/>
                <w:szCs w:val="16"/>
                <w:b w:val="1"/>
                <w:bCs w:val="1"/>
                <w:color w:val="auto"/>
              </w:rPr>
              <w:t>payments and share repurchases, since announcing a 20 million</w:t>
            </w:r>
          </w:p>
        </w:tc>
        <w:tc>
          <w:tcPr>
            <w:tcW w:w="0" w:type="dxa"/>
            <w:vAlign w:val="bottom"/>
          </w:tcPr>
          <w:p>
            <w:pPr>
              <w:spacing w:after="0"/>
              <w:rPr>
                <w:sz w:val="1"/>
                <w:szCs w:val="1"/>
                <w:color w:val="auto"/>
              </w:rPr>
            </w:pPr>
          </w:p>
        </w:tc>
      </w:tr>
      <w:tr>
        <w:trPr>
          <w:trHeight w:val="209"/>
        </w:trPr>
        <w:tc>
          <w:tcPr>
            <w:tcW w:w="3260" w:type="dxa"/>
            <w:vAlign w:val="bottom"/>
            <w:vMerge w:val="restart"/>
          </w:tcPr>
          <w:p>
            <w:pPr>
              <w:ind w:left="80"/>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Pursuing</w:t>
            </w:r>
            <w:r>
              <w:rPr>
                <w:rFonts w:ascii="Arial" w:cs="Arial" w:eastAsia="Arial" w:hAnsi="Arial"/>
                <w:sz w:val="16"/>
                <w:szCs w:val="16"/>
                <w:color w:val="007CBA"/>
              </w:rPr>
              <w:t xml:space="preserve">  </w:t>
            </w:r>
            <w:r>
              <w:rPr>
                <w:rFonts w:ascii="Arial" w:cs="Arial" w:eastAsia="Arial" w:hAnsi="Arial"/>
                <w:sz w:val="16"/>
                <w:szCs w:val="16"/>
                <w:b w:val="1"/>
                <w:bCs w:val="1"/>
                <w:color w:val="000000"/>
              </w:rPr>
              <w:t>aggregates-led  expansion</w:t>
            </w:r>
          </w:p>
        </w:tc>
        <w:tc>
          <w:tcPr>
            <w:tcW w:w="6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through</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acquisitions</w:t>
            </w:r>
          </w:p>
        </w:tc>
        <w:tc>
          <w:tcPr>
            <w:tcW w:w="540" w:type="dxa"/>
            <w:vAlign w:val="bottom"/>
            <w:vMerge w:val="restart"/>
          </w:tcPr>
          <w:p>
            <w:pPr>
              <w:jc w:val="right"/>
              <w:ind w:right="139"/>
              <w:spacing w:after="0"/>
              <w:rPr>
                <w:sz w:val="20"/>
                <w:szCs w:val="20"/>
                <w:color w:val="auto"/>
              </w:rPr>
            </w:pPr>
            <w:r>
              <w:rPr>
                <w:rFonts w:ascii="Arial" w:cs="Arial" w:eastAsia="Arial" w:hAnsi="Arial"/>
                <w:sz w:val="16"/>
                <w:szCs w:val="16"/>
                <w:color w:val="auto"/>
              </w:rPr>
              <w:t>that</w:t>
            </w:r>
          </w:p>
        </w:tc>
        <w:tc>
          <w:tcPr>
            <w:tcW w:w="5500" w:type="dxa"/>
            <w:vAlign w:val="bottom"/>
          </w:tcPr>
          <w:p>
            <w:pPr>
              <w:jc w:val="right"/>
              <w:spacing w:after="0"/>
              <w:rPr>
                <w:sz w:val="20"/>
                <w:szCs w:val="20"/>
                <w:color w:val="auto"/>
              </w:rPr>
            </w:pPr>
            <w:r>
              <w:rPr>
                <w:rFonts w:ascii="Arial" w:cs="Arial" w:eastAsia="Arial" w:hAnsi="Arial"/>
                <w:sz w:val="16"/>
                <w:szCs w:val="16"/>
                <w:b w:val="1"/>
                <w:bCs w:val="1"/>
                <w:color w:val="auto"/>
              </w:rPr>
              <w:t xml:space="preserve">share  repurchase  authorization  in  February  2015.  </w:t>
            </w:r>
            <w:r>
              <w:rPr>
                <w:rFonts w:ascii="Arial" w:cs="Arial" w:eastAsia="Arial" w:hAnsi="Arial"/>
                <w:sz w:val="16"/>
                <w:szCs w:val="16"/>
                <w:color w:val="auto"/>
              </w:rPr>
              <w:t>As  of</w:t>
            </w:r>
          </w:p>
        </w:tc>
        <w:tc>
          <w:tcPr>
            <w:tcW w:w="0" w:type="dxa"/>
            <w:vAlign w:val="bottom"/>
          </w:tcPr>
          <w:p>
            <w:pPr>
              <w:spacing w:after="0"/>
              <w:rPr>
                <w:sz w:val="1"/>
                <w:szCs w:val="1"/>
                <w:color w:val="auto"/>
              </w:rPr>
            </w:pPr>
          </w:p>
        </w:tc>
      </w:tr>
      <w:tr>
        <w:trPr>
          <w:trHeight w:val="81"/>
        </w:trPr>
        <w:tc>
          <w:tcPr>
            <w:tcW w:w="32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5500" w:type="dxa"/>
            <w:vAlign w:val="bottom"/>
            <w:vMerge w:val="restart"/>
          </w:tcPr>
          <w:p>
            <w:pPr>
              <w:jc w:val="right"/>
              <w:spacing w:after="0"/>
              <w:rPr>
                <w:sz w:val="20"/>
                <w:szCs w:val="20"/>
                <w:color w:val="auto"/>
              </w:rPr>
            </w:pPr>
            <w:r>
              <w:rPr>
                <w:rFonts w:ascii="Arial" w:cs="Arial" w:eastAsia="Arial" w:hAnsi="Arial"/>
                <w:sz w:val="16"/>
                <w:szCs w:val="16"/>
                <w:color w:val="auto"/>
              </w:rPr>
              <w:t>December 31, 2018, 14.1 million shares remained under the current</w:t>
            </w:r>
          </w:p>
        </w:tc>
        <w:tc>
          <w:tcPr>
            <w:tcW w:w="0" w:type="dxa"/>
            <w:vAlign w:val="bottom"/>
          </w:tcPr>
          <w:p>
            <w:pPr>
              <w:spacing w:after="0"/>
              <w:rPr>
                <w:sz w:val="1"/>
                <w:szCs w:val="1"/>
                <w:color w:val="auto"/>
              </w:rPr>
            </w:pPr>
          </w:p>
        </w:tc>
      </w:tr>
      <w:tr>
        <w:trPr>
          <w:trHeight w:val="108"/>
        </w:trPr>
        <w:tc>
          <w:tcPr>
            <w:tcW w:w="3260" w:type="dxa"/>
            <w:vAlign w:val="bottom"/>
            <w:vMerge w:val="restart"/>
          </w:tcPr>
          <w:p>
            <w:pPr>
              <w:ind w:left="360"/>
              <w:spacing w:after="0"/>
              <w:rPr>
                <w:sz w:val="20"/>
                <w:szCs w:val="20"/>
                <w:color w:val="auto"/>
              </w:rPr>
            </w:pPr>
            <w:r>
              <w:rPr>
                <w:rFonts w:ascii="Arial" w:cs="Arial" w:eastAsia="Arial" w:hAnsi="Arial"/>
                <w:sz w:val="16"/>
                <w:szCs w:val="16"/>
                <w:color w:val="auto"/>
              </w:rPr>
              <w:t>complement  existing  operations  (i.e.,</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auto"/>
              </w:rPr>
              <w:t>bolt-on</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acquisitions)</w:t>
            </w:r>
          </w:p>
        </w:tc>
        <w:tc>
          <w:tcPr>
            <w:tcW w:w="540" w:type="dxa"/>
            <w:vAlign w:val="bottom"/>
            <w:vMerge w:val="restart"/>
          </w:tcPr>
          <w:p>
            <w:pPr>
              <w:jc w:val="right"/>
              <w:ind w:right="139"/>
              <w:spacing w:after="0"/>
              <w:rPr>
                <w:sz w:val="20"/>
                <w:szCs w:val="20"/>
                <w:color w:val="auto"/>
              </w:rPr>
            </w:pPr>
            <w:r>
              <w:rPr>
                <w:rFonts w:ascii="Arial" w:cs="Arial" w:eastAsia="Arial" w:hAnsi="Arial"/>
                <w:sz w:val="16"/>
                <w:szCs w:val="16"/>
                <w:color w:val="auto"/>
              </w:rPr>
              <w:t>and</w:t>
            </w:r>
          </w:p>
        </w:tc>
        <w:tc>
          <w:tcPr>
            <w:tcW w:w="5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2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5500" w:type="dxa"/>
            <w:vAlign w:val="bottom"/>
            <w:vMerge w:val="restart"/>
          </w:tcPr>
          <w:p>
            <w:pPr>
              <w:jc w:val="right"/>
              <w:spacing w:after="0"/>
              <w:rPr>
                <w:sz w:val="20"/>
                <w:szCs w:val="20"/>
                <w:color w:val="auto"/>
              </w:rPr>
            </w:pPr>
            <w:r>
              <w:rPr>
                <w:rFonts w:ascii="Arial" w:cs="Arial" w:eastAsia="Arial" w:hAnsi="Arial"/>
                <w:sz w:val="16"/>
                <w:szCs w:val="16"/>
                <w:color w:val="auto"/>
              </w:rPr>
              <w:t>repurchase authorization and 62.5 million shares of Martin Marietta</w:t>
            </w:r>
          </w:p>
        </w:tc>
        <w:tc>
          <w:tcPr>
            <w:tcW w:w="0" w:type="dxa"/>
            <w:vAlign w:val="bottom"/>
          </w:tcPr>
          <w:p>
            <w:pPr>
              <w:spacing w:after="0"/>
              <w:rPr>
                <w:sz w:val="1"/>
                <w:szCs w:val="1"/>
                <w:color w:val="auto"/>
              </w:rPr>
            </w:pPr>
          </w:p>
        </w:tc>
      </w:tr>
      <w:tr>
        <w:trPr>
          <w:trHeight w:val="114"/>
        </w:trPr>
        <w:tc>
          <w:tcPr>
            <w:tcW w:w="5480" w:type="dxa"/>
            <w:vAlign w:val="bottom"/>
            <w:gridSpan w:val="4"/>
          </w:tcPr>
          <w:p>
            <w:pPr>
              <w:jc w:val="right"/>
              <w:ind w:right="139"/>
              <w:spacing w:after="0" w:line="108" w:lineRule="exact"/>
              <w:rPr>
                <w:sz w:val="20"/>
                <w:szCs w:val="20"/>
                <w:color w:val="auto"/>
              </w:rPr>
            </w:pPr>
            <w:r>
              <w:rPr>
                <w:rFonts w:ascii="Arial" w:cs="Arial" w:eastAsia="Arial" w:hAnsi="Arial"/>
                <w:sz w:val="12"/>
                <w:szCs w:val="12"/>
                <w:color w:val="auto"/>
              </w:rPr>
              <w:t>acquisitions that provide leadership entry into new markets or similar</w:t>
            </w:r>
          </w:p>
        </w:tc>
        <w:tc>
          <w:tcPr>
            <w:tcW w:w="5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00"/>
        </w:trPr>
        <w:tc>
          <w:tcPr>
            <w:tcW w:w="4240" w:type="dxa"/>
            <w:vAlign w:val="bottom"/>
            <w:vMerge w:val="restart"/>
          </w:tcPr>
          <w:p>
            <w:pPr>
              <w:spacing w:after="0"/>
              <w:rPr>
                <w:sz w:val="20"/>
                <w:szCs w:val="20"/>
                <w:color w:val="auto"/>
              </w:rPr>
            </w:pPr>
            <w:r>
              <w:rPr>
                <w:rFonts w:ascii="Arial" w:cs="Arial" w:eastAsia="Arial" w:hAnsi="Arial"/>
                <w:sz w:val="16"/>
                <w:szCs w:val="16"/>
                <w:color w:val="auto"/>
              </w:rPr>
              <w:t>product lines (i.e., platform acquisitions).</w:t>
            </w:r>
          </w:p>
        </w:tc>
        <w:tc>
          <w:tcPr>
            <w:tcW w:w="3740" w:type="dxa"/>
            <w:vAlign w:val="bottom"/>
          </w:tcPr>
          <w:p>
            <w:pPr>
              <w:ind w:left="1360"/>
              <w:spacing w:after="0"/>
              <w:rPr>
                <w:sz w:val="20"/>
                <w:szCs w:val="20"/>
                <w:color w:val="auto"/>
              </w:rPr>
            </w:pPr>
            <w:r>
              <w:rPr>
                <w:rFonts w:ascii="Arial" w:cs="Arial" w:eastAsia="Arial" w:hAnsi="Arial"/>
                <w:sz w:val="16"/>
                <w:szCs w:val="16"/>
                <w:color w:val="auto"/>
              </w:rPr>
              <w:t>common stock were outstanding.</w:t>
            </w:r>
          </w:p>
        </w:tc>
        <w:tc>
          <w:tcPr>
            <w:tcW w:w="0" w:type="dxa"/>
            <w:vAlign w:val="bottom"/>
          </w:tcPr>
          <w:p>
            <w:pPr>
              <w:spacing w:after="0"/>
              <w:rPr>
                <w:sz w:val="1"/>
                <w:szCs w:val="1"/>
                <w:color w:val="auto"/>
              </w:rPr>
            </w:pPr>
          </w:p>
        </w:tc>
      </w:tr>
      <w:tr>
        <w:trPr>
          <w:trHeight w:val="75"/>
        </w:trPr>
        <w:tc>
          <w:tcPr>
            <w:tcW w:w="4240" w:type="dxa"/>
            <w:vAlign w:val="bottom"/>
            <w:vMerge w:val="continue"/>
          </w:tcPr>
          <w:p>
            <w:pPr>
              <w:spacing w:after="0"/>
              <w:rPr>
                <w:sz w:val="6"/>
                <w:szCs w:val="6"/>
                <w:color w:val="auto"/>
              </w:rPr>
            </w:pPr>
          </w:p>
        </w:tc>
        <w:tc>
          <w:tcPr>
            <w:tcW w:w="3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240" w:top="459" w:right="439" w:bottom="1440" w:gutter="0" w:footer="0" w:header="0"/>
        </w:sectPr>
      </w:pPr>
    </w:p>
    <w:p>
      <w:pPr>
        <w:spacing w:after="0" w:line="126"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7CBA"/>
        </w:rPr>
        <w:t>Safety and Sustainability</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Sustainability Reporting</w:t>
      </w:r>
    </w:p>
    <w:p>
      <w:pPr>
        <w:spacing w:after="0" w:line="197"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We continued to review and improve our approach to sustainability matters. Sustainability is an integral part of our strategy and our day-to-day business. We maintain a deliberate focus on fulfilling our responsibilities. Among other things, these responsibilities include safe operations, employee well-being, community well-being and environmental stewardship.</w:t>
      </w:r>
    </w:p>
    <w:p>
      <w:pPr>
        <w:spacing w:after="0" w:line="163" w:lineRule="exact"/>
        <w:rPr>
          <w:sz w:val="20"/>
          <w:szCs w:val="20"/>
          <w:color w:val="auto"/>
        </w:rPr>
      </w:pPr>
    </w:p>
    <w:p>
      <w:pPr>
        <w:jc w:val="both"/>
        <w:ind w:left="220" w:right="20"/>
        <w:spacing w:after="0" w:line="249" w:lineRule="auto"/>
        <w:rPr>
          <w:sz w:val="20"/>
          <w:szCs w:val="20"/>
          <w:color w:val="auto"/>
        </w:rPr>
      </w:pPr>
      <w:r>
        <w:rPr>
          <w:rFonts w:ascii="Arial" w:cs="Arial" w:eastAsia="Arial" w:hAnsi="Arial"/>
          <w:sz w:val="16"/>
          <w:szCs w:val="16"/>
          <w:color w:val="auto"/>
        </w:rPr>
        <w:t>We have a long track record of building solid foundations, caring about our employees, our communities and the environment, and growing our company. Track records such as ours are not built by accident; they are the result of a deliberate focus on fulfilling our responsibilities to you. These responsibilities include:</w:t>
      </w:r>
    </w:p>
    <w:p>
      <w:pPr>
        <w:spacing w:after="0" w:line="71" w:lineRule="exact"/>
        <w:rPr>
          <w:sz w:val="20"/>
          <w:szCs w:val="20"/>
          <w:color w:val="auto"/>
        </w:rPr>
      </w:pPr>
    </w:p>
    <w:p>
      <w:pPr>
        <w:ind w:left="580" w:hanging="289"/>
        <w:spacing w:after="0"/>
        <w:tabs>
          <w:tab w:leader="none" w:pos="580" w:val="left"/>
        </w:tabs>
        <w:numPr>
          <w:ilvl w:val="0"/>
          <w:numId w:val="87"/>
        </w:numPr>
        <w:rPr>
          <w:rFonts w:ascii="Arial" w:cs="Arial" w:eastAsia="Arial" w:hAnsi="Arial"/>
          <w:sz w:val="16"/>
          <w:szCs w:val="16"/>
          <w:color w:val="007CBA"/>
        </w:rPr>
      </w:pPr>
      <w:r>
        <w:rPr>
          <w:rFonts w:ascii="Arial" w:cs="Arial" w:eastAsia="Arial" w:hAnsi="Arial"/>
          <w:sz w:val="16"/>
          <w:szCs w:val="16"/>
          <w:color w:val="auto"/>
        </w:rPr>
        <w:t>Demanding a safe, ethical workplace for our employee</w:t>
      </w:r>
    </w:p>
    <w:p>
      <w:pPr>
        <w:spacing w:after="0" w:line="85" w:lineRule="exact"/>
        <w:rPr>
          <w:rFonts w:ascii="Arial" w:cs="Arial" w:eastAsia="Arial" w:hAnsi="Arial"/>
          <w:sz w:val="16"/>
          <w:szCs w:val="16"/>
          <w:color w:val="007CBA"/>
        </w:rPr>
      </w:pPr>
    </w:p>
    <w:p>
      <w:pPr>
        <w:ind w:left="580" w:right="20" w:hanging="289"/>
        <w:spacing w:after="0" w:line="260" w:lineRule="auto"/>
        <w:tabs>
          <w:tab w:leader="none" w:pos="580" w:val="left"/>
        </w:tabs>
        <w:numPr>
          <w:ilvl w:val="0"/>
          <w:numId w:val="87"/>
        </w:numPr>
        <w:rPr>
          <w:rFonts w:ascii="Arial" w:cs="Arial" w:eastAsia="Arial" w:hAnsi="Arial"/>
          <w:sz w:val="16"/>
          <w:szCs w:val="16"/>
          <w:color w:val="007CBA"/>
        </w:rPr>
      </w:pPr>
      <w:r>
        <w:rPr>
          <w:rFonts w:ascii="Arial" w:cs="Arial" w:eastAsia="Arial" w:hAnsi="Arial"/>
          <w:sz w:val="16"/>
          <w:szCs w:val="16"/>
          <w:color w:val="auto"/>
        </w:rPr>
        <w:t>Creating a positive lasting impact on our communities and the environment</w:t>
      </w:r>
    </w:p>
    <w:p>
      <w:pPr>
        <w:spacing w:after="0" w:line="60" w:lineRule="exact"/>
        <w:rPr>
          <w:rFonts w:ascii="Arial" w:cs="Arial" w:eastAsia="Arial" w:hAnsi="Arial"/>
          <w:sz w:val="16"/>
          <w:szCs w:val="16"/>
          <w:color w:val="007CBA"/>
        </w:rPr>
      </w:pPr>
    </w:p>
    <w:p>
      <w:pPr>
        <w:ind w:left="580" w:right="20" w:hanging="289"/>
        <w:spacing w:after="0" w:line="260" w:lineRule="auto"/>
        <w:tabs>
          <w:tab w:leader="none" w:pos="580" w:val="left"/>
        </w:tabs>
        <w:numPr>
          <w:ilvl w:val="0"/>
          <w:numId w:val="87"/>
        </w:numPr>
        <w:rPr>
          <w:rFonts w:ascii="Arial" w:cs="Arial" w:eastAsia="Arial" w:hAnsi="Arial"/>
          <w:sz w:val="16"/>
          <w:szCs w:val="16"/>
          <w:color w:val="007CBA"/>
        </w:rPr>
      </w:pPr>
      <w:r>
        <w:rPr>
          <w:rFonts w:ascii="Arial" w:cs="Arial" w:eastAsia="Arial" w:hAnsi="Arial"/>
          <w:sz w:val="16"/>
          <w:szCs w:val="16"/>
          <w:color w:val="auto"/>
        </w:rPr>
        <w:t>Growing our business and responsibly investing our capital for maximum return</w:t>
      </w:r>
    </w:p>
    <w:p>
      <w:pPr>
        <w:spacing w:after="0" w:line="16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 furtherance of these continuing commitments, we have:</w:t>
      </w:r>
    </w:p>
    <w:p>
      <w:pPr>
        <w:spacing w:after="0" w:line="86" w:lineRule="exact"/>
        <w:rPr>
          <w:sz w:val="20"/>
          <w:szCs w:val="20"/>
          <w:color w:val="auto"/>
        </w:rPr>
      </w:pPr>
    </w:p>
    <w:p>
      <w:pPr>
        <w:ind w:left="580" w:right="20" w:hanging="289"/>
        <w:spacing w:after="0" w:line="260" w:lineRule="auto"/>
        <w:tabs>
          <w:tab w:leader="none" w:pos="580" w:val="left"/>
        </w:tabs>
        <w:numPr>
          <w:ilvl w:val="0"/>
          <w:numId w:val="88"/>
        </w:numPr>
        <w:rPr>
          <w:rFonts w:ascii="Arial" w:cs="Arial" w:eastAsia="Arial" w:hAnsi="Arial"/>
          <w:sz w:val="16"/>
          <w:szCs w:val="16"/>
          <w:color w:val="007CBA"/>
        </w:rPr>
      </w:pPr>
      <w:r>
        <w:rPr>
          <w:rFonts w:ascii="Arial" w:cs="Arial" w:eastAsia="Arial" w:hAnsi="Arial"/>
          <w:sz w:val="16"/>
          <w:szCs w:val="16"/>
          <w:color w:val="auto"/>
        </w:rPr>
        <w:t>Included performance relating to Environment, Health, Safety and Sustainability (collectively, EHS) in our management strategy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0" w:hanging="275"/>
        <w:spacing w:after="0" w:line="260" w:lineRule="auto"/>
        <w:tabs>
          <w:tab w:leader="none" w:pos="360" w:val="left"/>
        </w:tabs>
        <w:numPr>
          <w:ilvl w:val="0"/>
          <w:numId w:val="89"/>
        </w:numPr>
        <w:rPr>
          <w:rFonts w:ascii="Arial" w:cs="Arial" w:eastAsia="Arial" w:hAnsi="Arial"/>
          <w:sz w:val="16"/>
          <w:szCs w:val="16"/>
          <w:color w:val="007CBA"/>
        </w:rPr>
      </w:pPr>
      <w:r>
        <w:rPr>
          <w:rFonts w:ascii="Arial" w:cs="Arial" w:eastAsia="Arial" w:hAnsi="Arial"/>
          <w:sz w:val="16"/>
          <w:szCs w:val="16"/>
          <w:color w:val="auto"/>
        </w:rPr>
        <w:t>Considered achievement of individual and company-wide goals in regard to EHS in management compensation decisions</w:t>
      </w:r>
    </w:p>
    <w:p>
      <w:pPr>
        <w:spacing w:after="0" w:line="60" w:lineRule="exact"/>
        <w:rPr>
          <w:rFonts w:ascii="Arial" w:cs="Arial" w:eastAsia="Arial" w:hAnsi="Arial"/>
          <w:sz w:val="16"/>
          <w:szCs w:val="16"/>
          <w:color w:val="007CBA"/>
        </w:rPr>
      </w:pPr>
    </w:p>
    <w:p>
      <w:pPr>
        <w:jc w:val="both"/>
        <w:ind w:left="360" w:right="20" w:hanging="275"/>
        <w:spacing w:after="0" w:line="253" w:lineRule="auto"/>
        <w:tabs>
          <w:tab w:leader="none" w:pos="360" w:val="left"/>
        </w:tabs>
        <w:numPr>
          <w:ilvl w:val="0"/>
          <w:numId w:val="89"/>
        </w:numPr>
        <w:rPr>
          <w:rFonts w:ascii="Arial" w:cs="Arial" w:eastAsia="Arial" w:hAnsi="Arial"/>
          <w:sz w:val="16"/>
          <w:szCs w:val="16"/>
          <w:color w:val="007CBA"/>
        </w:rPr>
      </w:pPr>
      <w:r>
        <w:rPr>
          <w:rFonts w:ascii="Arial" w:cs="Arial" w:eastAsia="Arial" w:hAnsi="Arial"/>
          <w:sz w:val="16"/>
          <w:szCs w:val="16"/>
          <w:color w:val="auto"/>
        </w:rPr>
        <w:t>Developed a task force relating to Sustainability with a view towards assessing and improving Company performance and disclosure as against world-class achievements</w:t>
      </w:r>
    </w:p>
    <w:p>
      <w:pPr>
        <w:spacing w:after="0" w:line="65" w:lineRule="exact"/>
        <w:rPr>
          <w:rFonts w:ascii="Arial" w:cs="Arial" w:eastAsia="Arial" w:hAnsi="Arial"/>
          <w:sz w:val="16"/>
          <w:szCs w:val="16"/>
          <w:color w:val="007CBA"/>
        </w:rPr>
      </w:pPr>
    </w:p>
    <w:p>
      <w:pPr>
        <w:ind w:left="360" w:right="20" w:hanging="275"/>
        <w:spacing w:after="0" w:line="260" w:lineRule="auto"/>
        <w:tabs>
          <w:tab w:leader="none" w:pos="360" w:val="left"/>
        </w:tabs>
        <w:numPr>
          <w:ilvl w:val="0"/>
          <w:numId w:val="89"/>
        </w:numPr>
        <w:rPr>
          <w:rFonts w:ascii="Arial" w:cs="Arial" w:eastAsia="Arial" w:hAnsi="Arial"/>
          <w:sz w:val="16"/>
          <w:szCs w:val="16"/>
          <w:color w:val="007CBA"/>
        </w:rPr>
      </w:pPr>
      <w:r>
        <w:rPr>
          <w:rFonts w:ascii="Arial" w:cs="Arial" w:eastAsia="Arial" w:hAnsi="Arial"/>
          <w:sz w:val="16"/>
          <w:szCs w:val="16"/>
          <w:color w:val="auto"/>
        </w:rPr>
        <w:t>Created a new senior management position, Senior Vice President-Sustainability, Community Relations and Communications</w:t>
      </w:r>
    </w:p>
    <w:p>
      <w:pPr>
        <w:spacing w:after="0" w:line="60" w:lineRule="exact"/>
        <w:rPr>
          <w:rFonts w:ascii="Arial" w:cs="Arial" w:eastAsia="Arial" w:hAnsi="Arial"/>
          <w:sz w:val="16"/>
          <w:szCs w:val="16"/>
          <w:color w:val="007CBA"/>
        </w:rPr>
      </w:pPr>
    </w:p>
    <w:p>
      <w:pPr>
        <w:jc w:val="both"/>
        <w:ind w:left="360" w:right="20" w:hanging="275"/>
        <w:spacing w:after="0" w:line="253" w:lineRule="auto"/>
        <w:tabs>
          <w:tab w:leader="none" w:pos="360" w:val="left"/>
        </w:tabs>
        <w:numPr>
          <w:ilvl w:val="0"/>
          <w:numId w:val="89"/>
        </w:numPr>
        <w:rPr>
          <w:rFonts w:ascii="Arial" w:cs="Arial" w:eastAsia="Arial" w:hAnsi="Arial"/>
          <w:sz w:val="16"/>
          <w:szCs w:val="16"/>
          <w:color w:val="007CBA"/>
        </w:rPr>
      </w:pPr>
      <w:r>
        <w:rPr>
          <w:rFonts w:ascii="Arial" w:cs="Arial" w:eastAsia="Arial" w:hAnsi="Arial"/>
          <w:sz w:val="16"/>
          <w:szCs w:val="16"/>
          <w:color w:val="auto"/>
        </w:rPr>
        <w:t>Regularly report, at least twice annually, our progress on EHS issues to the Ethics, Environment, Health and Safety Committee, an independent Committee of the Board of Directors</w:t>
      </w:r>
    </w:p>
    <w:p>
      <w:pPr>
        <w:spacing w:after="0" w:line="5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Committee considered our efforts to tell our sustainability story, which is part of our core strategy. We completed and issued the Company’s fourth annual sustainability report. “</w:t>
      </w:r>
      <w:r>
        <w:rPr>
          <w:rFonts w:ascii="Arial" w:cs="Arial" w:eastAsia="Arial" w:hAnsi="Arial"/>
          <w:sz w:val="16"/>
          <w:szCs w:val="16"/>
          <w:i w:val="1"/>
          <w:iCs w:val="1"/>
          <w:color w:val="auto"/>
        </w:rPr>
        <w:t>Building. Caring. Growing.</w:t>
      </w:r>
      <w:r>
        <w:rPr>
          <w:rFonts w:ascii="Arial" w:cs="Arial" w:eastAsia="Arial" w:hAnsi="Arial"/>
          <w:sz w:val="16"/>
          <w:szCs w:val="16"/>
          <w:color w:val="auto"/>
        </w:rPr>
        <w:t xml:space="preserve"> </w:t>
      </w:r>
      <w:r>
        <w:rPr>
          <w:rFonts w:ascii="Arial" w:cs="Arial" w:eastAsia="Arial" w:hAnsi="Arial"/>
          <w:sz w:val="16"/>
          <w:szCs w:val="16"/>
          <w:i w:val="1"/>
          <w:iCs w:val="1"/>
          <w:color w:val="auto"/>
        </w:rPr>
        <w:t>TOGETHER</w:t>
      </w:r>
      <w:r>
        <w:rPr>
          <w:rFonts w:ascii="Arial" w:cs="Arial" w:eastAsia="Arial" w:hAnsi="Arial"/>
          <w:sz w:val="16"/>
          <w:szCs w:val="16"/>
          <w:color w:val="auto"/>
        </w:rPr>
        <w:t>.” represents our latest publication sharing Martin Marietta’s</w:t>
      </w:r>
      <w:r>
        <w:rPr>
          <w:rFonts w:ascii="Arial" w:cs="Arial" w:eastAsia="Arial" w:hAnsi="Arial"/>
          <w:sz w:val="16"/>
          <w:szCs w:val="16"/>
          <w:i w:val="1"/>
          <w:iCs w:val="1"/>
          <w:color w:val="auto"/>
        </w:rPr>
        <w:t xml:space="preserve"> </w:t>
      </w:r>
      <w:r>
        <w:rPr>
          <w:rFonts w:ascii="Arial" w:cs="Arial" w:eastAsia="Arial" w:hAnsi="Arial"/>
          <w:sz w:val="16"/>
          <w:szCs w:val="16"/>
          <w:color w:val="auto"/>
        </w:rPr>
        <w:t>sustainability story, which includes our world-class safety programs and performance, our targeted and intentional support of housing, hunger reduction and healthcare, and our environmental programs that help drive operational excellence.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635000</wp:posOffset>
            </wp:positionV>
            <wp:extent cx="3348990" cy="15849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48990" cy="1584960"/>
                    </a:xfrm>
                    <a:prstGeom prst="rect">
                      <a:avLst/>
                    </a:prstGeom>
                    <a:noFill/>
                  </pic:spPr>
                </pic:pic>
              </a:graphicData>
            </a:graphic>
          </wp:anchor>
        </w:drawing>
      </w:r>
    </w:p>
    <w:p>
      <w:pPr>
        <w:spacing w:after="0" w:line="777"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Martin Marietta continues to be recognized as the best of the best in our industry. Sustainability is a key component of our strategy and business plan at Martin Marietta. Sustainability excellence is not only the right thing to do and a key driver of shareholder value, it is a vital component of both our strategic planning process, or Strategic Operating Analysis and Review (SOAR), and our annual planning process. SOAR, supplemented by our annual plan, has guided us since 2010 as we have grown the business, driven our safety incidents to record low levels, achieved record financial performance and created positive impacts on our communities and the environment. Key managers from across our business and our senior leadership team engage throughout the year on material topics, including safety, employee wellbeing, community well-being and the environment.</w:t>
      </w:r>
    </w:p>
    <w:p>
      <w:pPr>
        <w:spacing w:after="0" w:line="163"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Both SOAR and our annual plan are reviewed and endorsed by our Board of Directors. Martin Marietta’s Ethics, Environment, Safety and Health Committee (EESHC) of the Board of Directors, an experienced and knowledgeable group, has, for decades, overseen our ongoing efforts to hone truly sustainable business practices. Our full Board visits our operations frequently, to hear firsthand from our team and see the positive impact we have on our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3517265</wp:posOffset>
            </wp:positionH>
            <wp:positionV relativeFrom="paragraph">
              <wp:posOffset>85725</wp:posOffset>
            </wp:positionV>
            <wp:extent cx="410845" cy="2482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150" w:lineRule="exact"/>
        <w:rPr>
          <w:sz w:val="20"/>
          <w:szCs w:val="20"/>
          <w:color w:val="auto"/>
        </w:rPr>
      </w:pPr>
    </w:p>
    <w:p>
      <w:pPr>
        <w:ind w:left="640" w:hanging="430"/>
        <w:spacing w:after="0"/>
        <w:tabs>
          <w:tab w:leader="none" w:pos="640" w:val="left"/>
        </w:tabs>
        <w:numPr>
          <w:ilvl w:val="0"/>
          <w:numId w:val="90"/>
        </w:numPr>
        <w:rPr>
          <w:rFonts w:ascii="Arial" w:cs="Arial" w:eastAsia="Arial" w:hAnsi="Arial"/>
          <w:sz w:val="13"/>
          <w:szCs w:val="13"/>
          <w:b w:val="1"/>
          <w:bCs w:val="1"/>
          <w:color w:val="auto"/>
        </w:rPr>
      </w:pPr>
      <w:r>
        <w:rPr>
          <w:rFonts w:ascii="Arial" w:cs="Arial" w:eastAsia="Arial" w:hAnsi="Arial"/>
          <w:sz w:val="13"/>
          <w:szCs w:val="13"/>
          <w:color w:val="007CBA"/>
        </w:rPr>
        <w:t>2019 PROXY STATEMENT</w:t>
      </w:r>
    </w:p>
    <w:p>
      <w:pPr>
        <w:sectPr>
          <w:pgSz w:w="11900" w:h="16838" w:orient="portrait"/>
          <w:cols w:equalWidth="0" w:num="1">
            <w:col w:w="11220"/>
          </w:cols>
          <w:pgMar w:left="240" w:top="459" w:right="4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9" w:lineRule="exact"/>
        <w:rPr>
          <w:sz w:val="20"/>
          <w:szCs w:val="20"/>
          <w:color w:val="auto"/>
        </w:rPr>
      </w:pPr>
    </w:p>
    <w:p>
      <w:pPr>
        <w:jc w:val="right"/>
        <w:spacing w:after="0" w:line="288" w:lineRule="exact"/>
        <w:rPr>
          <w:sz w:val="20"/>
          <w:szCs w:val="20"/>
          <w:color w:val="auto"/>
        </w:rPr>
      </w:pPr>
      <w:r>
        <w:rPr>
          <w:rFonts w:ascii="Arial" w:cs="Arial" w:eastAsia="Arial" w:hAnsi="Arial"/>
          <w:sz w:val="13"/>
          <w:szCs w:val="13"/>
          <w:color w:val="auto"/>
        </w:rPr>
        <w:t xml:space="preserve">Safety and Sustainability </w:t>
      </w:r>
      <w:r>
        <w:rPr>
          <w:rFonts w:ascii="MS PGothic" w:cs="MS PGothic" w:eastAsia="MS PGothic" w:hAnsi="MS PGothic"/>
          <w:sz w:val="25"/>
          <w:szCs w:val="25"/>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3696970</wp:posOffset>
            </wp:positionH>
            <wp:positionV relativeFrom="paragraph">
              <wp:posOffset>312420</wp:posOffset>
            </wp:positionV>
            <wp:extent cx="2903855" cy="18503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903855" cy="18503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 xml:space="preserve">We believe these achievements are driven by our culture and a primary strategic objective of value-enhancing growth that is articulated in our </w:t>
      </w:r>
      <w:r>
        <w:rPr>
          <w:rFonts w:ascii="Arial" w:cs="Arial" w:eastAsia="Arial" w:hAnsi="Arial"/>
          <w:sz w:val="16"/>
          <w:szCs w:val="16"/>
          <w:b w:val="1"/>
          <w:bCs w:val="1"/>
          <w:color w:val="auto"/>
        </w:rPr>
        <w:t>Mission, Vision, and Values</w:t>
      </w:r>
      <w:r>
        <w:rPr>
          <w:rFonts w:ascii="Arial" w:cs="Arial" w:eastAsia="Arial" w:hAnsi="Arial"/>
          <w:sz w:val="16"/>
          <w:szCs w:val="16"/>
          <w:color w:val="auto"/>
        </w:rPr>
        <w:t>. We developed teams of specifically</w:t>
      </w:r>
      <w:r>
        <w:rPr>
          <w:rFonts w:ascii="Arial" w:cs="Arial" w:eastAsia="Arial" w:hAnsi="Arial"/>
          <w:sz w:val="16"/>
          <w:szCs w:val="16"/>
          <w:b w:val="1"/>
          <w:bCs w:val="1"/>
          <w:color w:val="auto"/>
        </w:rPr>
        <w:t xml:space="preserve"> </w:t>
      </w:r>
      <w:r>
        <w:rPr>
          <w:rFonts w:ascii="Arial" w:cs="Arial" w:eastAsia="Arial" w:hAnsi="Arial"/>
          <w:sz w:val="16"/>
          <w:szCs w:val="16"/>
          <w:color w:val="auto"/>
        </w:rPr>
        <w:t>chosen, high-performing employees who were tasked with refreshing this message and studying ways to improve our practices. These principles guide our strategic and tactical decisions.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220" w:right="20"/>
        <w:spacing w:after="0" w:line="260" w:lineRule="auto"/>
        <w:rPr>
          <w:sz w:val="20"/>
          <w:szCs w:val="20"/>
          <w:color w:val="auto"/>
        </w:rPr>
      </w:pPr>
      <w:r>
        <w:rPr>
          <w:rFonts w:ascii="Arial" w:cs="Arial" w:eastAsia="Arial" w:hAnsi="Arial"/>
          <w:sz w:val="16"/>
          <w:szCs w:val="16"/>
          <w:color w:val="auto"/>
        </w:rPr>
        <w:t>All awards are meaningful, but it is particularly satisfying when we are recognized for achievement against our core values.</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Safety Performance</w:t>
      </w:r>
    </w:p>
    <w:p>
      <w:pPr>
        <w:spacing w:after="0" w:line="21" w:lineRule="exact"/>
        <w:rPr>
          <w:sz w:val="20"/>
          <w:szCs w:val="20"/>
          <w:color w:val="auto"/>
        </w:rPr>
      </w:pPr>
    </w:p>
    <w:p>
      <w:pPr>
        <w:jc w:val="both"/>
        <w:ind w:left="220" w:right="20"/>
        <w:spacing w:after="0" w:line="249" w:lineRule="auto"/>
        <w:rPr>
          <w:sz w:val="20"/>
          <w:szCs w:val="20"/>
          <w:color w:val="auto"/>
        </w:rPr>
      </w:pPr>
      <w:r>
        <w:rPr>
          <w:rFonts w:ascii="Arial" w:cs="Arial" w:eastAsia="Arial" w:hAnsi="Arial"/>
          <w:sz w:val="16"/>
          <w:szCs w:val="16"/>
          <w:color w:val="auto"/>
        </w:rPr>
        <w:t xml:space="preserve">Beginning with safety, several of our facilities were recognized as National Stone, Sand and Gravel Association (NSSGA) </w:t>
      </w:r>
      <w:r>
        <w:rPr>
          <w:rFonts w:ascii="Arial" w:cs="Arial" w:eastAsia="Arial" w:hAnsi="Arial"/>
          <w:sz w:val="16"/>
          <w:szCs w:val="16"/>
          <w:i w:val="1"/>
          <w:iCs w:val="1"/>
          <w:color w:val="auto"/>
        </w:rPr>
        <w:t>Safety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Excellence Award </w:t>
      </w:r>
      <w:r>
        <w:rPr>
          <w:rFonts w:ascii="Arial" w:cs="Arial" w:eastAsia="Arial" w:hAnsi="Arial"/>
          <w:sz w:val="16"/>
          <w:szCs w:val="16"/>
          <w:color w:val="auto"/>
        </w:rPr>
        <w:t>winners. These awards recognize operations that have</w:t>
      </w:r>
      <w:r>
        <w:rPr>
          <w:rFonts w:ascii="Arial" w:cs="Arial" w:eastAsia="Arial" w:hAnsi="Arial"/>
          <w:sz w:val="16"/>
          <w:szCs w:val="16"/>
          <w:i w:val="1"/>
          <w:iCs w:val="1"/>
          <w:color w:val="auto"/>
        </w:rPr>
        <w:t xml:space="preserve"> </w:t>
      </w:r>
      <w:r>
        <w:rPr>
          <w:rFonts w:ascii="Arial" w:cs="Arial" w:eastAsia="Arial" w:hAnsi="Arial"/>
          <w:sz w:val="16"/>
          <w:szCs w:val="16"/>
          <w:color w:val="auto"/>
        </w:rPr>
        <w:t>gone the longest duration without a reportable incident in their size category, based on data provided by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U.S. Department of Labor’s Mine Safety and Health Administration (MSHA). We earned two gold-level Safety Excellence awards in 2018. Our Helotes Quarry, located near San Antonio, Texas, earned a gold-level award in the small quarry category and our Benson Quarry, located near Raleigh, North Carolina, earned the award in the medium quarry category. One of our operations was recognized as a silver-level award winner and three of our operations were recognized as bronze-level award winners.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3428365</wp:posOffset>
            </wp:positionV>
            <wp:extent cx="410845" cy="2482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565"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926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2019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37</w:t>
            </w:r>
          </w:p>
        </w:tc>
      </w:tr>
    </w:tbl>
    <w:p>
      <w:pPr>
        <w:sectPr>
          <w:pgSz w:w="11900" w:h="16838" w:orient="portrait"/>
          <w:cols w:equalWidth="0" w:num="1">
            <w:col w:w="11220"/>
          </w:cols>
          <w:pgMar w:left="240" w:top="459" w:right="4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9" w:lineRule="exact"/>
        <w:rPr>
          <w:sz w:val="20"/>
          <w:szCs w:val="20"/>
          <w:color w:val="auto"/>
        </w:rPr>
      </w:pPr>
    </w:p>
    <w:p>
      <w:pPr>
        <w:ind w:left="220"/>
        <w:spacing w:after="0" w:line="288" w:lineRule="exact"/>
        <w:rPr>
          <w:sz w:val="20"/>
          <w:szCs w:val="20"/>
          <w:color w:val="auto"/>
        </w:rPr>
      </w:pPr>
      <w:r>
        <w:rPr>
          <w:rFonts w:ascii="Arial" w:cs="Arial" w:eastAsia="Arial" w:hAnsi="Arial"/>
          <w:sz w:val="13"/>
          <w:szCs w:val="13"/>
          <w:color w:val="007CBA"/>
        </w:rPr>
        <w:t xml:space="preserve">Compensation Discussion and Analysis </w:t>
      </w:r>
      <w:r>
        <w:rPr>
          <w:rFonts w:ascii="MS PGothic" w:cs="MS PGothic" w:eastAsia="MS PGothic" w:hAnsi="MS PGothic"/>
          <w:sz w:val="25"/>
          <w:szCs w:val="25"/>
          <w:color w:val="007CBA"/>
        </w:rPr>
        <w:t>◆</w:t>
      </w:r>
      <w:r>
        <w:rPr>
          <w:rFonts w:ascii="Arial" w:cs="Arial" w:eastAsia="Arial" w:hAnsi="Arial"/>
          <w:sz w:val="13"/>
          <w:szCs w:val="13"/>
          <w:color w:val="007CBA"/>
        </w:rPr>
        <w:t xml:space="preserve"> </w:t>
      </w:r>
      <w:r>
        <w:rPr>
          <w:rFonts w:ascii="Arial" w:cs="Arial" w:eastAsia="Arial" w:hAnsi="Arial"/>
          <w:sz w:val="13"/>
          <w:szCs w:val="13"/>
          <w:color w:val="000000"/>
        </w:rPr>
        <w:t>Safety and Sustainability</w:t>
      </w:r>
    </w:p>
    <w:p>
      <w:pPr>
        <w:spacing w:after="0" w:line="200" w:lineRule="exact"/>
        <w:rPr>
          <w:sz w:val="20"/>
          <w:szCs w:val="20"/>
          <w:color w:val="auto"/>
        </w:rPr>
      </w:pPr>
    </w:p>
    <w:p>
      <w:pPr>
        <w:spacing w:after="0" w:line="240" w:lineRule="exact"/>
        <w:rPr>
          <w:sz w:val="20"/>
          <w:szCs w:val="20"/>
          <w:color w:val="auto"/>
        </w:rPr>
      </w:pPr>
    </w:p>
    <w:p>
      <w:pPr>
        <w:ind w:left="220" w:right="20"/>
        <w:spacing w:after="0" w:line="260" w:lineRule="auto"/>
        <w:rPr>
          <w:sz w:val="20"/>
          <w:szCs w:val="20"/>
          <w:color w:val="auto"/>
        </w:rPr>
      </w:pPr>
      <w:r>
        <w:rPr>
          <w:rFonts w:ascii="Arial" w:cs="Arial" w:eastAsia="Arial" w:hAnsi="Arial"/>
          <w:sz w:val="16"/>
          <w:szCs w:val="16"/>
          <w:color w:val="auto"/>
        </w:rPr>
        <w:t>NSSGA also recognizes company performance in safety with their Sterling Safety Award. Martin Marietta was awarded a bronze-level Sterling Safety Award in 2018 in the large company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122555</wp:posOffset>
            </wp:positionV>
            <wp:extent cx="5105400" cy="25952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05400" cy="259524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Community Relations</w:t>
      </w:r>
    </w:p>
    <w:p>
      <w:pPr>
        <w:spacing w:after="0" w:line="21"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Another core value for which we are recognized by NSSGA is community. The NSSGA Community Relations Awards program recognizes aggregates producers whose community involvement and support activities enhance the public perception of the</w:t>
      </w:r>
    </w:p>
    <w:p>
      <w:pPr>
        <w:spacing w:after="0" w:line="35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Environmental Stewardship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aggregates industry in general and the public image of the individual producer’s aggregates operations in particular. Two of our operations, Ames Mine (Iowa) and Chico Quarry (Texas), were recognized as gold-level award winners. Spanish Springs Quarry (Nevada) was recognized with a silver-level award.</w:t>
      </w:r>
    </w:p>
    <w:p>
      <w:pPr>
        <w:spacing w:after="0" w:line="657"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jc w:val="both"/>
        <w:ind w:left="220"/>
        <w:spacing w:after="0" w:line="252" w:lineRule="auto"/>
        <w:rPr>
          <w:sz w:val="20"/>
          <w:szCs w:val="20"/>
          <w:color w:val="auto"/>
        </w:rPr>
      </w:pPr>
      <w:r>
        <w:rPr>
          <w:rFonts w:ascii="Arial" w:cs="Arial" w:eastAsia="Arial" w:hAnsi="Arial"/>
          <w:sz w:val="16"/>
          <w:szCs w:val="16"/>
          <w:color w:val="auto"/>
        </w:rPr>
        <w:t xml:space="preserve">Stewardship is another of our core values and our operations were well-represented among the NSSGA </w:t>
      </w:r>
      <w:r>
        <w:rPr>
          <w:rFonts w:ascii="Arial" w:cs="Arial" w:eastAsia="Arial" w:hAnsi="Arial"/>
          <w:sz w:val="16"/>
          <w:szCs w:val="16"/>
          <w:b w:val="1"/>
          <w:bCs w:val="1"/>
          <w:color w:val="auto"/>
        </w:rPr>
        <w:t>Environmental Excellence Award</w:t>
      </w:r>
      <w:r>
        <w:rPr>
          <w:rFonts w:ascii="Arial" w:cs="Arial" w:eastAsia="Arial" w:hAnsi="Arial"/>
          <w:sz w:val="16"/>
          <w:szCs w:val="16"/>
          <w:color w:val="auto"/>
        </w:rPr>
        <w:t xml:space="preserve"> winners. These awards provide national recognition for operations actively contributing to the maintenance of the environment in and around their operations as evidenced by a commitment to the exemplary use of environmental controls and systems. This award is based, in part, on the extent to which an operation meets and exceeds technical environmental and regulatory requirements. In addition, in order to be eligible for the award, the operation must certify its compliance with all applicable governmental environmental regulatory requirements and does not have a pattern of violations during the time period of two full years prior to the date of application. Churchville Quarry (Maryland) was recognized with a gold-level award. Nine of our operations were recognized as silver-level award winners and ten of our operations were recognized as bronze-level award winners.</w:t>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Ethical Business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3962400</wp:posOffset>
            </wp:positionH>
            <wp:positionV relativeFrom="paragraph">
              <wp:posOffset>106680</wp:posOffset>
            </wp:positionV>
            <wp:extent cx="2894965" cy="19615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894965" cy="1961515"/>
                    </a:xfrm>
                    <a:prstGeom prst="rect">
                      <a:avLst/>
                    </a:prstGeom>
                    <a:noFill/>
                  </pic:spPr>
                </pic:pic>
              </a:graphicData>
            </a:graphic>
          </wp:anchor>
        </w:drawing>
      </w:r>
    </w:p>
    <w:p>
      <w:pPr>
        <w:spacing w:after="0" w:line="150" w:lineRule="exact"/>
        <w:rPr>
          <w:sz w:val="20"/>
          <w:szCs w:val="20"/>
          <w:color w:val="auto"/>
        </w:rPr>
      </w:pPr>
    </w:p>
    <w:p>
      <w:pPr>
        <w:jc w:val="both"/>
        <w:ind w:left="220" w:right="5720"/>
        <w:spacing w:after="0" w:line="247" w:lineRule="auto"/>
        <w:rPr>
          <w:sz w:val="20"/>
          <w:szCs w:val="20"/>
          <w:color w:val="auto"/>
        </w:rPr>
      </w:pPr>
      <w:r>
        <w:rPr>
          <w:rFonts w:ascii="Arial" w:cs="Arial" w:eastAsia="Arial" w:hAnsi="Arial"/>
          <w:sz w:val="16"/>
          <w:szCs w:val="16"/>
          <w:color w:val="auto"/>
        </w:rPr>
        <w:t xml:space="preserve">We strive to continually enhance our high standards and controls for ethical business conduct, compliance and transparency. Our </w:t>
      </w:r>
      <w:r>
        <w:rPr>
          <w:rFonts w:ascii="Arial" w:cs="Arial" w:eastAsia="Arial" w:hAnsi="Arial"/>
          <w:sz w:val="16"/>
          <w:szCs w:val="16"/>
          <w:b w:val="1"/>
          <w:bCs w:val="1"/>
          <w:color w:val="auto"/>
        </w:rPr>
        <w:t>Code of</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Ethical Business Conduct </w:t>
      </w:r>
      <w:r>
        <w:rPr>
          <w:rFonts w:ascii="Arial" w:cs="Arial" w:eastAsia="Arial" w:hAnsi="Arial"/>
          <w:sz w:val="16"/>
          <w:szCs w:val="16"/>
          <w:color w:val="auto"/>
        </w:rPr>
        <w:t>applies to all our employees, Board</w:t>
      </w:r>
      <w:r>
        <w:rPr>
          <w:rFonts w:ascii="Arial" w:cs="Arial" w:eastAsia="Arial" w:hAnsi="Arial"/>
          <w:sz w:val="16"/>
          <w:szCs w:val="16"/>
          <w:b w:val="1"/>
          <w:bCs w:val="1"/>
          <w:color w:val="auto"/>
        </w:rPr>
        <w:t xml:space="preserve"> </w:t>
      </w:r>
      <w:r>
        <w:rPr>
          <w:rFonts w:ascii="Arial" w:cs="Arial" w:eastAsia="Arial" w:hAnsi="Arial"/>
          <w:sz w:val="16"/>
          <w:szCs w:val="16"/>
          <w:color w:val="auto"/>
        </w:rPr>
        <w:t>members, consultants, contract laborers and other agents when they represent or act on behalf of the Company. It describes our expectations and policies on a number of topics, including our commitments to compliance with laws, protection of human rights, maintenance of accurate business records, transparency in our public disclosures, protection of sensitive information, promotion of a positive and safe work environment, zero tolerance for corruption and general avoidance of even the appearance of impropriety in all that we do. Our Code also emphasizes employees’ responsibility to report any violation or suspected violation of the Code and emphasizes the Company’s non-retaliation policy. In 2018, we provided ethics training to our new employees and refresher training to our Board of Directors and executive officers. There were no waivers from any provisions of our Code of Conduct or amendments applicable to any Board member or executive officer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3517265</wp:posOffset>
            </wp:positionH>
            <wp:positionV relativeFrom="paragraph">
              <wp:posOffset>301625</wp:posOffset>
            </wp:positionV>
            <wp:extent cx="410845" cy="2482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640" w:hanging="430"/>
        <w:spacing w:after="0"/>
        <w:tabs>
          <w:tab w:leader="none" w:pos="640" w:val="left"/>
        </w:tabs>
        <w:numPr>
          <w:ilvl w:val="0"/>
          <w:numId w:val="91"/>
        </w:numPr>
        <w:rPr>
          <w:rFonts w:ascii="Arial" w:cs="Arial" w:eastAsia="Arial" w:hAnsi="Arial"/>
          <w:sz w:val="13"/>
          <w:szCs w:val="13"/>
          <w:b w:val="1"/>
          <w:bCs w:val="1"/>
          <w:color w:val="auto"/>
        </w:rPr>
      </w:pPr>
      <w:r>
        <w:rPr>
          <w:rFonts w:ascii="Arial" w:cs="Arial" w:eastAsia="Arial" w:hAnsi="Arial"/>
          <w:sz w:val="13"/>
          <w:szCs w:val="13"/>
          <w:color w:val="007CBA"/>
        </w:rPr>
        <w:t>2019 PROXY STATEMENT</w:t>
      </w:r>
    </w:p>
    <w:p>
      <w:pPr>
        <w:sectPr>
          <w:pgSz w:w="11900" w:h="16838" w:orient="portrait"/>
          <w:cols w:equalWidth="0" w:num="1">
            <w:col w:w="11220"/>
          </w:cols>
          <w:pgMar w:left="240" w:top="459" w:right="4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9" w:lineRule="exact"/>
        <w:rPr>
          <w:sz w:val="20"/>
          <w:szCs w:val="20"/>
          <w:color w:val="auto"/>
        </w:rPr>
      </w:pPr>
    </w:p>
    <w:p>
      <w:pPr>
        <w:ind w:left="3720"/>
        <w:spacing w:after="0" w:line="288" w:lineRule="exact"/>
        <w:rPr>
          <w:sz w:val="20"/>
          <w:szCs w:val="20"/>
          <w:color w:val="auto"/>
        </w:rPr>
      </w:pPr>
      <w:r>
        <w:rPr>
          <w:rFonts w:ascii="Arial" w:cs="Arial" w:eastAsia="Arial" w:hAnsi="Arial"/>
          <w:sz w:val="13"/>
          <w:szCs w:val="13"/>
          <w:color w:val="auto"/>
        </w:rPr>
        <w:t xml:space="preserve">Components of Executive Compensation – Performance-Related Compensation </w:t>
      </w:r>
      <w:r>
        <w:rPr>
          <w:rFonts w:ascii="MS PGothic" w:cs="MS PGothic" w:eastAsia="MS PGothic" w:hAnsi="MS PGothic"/>
          <w:sz w:val="25"/>
          <w:szCs w:val="25"/>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Compensation Discussion and Analysis</w:t>
      </w: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7CBA"/>
        </w:rPr>
        <w:t>Components of Executive Compensation – Performance-Related Compensation</w:t>
      </w:r>
    </w:p>
    <w:p>
      <w:pPr>
        <w:spacing w:after="0" w:line="150"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Each NEO receives a mix of fixed and variable components of compensation. A substantial portion of our CEO’s and other executive officers’ compensation is at risk and will vary depending upon our performance. All of the opportunities to achieve long-term equity incentives (LTI) granted to our CEO and other executive officers in 2018 were performance-related consisting of performance share unit awards (PSUs) that comprised 55% of the long-term equity awards and performance-related restricted stock unit awards (RSUs) that comprised 45% of the awards. The following charts summarize the various forms of compensation and demonstrate that in 2018 87 percent of the CEO’s compensation and approximately 80 percent of other NEO compensation is variable and tied to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145415</wp:posOffset>
            </wp:positionV>
            <wp:extent cx="1841500" cy="15506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841500" cy="1550670"/>
                    </a:xfrm>
                    <a:prstGeom prst="rect">
                      <a:avLst/>
                    </a:prstGeom>
                    <a:noFill/>
                  </pic:spPr>
                </pic:pic>
              </a:graphicData>
            </a:graphic>
          </wp:anchor>
        </w:drawing>
        <w:drawing>
          <wp:anchor simplePos="0" relativeHeight="251657728" behindDoc="1" locked="0" layoutInCell="0" allowOverlap="1">
            <wp:simplePos x="0" y="0"/>
            <wp:positionH relativeFrom="column">
              <wp:posOffset>4391025</wp:posOffset>
            </wp:positionH>
            <wp:positionV relativeFrom="paragraph">
              <wp:posOffset>145415</wp:posOffset>
            </wp:positionV>
            <wp:extent cx="2184400" cy="15506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84400" cy="155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7CBA"/>
        </w:rPr>
        <w:t>Pay Decisions and Compensation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102235</wp:posOffset>
            </wp:positionV>
            <wp:extent cx="6989445" cy="1797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89445" cy="179705"/>
                    </a:xfrm>
                    <a:prstGeom prst="rect">
                      <a:avLst/>
                    </a:prstGeom>
                    <a:noFill/>
                  </pic:spPr>
                </pic:pic>
              </a:graphicData>
            </a:graphic>
          </wp:anchor>
        </w:drawing>
      </w:r>
    </w:p>
    <w:p>
      <w:pPr>
        <w:spacing w:after="0" w:line="196"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FFFFFF"/>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20955</wp:posOffset>
            </wp:positionV>
            <wp:extent cx="6989445" cy="2400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89445" cy="240030"/>
                    </a:xfrm>
                    <a:prstGeom prst="rect">
                      <a:avLst/>
                    </a:prstGeom>
                    <a:noFill/>
                  </pic:spPr>
                </pic:pic>
              </a:graphicData>
            </a:graphic>
          </wp:anchor>
        </w:drawing>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007CBA"/>
        </w:rPr>
        <w:t xml:space="preserve">Pay for performance. </w:t>
      </w:r>
      <w:r>
        <w:rPr>
          <w:rFonts w:ascii="Arial" w:cs="Arial" w:eastAsia="Arial" w:hAnsi="Arial"/>
          <w:sz w:val="16"/>
          <w:szCs w:val="16"/>
          <w:color w:val="000000"/>
        </w:rPr>
        <w:t>Tie pay to performance by ensuring that a significant portion of NEO compensation is performance-based and at-risk.</w:t>
      </w:r>
    </w:p>
    <w:p>
      <w:pPr>
        <w:spacing w:after="0" w:line="194" w:lineRule="exact"/>
        <w:rPr>
          <w:sz w:val="20"/>
          <w:szCs w:val="20"/>
          <w:color w:val="auto"/>
        </w:rPr>
      </w:pPr>
    </w:p>
    <w:p>
      <w:pPr>
        <w:jc w:val="both"/>
        <w:ind w:left="760"/>
        <w:spacing w:after="0" w:line="286" w:lineRule="auto"/>
        <w:rPr>
          <w:sz w:val="20"/>
          <w:szCs w:val="20"/>
          <w:color w:val="auto"/>
        </w:rPr>
      </w:pPr>
      <w:r>
        <w:rPr>
          <w:rFonts w:ascii="Arial" w:cs="Arial" w:eastAsia="Arial" w:hAnsi="Arial"/>
          <w:sz w:val="16"/>
          <w:szCs w:val="16"/>
          <w:b w:val="1"/>
          <w:bCs w:val="1"/>
          <w:color w:val="007CBA"/>
        </w:rPr>
        <w:t xml:space="preserve">Median compensation targets. </w:t>
      </w:r>
      <w:r>
        <w:rPr>
          <w:rFonts w:ascii="Arial" w:cs="Arial" w:eastAsia="Arial" w:hAnsi="Arial"/>
          <w:sz w:val="16"/>
          <w:szCs w:val="16"/>
          <w:color w:val="000000"/>
        </w:rPr>
        <w:t>We generally aim to align all compensation elements for our executives with the median of our peer group</w:t>
      </w:r>
      <w:r>
        <w:rPr>
          <w:rFonts w:ascii="Arial" w:cs="Arial" w:eastAsia="Arial" w:hAnsi="Arial"/>
          <w:sz w:val="16"/>
          <w:szCs w:val="16"/>
          <w:b w:val="1"/>
          <w:bCs w:val="1"/>
          <w:color w:val="007CBA"/>
        </w:rPr>
        <w:t xml:space="preserve"> </w:t>
      </w:r>
      <w:r>
        <w:rPr>
          <w:rFonts w:ascii="Arial" w:cs="Arial" w:eastAsia="Arial" w:hAnsi="Arial"/>
          <w:sz w:val="16"/>
          <w:szCs w:val="16"/>
          <w:color w:val="000000"/>
        </w:rPr>
        <w:t>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-257810</wp:posOffset>
            </wp:positionV>
            <wp:extent cx="154305" cy="1543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-9525</wp:posOffset>
            </wp:positionV>
            <wp:extent cx="6989445" cy="2997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89445" cy="299720"/>
                    </a:xfrm>
                    <a:prstGeom prst="rect">
                      <a:avLst/>
                    </a:prstGeom>
                    <a:noFill/>
                  </pic:spPr>
                </pic:pic>
              </a:graphicData>
            </a:graphic>
          </wp:anchor>
        </w:drawing>
      </w:r>
    </w:p>
    <w:p>
      <w:pPr>
        <w:spacing w:after="0" w:line="14" w:lineRule="exact"/>
        <w:rPr>
          <w:sz w:val="20"/>
          <w:szCs w:val="20"/>
          <w:color w:val="auto"/>
        </w:rPr>
      </w:pPr>
    </w:p>
    <w:p>
      <w:pPr>
        <w:jc w:val="both"/>
        <w:ind w:left="760"/>
        <w:spacing w:after="0" w:line="286" w:lineRule="auto"/>
        <w:rPr>
          <w:sz w:val="20"/>
          <w:szCs w:val="20"/>
          <w:color w:val="auto"/>
        </w:rPr>
      </w:pPr>
      <w:r>
        <w:rPr>
          <w:rFonts w:ascii="Arial" w:cs="Arial" w:eastAsia="Arial" w:hAnsi="Arial"/>
          <w:sz w:val="16"/>
          <w:szCs w:val="16"/>
          <w:b w:val="1"/>
          <w:bCs w:val="1"/>
          <w:color w:val="007CBA"/>
        </w:rPr>
        <w:t xml:space="preserve">PSUs are a substantial portion of LTI. </w:t>
      </w:r>
      <w:r>
        <w:rPr>
          <w:rFonts w:ascii="Arial" w:cs="Arial" w:eastAsia="Arial" w:hAnsi="Arial"/>
          <w:sz w:val="16"/>
          <w:szCs w:val="16"/>
          <w:color w:val="000000"/>
        </w:rPr>
        <w:t>PSU grants, tied to our achievement of specified performance measures, comprised approximately 55%</w:t>
      </w:r>
      <w:r>
        <w:rPr>
          <w:rFonts w:ascii="Arial" w:cs="Arial" w:eastAsia="Arial" w:hAnsi="Arial"/>
          <w:sz w:val="16"/>
          <w:szCs w:val="16"/>
          <w:b w:val="1"/>
          <w:bCs w:val="1"/>
          <w:color w:val="007CBA"/>
        </w:rPr>
        <w:t xml:space="preserve"> </w:t>
      </w:r>
      <w:r>
        <w:rPr>
          <w:rFonts w:ascii="Arial" w:cs="Arial" w:eastAsia="Arial" w:hAnsi="Arial"/>
          <w:sz w:val="16"/>
          <w:szCs w:val="16"/>
          <w:color w:val="000000"/>
        </w:rPr>
        <w:t>of the total value of annual long-term incentive grants made to our NEOs in 2018. Performance-based RSUs comprised the remaining 45%.</w:t>
      </w:r>
    </w:p>
    <w:p>
      <w:pPr>
        <w:spacing w:after="0" w:line="47"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007CBA"/>
        </w:rPr>
        <w:t xml:space="preserve">Independent compensation consultant. </w:t>
      </w:r>
      <w:r>
        <w:rPr>
          <w:rFonts w:ascii="Arial" w:cs="Arial" w:eastAsia="Arial" w:hAnsi="Arial"/>
          <w:sz w:val="16"/>
          <w:szCs w:val="16"/>
          <w:color w:val="000000"/>
        </w:rPr>
        <w:t>The Committee retains an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-104775</wp:posOffset>
            </wp:positionV>
            <wp:extent cx="6989445" cy="6083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89445" cy="608330"/>
                    </a:xfrm>
                    <a:prstGeom prst="rect">
                      <a:avLst/>
                    </a:prstGeom>
                    <a:noFill/>
                  </pic:spPr>
                </pic:pic>
              </a:graphicData>
            </a:graphic>
          </wp:anchor>
        </w:drawing>
      </w:r>
    </w:p>
    <w:p>
      <w:pPr>
        <w:spacing w:after="0" w:line="160" w:lineRule="exact"/>
        <w:rPr>
          <w:sz w:val="20"/>
          <w:szCs w:val="20"/>
          <w:color w:val="auto"/>
        </w:rPr>
      </w:pPr>
    </w:p>
    <w:p>
      <w:pPr>
        <w:jc w:val="both"/>
        <w:ind w:left="760"/>
        <w:spacing w:after="0" w:line="266" w:lineRule="auto"/>
        <w:rPr>
          <w:sz w:val="20"/>
          <w:szCs w:val="20"/>
          <w:color w:val="auto"/>
        </w:rPr>
      </w:pPr>
      <w:r>
        <w:rPr>
          <w:rFonts w:ascii="Arial" w:cs="Arial" w:eastAsia="Arial" w:hAnsi="Arial"/>
          <w:sz w:val="16"/>
          <w:szCs w:val="16"/>
          <w:b w:val="1"/>
          <w:bCs w:val="1"/>
          <w:color w:val="007CBA"/>
        </w:rPr>
        <w:t xml:space="preserve">Robust share ownership requirements. </w:t>
      </w:r>
      <w:r>
        <w:rPr>
          <w:rFonts w:ascii="Arial" w:cs="Arial" w:eastAsia="Arial" w:hAnsi="Arial"/>
          <w:sz w:val="16"/>
          <w:szCs w:val="16"/>
          <w:color w:val="000000"/>
        </w:rPr>
        <w:t>We have robust stock ownership guidelines of 7 times base salary for the CEO, 5 times base salary for</w:t>
      </w:r>
      <w:r>
        <w:rPr>
          <w:rFonts w:ascii="Arial" w:cs="Arial" w:eastAsia="Arial" w:hAnsi="Arial"/>
          <w:sz w:val="16"/>
          <w:szCs w:val="16"/>
          <w:b w:val="1"/>
          <w:bCs w:val="1"/>
          <w:color w:val="007CBA"/>
        </w:rPr>
        <w:t xml:space="preserve"> </w:t>
      </w:r>
      <w:r>
        <w:rPr>
          <w:rFonts w:ascii="Arial" w:cs="Arial" w:eastAsia="Arial" w:hAnsi="Arial"/>
          <w:sz w:val="16"/>
          <w:szCs w:val="16"/>
          <w:color w:val="000000"/>
        </w:rPr>
        <w:t>our other NEOs, and 5 times annual retainer for Directors. We also have an equity retention requirement of 50% of net shares paid as incentive compensation until ownership guidelines are met.</w:t>
      </w:r>
    </w:p>
    <w:p>
      <w:pPr>
        <w:spacing w:after="0" w:line="49" w:lineRule="exact"/>
        <w:rPr>
          <w:sz w:val="20"/>
          <w:szCs w:val="20"/>
          <w:color w:val="auto"/>
        </w:rPr>
      </w:pPr>
    </w:p>
    <w:p>
      <w:pPr>
        <w:jc w:val="both"/>
        <w:ind w:left="760" w:right="20"/>
        <w:spacing w:after="0" w:line="286" w:lineRule="auto"/>
        <w:rPr>
          <w:sz w:val="20"/>
          <w:szCs w:val="20"/>
          <w:color w:val="auto"/>
        </w:rPr>
      </w:pPr>
      <w:r>
        <w:rPr>
          <w:rFonts w:ascii="Arial" w:cs="Arial" w:eastAsia="Arial" w:hAnsi="Arial"/>
          <w:sz w:val="16"/>
          <w:szCs w:val="16"/>
          <w:b w:val="1"/>
          <w:bCs w:val="1"/>
          <w:color w:val="007CBA"/>
        </w:rPr>
        <w:t xml:space="preserve">Clawback policy. </w:t>
      </w:r>
      <w:r>
        <w:rPr>
          <w:rFonts w:ascii="Arial" w:cs="Arial" w:eastAsia="Arial" w:hAnsi="Arial"/>
          <w:sz w:val="16"/>
          <w:szCs w:val="16"/>
          <w:color w:val="000000"/>
        </w:rPr>
        <w:t>We have a compensation recovery (clawback) policy that requires officers to forfeit certain cash-based incentive compensation</w:t>
      </w:r>
      <w:r>
        <w:rPr>
          <w:rFonts w:ascii="Arial" w:cs="Arial" w:eastAsia="Arial" w:hAnsi="Arial"/>
          <w:sz w:val="16"/>
          <w:szCs w:val="16"/>
          <w:b w:val="1"/>
          <w:bCs w:val="1"/>
          <w:color w:val="007CBA"/>
        </w:rPr>
        <w:t xml:space="preserve"> </w:t>
      </w:r>
      <w:r>
        <w:rPr>
          <w:rFonts w:ascii="Arial" w:cs="Arial" w:eastAsia="Arial" w:hAnsi="Arial"/>
          <w:sz w:val="16"/>
          <w:szCs w:val="16"/>
          <w:color w:val="000000"/>
        </w:rPr>
        <w:t>and/or equity-based incentive compensation if the company restates its financial statements due to the officer’s misconduct.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-257810</wp:posOffset>
            </wp:positionV>
            <wp:extent cx="154305"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-9525</wp:posOffset>
            </wp:positionV>
            <wp:extent cx="6989445" cy="2400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89445" cy="240030"/>
                    </a:xfrm>
                    <a:prstGeom prst="rect">
                      <a:avLst/>
                    </a:prstGeom>
                    <a:noFill/>
                  </pic:spPr>
                </pic:pic>
              </a:graphicData>
            </a:graphic>
          </wp:anchor>
        </w:drawing>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007CBA"/>
        </w:rPr>
        <w:t xml:space="preserve">Regular engagement with shareholders. </w:t>
      </w:r>
      <w:r>
        <w:rPr>
          <w:rFonts w:ascii="Arial" w:cs="Arial" w:eastAsia="Arial" w:hAnsi="Arial"/>
          <w:sz w:val="16"/>
          <w:szCs w:val="16"/>
          <w:color w:val="000000"/>
        </w:rPr>
        <w:t>We engage with shareholders to hear their views on compensation and other issues.</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007CBA"/>
        </w:rPr>
        <w:t xml:space="preserve">Annual elections. </w:t>
      </w:r>
      <w:r>
        <w:rPr>
          <w:rFonts w:ascii="Arial" w:cs="Arial" w:eastAsia="Arial" w:hAnsi="Arial"/>
          <w:sz w:val="16"/>
          <w:szCs w:val="16"/>
          <w:color w:val="000000"/>
        </w:rPr>
        <w:t>We no longer have a classified Board of Directors and all of our Directors stand for election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83185</wp:posOffset>
            </wp:positionV>
            <wp:extent cx="698944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245745</wp:posOffset>
            </wp:positionV>
            <wp:extent cx="6989445" cy="1797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89445" cy="17970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-104775</wp:posOffset>
            </wp:positionV>
            <wp:extent cx="154305" cy="1543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FFFFFF"/>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20955</wp:posOffset>
            </wp:positionV>
            <wp:extent cx="6989445" cy="2311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89445" cy="231140"/>
                    </a:xfrm>
                    <a:prstGeom prst="rect">
                      <a:avLst/>
                    </a:prstGeom>
                    <a:noFill/>
                  </pic:spPr>
                </pic:pic>
              </a:graphicData>
            </a:graphic>
          </wp:anchor>
        </w:drawing>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No employment contracts</w:t>
      </w:r>
      <w:r>
        <w:rPr>
          <w:rFonts w:ascii="Arial" w:cs="Arial" w:eastAsia="Arial" w:hAnsi="Arial"/>
          <w:sz w:val="16"/>
          <w:szCs w:val="16"/>
          <w:color w:val="auto"/>
        </w:rPr>
        <w:t>. None of our NEOs or other executive officers have employment contracts that guarantee continued employment.</w:t>
      </w:r>
    </w:p>
    <w:p>
      <w:pPr>
        <w:spacing w:after="0" w:line="180" w:lineRule="exact"/>
        <w:rPr>
          <w:sz w:val="20"/>
          <w:szCs w:val="20"/>
          <w:color w:val="auto"/>
        </w:rPr>
      </w:pPr>
    </w:p>
    <w:p>
      <w:pPr>
        <w:ind w:left="880" w:right="20"/>
        <w:spacing w:after="0" w:line="286" w:lineRule="auto"/>
        <w:rPr>
          <w:sz w:val="20"/>
          <w:szCs w:val="20"/>
          <w:color w:val="auto"/>
        </w:rPr>
      </w:pPr>
      <w:r>
        <w:rPr>
          <w:rFonts w:ascii="Arial" w:cs="Arial" w:eastAsia="Arial" w:hAnsi="Arial"/>
          <w:sz w:val="16"/>
          <w:szCs w:val="16"/>
          <w:b w:val="1"/>
          <w:bCs w:val="1"/>
          <w:color w:val="auto"/>
        </w:rPr>
        <w:t>No dividends on unvested awards</w:t>
      </w:r>
      <w:r>
        <w:rPr>
          <w:rFonts w:ascii="Arial" w:cs="Arial" w:eastAsia="Arial" w:hAnsi="Arial"/>
          <w:sz w:val="16"/>
          <w:szCs w:val="16"/>
          <w:color w:val="auto"/>
        </w:rPr>
        <w:t>. Our 2018 RSU and PSU awards require three years to fully vest and dividends paid on shares of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of Martin Marietta during the vesting period are only paid to award holders if and when an award vests.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-266065</wp:posOffset>
            </wp:positionV>
            <wp:extent cx="154305" cy="1543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14" w:lineRule="exact"/>
        <w:rPr>
          <w:sz w:val="20"/>
          <w:szCs w:val="20"/>
          <w:color w:val="auto"/>
        </w:rPr>
      </w:pPr>
    </w:p>
    <w:p>
      <w:pPr>
        <w:ind w:left="880" w:right="20"/>
        <w:spacing w:after="0" w:line="286" w:lineRule="auto"/>
        <w:rPr>
          <w:sz w:val="20"/>
          <w:szCs w:val="20"/>
          <w:color w:val="auto"/>
        </w:rPr>
      </w:pPr>
      <w:r>
        <w:rPr>
          <w:rFonts w:ascii="Arial" w:cs="Arial" w:eastAsia="Arial" w:hAnsi="Arial"/>
          <w:sz w:val="16"/>
          <w:szCs w:val="16"/>
          <w:b w:val="1"/>
          <w:bCs w:val="1"/>
          <w:color w:val="auto"/>
        </w:rPr>
        <w:t>No pledging of shares</w:t>
      </w:r>
      <w:r>
        <w:rPr>
          <w:rFonts w:ascii="Arial" w:cs="Arial" w:eastAsia="Arial" w:hAnsi="Arial"/>
          <w:sz w:val="16"/>
          <w:szCs w:val="16"/>
          <w:color w:val="auto"/>
        </w:rPr>
        <w:t>. Our directors and executive officers are not permitted to pledge Martin Marietta shares as collateral for loans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-266065</wp:posOffset>
            </wp:positionV>
            <wp:extent cx="6989445" cy="2571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89445" cy="257175"/>
                    </a:xfrm>
                    <a:prstGeom prst="rect">
                      <a:avLst/>
                    </a:prstGeom>
                    <a:noFill/>
                  </pic:spPr>
                </pic:pic>
              </a:graphicData>
            </a:graphic>
          </wp:anchor>
        </w:drawing>
      </w:r>
    </w:p>
    <w:p>
      <w:pPr>
        <w:spacing w:after="0" w:line="14" w:lineRule="exact"/>
        <w:rPr>
          <w:sz w:val="20"/>
          <w:szCs w:val="20"/>
          <w:color w:val="auto"/>
        </w:rPr>
      </w:pPr>
    </w:p>
    <w:p>
      <w:pPr>
        <w:ind w:left="880"/>
        <w:spacing w:after="0" w:line="286" w:lineRule="auto"/>
        <w:rPr>
          <w:sz w:val="20"/>
          <w:szCs w:val="20"/>
          <w:color w:val="auto"/>
        </w:rPr>
      </w:pPr>
      <w:r>
        <w:rPr>
          <w:rFonts w:ascii="Arial" w:cs="Arial" w:eastAsia="Arial" w:hAnsi="Arial"/>
          <w:sz w:val="16"/>
          <w:szCs w:val="16"/>
          <w:b w:val="1"/>
          <w:bCs w:val="1"/>
          <w:color w:val="auto"/>
        </w:rPr>
        <w:t>No hedging</w:t>
      </w:r>
      <w:r>
        <w:rPr>
          <w:rFonts w:ascii="Arial" w:cs="Arial" w:eastAsia="Arial" w:hAnsi="Arial"/>
          <w:sz w:val="16"/>
          <w:szCs w:val="16"/>
          <w:color w:val="auto"/>
        </w:rPr>
        <w:t>. We prohibit directors and executive officers from engaging in short sales of Martin Marietta stock or similar transactions intended to</w:t>
      </w:r>
      <w:r>
        <w:rPr>
          <w:rFonts w:ascii="Arial" w:cs="Arial" w:eastAsia="Arial" w:hAnsi="Arial"/>
          <w:sz w:val="16"/>
          <w:szCs w:val="16"/>
          <w:b w:val="1"/>
          <w:bCs w:val="1"/>
          <w:color w:val="auto"/>
        </w:rPr>
        <w:t xml:space="preserve"> </w:t>
      </w:r>
      <w:r>
        <w:rPr>
          <w:rFonts w:ascii="Arial" w:cs="Arial" w:eastAsia="Arial" w:hAnsi="Arial"/>
          <w:sz w:val="16"/>
          <w:szCs w:val="16"/>
          <w:color w:val="auto"/>
        </w:rPr>
        <w:t>hedge or offset the market value of Martin Marietta stock owned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-266065</wp:posOffset>
            </wp:positionV>
            <wp:extent cx="154305" cy="1543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-9525</wp:posOffset>
            </wp:positionV>
            <wp:extent cx="6989445" cy="2997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89445" cy="299720"/>
                    </a:xfrm>
                    <a:prstGeom prst="rect">
                      <a:avLst/>
                    </a:prstGeom>
                    <a:noFill/>
                  </pic:spPr>
                </pic:pic>
              </a:graphicData>
            </a:graphic>
          </wp:anchor>
        </w:drawing>
      </w:r>
    </w:p>
    <w:p>
      <w:pPr>
        <w:spacing w:after="0" w:line="14" w:lineRule="exact"/>
        <w:rPr>
          <w:sz w:val="20"/>
          <w:szCs w:val="20"/>
          <w:color w:val="auto"/>
        </w:rPr>
      </w:pPr>
    </w:p>
    <w:p>
      <w:pPr>
        <w:ind w:left="880"/>
        <w:spacing w:after="0" w:line="286" w:lineRule="auto"/>
        <w:rPr>
          <w:sz w:val="20"/>
          <w:szCs w:val="20"/>
          <w:color w:val="auto"/>
        </w:rPr>
      </w:pPr>
      <w:r>
        <w:rPr>
          <w:rFonts w:ascii="Arial" w:cs="Arial" w:eastAsia="Arial" w:hAnsi="Arial"/>
          <w:sz w:val="16"/>
          <w:szCs w:val="16"/>
          <w:b w:val="1"/>
          <w:bCs w:val="1"/>
          <w:color w:val="auto"/>
        </w:rPr>
        <w:t>Minimal executive perquisites</w:t>
      </w:r>
      <w:r>
        <w:rPr>
          <w:rFonts w:ascii="Arial" w:cs="Arial" w:eastAsia="Arial" w:hAnsi="Arial"/>
          <w:sz w:val="16"/>
          <w:szCs w:val="16"/>
          <w:color w:val="auto"/>
        </w:rPr>
        <w:t>. We do not provide NEOs country club reimbursements, personal use of the Company aircraft unrelated to</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travel, or other excessive perks.</w:t>
      </w:r>
    </w:p>
    <w:p>
      <w:pPr>
        <w:spacing w:after="0" w:line="47"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No 280G gross-ups. </w:t>
      </w:r>
      <w:r>
        <w:rPr>
          <w:rFonts w:ascii="Arial" w:cs="Arial" w:eastAsia="Arial" w:hAnsi="Arial"/>
          <w:sz w:val="16"/>
          <w:szCs w:val="16"/>
          <w:color w:val="auto"/>
        </w:rPr>
        <w:t>We eliminated the excise tax gross-ups.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74295</wp:posOffset>
            </wp:positionV>
            <wp:extent cx="698944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-113030</wp:posOffset>
            </wp:positionV>
            <wp:extent cx="154305" cy="1543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177165</wp:posOffset>
            </wp:positionV>
            <wp:extent cx="410845" cy="2482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278" w:lineRule="exact"/>
        <w:rPr>
          <w:sz w:val="20"/>
          <w:szCs w:val="20"/>
          <w:color w:val="auto"/>
        </w:rPr>
      </w:pPr>
    </w:p>
    <w:tbl>
      <w:tblPr>
        <w:tblLayout w:type="fixed"/>
        <w:tblInd w:w="926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2019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39</w:t>
            </w:r>
          </w:p>
        </w:tc>
      </w:tr>
    </w:tbl>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9" w:lineRule="exact"/>
        <w:rPr>
          <w:sz w:val="20"/>
          <w:szCs w:val="20"/>
          <w:color w:val="auto"/>
        </w:rPr>
      </w:pPr>
    </w:p>
    <w:p>
      <w:pPr>
        <w:ind w:left="220"/>
        <w:spacing w:after="0" w:line="288" w:lineRule="exact"/>
        <w:rPr>
          <w:sz w:val="20"/>
          <w:szCs w:val="20"/>
          <w:color w:val="auto"/>
        </w:rPr>
      </w:pPr>
      <w:r>
        <w:rPr>
          <w:rFonts w:ascii="Arial" w:cs="Arial" w:eastAsia="Arial" w:hAnsi="Arial"/>
          <w:sz w:val="13"/>
          <w:szCs w:val="13"/>
          <w:color w:val="007CBA"/>
        </w:rPr>
        <w:t xml:space="preserve">Compensation Discussion and Analysis </w:t>
      </w:r>
      <w:r>
        <w:rPr>
          <w:rFonts w:ascii="MS PGothic" w:cs="MS PGothic" w:eastAsia="MS PGothic" w:hAnsi="MS PGothic"/>
          <w:sz w:val="25"/>
          <w:szCs w:val="25"/>
          <w:color w:val="007CBA"/>
        </w:rPr>
        <w:t>◆</w:t>
      </w:r>
      <w:r>
        <w:rPr>
          <w:rFonts w:ascii="Arial" w:cs="Arial" w:eastAsia="Arial" w:hAnsi="Arial"/>
          <w:sz w:val="13"/>
          <w:szCs w:val="13"/>
          <w:color w:val="007CBA"/>
        </w:rPr>
        <w:t xml:space="preserve"> </w:t>
      </w:r>
      <w:r>
        <w:rPr>
          <w:rFonts w:ascii="Arial" w:cs="Arial" w:eastAsia="Arial" w:hAnsi="Arial"/>
          <w:sz w:val="13"/>
          <w:szCs w:val="13"/>
          <w:color w:val="000000"/>
        </w:rPr>
        <w:t>Pay Decisions and Compensation Governance Practices</w:t>
      </w:r>
    </w:p>
    <w:p>
      <w:pPr>
        <w:spacing w:after="0" w:line="200" w:lineRule="exact"/>
        <w:rPr>
          <w:sz w:val="20"/>
          <w:szCs w:val="20"/>
          <w:color w:val="auto"/>
        </w:rPr>
      </w:pPr>
    </w:p>
    <w:p>
      <w:pPr>
        <w:spacing w:after="0" w:line="240" w:lineRule="exact"/>
        <w:rPr>
          <w:sz w:val="20"/>
          <w:szCs w:val="20"/>
          <w:color w:val="auto"/>
        </w:rPr>
      </w:pPr>
    </w:p>
    <w:p>
      <w:pPr>
        <w:jc w:val="both"/>
        <w:ind w:left="220" w:right="20"/>
        <w:spacing w:after="0" w:line="253" w:lineRule="auto"/>
        <w:rPr>
          <w:sz w:val="20"/>
          <w:szCs w:val="20"/>
          <w:color w:val="auto"/>
        </w:rPr>
      </w:pPr>
      <w:r>
        <w:rPr>
          <w:rFonts w:ascii="Arial" w:cs="Arial" w:eastAsia="Arial" w:hAnsi="Arial"/>
          <w:sz w:val="16"/>
          <w:szCs w:val="16"/>
          <w:color w:val="auto"/>
        </w:rPr>
        <w:t>A number of key 2018 compensation-related decisions resulted from our achievements, which are discussed more fully below. The Committee believes that our executive compensation program continues to reflect a strong pay-for-performance philosophy and is well aligned with the interests of shareholders</w:t>
      </w:r>
    </w:p>
    <w:p>
      <w:pPr>
        <w:spacing w:after="0" w:line="16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7CBA"/>
        </w:rPr>
        <w:t>2018 Chairman, President and CEO Compensation</w:t>
      </w:r>
    </w:p>
    <w:p>
      <w:pPr>
        <w:sectPr>
          <w:pgSz w:w="11900" w:h="16838" w:orient="portrait"/>
          <w:cols w:equalWidth="0" w:num="1">
            <w:col w:w="11220"/>
          </w:cols>
          <w:pgMar w:left="240" w:top="459" w:right="439" w:bottom="1440" w:gutter="0" w:footer="0" w:header="0"/>
        </w:sectPr>
      </w:pPr>
    </w:p>
    <w:p>
      <w:pPr>
        <w:spacing w:after="0" w:line="197" w:lineRule="exact"/>
        <w:rPr>
          <w:sz w:val="20"/>
          <w:szCs w:val="20"/>
          <w:color w:val="auto"/>
        </w:rPr>
      </w:pPr>
    </w:p>
    <w:p>
      <w:pPr>
        <w:jc w:val="both"/>
        <w:ind w:left="220" w:right="20"/>
        <w:spacing w:after="0" w:line="286" w:lineRule="auto"/>
        <w:rPr>
          <w:sz w:val="20"/>
          <w:szCs w:val="20"/>
          <w:color w:val="auto"/>
        </w:rPr>
      </w:pPr>
      <w:r>
        <w:rPr>
          <w:rFonts w:ascii="Arial" w:cs="Arial" w:eastAsia="Arial" w:hAnsi="Arial"/>
          <w:sz w:val="16"/>
          <w:szCs w:val="16"/>
          <w:b w:val="1"/>
          <w:bCs w:val="1"/>
          <w:i w:val="1"/>
          <w:iCs w:val="1"/>
          <w:color w:val="007CBA"/>
        </w:rPr>
        <w:t xml:space="preserve">Base Salary. </w:t>
      </w:r>
      <w:r>
        <w:rPr>
          <w:rFonts w:ascii="Arial" w:cs="Arial" w:eastAsia="Arial" w:hAnsi="Arial"/>
          <w:sz w:val="16"/>
          <w:szCs w:val="16"/>
          <w:color w:val="000000"/>
        </w:rPr>
        <w:t>For 2018, Mr. Nye’s base salary was set at $1,100,000</w:t>
      </w:r>
      <w:r>
        <w:rPr>
          <w:rFonts w:ascii="Arial" w:cs="Arial" w:eastAsia="Arial" w:hAnsi="Arial"/>
          <w:sz w:val="16"/>
          <w:szCs w:val="16"/>
          <w:b w:val="1"/>
          <w:bCs w:val="1"/>
          <w:i w:val="1"/>
          <w:iCs w:val="1"/>
          <w:color w:val="007CBA"/>
        </w:rPr>
        <w:t xml:space="preserve"> </w:t>
      </w:r>
      <w:r>
        <w:rPr>
          <w:rFonts w:ascii="Arial" w:cs="Arial" w:eastAsia="Arial" w:hAnsi="Arial"/>
          <w:sz w:val="16"/>
          <w:szCs w:val="16"/>
          <w:color w:val="000000"/>
        </w:rPr>
        <w:t>(effective March 1, 2018).</w:t>
      </w:r>
    </w:p>
    <w:p>
      <w:pPr>
        <w:spacing w:after="0" w:line="128" w:lineRule="exact"/>
        <w:rPr>
          <w:sz w:val="20"/>
          <w:szCs w:val="20"/>
          <w:color w:val="auto"/>
        </w:rPr>
      </w:pPr>
    </w:p>
    <w:p>
      <w:pPr>
        <w:jc w:val="both"/>
        <w:ind w:left="220"/>
        <w:spacing w:after="0" w:line="266" w:lineRule="auto"/>
        <w:rPr>
          <w:sz w:val="20"/>
          <w:szCs w:val="20"/>
          <w:color w:val="auto"/>
        </w:rPr>
      </w:pPr>
      <w:r>
        <w:rPr>
          <w:rFonts w:ascii="Arial" w:cs="Arial" w:eastAsia="Arial" w:hAnsi="Arial"/>
          <w:sz w:val="16"/>
          <w:szCs w:val="16"/>
          <w:b w:val="1"/>
          <w:bCs w:val="1"/>
          <w:i w:val="1"/>
          <w:iCs w:val="1"/>
          <w:color w:val="007CBA"/>
        </w:rPr>
        <w:t xml:space="preserve">2018 Annual Incentive. </w:t>
      </w:r>
      <w:r>
        <w:rPr>
          <w:rFonts w:ascii="Arial" w:cs="Arial" w:eastAsia="Arial" w:hAnsi="Arial"/>
          <w:sz w:val="16"/>
          <w:szCs w:val="16"/>
          <w:color w:val="000000"/>
        </w:rPr>
        <w:t>Mr. Nye’s target annual incentive amount for</w:t>
      </w:r>
      <w:r>
        <w:rPr>
          <w:rFonts w:ascii="Arial" w:cs="Arial" w:eastAsia="Arial" w:hAnsi="Arial"/>
          <w:sz w:val="16"/>
          <w:szCs w:val="16"/>
          <w:b w:val="1"/>
          <w:bCs w:val="1"/>
          <w:i w:val="1"/>
          <w:iCs w:val="1"/>
          <w:color w:val="007CBA"/>
        </w:rPr>
        <w:t xml:space="preserve"> </w:t>
      </w:r>
      <w:r>
        <w:rPr>
          <w:rFonts w:ascii="Arial" w:cs="Arial" w:eastAsia="Arial" w:hAnsi="Arial"/>
          <w:sz w:val="16"/>
          <w:szCs w:val="16"/>
          <w:color w:val="000000"/>
        </w:rPr>
        <w:t>2018 was $1,199,917 (110% of salary received for the year). His actual annual incentive for 2018 was $2,100,000, or 175% of target.</w:t>
      </w:r>
    </w:p>
    <w:p>
      <w:pPr>
        <w:spacing w:after="0" w:line="130" w:lineRule="exact"/>
        <w:rPr>
          <w:sz w:val="20"/>
          <w:szCs w:val="20"/>
          <w:color w:val="auto"/>
        </w:rPr>
      </w:pPr>
    </w:p>
    <w:p>
      <w:pPr>
        <w:jc w:val="both"/>
        <w:ind w:left="220"/>
        <w:spacing w:after="0" w:line="252" w:lineRule="auto"/>
        <w:rPr>
          <w:sz w:val="20"/>
          <w:szCs w:val="20"/>
          <w:color w:val="auto"/>
        </w:rPr>
      </w:pPr>
      <w:r>
        <w:rPr>
          <w:rFonts w:ascii="Arial" w:cs="Arial" w:eastAsia="Arial" w:hAnsi="Arial"/>
          <w:sz w:val="16"/>
          <w:szCs w:val="16"/>
          <w:b w:val="1"/>
          <w:bCs w:val="1"/>
          <w:i w:val="1"/>
          <w:iCs w:val="1"/>
          <w:color w:val="007CBA"/>
        </w:rPr>
        <w:t xml:space="preserve">2018-2020 Long-Term Incentives. </w:t>
      </w:r>
      <w:r>
        <w:rPr>
          <w:rFonts w:ascii="Arial" w:cs="Arial" w:eastAsia="Arial" w:hAnsi="Arial"/>
          <w:sz w:val="16"/>
          <w:szCs w:val="16"/>
          <w:color w:val="000000"/>
        </w:rPr>
        <w:t>In 2018, Mr. Nye’s target LTI award</w:t>
      </w:r>
      <w:r>
        <w:rPr>
          <w:rFonts w:ascii="Arial" w:cs="Arial" w:eastAsia="Arial" w:hAnsi="Arial"/>
          <w:sz w:val="16"/>
          <w:szCs w:val="16"/>
          <w:b w:val="1"/>
          <w:bCs w:val="1"/>
          <w:i w:val="1"/>
          <w:iCs w:val="1"/>
          <w:color w:val="007CBA"/>
        </w:rPr>
        <w:t xml:space="preserve"> </w:t>
      </w:r>
      <w:r>
        <w:rPr>
          <w:rFonts w:ascii="Arial" w:cs="Arial" w:eastAsia="Arial" w:hAnsi="Arial"/>
          <w:sz w:val="16"/>
          <w:szCs w:val="16"/>
          <w:color w:val="000000"/>
        </w:rPr>
        <w:t>was 400% of base salary earned. He was granted an LTI award of approximately $4.18 million, which was allocated 55%, or $2.30 million, in PSUs and 45%, or $1.88 million, in performance-based RSUs. RSUs will vest pro rata over three years if the performance measure is satisfied, while the vesting of PSUs will be based upon our results relative to the three-year performance goals that were established in the beginning of 2018.</w:t>
      </w:r>
    </w:p>
    <w:p>
      <w:pPr>
        <w:spacing w:after="0" w:line="141" w:lineRule="exact"/>
        <w:rPr>
          <w:sz w:val="20"/>
          <w:szCs w:val="20"/>
          <w:color w:val="auto"/>
        </w:rPr>
      </w:pPr>
    </w:p>
    <w:p>
      <w:pPr>
        <w:jc w:val="both"/>
        <w:ind w:left="220"/>
        <w:spacing w:after="0" w:line="252" w:lineRule="auto"/>
        <w:rPr>
          <w:sz w:val="20"/>
          <w:szCs w:val="20"/>
          <w:color w:val="auto"/>
        </w:rPr>
      </w:pPr>
      <w:r>
        <w:rPr>
          <w:rFonts w:ascii="Arial" w:cs="Arial" w:eastAsia="Arial" w:hAnsi="Arial"/>
          <w:sz w:val="16"/>
          <w:szCs w:val="16"/>
          <w:b w:val="1"/>
          <w:bCs w:val="1"/>
          <w:i w:val="1"/>
          <w:iCs w:val="1"/>
          <w:color w:val="007CBA"/>
        </w:rPr>
        <w:t xml:space="preserve">Benefit and Retirement Plans. </w:t>
      </w:r>
      <w:r>
        <w:rPr>
          <w:rFonts w:ascii="Arial" w:cs="Arial" w:eastAsia="Arial" w:hAnsi="Arial"/>
          <w:sz w:val="16"/>
          <w:szCs w:val="16"/>
          <w:color w:val="000000"/>
        </w:rPr>
        <w:t>Mr. Nye is eligible for benefit and</w:t>
      </w:r>
      <w:r>
        <w:rPr>
          <w:rFonts w:ascii="Arial" w:cs="Arial" w:eastAsia="Arial" w:hAnsi="Arial"/>
          <w:sz w:val="16"/>
          <w:szCs w:val="16"/>
          <w:b w:val="1"/>
          <w:bCs w:val="1"/>
          <w:i w:val="1"/>
          <w:iCs w:val="1"/>
          <w:color w:val="007CBA"/>
        </w:rPr>
        <w:t xml:space="preserve"> </w:t>
      </w:r>
      <w:r>
        <w:rPr>
          <w:rFonts w:ascii="Arial" w:cs="Arial" w:eastAsia="Arial" w:hAnsi="Arial"/>
          <w:sz w:val="16"/>
          <w:szCs w:val="16"/>
          <w:color w:val="000000"/>
        </w:rPr>
        <w:t>retirement programs similar to other employees. None of our executives received additional years of service credits or other forms of formula enhancements under our benefit or retirement plans. Our pension formula is based on years of service and pension eligible compensation, which is a similar formula offered by other companies with defined benefit plans. Mr. Nye is not eligible for retiree health benefits.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i w:val="1"/>
          <w:iCs w:val="1"/>
          <w:color w:val="007CBA"/>
        </w:rPr>
        <w:t xml:space="preserve">Perquisites. </w:t>
      </w:r>
      <w:r>
        <w:rPr>
          <w:rFonts w:ascii="Arial" w:cs="Arial" w:eastAsia="Arial" w:hAnsi="Arial"/>
          <w:sz w:val="16"/>
          <w:szCs w:val="16"/>
          <w:color w:val="000000"/>
        </w:rPr>
        <w:t>Mr. Nye received limited executive perquisites. We provide</w:t>
      </w:r>
      <w:r>
        <w:rPr>
          <w:rFonts w:ascii="Arial" w:cs="Arial" w:eastAsia="Arial" w:hAnsi="Arial"/>
          <w:sz w:val="16"/>
          <w:szCs w:val="16"/>
          <w:b w:val="1"/>
          <w:bCs w:val="1"/>
          <w:i w:val="1"/>
          <w:iCs w:val="1"/>
          <w:color w:val="007CBA"/>
        </w:rPr>
        <w:t xml:space="preserve"> </w:t>
      </w:r>
      <w:r>
        <w:rPr>
          <w:rFonts w:ascii="Arial" w:cs="Arial" w:eastAsia="Arial" w:hAnsi="Arial"/>
          <w:sz w:val="16"/>
          <w:szCs w:val="16"/>
          <w:color w:val="000000"/>
        </w:rPr>
        <w:t>company-leased cars to the NEOs for their use. Additionally, we pay for the insurance, maintenance and fuel for such vehicles. The value of personal mileage is charged to the NEO as imputed income. We make the company-owned aircraft available to the CEO and other senior executives for business travel. We do not provide other perquisites, such as country club memberships, to the NEOs. The Committee reviews our policies and determines whether and to what extent perquisites should be modified or continued.</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b w:val="1"/>
          <w:bCs w:val="1"/>
          <w:i w:val="1"/>
          <w:iCs w:val="1"/>
          <w:color w:val="007CBA"/>
        </w:rPr>
        <w:t>2018 Target Pay Mix</w:t>
      </w:r>
      <w:r>
        <w:rPr>
          <w:rFonts w:ascii="Arial" w:cs="Arial" w:eastAsia="Arial" w:hAnsi="Arial"/>
          <w:sz w:val="16"/>
          <w:szCs w:val="16"/>
          <w:i w:val="1"/>
          <w:iCs w:val="1"/>
          <w:color w:val="000000"/>
        </w:rPr>
        <w:t>.</w:t>
      </w:r>
      <w:r>
        <w:rPr>
          <w:rFonts w:ascii="Arial" w:cs="Arial" w:eastAsia="Arial" w:hAnsi="Arial"/>
          <w:sz w:val="16"/>
          <w:szCs w:val="16"/>
          <w:b w:val="1"/>
          <w:bCs w:val="1"/>
          <w:i w:val="1"/>
          <w:iCs w:val="1"/>
          <w:color w:val="007CBA"/>
        </w:rPr>
        <w:t xml:space="preserve"> </w:t>
      </w:r>
      <w:r>
        <w:rPr>
          <w:rFonts w:ascii="Arial" w:cs="Arial" w:eastAsia="Arial" w:hAnsi="Arial"/>
          <w:sz w:val="16"/>
          <w:szCs w:val="16"/>
          <w:color w:val="000000"/>
        </w:rPr>
        <w:t>We believe that, to the maximum extent possible,</w:t>
      </w:r>
      <w:r>
        <w:rPr>
          <w:rFonts w:ascii="Arial" w:cs="Arial" w:eastAsia="Arial" w:hAnsi="Arial"/>
          <w:sz w:val="16"/>
          <w:szCs w:val="16"/>
          <w:b w:val="1"/>
          <w:bCs w:val="1"/>
          <w:i w:val="1"/>
          <w:iCs w:val="1"/>
          <w:color w:val="007CBA"/>
        </w:rPr>
        <w:t xml:space="preserve"> </w:t>
      </w:r>
      <w:r>
        <w:rPr>
          <w:rFonts w:ascii="Arial" w:cs="Arial" w:eastAsia="Arial" w:hAnsi="Arial"/>
          <w:sz w:val="16"/>
          <w:szCs w:val="16"/>
          <w:color w:val="000000"/>
        </w:rPr>
        <w:t>the compensation opportunities of our CEO should be variable and the variable elements of the compensation package should tie to the Company’s long-term success and the achievement of sustainable long-term total return to our shareholders. As shown in the chart below, a significant portion of our CEO’s target compensation is variable and in the form of LTI, and more than half of total target pay is in the form of equity incentives.</w:t>
      </w:r>
    </w:p>
    <w:p>
      <w:pPr>
        <w:spacing w:after="0" w:line="1306"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14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7CBA"/>
        </w:rPr>
        <w:t>CEO Target Opportunity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20" w:right="20" w:hanging="110"/>
        <w:spacing w:after="0" w:line="257" w:lineRule="auto"/>
        <w:tabs>
          <w:tab w:leader="none" w:pos="3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We consider base salary and annual incentives as short-term pay and PSUs and RSUs as long-term pay. We do not include retirement or other compensation components in the chart.</w:t>
      </w:r>
    </w:p>
    <w:p>
      <w:pPr>
        <w:spacing w:after="0" w:line="267"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7CBA"/>
        </w:rPr>
        <w:t>Determination of CEO Compensation</w:t>
      </w:r>
    </w:p>
    <w:p>
      <w:pPr>
        <w:spacing w:after="0" w:line="150"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At each February Committee meeting, without the CEO present, the Committee reviews and evaluates CEO performance, and determines achievement levels for the prior year. The Committee also reviews competitive compensation data. At this meeting, the Committee discusses salary and annual incentive pay recommendations for the CEO, as well as an evaluation of the CEO’s performance, with the independent members of the Board. The Committee also reviews and discusses an award of RSUs and the target PSU grant size for the CEO at that meeting, which is also discussed with the independent members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3517265</wp:posOffset>
            </wp:positionH>
            <wp:positionV relativeFrom="paragraph">
              <wp:posOffset>86360</wp:posOffset>
            </wp:positionV>
            <wp:extent cx="410845" cy="2482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151" w:lineRule="exact"/>
        <w:rPr>
          <w:sz w:val="20"/>
          <w:szCs w:val="20"/>
          <w:color w:val="auto"/>
        </w:rPr>
      </w:pPr>
    </w:p>
    <w:p>
      <w:pPr>
        <w:ind w:left="640" w:hanging="430"/>
        <w:spacing w:after="0"/>
        <w:tabs>
          <w:tab w:leader="none" w:pos="640" w:val="left"/>
        </w:tabs>
        <w:numPr>
          <w:ilvl w:val="0"/>
          <w:numId w:val="93"/>
        </w:numPr>
        <w:rPr>
          <w:rFonts w:ascii="Arial" w:cs="Arial" w:eastAsia="Arial" w:hAnsi="Arial"/>
          <w:sz w:val="13"/>
          <w:szCs w:val="13"/>
          <w:b w:val="1"/>
          <w:bCs w:val="1"/>
          <w:color w:val="auto"/>
        </w:rPr>
      </w:pPr>
      <w:r>
        <w:rPr>
          <w:rFonts w:ascii="Arial" w:cs="Arial" w:eastAsia="Arial" w:hAnsi="Arial"/>
          <w:sz w:val="13"/>
          <w:szCs w:val="13"/>
          <w:color w:val="007CBA"/>
        </w:rPr>
        <w:t>2019 PROXY STATEMENT</w:t>
      </w:r>
    </w:p>
    <w:p>
      <w:pPr>
        <w:sectPr>
          <w:pgSz w:w="11900" w:h="16838" w:orient="portrait"/>
          <w:cols w:equalWidth="0" w:num="1">
            <w:col w:w="11220"/>
          </w:cols>
          <w:pgMar w:left="240" w:top="459" w:right="43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9" w:lineRule="exact"/>
        <w:rPr>
          <w:sz w:val="20"/>
          <w:szCs w:val="20"/>
          <w:color w:val="auto"/>
        </w:rPr>
      </w:pPr>
    </w:p>
    <w:p>
      <w:pPr>
        <w:ind w:left="3860"/>
        <w:spacing w:after="0" w:line="288" w:lineRule="exact"/>
        <w:rPr>
          <w:sz w:val="20"/>
          <w:szCs w:val="20"/>
          <w:color w:val="auto"/>
        </w:rPr>
      </w:pPr>
      <w:r>
        <w:rPr>
          <w:rFonts w:ascii="Arial" w:cs="Arial" w:eastAsia="Arial" w:hAnsi="Arial"/>
          <w:sz w:val="13"/>
          <w:szCs w:val="13"/>
          <w:color w:val="auto"/>
        </w:rPr>
        <w:t xml:space="preserve">2018 Named Executive Officers’ Compensation – Our Compensation Strategy </w:t>
      </w:r>
      <w:r>
        <w:rPr>
          <w:rFonts w:ascii="MS PGothic" w:cs="MS PGothic" w:eastAsia="MS PGothic" w:hAnsi="MS PGothic"/>
          <w:sz w:val="25"/>
          <w:szCs w:val="25"/>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Compensation Discussion and Analysis</w:t>
      </w: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7CBA"/>
        </w:rPr>
        <w:t>2018 Named Executive Officers’ Compensation – Our Compensation Strategy</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Our executive compensation program is specifically designed to:</w:t>
      </w:r>
    </w:p>
    <w:p>
      <w:pPr>
        <w:spacing w:after="0" w:line="106" w:lineRule="exact"/>
        <w:rPr>
          <w:sz w:val="20"/>
          <w:szCs w:val="20"/>
          <w:color w:val="auto"/>
        </w:rPr>
      </w:pPr>
    </w:p>
    <w:p>
      <w:pPr>
        <w:ind w:left="540" w:hanging="330"/>
        <w:spacing w:after="0"/>
        <w:tabs>
          <w:tab w:leader="none" w:pos="540" w:val="left"/>
        </w:tabs>
        <w:numPr>
          <w:ilvl w:val="0"/>
          <w:numId w:val="94"/>
        </w:numPr>
        <w:rPr>
          <w:rFonts w:ascii="Arial" w:cs="Arial" w:eastAsia="Arial" w:hAnsi="Arial"/>
          <w:sz w:val="16"/>
          <w:szCs w:val="16"/>
          <w:color w:val="007CBA"/>
        </w:rPr>
      </w:pPr>
      <w:r>
        <w:rPr>
          <w:rFonts w:ascii="Arial" w:cs="Arial" w:eastAsia="Arial" w:hAnsi="Arial"/>
          <w:sz w:val="16"/>
          <w:szCs w:val="16"/>
          <w:b w:val="1"/>
          <w:bCs w:val="1"/>
          <w:color w:val="auto"/>
        </w:rPr>
        <w:t xml:space="preserve">Attract and retain </w:t>
      </w:r>
      <w:r>
        <w:rPr>
          <w:rFonts w:ascii="Arial" w:cs="Arial" w:eastAsia="Arial" w:hAnsi="Arial"/>
          <w:sz w:val="16"/>
          <w:szCs w:val="16"/>
          <w:color w:val="auto"/>
        </w:rPr>
        <w:t>top-caliber, knowledgeable and experienced senior executives.</w:t>
      </w:r>
    </w:p>
    <w:p>
      <w:pPr>
        <w:spacing w:after="0" w:line="126" w:lineRule="exact"/>
        <w:rPr>
          <w:rFonts w:ascii="Arial" w:cs="Arial" w:eastAsia="Arial" w:hAnsi="Arial"/>
          <w:sz w:val="16"/>
          <w:szCs w:val="16"/>
          <w:color w:val="007CBA"/>
        </w:rPr>
      </w:pPr>
    </w:p>
    <w:p>
      <w:pPr>
        <w:ind w:left="540" w:hanging="330"/>
        <w:spacing w:after="0"/>
        <w:tabs>
          <w:tab w:leader="none" w:pos="540" w:val="left"/>
        </w:tabs>
        <w:numPr>
          <w:ilvl w:val="0"/>
          <w:numId w:val="94"/>
        </w:numPr>
        <w:rPr>
          <w:rFonts w:ascii="Arial" w:cs="Arial" w:eastAsia="Arial" w:hAnsi="Arial"/>
          <w:sz w:val="16"/>
          <w:szCs w:val="16"/>
          <w:color w:val="007CBA"/>
        </w:rPr>
      </w:pPr>
      <w:r>
        <w:rPr>
          <w:rFonts w:ascii="Arial" w:cs="Arial" w:eastAsia="Arial" w:hAnsi="Arial"/>
          <w:sz w:val="16"/>
          <w:szCs w:val="16"/>
          <w:b w:val="1"/>
          <w:bCs w:val="1"/>
          <w:color w:val="auto"/>
        </w:rPr>
        <w:t xml:space="preserve">Motivate </w:t>
      </w:r>
      <w:r>
        <w:rPr>
          <w:rFonts w:ascii="Arial" w:cs="Arial" w:eastAsia="Arial" w:hAnsi="Arial"/>
          <w:sz w:val="16"/>
          <w:szCs w:val="16"/>
          <w:color w:val="auto"/>
        </w:rPr>
        <w:t>our executives to achieve superior results and build long-term value for shareholders.</w:t>
      </w:r>
    </w:p>
    <w:p>
      <w:pPr>
        <w:spacing w:after="0" w:line="126" w:lineRule="exact"/>
        <w:rPr>
          <w:rFonts w:ascii="Arial" w:cs="Arial" w:eastAsia="Arial" w:hAnsi="Arial"/>
          <w:sz w:val="16"/>
          <w:szCs w:val="16"/>
          <w:color w:val="007CBA"/>
        </w:rPr>
      </w:pPr>
    </w:p>
    <w:p>
      <w:pPr>
        <w:ind w:left="540" w:hanging="330"/>
        <w:spacing w:after="0"/>
        <w:tabs>
          <w:tab w:leader="none" w:pos="540" w:val="left"/>
        </w:tabs>
        <w:numPr>
          <w:ilvl w:val="0"/>
          <w:numId w:val="94"/>
        </w:numPr>
        <w:rPr>
          <w:rFonts w:ascii="Arial" w:cs="Arial" w:eastAsia="Arial" w:hAnsi="Arial"/>
          <w:sz w:val="16"/>
          <w:szCs w:val="16"/>
          <w:color w:val="007CBA"/>
        </w:rPr>
      </w:pPr>
      <w:r>
        <w:rPr>
          <w:rFonts w:ascii="Arial" w:cs="Arial" w:eastAsia="Arial" w:hAnsi="Arial"/>
          <w:sz w:val="16"/>
          <w:szCs w:val="16"/>
          <w:b w:val="1"/>
          <w:bCs w:val="1"/>
          <w:color w:val="auto"/>
        </w:rPr>
        <w:t xml:space="preserve">Reward </w:t>
      </w:r>
      <w:r>
        <w:rPr>
          <w:rFonts w:ascii="Arial" w:cs="Arial" w:eastAsia="Arial" w:hAnsi="Arial"/>
          <w:sz w:val="16"/>
          <w:szCs w:val="16"/>
          <w:color w:val="auto"/>
        </w:rPr>
        <w:t>performance that meets or exceeds established goals consistent with our strategic aims and upholding integrity.</w:t>
      </w:r>
    </w:p>
    <w:p>
      <w:pPr>
        <w:spacing w:after="0" w:line="126" w:lineRule="exact"/>
        <w:rPr>
          <w:rFonts w:ascii="Arial" w:cs="Arial" w:eastAsia="Arial" w:hAnsi="Arial"/>
          <w:sz w:val="16"/>
          <w:szCs w:val="16"/>
          <w:color w:val="007CBA"/>
        </w:rPr>
      </w:pPr>
    </w:p>
    <w:p>
      <w:pPr>
        <w:ind w:left="540" w:hanging="330"/>
        <w:spacing w:after="0"/>
        <w:tabs>
          <w:tab w:leader="none" w:pos="540" w:val="left"/>
        </w:tabs>
        <w:numPr>
          <w:ilvl w:val="0"/>
          <w:numId w:val="94"/>
        </w:numPr>
        <w:rPr>
          <w:rFonts w:ascii="Arial" w:cs="Arial" w:eastAsia="Arial" w:hAnsi="Arial"/>
          <w:sz w:val="16"/>
          <w:szCs w:val="16"/>
          <w:color w:val="007CBA"/>
        </w:rPr>
      </w:pPr>
      <w:r>
        <w:rPr>
          <w:rFonts w:ascii="Arial" w:cs="Arial" w:eastAsia="Arial" w:hAnsi="Arial"/>
          <w:sz w:val="16"/>
          <w:szCs w:val="16"/>
          <w:b w:val="1"/>
          <w:bCs w:val="1"/>
          <w:color w:val="auto"/>
        </w:rPr>
        <w:t xml:space="preserve">Align individual objectives </w:t>
      </w:r>
      <w:r>
        <w:rPr>
          <w:rFonts w:ascii="Arial" w:cs="Arial" w:eastAsia="Arial" w:hAnsi="Arial"/>
          <w:sz w:val="16"/>
          <w:szCs w:val="16"/>
          <w:color w:val="auto"/>
        </w:rPr>
        <w:t>with the Company’s objectives without fostering excessive or inappropriate risk-taking.</w:t>
      </w:r>
    </w:p>
    <w:p>
      <w:pPr>
        <w:spacing w:after="0" w:line="126" w:lineRule="exact"/>
        <w:rPr>
          <w:rFonts w:ascii="Arial" w:cs="Arial" w:eastAsia="Arial" w:hAnsi="Arial"/>
          <w:sz w:val="16"/>
          <w:szCs w:val="16"/>
          <w:color w:val="007CBA"/>
        </w:rPr>
      </w:pPr>
    </w:p>
    <w:p>
      <w:pPr>
        <w:ind w:left="540" w:hanging="330"/>
        <w:spacing w:after="0"/>
        <w:tabs>
          <w:tab w:leader="none" w:pos="540" w:val="left"/>
        </w:tabs>
        <w:numPr>
          <w:ilvl w:val="0"/>
          <w:numId w:val="94"/>
        </w:numPr>
        <w:rPr>
          <w:rFonts w:ascii="Arial" w:cs="Arial" w:eastAsia="Arial" w:hAnsi="Arial"/>
          <w:sz w:val="16"/>
          <w:szCs w:val="16"/>
          <w:color w:val="007CBA"/>
        </w:rPr>
      </w:pPr>
      <w:r>
        <w:rPr>
          <w:rFonts w:ascii="Arial" w:cs="Arial" w:eastAsia="Arial" w:hAnsi="Arial"/>
          <w:sz w:val="16"/>
          <w:szCs w:val="16"/>
          <w:b w:val="1"/>
          <w:bCs w:val="1"/>
          <w:color w:val="auto"/>
        </w:rPr>
        <w:t xml:space="preserve">Encourage an ownership </w:t>
      </w:r>
      <w:r>
        <w:rPr>
          <w:rFonts w:ascii="Arial" w:cs="Arial" w:eastAsia="Arial" w:hAnsi="Arial"/>
          <w:sz w:val="16"/>
          <w:szCs w:val="16"/>
          <w:color w:val="auto"/>
        </w:rPr>
        <w:t>mentality and align the long-term financial interests of our executives with those of our shareholders.</w:t>
      </w:r>
    </w:p>
    <w:p>
      <w:pPr>
        <w:spacing w:after="0" w:line="126" w:lineRule="exact"/>
        <w:rPr>
          <w:rFonts w:ascii="Arial" w:cs="Arial" w:eastAsia="Arial" w:hAnsi="Arial"/>
          <w:sz w:val="16"/>
          <w:szCs w:val="16"/>
          <w:color w:val="007CBA"/>
        </w:rPr>
      </w:pPr>
    </w:p>
    <w:p>
      <w:pPr>
        <w:ind w:left="540" w:hanging="330"/>
        <w:spacing w:after="0"/>
        <w:tabs>
          <w:tab w:leader="none" w:pos="540" w:val="left"/>
        </w:tabs>
        <w:numPr>
          <w:ilvl w:val="0"/>
          <w:numId w:val="94"/>
        </w:numPr>
        <w:rPr>
          <w:rFonts w:ascii="Arial" w:cs="Arial" w:eastAsia="Arial" w:hAnsi="Arial"/>
          <w:sz w:val="16"/>
          <w:szCs w:val="16"/>
          <w:color w:val="007CBA"/>
        </w:rPr>
      </w:pPr>
      <w:r>
        <w:rPr>
          <w:rFonts w:ascii="Arial" w:cs="Arial" w:eastAsia="Arial" w:hAnsi="Arial"/>
          <w:sz w:val="16"/>
          <w:szCs w:val="16"/>
          <w:b w:val="1"/>
          <w:bCs w:val="1"/>
          <w:color w:val="auto"/>
        </w:rPr>
        <w:t xml:space="preserve">Be market competitive </w:t>
      </w:r>
      <w:r>
        <w:rPr>
          <w:rFonts w:ascii="Arial" w:cs="Arial" w:eastAsia="Arial" w:hAnsi="Arial"/>
          <w:sz w:val="16"/>
          <w:szCs w:val="16"/>
          <w:color w:val="auto"/>
        </w:rPr>
        <w:t>with our peers.</w:t>
      </w:r>
    </w:p>
    <w:p>
      <w:pPr>
        <w:spacing w:after="0" w:line="126" w:lineRule="exact"/>
        <w:rPr>
          <w:rFonts w:ascii="Arial" w:cs="Arial" w:eastAsia="Arial" w:hAnsi="Arial"/>
          <w:sz w:val="16"/>
          <w:szCs w:val="16"/>
          <w:color w:val="007CBA"/>
        </w:rPr>
      </w:pPr>
    </w:p>
    <w:p>
      <w:pPr>
        <w:ind w:left="540" w:hanging="330"/>
        <w:spacing w:after="0"/>
        <w:tabs>
          <w:tab w:leader="none" w:pos="540" w:val="left"/>
        </w:tabs>
        <w:numPr>
          <w:ilvl w:val="0"/>
          <w:numId w:val="94"/>
        </w:numPr>
        <w:rPr>
          <w:rFonts w:ascii="Arial" w:cs="Arial" w:eastAsia="Arial" w:hAnsi="Arial"/>
          <w:sz w:val="16"/>
          <w:szCs w:val="16"/>
          <w:color w:val="007CBA"/>
        </w:rPr>
      </w:pPr>
      <w:r>
        <w:rPr>
          <w:rFonts w:ascii="Arial" w:cs="Arial" w:eastAsia="Arial" w:hAnsi="Arial"/>
          <w:sz w:val="16"/>
          <w:szCs w:val="16"/>
          <w:b w:val="1"/>
          <w:bCs w:val="1"/>
          <w:color w:val="auto"/>
        </w:rPr>
        <w:t xml:space="preserve">Provide reward systems that are measurable and easily understood </w:t>
      </w:r>
      <w:r>
        <w:rPr>
          <w:rFonts w:ascii="Arial" w:cs="Arial" w:eastAsia="Arial" w:hAnsi="Arial"/>
          <w:sz w:val="16"/>
          <w:szCs w:val="16"/>
          <w:color w:val="auto"/>
        </w:rPr>
        <w:t>by our managers and shareholders.</w:t>
      </w:r>
    </w:p>
    <w:p>
      <w:pPr>
        <w:spacing w:after="0" w:line="126" w:lineRule="exact"/>
        <w:rPr>
          <w:rFonts w:ascii="Arial" w:cs="Arial" w:eastAsia="Arial" w:hAnsi="Arial"/>
          <w:sz w:val="16"/>
          <w:szCs w:val="16"/>
          <w:color w:val="007CBA"/>
        </w:rPr>
      </w:pPr>
    </w:p>
    <w:p>
      <w:pPr>
        <w:ind w:left="540" w:right="20" w:hanging="330"/>
        <w:spacing w:after="0" w:line="286" w:lineRule="auto"/>
        <w:tabs>
          <w:tab w:leader="none" w:pos="540" w:val="left"/>
        </w:tabs>
        <w:numPr>
          <w:ilvl w:val="0"/>
          <w:numId w:val="94"/>
        </w:numPr>
        <w:rPr>
          <w:rFonts w:ascii="Arial" w:cs="Arial" w:eastAsia="Arial" w:hAnsi="Arial"/>
          <w:sz w:val="16"/>
          <w:szCs w:val="16"/>
          <w:color w:val="007CBA"/>
        </w:rPr>
      </w:pPr>
      <w:r>
        <w:rPr>
          <w:rFonts w:ascii="Arial" w:cs="Arial" w:eastAsia="Arial" w:hAnsi="Arial"/>
          <w:sz w:val="16"/>
          <w:szCs w:val="16"/>
          <w:b w:val="1"/>
          <w:bCs w:val="1"/>
          <w:color w:val="auto"/>
        </w:rPr>
        <w:t xml:space="preserve">Reinforce the succession planning </w:t>
      </w:r>
      <w:r>
        <w:rPr>
          <w:rFonts w:ascii="Arial" w:cs="Arial" w:eastAsia="Arial" w:hAnsi="Arial"/>
          <w:sz w:val="16"/>
          <w:szCs w:val="16"/>
          <w:color w:val="auto"/>
        </w:rPr>
        <w:t>process undertaken on a company-wide basis by building bench strength and by identifying and retaining</w:t>
      </w:r>
      <w:r>
        <w:rPr>
          <w:rFonts w:ascii="Arial" w:cs="Arial" w:eastAsia="Arial" w:hAnsi="Arial"/>
          <w:sz w:val="16"/>
          <w:szCs w:val="16"/>
          <w:b w:val="1"/>
          <w:bCs w:val="1"/>
          <w:color w:val="auto"/>
        </w:rPr>
        <w:t xml:space="preserve"> </w:t>
      </w:r>
      <w:r>
        <w:rPr>
          <w:rFonts w:ascii="Arial" w:cs="Arial" w:eastAsia="Arial" w:hAnsi="Arial"/>
          <w:sz w:val="16"/>
          <w:szCs w:val="16"/>
          <w:color w:val="auto"/>
        </w:rPr>
        <w:t>senior leadership, both capable of achieving the Company’s growth, profitability and other objectives.</w:t>
      </w:r>
    </w:p>
    <w:p>
      <w:pPr>
        <w:spacing w:after="0" w:line="148" w:lineRule="exact"/>
        <w:rPr>
          <w:sz w:val="20"/>
          <w:szCs w:val="20"/>
          <w:color w:val="auto"/>
        </w:rPr>
      </w:pPr>
    </w:p>
    <w:p>
      <w:pPr>
        <w:ind w:left="220" w:right="20"/>
        <w:spacing w:after="0" w:line="260" w:lineRule="auto"/>
        <w:rPr>
          <w:sz w:val="20"/>
          <w:szCs w:val="20"/>
          <w:color w:val="auto"/>
        </w:rPr>
      </w:pPr>
      <w:r>
        <w:rPr>
          <w:rFonts w:ascii="Arial" w:cs="Arial" w:eastAsia="Arial" w:hAnsi="Arial"/>
          <w:sz w:val="16"/>
          <w:szCs w:val="16"/>
          <w:color w:val="auto"/>
        </w:rPr>
        <w:t>In 2018, our executive compensation structure consisted of three primary components: base salary, annual incentives, and long-term incentives. Within the long-term incentive component, we utilized a balanced portfolio of PSUs and performance-based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1718310</wp:posOffset>
            </wp:positionH>
            <wp:positionV relativeFrom="paragraph">
              <wp:posOffset>233680</wp:posOffset>
            </wp:positionV>
            <wp:extent cx="3829050" cy="22358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829050" cy="223583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left="220"/>
        <w:spacing w:after="0" w:line="253" w:lineRule="auto"/>
        <w:rPr>
          <w:sz w:val="20"/>
          <w:szCs w:val="20"/>
          <w:color w:val="auto"/>
        </w:rPr>
      </w:pPr>
      <w:r>
        <w:rPr>
          <w:rFonts w:ascii="Arial" w:cs="Arial" w:eastAsia="Arial" w:hAnsi="Arial"/>
          <w:sz w:val="16"/>
          <w:szCs w:val="16"/>
          <w:color w:val="auto"/>
        </w:rPr>
        <w:t>Martin Marietta has a long-standing commitment to pay for performance. We fulfill that aim by providing a majority of compensation through programs in which the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ultimately received vary in order to best reflect our financial, operational and strategic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294005</wp:posOffset>
            </wp:positionV>
            <wp:extent cx="410845" cy="2482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tbl>
      <w:tblPr>
        <w:tblLayout w:type="fixed"/>
        <w:tblInd w:w="344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2019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41</w:t>
            </w:r>
          </w:p>
        </w:tc>
      </w:tr>
    </w:tbl>
    <w:p>
      <w:pPr>
        <w:sectPr>
          <w:pgSz w:w="11900" w:h="16838" w:orient="portrait"/>
          <w:cols w:equalWidth="0" w:num="2">
            <w:col w:w="5480" w:space="340"/>
            <w:col w:w="5400"/>
          </w:cols>
          <w:pgMar w:left="240" w:top="459" w:right="4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9" w:lineRule="exact"/>
        <w:rPr>
          <w:sz w:val="20"/>
          <w:szCs w:val="20"/>
          <w:color w:val="auto"/>
        </w:rPr>
      </w:pPr>
    </w:p>
    <w:p>
      <w:pPr>
        <w:ind w:left="220"/>
        <w:spacing w:after="0" w:line="288" w:lineRule="exact"/>
        <w:rPr>
          <w:sz w:val="20"/>
          <w:szCs w:val="20"/>
          <w:color w:val="auto"/>
        </w:rPr>
      </w:pPr>
      <w:r>
        <w:rPr>
          <w:rFonts w:ascii="Arial" w:cs="Arial" w:eastAsia="Arial" w:hAnsi="Arial"/>
          <w:sz w:val="13"/>
          <w:szCs w:val="13"/>
          <w:color w:val="007CBA"/>
        </w:rPr>
        <w:t xml:space="preserve">Compensation Discussion and Analysis </w:t>
      </w:r>
      <w:r>
        <w:rPr>
          <w:rFonts w:ascii="MS PGothic" w:cs="MS PGothic" w:eastAsia="MS PGothic" w:hAnsi="MS PGothic"/>
          <w:sz w:val="25"/>
          <w:szCs w:val="25"/>
          <w:color w:val="007CBA"/>
        </w:rPr>
        <w:t>◆</w:t>
      </w:r>
      <w:r>
        <w:rPr>
          <w:rFonts w:ascii="Arial" w:cs="Arial" w:eastAsia="Arial" w:hAnsi="Arial"/>
          <w:sz w:val="13"/>
          <w:szCs w:val="13"/>
          <w:color w:val="007CBA"/>
        </w:rPr>
        <w:t xml:space="preserve"> </w:t>
      </w:r>
      <w:r>
        <w:rPr>
          <w:rFonts w:ascii="Arial" w:cs="Arial" w:eastAsia="Arial" w:hAnsi="Arial"/>
          <w:sz w:val="13"/>
          <w:szCs w:val="13"/>
          <w:color w:val="000000"/>
        </w:rPr>
        <w:t>2018 Named Executive Officers’ Compensation – Our Compensation Strategy</w:t>
      </w:r>
    </w:p>
    <w:p>
      <w:pPr>
        <w:spacing w:after="0" w:line="200" w:lineRule="exact"/>
        <w:rPr>
          <w:sz w:val="20"/>
          <w:szCs w:val="20"/>
          <w:color w:val="auto"/>
        </w:rPr>
      </w:pPr>
    </w:p>
    <w:p>
      <w:pPr>
        <w:spacing w:after="0" w:line="24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 summarizes the key elements of our 2018 executive compensation program:</w:t>
      </w:r>
    </w:p>
    <w:p>
      <w:pPr>
        <w:spacing w:after="0" w:line="219" w:lineRule="exact"/>
        <w:rPr>
          <w:sz w:val="20"/>
          <w:szCs w:val="20"/>
          <w:color w:val="auto"/>
        </w:rPr>
      </w:pPr>
    </w:p>
    <w:tbl>
      <w:tblPr>
        <w:tblLayout w:type="fixed"/>
        <w:tblInd w:w="220" w:type="dxa"/>
        <w:tblCellMar>
          <w:top w:w="0" w:type="dxa"/>
          <w:left w:w="0" w:type="dxa"/>
          <w:bottom w:w="0" w:type="dxa"/>
          <w:right w:w="0" w:type="dxa"/>
        </w:tblCellMar>
      </w:tblPr>
      <w:tr>
        <w:trPr>
          <w:trHeight w:val="256"/>
        </w:trPr>
        <w:tc>
          <w:tcPr>
            <w:tcW w:w="248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6"/>
                <w:szCs w:val="16"/>
                <w:b w:val="1"/>
                <w:bCs w:val="1"/>
                <w:color w:val="FFFFFF"/>
              </w:rPr>
              <w:t>Element</w:t>
            </w:r>
          </w:p>
        </w:tc>
        <w:tc>
          <w:tcPr>
            <w:tcW w:w="80" w:type="dxa"/>
            <w:vAlign w:val="bottom"/>
            <w:shd w:val="clear" w:color="auto" w:fill="007CBA"/>
          </w:tcPr>
          <w:p>
            <w:pPr>
              <w:spacing w:after="0"/>
              <w:rPr>
                <w:sz w:val="22"/>
                <w:szCs w:val="22"/>
                <w:color w:val="auto"/>
              </w:rPr>
            </w:pPr>
          </w:p>
        </w:tc>
        <w:tc>
          <w:tcPr>
            <w:tcW w:w="4180" w:type="dxa"/>
            <w:vAlign w:val="bottom"/>
            <w:tcBorders>
              <w:right w:val="single" w:sz="8" w:color="007CBA"/>
            </w:tcBorders>
            <w:shd w:val="clear" w:color="auto" w:fill="007CBA"/>
          </w:tcPr>
          <w:p>
            <w:pPr>
              <w:ind w:left="1440"/>
              <w:spacing w:after="0"/>
              <w:rPr>
                <w:sz w:val="20"/>
                <w:szCs w:val="20"/>
                <w:color w:val="auto"/>
              </w:rPr>
            </w:pPr>
            <w:r>
              <w:rPr>
                <w:rFonts w:ascii="Arial" w:cs="Arial" w:eastAsia="Arial" w:hAnsi="Arial"/>
                <w:sz w:val="16"/>
                <w:szCs w:val="16"/>
                <w:b w:val="1"/>
                <w:bCs w:val="1"/>
                <w:color w:val="FFFFFF"/>
              </w:rPr>
              <w:t>Primary Purpose</w:t>
            </w:r>
          </w:p>
        </w:tc>
        <w:tc>
          <w:tcPr>
            <w:tcW w:w="4260" w:type="dxa"/>
            <w:vAlign w:val="bottom"/>
            <w:shd w:val="clear" w:color="auto" w:fill="007CBA"/>
          </w:tcPr>
          <w:p>
            <w:pPr>
              <w:ind w:left="1420"/>
              <w:spacing w:after="0"/>
              <w:rPr>
                <w:sz w:val="20"/>
                <w:szCs w:val="20"/>
                <w:color w:val="auto"/>
              </w:rPr>
            </w:pPr>
            <w:r>
              <w:rPr>
                <w:rFonts w:ascii="Arial" w:cs="Arial" w:eastAsia="Arial" w:hAnsi="Arial"/>
                <w:sz w:val="16"/>
                <w:szCs w:val="16"/>
                <w:b w:val="1"/>
                <w:bCs w:val="1"/>
                <w:color w:val="FFFFFF"/>
              </w:rPr>
              <w:t>Key Characteristics</w:t>
            </w:r>
          </w:p>
        </w:tc>
        <w:tc>
          <w:tcPr>
            <w:tcW w:w="0" w:type="dxa"/>
            <w:vAlign w:val="bottom"/>
          </w:tcPr>
          <w:p>
            <w:pPr>
              <w:spacing w:after="0"/>
              <w:rPr>
                <w:sz w:val="1"/>
                <w:szCs w:val="1"/>
                <w:color w:val="auto"/>
              </w:rPr>
            </w:pPr>
          </w:p>
        </w:tc>
      </w:tr>
      <w:tr>
        <w:trPr>
          <w:trHeight w:val="231"/>
        </w:trPr>
        <w:tc>
          <w:tcPr>
            <w:tcW w:w="248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b w:val="1"/>
                <w:bCs w:val="1"/>
                <w:color w:val="auto"/>
              </w:rPr>
              <w:t>Base Salary</w:t>
            </w:r>
          </w:p>
        </w:tc>
        <w:tc>
          <w:tcPr>
            <w:tcW w:w="80" w:type="dxa"/>
            <w:vAlign w:val="bottom"/>
            <w:shd w:val="clear" w:color="auto" w:fill="E5F1F8"/>
          </w:tcPr>
          <w:p>
            <w:pPr>
              <w:spacing w:after="0"/>
              <w:rPr>
                <w:sz w:val="20"/>
                <w:szCs w:val="20"/>
                <w:color w:val="auto"/>
              </w:rPr>
            </w:pPr>
          </w:p>
        </w:tc>
        <w:tc>
          <w:tcPr>
            <w:tcW w:w="4180" w:type="dxa"/>
            <w:vAlign w:val="bottom"/>
            <w:tcBorders>
              <w:right w:val="single" w:sz="8" w:color="007CBA"/>
            </w:tcBorders>
            <w:shd w:val="clear" w:color="auto" w:fill="E5F1F8"/>
          </w:tcPr>
          <w:p>
            <w:pPr>
              <w:spacing w:after="0"/>
              <w:rPr>
                <w:sz w:val="20"/>
                <w:szCs w:val="20"/>
                <w:color w:val="auto"/>
              </w:rPr>
            </w:pPr>
            <w:r>
              <w:rPr>
                <w:rFonts w:ascii="Arial" w:cs="Arial" w:eastAsia="Arial" w:hAnsi="Arial"/>
                <w:sz w:val="16"/>
                <w:szCs w:val="16"/>
                <w:color w:val="auto"/>
              </w:rPr>
              <w:t>To compensate the executive fairly and competitively for</w:t>
            </w:r>
          </w:p>
        </w:tc>
        <w:tc>
          <w:tcPr>
            <w:tcW w:w="4260" w:type="dxa"/>
            <w:vAlign w:val="bottom"/>
            <w:shd w:val="clear" w:color="auto" w:fill="E5F1F8"/>
          </w:tcPr>
          <w:p>
            <w:pPr>
              <w:ind w:left="80"/>
              <w:spacing w:after="0"/>
              <w:rPr>
                <w:sz w:val="20"/>
                <w:szCs w:val="20"/>
                <w:color w:val="auto"/>
              </w:rPr>
            </w:pPr>
            <w:r>
              <w:rPr>
                <w:rFonts w:ascii="Arial" w:cs="Arial" w:eastAsia="Arial" w:hAnsi="Arial"/>
                <w:sz w:val="16"/>
                <w:szCs w:val="16"/>
                <w:color w:val="auto"/>
              </w:rPr>
              <w:t>Fixed compensation that is reviewed annually.</w:t>
            </w:r>
          </w:p>
        </w:tc>
        <w:tc>
          <w:tcPr>
            <w:tcW w:w="0" w:type="dxa"/>
            <w:vAlign w:val="bottom"/>
          </w:tcPr>
          <w:p>
            <w:pPr>
              <w:spacing w:after="0"/>
              <w:rPr>
                <w:sz w:val="1"/>
                <w:szCs w:val="1"/>
                <w:color w:val="auto"/>
              </w:rPr>
            </w:pPr>
          </w:p>
        </w:tc>
      </w:tr>
      <w:tr>
        <w:trPr>
          <w:trHeight w:val="214"/>
        </w:trPr>
        <w:tc>
          <w:tcPr>
            <w:tcW w:w="2480" w:type="dxa"/>
            <w:vAlign w:val="bottom"/>
            <w:tcBorders>
              <w:right w:val="single" w:sz="8" w:color="007CBA"/>
            </w:tcBorders>
            <w:shd w:val="clear" w:color="auto" w:fill="E5F1F8"/>
          </w:tcPr>
          <w:p>
            <w:pPr>
              <w:spacing w:after="0"/>
              <w:rPr>
                <w:sz w:val="18"/>
                <w:szCs w:val="18"/>
                <w:color w:val="auto"/>
              </w:rPr>
            </w:pPr>
          </w:p>
        </w:tc>
        <w:tc>
          <w:tcPr>
            <w:tcW w:w="80" w:type="dxa"/>
            <w:vAlign w:val="bottom"/>
            <w:shd w:val="clear" w:color="auto" w:fill="E5F1F8"/>
          </w:tcPr>
          <w:p>
            <w:pPr>
              <w:spacing w:after="0"/>
              <w:rPr>
                <w:sz w:val="18"/>
                <w:szCs w:val="18"/>
                <w:color w:val="auto"/>
              </w:rPr>
            </w:pPr>
          </w:p>
        </w:tc>
        <w:tc>
          <w:tcPr>
            <w:tcW w:w="4180" w:type="dxa"/>
            <w:vAlign w:val="bottom"/>
            <w:tcBorders>
              <w:right w:val="single" w:sz="8" w:color="007CBA"/>
            </w:tcBorders>
            <w:shd w:val="clear" w:color="auto" w:fill="E5F1F8"/>
          </w:tcPr>
          <w:p>
            <w:pPr>
              <w:spacing w:after="0"/>
              <w:rPr>
                <w:sz w:val="20"/>
                <w:szCs w:val="20"/>
                <w:color w:val="auto"/>
              </w:rPr>
            </w:pPr>
            <w:r>
              <w:rPr>
                <w:rFonts w:ascii="Arial" w:cs="Arial" w:eastAsia="Arial" w:hAnsi="Arial"/>
                <w:sz w:val="16"/>
                <w:szCs w:val="16"/>
                <w:color w:val="auto"/>
              </w:rPr>
              <w:t>the responsibility level of the position.</w:t>
            </w:r>
          </w:p>
        </w:tc>
        <w:tc>
          <w:tcPr>
            <w:tcW w:w="4260" w:type="dxa"/>
            <w:vAlign w:val="bottom"/>
            <w:shd w:val="clear" w:color="auto" w:fill="E5F1F8"/>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480" w:type="dxa"/>
            <w:vAlign w:val="bottom"/>
            <w:tcBorders>
              <w:right w:val="single" w:sz="8" w:color="007CBA"/>
            </w:tcBorders>
          </w:tcPr>
          <w:p>
            <w:pPr>
              <w:ind w:left="60"/>
              <w:spacing w:after="0"/>
              <w:rPr>
                <w:sz w:val="20"/>
                <w:szCs w:val="20"/>
                <w:color w:val="auto"/>
              </w:rPr>
            </w:pPr>
            <w:r>
              <w:rPr>
                <w:rFonts w:ascii="Arial" w:cs="Arial" w:eastAsia="Arial" w:hAnsi="Arial"/>
                <w:sz w:val="16"/>
                <w:szCs w:val="16"/>
                <w:b w:val="1"/>
                <w:bCs w:val="1"/>
                <w:color w:val="auto"/>
              </w:rPr>
              <w:t>Annual Performance- Based</w:t>
            </w:r>
          </w:p>
        </w:tc>
        <w:tc>
          <w:tcPr>
            <w:tcW w:w="80" w:type="dxa"/>
            <w:vAlign w:val="bottom"/>
          </w:tcPr>
          <w:p>
            <w:pPr>
              <w:spacing w:after="0"/>
              <w:rPr>
                <w:sz w:val="24"/>
                <w:szCs w:val="24"/>
                <w:color w:val="auto"/>
              </w:rPr>
            </w:pPr>
          </w:p>
        </w:tc>
        <w:tc>
          <w:tcPr>
            <w:tcW w:w="4180" w:type="dxa"/>
            <w:vAlign w:val="bottom"/>
            <w:tcBorders>
              <w:right w:val="single" w:sz="8" w:color="007CBA"/>
            </w:tcBorders>
          </w:tcPr>
          <w:p>
            <w:pPr>
              <w:spacing w:after="0"/>
              <w:rPr>
                <w:sz w:val="20"/>
                <w:szCs w:val="20"/>
                <w:color w:val="auto"/>
              </w:rPr>
            </w:pPr>
            <w:r>
              <w:rPr>
                <w:rFonts w:ascii="Arial" w:cs="Arial" w:eastAsia="Arial" w:hAnsi="Arial"/>
                <w:sz w:val="16"/>
                <w:szCs w:val="16"/>
                <w:color w:val="auto"/>
              </w:rPr>
              <w:t>To motivate and reward organizational and individual</w:t>
            </w:r>
          </w:p>
        </w:tc>
        <w:tc>
          <w:tcPr>
            <w:tcW w:w="4260" w:type="dxa"/>
            <w:vAlign w:val="bottom"/>
          </w:tcPr>
          <w:p>
            <w:pPr>
              <w:ind w:left="80"/>
              <w:spacing w:after="0"/>
              <w:rPr>
                <w:sz w:val="20"/>
                <w:szCs w:val="20"/>
                <w:color w:val="auto"/>
              </w:rPr>
            </w:pPr>
            <w:r>
              <w:rPr>
                <w:rFonts w:ascii="Arial" w:cs="Arial" w:eastAsia="Arial" w:hAnsi="Arial"/>
                <w:sz w:val="16"/>
                <w:szCs w:val="16"/>
                <w:color w:val="auto"/>
              </w:rPr>
              <w:t>Variable compensation component; based on</w:t>
            </w:r>
          </w:p>
        </w:tc>
        <w:tc>
          <w:tcPr>
            <w:tcW w:w="0" w:type="dxa"/>
            <w:vAlign w:val="bottom"/>
          </w:tcPr>
          <w:p>
            <w:pPr>
              <w:spacing w:after="0"/>
              <w:rPr>
                <w:sz w:val="1"/>
                <w:szCs w:val="1"/>
                <w:color w:val="auto"/>
              </w:rPr>
            </w:pPr>
          </w:p>
        </w:tc>
      </w:tr>
      <w:tr>
        <w:trPr>
          <w:trHeight w:val="189"/>
        </w:trPr>
        <w:tc>
          <w:tcPr>
            <w:tcW w:w="2480" w:type="dxa"/>
            <w:vAlign w:val="bottom"/>
            <w:tcBorders>
              <w:right w:val="single" w:sz="8" w:color="007CBA"/>
            </w:tcBorders>
          </w:tcPr>
          <w:p>
            <w:pPr>
              <w:ind w:left="60"/>
              <w:spacing w:after="0"/>
              <w:rPr>
                <w:sz w:val="20"/>
                <w:szCs w:val="20"/>
                <w:color w:val="auto"/>
              </w:rPr>
            </w:pPr>
            <w:r>
              <w:rPr>
                <w:rFonts w:ascii="Arial" w:cs="Arial" w:eastAsia="Arial" w:hAnsi="Arial"/>
                <w:sz w:val="16"/>
                <w:szCs w:val="16"/>
                <w:b w:val="1"/>
                <w:bCs w:val="1"/>
                <w:color w:val="auto"/>
              </w:rPr>
              <w:t>Incentive Awards</w:t>
            </w:r>
          </w:p>
        </w:tc>
        <w:tc>
          <w:tcPr>
            <w:tcW w:w="80" w:type="dxa"/>
            <w:vAlign w:val="bottom"/>
          </w:tcPr>
          <w:p>
            <w:pPr>
              <w:spacing w:after="0"/>
              <w:rPr>
                <w:sz w:val="16"/>
                <w:szCs w:val="16"/>
                <w:color w:val="auto"/>
              </w:rPr>
            </w:pPr>
          </w:p>
        </w:tc>
        <w:tc>
          <w:tcPr>
            <w:tcW w:w="4180" w:type="dxa"/>
            <w:vAlign w:val="bottom"/>
            <w:tcBorders>
              <w:right w:val="single" w:sz="8" w:color="007CBA"/>
            </w:tcBorders>
          </w:tcPr>
          <w:p>
            <w:pPr>
              <w:spacing w:after="0"/>
              <w:rPr>
                <w:sz w:val="20"/>
                <w:szCs w:val="20"/>
                <w:color w:val="auto"/>
              </w:rPr>
            </w:pPr>
            <w:r>
              <w:rPr>
                <w:rFonts w:ascii="Arial" w:cs="Arial" w:eastAsia="Arial" w:hAnsi="Arial"/>
                <w:sz w:val="16"/>
                <w:szCs w:val="16"/>
                <w:color w:val="auto"/>
              </w:rPr>
              <w:t>achievement of annual strategic, financial and individual</w:t>
            </w:r>
          </w:p>
        </w:tc>
        <w:tc>
          <w:tcPr>
            <w:tcW w:w="4260" w:type="dxa"/>
            <w:vAlign w:val="bottom"/>
          </w:tcPr>
          <w:p>
            <w:pPr>
              <w:ind w:left="80"/>
              <w:spacing w:after="0"/>
              <w:rPr>
                <w:sz w:val="20"/>
                <w:szCs w:val="20"/>
                <w:color w:val="auto"/>
              </w:rPr>
            </w:pPr>
            <w:r>
              <w:rPr>
                <w:rFonts w:ascii="Arial" w:cs="Arial" w:eastAsia="Arial" w:hAnsi="Arial"/>
                <w:sz w:val="16"/>
                <w:szCs w:val="16"/>
                <w:color w:val="auto"/>
              </w:rPr>
              <w:t>pre-established Company and individual performance</w:t>
            </w:r>
          </w:p>
        </w:tc>
        <w:tc>
          <w:tcPr>
            <w:tcW w:w="0" w:type="dxa"/>
            <w:vAlign w:val="bottom"/>
          </w:tcPr>
          <w:p>
            <w:pPr>
              <w:spacing w:after="0"/>
              <w:rPr>
                <w:sz w:val="1"/>
                <w:szCs w:val="1"/>
                <w:color w:val="auto"/>
              </w:rPr>
            </w:pPr>
          </w:p>
        </w:tc>
      </w:tr>
      <w:tr>
        <w:trPr>
          <w:trHeight w:val="194"/>
        </w:trPr>
        <w:tc>
          <w:tcPr>
            <w:tcW w:w="2480" w:type="dxa"/>
            <w:vAlign w:val="bottom"/>
            <w:tcBorders>
              <w:right w:val="single" w:sz="8" w:color="007CBA"/>
            </w:tcBorders>
          </w:tcPr>
          <w:p>
            <w:pPr>
              <w:spacing w:after="0"/>
              <w:rPr>
                <w:sz w:val="16"/>
                <w:szCs w:val="16"/>
                <w:color w:val="auto"/>
              </w:rPr>
            </w:pPr>
          </w:p>
        </w:tc>
        <w:tc>
          <w:tcPr>
            <w:tcW w:w="80" w:type="dxa"/>
            <w:vAlign w:val="bottom"/>
          </w:tcPr>
          <w:p>
            <w:pPr>
              <w:spacing w:after="0"/>
              <w:rPr>
                <w:sz w:val="16"/>
                <w:szCs w:val="16"/>
                <w:color w:val="auto"/>
              </w:rPr>
            </w:pPr>
          </w:p>
        </w:tc>
        <w:tc>
          <w:tcPr>
            <w:tcW w:w="4180" w:type="dxa"/>
            <w:vAlign w:val="bottom"/>
            <w:tcBorders>
              <w:right w:val="single" w:sz="8" w:color="007CBA"/>
            </w:tcBorders>
          </w:tcPr>
          <w:p>
            <w:pPr>
              <w:spacing w:after="0"/>
              <w:rPr>
                <w:sz w:val="20"/>
                <w:szCs w:val="20"/>
                <w:color w:val="auto"/>
              </w:rPr>
            </w:pPr>
            <w:r>
              <w:rPr>
                <w:rFonts w:ascii="Arial" w:cs="Arial" w:eastAsia="Arial" w:hAnsi="Arial"/>
                <w:sz w:val="16"/>
                <w:szCs w:val="16"/>
                <w:color w:val="auto"/>
              </w:rPr>
              <w:t>objectives.</w:t>
            </w:r>
          </w:p>
        </w:tc>
        <w:tc>
          <w:tcPr>
            <w:tcW w:w="4260" w:type="dxa"/>
            <w:vAlign w:val="bottom"/>
          </w:tcPr>
          <w:p>
            <w:pPr>
              <w:ind w:left="80"/>
              <w:spacing w:after="0"/>
              <w:rPr>
                <w:sz w:val="20"/>
                <w:szCs w:val="20"/>
                <w:color w:val="auto"/>
              </w:rPr>
            </w:pPr>
            <w:r>
              <w:rPr>
                <w:rFonts w:ascii="Arial" w:cs="Arial" w:eastAsia="Arial" w:hAnsi="Arial"/>
                <w:sz w:val="16"/>
                <w:szCs w:val="16"/>
                <w:color w:val="auto"/>
              </w:rPr>
              <w:t>goals.</w:t>
            </w:r>
          </w:p>
        </w:tc>
        <w:tc>
          <w:tcPr>
            <w:tcW w:w="0" w:type="dxa"/>
            <w:vAlign w:val="bottom"/>
          </w:tcPr>
          <w:p>
            <w:pPr>
              <w:spacing w:after="0"/>
              <w:rPr>
                <w:sz w:val="1"/>
                <w:szCs w:val="1"/>
                <w:color w:val="auto"/>
              </w:rPr>
            </w:pPr>
          </w:p>
        </w:tc>
      </w:tr>
      <w:tr>
        <w:trPr>
          <w:trHeight w:val="280"/>
        </w:trPr>
        <w:tc>
          <w:tcPr>
            <w:tcW w:w="2480" w:type="dxa"/>
            <w:vAlign w:val="bottom"/>
            <w:tcBorders>
              <w:right w:val="single" w:sz="8" w:color="007CBA"/>
            </w:tcBorders>
            <w:vMerge w:val="restart"/>
          </w:tcPr>
          <w:p>
            <w:pPr>
              <w:ind w:left="280"/>
              <w:spacing w:after="0"/>
              <w:rPr>
                <w:sz w:val="20"/>
                <w:szCs w:val="20"/>
                <w:color w:val="auto"/>
              </w:rPr>
            </w:pPr>
            <w:r>
              <w:rPr>
                <w:rFonts w:ascii="Arial" w:cs="Arial" w:eastAsia="Arial" w:hAnsi="Arial"/>
                <w:sz w:val="16"/>
                <w:szCs w:val="16"/>
                <w:i w:val="1"/>
                <w:iCs w:val="1"/>
                <w:color w:val="auto"/>
              </w:rPr>
              <w:t>Incentive Stock Plan</w:t>
            </w:r>
          </w:p>
        </w:tc>
        <w:tc>
          <w:tcPr>
            <w:tcW w:w="80" w:type="dxa"/>
            <w:vAlign w:val="bottom"/>
          </w:tcPr>
          <w:p>
            <w:pPr>
              <w:spacing w:after="0"/>
              <w:rPr>
                <w:sz w:val="24"/>
                <w:szCs w:val="24"/>
                <w:color w:val="auto"/>
              </w:rPr>
            </w:pPr>
          </w:p>
        </w:tc>
        <w:tc>
          <w:tcPr>
            <w:tcW w:w="4180" w:type="dxa"/>
            <w:vAlign w:val="bottom"/>
            <w:tcBorders>
              <w:right w:val="single" w:sz="8" w:color="007CBA"/>
            </w:tcBorders>
          </w:tcPr>
          <w:p>
            <w:pPr>
              <w:spacing w:after="0"/>
              <w:rPr>
                <w:sz w:val="20"/>
                <w:szCs w:val="20"/>
                <w:color w:val="auto"/>
              </w:rPr>
            </w:pPr>
            <w:r>
              <w:rPr>
                <w:rFonts w:ascii="Arial" w:cs="Arial" w:eastAsia="Arial" w:hAnsi="Arial"/>
                <w:sz w:val="16"/>
                <w:szCs w:val="16"/>
                <w:color w:val="auto"/>
              </w:rPr>
              <w:t>To ensure executives invest certain levels of their annual</w:t>
            </w:r>
          </w:p>
        </w:tc>
        <w:tc>
          <w:tcPr>
            <w:tcW w:w="4260" w:type="dxa"/>
            <w:vAlign w:val="bottom"/>
          </w:tcPr>
          <w:p>
            <w:pPr>
              <w:ind w:left="80"/>
              <w:spacing w:after="0"/>
              <w:rPr>
                <w:sz w:val="20"/>
                <w:szCs w:val="20"/>
                <w:color w:val="auto"/>
              </w:rPr>
            </w:pPr>
            <w:r>
              <w:rPr>
                <w:rFonts w:ascii="Arial" w:cs="Arial" w:eastAsia="Arial" w:hAnsi="Arial"/>
                <w:sz w:val="16"/>
                <w:szCs w:val="16"/>
                <w:color w:val="auto"/>
              </w:rPr>
              <w:t>To promote sustainable performance results, a portion of</w:t>
            </w:r>
          </w:p>
        </w:tc>
        <w:tc>
          <w:tcPr>
            <w:tcW w:w="0" w:type="dxa"/>
            <w:vAlign w:val="bottom"/>
          </w:tcPr>
          <w:p>
            <w:pPr>
              <w:spacing w:after="0"/>
              <w:rPr>
                <w:sz w:val="1"/>
                <w:szCs w:val="1"/>
                <w:color w:val="auto"/>
              </w:rPr>
            </w:pPr>
          </w:p>
        </w:tc>
      </w:tr>
      <w:tr>
        <w:trPr>
          <w:trHeight w:val="73"/>
        </w:trPr>
        <w:tc>
          <w:tcPr>
            <w:tcW w:w="2480" w:type="dxa"/>
            <w:vAlign w:val="bottom"/>
            <w:tcBorders>
              <w:right w:val="single" w:sz="8" w:color="007CBA"/>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4180" w:type="dxa"/>
            <w:vAlign w:val="bottom"/>
            <w:tcBorders>
              <w:right w:val="single" w:sz="8" w:color="007CBA"/>
            </w:tcBorders>
            <w:vMerge w:val="restart"/>
          </w:tcPr>
          <w:p>
            <w:pPr>
              <w:spacing w:after="0"/>
              <w:rPr>
                <w:sz w:val="20"/>
                <w:szCs w:val="20"/>
                <w:color w:val="auto"/>
              </w:rPr>
            </w:pPr>
            <w:r>
              <w:rPr>
                <w:rFonts w:ascii="Arial" w:cs="Arial" w:eastAsia="Arial" w:hAnsi="Arial"/>
                <w:sz w:val="16"/>
                <w:szCs w:val="16"/>
                <w:color w:val="auto"/>
              </w:rPr>
              <w:t>incentive compensation into Martin Marietta stock units.</w:t>
            </w:r>
          </w:p>
        </w:tc>
        <w:tc>
          <w:tcPr>
            <w:tcW w:w="4260" w:type="dxa"/>
            <w:vAlign w:val="bottom"/>
            <w:vMerge w:val="restart"/>
          </w:tcPr>
          <w:p>
            <w:pPr>
              <w:ind w:left="80"/>
              <w:spacing w:after="0"/>
              <w:rPr>
                <w:sz w:val="20"/>
                <w:szCs w:val="20"/>
                <w:color w:val="auto"/>
              </w:rPr>
            </w:pPr>
            <w:r>
              <w:rPr>
                <w:rFonts w:ascii="Arial" w:cs="Arial" w:eastAsia="Arial" w:hAnsi="Arial"/>
                <w:sz w:val="16"/>
                <w:szCs w:val="16"/>
                <w:color w:val="auto"/>
              </w:rPr>
              <w:t>each NEO’s annual cash incentive compensation (35%</w:t>
            </w:r>
          </w:p>
        </w:tc>
        <w:tc>
          <w:tcPr>
            <w:tcW w:w="0" w:type="dxa"/>
            <w:vAlign w:val="bottom"/>
          </w:tcPr>
          <w:p>
            <w:pPr>
              <w:spacing w:after="0"/>
              <w:rPr>
                <w:sz w:val="1"/>
                <w:szCs w:val="1"/>
                <w:color w:val="auto"/>
              </w:rPr>
            </w:pPr>
          </w:p>
        </w:tc>
      </w:tr>
      <w:tr>
        <w:trPr>
          <w:trHeight w:val="116"/>
        </w:trPr>
        <w:tc>
          <w:tcPr>
            <w:tcW w:w="2480" w:type="dxa"/>
            <w:vAlign w:val="bottom"/>
            <w:tcBorders>
              <w:right w:val="single" w:sz="8" w:color="007CBA"/>
            </w:tcBorders>
          </w:tcPr>
          <w:p>
            <w:pPr>
              <w:spacing w:after="0"/>
              <w:rPr>
                <w:sz w:val="10"/>
                <w:szCs w:val="10"/>
                <w:color w:val="auto"/>
              </w:rPr>
            </w:pPr>
          </w:p>
        </w:tc>
        <w:tc>
          <w:tcPr>
            <w:tcW w:w="80" w:type="dxa"/>
            <w:vAlign w:val="bottom"/>
          </w:tcPr>
          <w:p>
            <w:pPr>
              <w:spacing w:after="0"/>
              <w:rPr>
                <w:sz w:val="10"/>
                <w:szCs w:val="10"/>
                <w:color w:val="auto"/>
              </w:rPr>
            </w:pPr>
          </w:p>
        </w:tc>
        <w:tc>
          <w:tcPr>
            <w:tcW w:w="4180" w:type="dxa"/>
            <w:vAlign w:val="bottom"/>
            <w:tcBorders>
              <w:right w:val="single" w:sz="8" w:color="007CBA"/>
            </w:tcBorders>
            <w:vMerge w:val="continue"/>
          </w:tcPr>
          <w:p>
            <w:pPr>
              <w:spacing w:after="0"/>
              <w:rPr>
                <w:sz w:val="10"/>
                <w:szCs w:val="10"/>
                <w:color w:val="auto"/>
              </w:rPr>
            </w:pPr>
          </w:p>
        </w:tc>
        <w:tc>
          <w:tcPr>
            <w:tcW w:w="4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480" w:type="dxa"/>
            <w:vAlign w:val="bottom"/>
            <w:tcBorders>
              <w:right w:val="single" w:sz="8" w:color="007CBA"/>
            </w:tcBorders>
          </w:tcPr>
          <w:p>
            <w:pPr>
              <w:spacing w:after="0"/>
              <w:rPr>
                <w:sz w:val="16"/>
                <w:szCs w:val="16"/>
                <w:color w:val="auto"/>
              </w:rPr>
            </w:pPr>
          </w:p>
        </w:tc>
        <w:tc>
          <w:tcPr>
            <w:tcW w:w="80" w:type="dxa"/>
            <w:vAlign w:val="bottom"/>
          </w:tcPr>
          <w:p>
            <w:pPr>
              <w:spacing w:after="0"/>
              <w:rPr>
                <w:sz w:val="16"/>
                <w:szCs w:val="16"/>
                <w:color w:val="auto"/>
              </w:rPr>
            </w:pPr>
          </w:p>
        </w:tc>
        <w:tc>
          <w:tcPr>
            <w:tcW w:w="4180" w:type="dxa"/>
            <w:vAlign w:val="bottom"/>
            <w:tcBorders>
              <w:right w:val="single" w:sz="8" w:color="007CBA"/>
            </w:tcBorders>
          </w:tcPr>
          <w:p>
            <w:pPr>
              <w:spacing w:after="0"/>
              <w:rPr>
                <w:sz w:val="16"/>
                <w:szCs w:val="16"/>
                <w:color w:val="auto"/>
              </w:rPr>
            </w:pPr>
          </w:p>
        </w:tc>
        <w:tc>
          <w:tcPr>
            <w:tcW w:w="4260" w:type="dxa"/>
            <w:vAlign w:val="bottom"/>
          </w:tcPr>
          <w:p>
            <w:pPr>
              <w:ind w:left="80"/>
              <w:spacing w:after="0"/>
              <w:rPr>
                <w:sz w:val="20"/>
                <w:szCs w:val="20"/>
                <w:color w:val="auto"/>
              </w:rPr>
            </w:pPr>
            <w:r>
              <w:rPr>
                <w:rFonts w:ascii="Arial" w:cs="Arial" w:eastAsia="Arial" w:hAnsi="Arial"/>
                <w:sz w:val="16"/>
                <w:szCs w:val="16"/>
                <w:color w:val="auto"/>
              </w:rPr>
              <w:t>for the CEO and 20% for the other NEOs) is automatically</w:t>
            </w:r>
          </w:p>
        </w:tc>
        <w:tc>
          <w:tcPr>
            <w:tcW w:w="0" w:type="dxa"/>
            <w:vAlign w:val="bottom"/>
          </w:tcPr>
          <w:p>
            <w:pPr>
              <w:spacing w:after="0"/>
              <w:rPr>
                <w:sz w:val="1"/>
                <w:szCs w:val="1"/>
                <w:color w:val="auto"/>
              </w:rPr>
            </w:pPr>
          </w:p>
        </w:tc>
      </w:tr>
      <w:tr>
        <w:trPr>
          <w:trHeight w:val="189"/>
        </w:trPr>
        <w:tc>
          <w:tcPr>
            <w:tcW w:w="2480" w:type="dxa"/>
            <w:vAlign w:val="bottom"/>
            <w:tcBorders>
              <w:right w:val="single" w:sz="8" w:color="007CBA"/>
            </w:tcBorders>
          </w:tcPr>
          <w:p>
            <w:pPr>
              <w:spacing w:after="0"/>
              <w:rPr>
                <w:sz w:val="16"/>
                <w:szCs w:val="16"/>
                <w:color w:val="auto"/>
              </w:rPr>
            </w:pPr>
          </w:p>
        </w:tc>
        <w:tc>
          <w:tcPr>
            <w:tcW w:w="80" w:type="dxa"/>
            <w:vAlign w:val="bottom"/>
          </w:tcPr>
          <w:p>
            <w:pPr>
              <w:spacing w:after="0"/>
              <w:rPr>
                <w:sz w:val="16"/>
                <w:szCs w:val="16"/>
                <w:color w:val="auto"/>
              </w:rPr>
            </w:pPr>
          </w:p>
        </w:tc>
        <w:tc>
          <w:tcPr>
            <w:tcW w:w="4180" w:type="dxa"/>
            <w:vAlign w:val="bottom"/>
            <w:tcBorders>
              <w:right w:val="single" w:sz="8" w:color="007CBA"/>
            </w:tcBorders>
          </w:tcPr>
          <w:p>
            <w:pPr>
              <w:spacing w:after="0"/>
              <w:rPr>
                <w:sz w:val="16"/>
                <w:szCs w:val="16"/>
                <w:color w:val="auto"/>
              </w:rPr>
            </w:pPr>
          </w:p>
        </w:tc>
        <w:tc>
          <w:tcPr>
            <w:tcW w:w="4260" w:type="dxa"/>
            <w:vAlign w:val="bottom"/>
          </w:tcPr>
          <w:p>
            <w:pPr>
              <w:ind w:left="80"/>
              <w:spacing w:after="0"/>
              <w:rPr>
                <w:sz w:val="20"/>
                <w:szCs w:val="20"/>
                <w:color w:val="auto"/>
              </w:rPr>
            </w:pPr>
            <w:r>
              <w:rPr>
                <w:rFonts w:ascii="Arial" w:cs="Arial" w:eastAsia="Arial" w:hAnsi="Arial"/>
                <w:sz w:val="16"/>
                <w:szCs w:val="16"/>
                <w:color w:val="auto"/>
              </w:rPr>
              <w:t>converted into common stock units. NEOs may elect to</w:t>
            </w:r>
          </w:p>
        </w:tc>
        <w:tc>
          <w:tcPr>
            <w:tcW w:w="0" w:type="dxa"/>
            <w:vAlign w:val="bottom"/>
          </w:tcPr>
          <w:p>
            <w:pPr>
              <w:spacing w:after="0"/>
              <w:rPr>
                <w:sz w:val="1"/>
                <w:szCs w:val="1"/>
                <w:color w:val="auto"/>
              </w:rPr>
            </w:pPr>
          </w:p>
        </w:tc>
      </w:tr>
      <w:tr>
        <w:trPr>
          <w:trHeight w:val="189"/>
        </w:trPr>
        <w:tc>
          <w:tcPr>
            <w:tcW w:w="2480" w:type="dxa"/>
            <w:vAlign w:val="bottom"/>
            <w:tcBorders>
              <w:right w:val="single" w:sz="8" w:color="007CBA"/>
            </w:tcBorders>
          </w:tcPr>
          <w:p>
            <w:pPr>
              <w:spacing w:after="0"/>
              <w:rPr>
                <w:sz w:val="16"/>
                <w:szCs w:val="16"/>
                <w:color w:val="auto"/>
              </w:rPr>
            </w:pPr>
          </w:p>
        </w:tc>
        <w:tc>
          <w:tcPr>
            <w:tcW w:w="80" w:type="dxa"/>
            <w:vAlign w:val="bottom"/>
          </w:tcPr>
          <w:p>
            <w:pPr>
              <w:spacing w:after="0"/>
              <w:rPr>
                <w:sz w:val="16"/>
                <w:szCs w:val="16"/>
                <w:color w:val="auto"/>
              </w:rPr>
            </w:pPr>
          </w:p>
        </w:tc>
        <w:tc>
          <w:tcPr>
            <w:tcW w:w="4180" w:type="dxa"/>
            <w:vAlign w:val="bottom"/>
            <w:tcBorders>
              <w:right w:val="single" w:sz="8" w:color="007CBA"/>
            </w:tcBorders>
          </w:tcPr>
          <w:p>
            <w:pPr>
              <w:spacing w:after="0"/>
              <w:rPr>
                <w:sz w:val="16"/>
                <w:szCs w:val="16"/>
                <w:color w:val="auto"/>
              </w:rPr>
            </w:pPr>
          </w:p>
        </w:tc>
        <w:tc>
          <w:tcPr>
            <w:tcW w:w="4260" w:type="dxa"/>
            <w:vAlign w:val="bottom"/>
          </w:tcPr>
          <w:p>
            <w:pPr>
              <w:ind w:left="80"/>
              <w:spacing w:after="0"/>
              <w:rPr>
                <w:sz w:val="20"/>
                <w:szCs w:val="20"/>
                <w:color w:val="auto"/>
              </w:rPr>
            </w:pPr>
            <w:r>
              <w:rPr>
                <w:rFonts w:ascii="Arial" w:cs="Arial" w:eastAsia="Arial" w:hAnsi="Arial"/>
                <w:sz w:val="16"/>
                <w:szCs w:val="16"/>
                <w:color w:val="auto"/>
              </w:rPr>
              <w:t>convert up to 50% of their annual cash incentive</w:t>
            </w:r>
          </w:p>
        </w:tc>
        <w:tc>
          <w:tcPr>
            <w:tcW w:w="0" w:type="dxa"/>
            <w:vAlign w:val="bottom"/>
          </w:tcPr>
          <w:p>
            <w:pPr>
              <w:spacing w:after="0"/>
              <w:rPr>
                <w:sz w:val="1"/>
                <w:szCs w:val="1"/>
                <w:color w:val="auto"/>
              </w:rPr>
            </w:pPr>
          </w:p>
        </w:tc>
      </w:tr>
      <w:tr>
        <w:trPr>
          <w:trHeight w:val="194"/>
        </w:trPr>
        <w:tc>
          <w:tcPr>
            <w:tcW w:w="2480" w:type="dxa"/>
            <w:vAlign w:val="bottom"/>
            <w:tcBorders>
              <w:right w:val="single" w:sz="8" w:color="007CBA"/>
            </w:tcBorders>
          </w:tcPr>
          <w:p>
            <w:pPr>
              <w:spacing w:after="0"/>
              <w:rPr>
                <w:sz w:val="16"/>
                <w:szCs w:val="16"/>
                <w:color w:val="auto"/>
              </w:rPr>
            </w:pPr>
          </w:p>
        </w:tc>
        <w:tc>
          <w:tcPr>
            <w:tcW w:w="80" w:type="dxa"/>
            <w:vAlign w:val="bottom"/>
          </w:tcPr>
          <w:p>
            <w:pPr>
              <w:spacing w:after="0"/>
              <w:rPr>
                <w:sz w:val="16"/>
                <w:szCs w:val="16"/>
                <w:color w:val="auto"/>
              </w:rPr>
            </w:pPr>
          </w:p>
        </w:tc>
        <w:tc>
          <w:tcPr>
            <w:tcW w:w="4180" w:type="dxa"/>
            <w:vAlign w:val="bottom"/>
            <w:tcBorders>
              <w:right w:val="single" w:sz="8" w:color="007CBA"/>
            </w:tcBorders>
          </w:tcPr>
          <w:p>
            <w:pPr>
              <w:spacing w:after="0"/>
              <w:rPr>
                <w:sz w:val="16"/>
                <w:szCs w:val="16"/>
                <w:color w:val="auto"/>
              </w:rPr>
            </w:pPr>
          </w:p>
        </w:tc>
        <w:tc>
          <w:tcPr>
            <w:tcW w:w="4260" w:type="dxa"/>
            <w:vAlign w:val="bottom"/>
          </w:tcPr>
          <w:p>
            <w:pPr>
              <w:ind w:left="80"/>
              <w:spacing w:after="0"/>
              <w:rPr>
                <w:sz w:val="20"/>
                <w:szCs w:val="20"/>
                <w:color w:val="auto"/>
              </w:rPr>
            </w:pPr>
            <w:r>
              <w:rPr>
                <w:rFonts w:ascii="Arial" w:cs="Arial" w:eastAsia="Arial" w:hAnsi="Arial"/>
                <w:sz w:val="16"/>
                <w:szCs w:val="16"/>
                <w:color w:val="auto"/>
              </w:rPr>
              <w:t>compensation into common stock units.</w:t>
            </w:r>
          </w:p>
        </w:tc>
        <w:tc>
          <w:tcPr>
            <w:tcW w:w="0" w:type="dxa"/>
            <w:vAlign w:val="bottom"/>
          </w:tcPr>
          <w:p>
            <w:pPr>
              <w:spacing w:after="0"/>
              <w:rPr>
                <w:sz w:val="1"/>
                <w:szCs w:val="1"/>
                <w:color w:val="auto"/>
              </w:rPr>
            </w:pPr>
          </w:p>
        </w:tc>
      </w:tr>
      <w:tr>
        <w:trPr>
          <w:trHeight w:val="46"/>
        </w:trPr>
        <w:tc>
          <w:tcPr>
            <w:tcW w:w="2480" w:type="dxa"/>
            <w:vAlign w:val="bottom"/>
            <w:tcBorders>
              <w:right w:val="single" w:sz="8" w:color="007CBA"/>
            </w:tcBorders>
          </w:tcPr>
          <w:p>
            <w:pPr>
              <w:spacing w:after="0"/>
              <w:rPr>
                <w:sz w:val="4"/>
                <w:szCs w:val="4"/>
                <w:color w:val="auto"/>
              </w:rPr>
            </w:pPr>
          </w:p>
        </w:tc>
        <w:tc>
          <w:tcPr>
            <w:tcW w:w="80" w:type="dxa"/>
            <w:vAlign w:val="bottom"/>
          </w:tcPr>
          <w:p>
            <w:pPr>
              <w:spacing w:after="0"/>
              <w:rPr>
                <w:sz w:val="4"/>
                <w:szCs w:val="4"/>
                <w:color w:val="auto"/>
              </w:rPr>
            </w:pPr>
          </w:p>
        </w:tc>
        <w:tc>
          <w:tcPr>
            <w:tcW w:w="4180" w:type="dxa"/>
            <w:vAlign w:val="bottom"/>
            <w:tcBorders>
              <w:right w:val="single" w:sz="8" w:color="007CBA"/>
            </w:tcBorders>
          </w:tcPr>
          <w:p>
            <w:pPr>
              <w:spacing w:after="0"/>
              <w:rPr>
                <w:sz w:val="4"/>
                <w:szCs w:val="4"/>
                <w:color w:val="auto"/>
              </w:rPr>
            </w:pPr>
          </w:p>
        </w:tc>
        <w:tc>
          <w:tcPr>
            <w:tcW w:w="4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48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b w:val="1"/>
                <w:bCs w:val="1"/>
                <w:color w:val="auto"/>
              </w:rPr>
              <w:t>Long-Term</w:t>
            </w:r>
          </w:p>
        </w:tc>
        <w:tc>
          <w:tcPr>
            <w:tcW w:w="80" w:type="dxa"/>
            <w:vAlign w:val="bottom"/>
            <w:shd w:val="clear" w:color="auto" w:fill="E5F1F8"/>
          </w:tcPr>
          <w:p>
            <w:pPr>
              <w:spacing w:after="0"/>
              <w:rPr>
                <w:sz w:val="22"/>
                <w:szCs w:val="22"/>
                <w:color w:val="auto"/>
              </w:rPr>
            </w:pPr>
          </w:p>
        </w:tc>
        <w:tc>
          <w:tcPr>
            <w:tcW w:w="4180" w:type="dxa"/>
            <w:vAlign w:val="bottom"/>
            <w:tcBorders>
              <w:right w:val="single" w:sz="8" w:color="007CBA"/>
            </w:tcBorders>
            <w:shd w:val="clear" w:color="auto" w:fill="E5F1F8"/>
          </w:tcPr>
          <w:p>
            <w:pPr>
              <w:spacing w:after="0"/>
              <w:rPr>
                <w:sz w:val="20"/>
                <w:szCs w:val="20"/>
                <w:color w:val="auto"/>
              </w:rPr>
            </w:pPr>
            <w:r>
              <w:rPr>
                <w:rFonts w:ascii="Arial" w:cs="Arial" w:eastAsia="Arial" w:hAnsi="Arial"/>
                <w:sz w:val="16"/>
                <w:szCs w:val="16"/>
                <w:color w:val="auto"/>
              </w:rPr>
              <w:t>To align executives with shareholder interests, to</w:t>
            </w:r>
          </w:p>
        </w:tc>
        <w:tc>
          <w:tcPr>
            <w:tcW w:w="4260" w:type="dxa"/>
            <w:vAlign w:val="bottom"/>
            <w:shd w:val="clear" w:color="auto" w:fill="E5F1F8"/>
          </w:tcPr>
          <w:p>
            <w:pPr>
              <w:ind w:left="80"/>
              <w:spacing w:after="0"/>
              <w:rPr>
                <w:sz w:val="20"/>
                <w:szCs w:val="20"/>
                <w:color w:val="auto"/>
              </w:rPr>
            </w:pPr>
            <w:r>
              <w:rPr>
                <w:rFonts w:ascii="Arial" w:cs="Arial" w:eastAsia="Arial" w:hAnsi="Arial"/>
                <w:sz w:val="16"/>
                <w:szCs w:val="16"/>
                <w:color w:val="auto"/>
              </w:rPr>
              <w:t>Variable compensation component. Reviewed and</w:t>
            </w:r>
          </w:p>
        </w:tc>
        <w:tc>
          <w:tcPr>
            <w:tcW w:w="0" w:type="dxa"/>
            <w:vAlign w:val="bottom"/>
          </w:tcPr>
          <w:p>
            <w:pPr>
              <w:spacing w:after="0"/>
              <w:rPr>
                <w:sz w:val="1"/>
                <w:szCs w:val="1"/>
                <w:color w:val="auto"/>
              </w:rPr>
            </w:pPr>
          </w:p>
        </w:tc>
      </w:tr>
      <w:tr>
        <w:trPr>
          <w:trHeight w:val="214"/>
        </w:trPr>
        <w:tc>
          <w:tcPr>
            <w:tcW w:w="248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b w:val="1"/>
                <w:bCs w:val="1"/>
                <w:color w:val="auto"/>
              </w:rPr>
              <w:t>Incentive Awards</w:t>
            </w:r>
          </w:p>
        </w:tc>
        <w:tc>
          <w:tcPr>
            <w:tcW w:w="80" w:type="dxa"/>
            <w:vAlign w:val="bottom"/>
            <w:shd w:val="clear" w:color="auto" w:fill="E5F1F8"/>
          </w:tcPr>
          <w:p>
            <w:pPr>
              <w:spacing w:after="0"/>
              <w:rPr>
                <w:sz w:val="18"/>
                <w:szCs w:val="18"/>
                <w:color w:val="auto"/>
              </w:rPr>
            </w:pPr>
          </w:p>
        </w:tc>
        <w:tc>
          <w:tcPr>
            <w:tcW w:w="4180" w:type="dxa"/>
            <w:vAlign w:val="bottom"/>
            <w:tcBorders>
              <w:right w:val="single" w:sz="8" w:color="007CBA"/>
            </w:tcBorders>
            <w:shd w:val="clear" w:color="auto" w:fill="E5F1F8"/>
          </w:tcPr>
          <w:p>
            <w:pPr>
              <w:spacing w:after="0"/>
              <w:rPr>
                <w:sz w:val="20"/>
                <w:szCs w:val="20"/>
                <w:color w:val="auto"/>
              </w:rPr>
            </w:pPr>
            <w:r>
              <w:rPr>
                <w:rFonts w:ascii="Arial" w:cs="Arial" w:eastAsia="Arial" w:hAnsi="Arial"/>
                <w:sz w:val="16"/>
                <w:szCs w:val="16"/>
                <w:color w:val="auto"/>
              </w:rPr>
              <w:t>reinforce long-term value creation, and to provide a</w:t>
            </w:r>
          </w:p>
        </w:tc>
        <w:tc>
          <w:tcPr>
            <w:tcW w:w="4260" w:type="dxa"/>
            <w:vAlign w:val="bottom"/>
            <w:shd w:val="clear" w:color="auto" w:fill="E5F1F8"/>
          </w:tcPr>
          <w:p>
            <w:pPr>
              <w:ind w:left="80"/>
              <w:spacing w:after="0"/>
              <w:rPr>
                <w:sz w:val="20"/>
                <w:szCs w:val="20"/>
                <w:color w:val="auto"/>
              </w:rPr>
            </w:pPr>
            <w:r>
              <w:rPr>
                <w:rFonts w:ascii="Arial" w:cs="Arial" w:eastAsia="Arial" w:hAnsi="Arial"/>
                <w:sz w:val="16"/>
                <w:szCs w:val="16"/>
                <w:color w:val="auto"/>
              </w:rPr>
              <w:t>granted annually. Program splits long-term incentives for</w:t>
            </w:r>
          </w:p>
        </w:tc>
        <w:tc>
          <w:tcPr>
            <w:tcW w:w="0" w:type="dxa"/>
            <w:vAlign w:val="bottom"/>
          </w:tcPr>
          <w:p>
            <w:pPr>
              <w:spacing w:after="0"/>
              <w:rPr>
                <w:sz w:val="1"/>
                <w:szCs w:val="1"/>
                <w:color w:val="auto"/>
              </w:rPr>
            </w:pPr>
          </w:p>
        </w:tc>
      </w:tr>
      <w:tr>
        <w:trPr>
          <w:trHeight w:val="194"/>
        </w:trPr>
        <w:tc>
          <w:tcPr>
            <w:tcW w:w="2480" w:type="dxa"/>
            <w:vAlign w:val="bottom"/>
            <w:tcBorders>
              <w:right w:val="single" w:sz="8" w:color="007CBA"/>
            </w:tcBorders>
            <w:shd w:val="clear" w:color="auto" w:fill="E5F1F8"/>
          </w:tcPr>
          <w:p>
            <w:pPr>
              <w:spacing w:after="0"/>
              <w:rPr>
                <w:sz w:val="16"/>
                <w:szCs w:val="16"/>
                <w:color w:val="auto"/>
              </w:rPr>
            </w:pPr>
          </w:p>
        </w:tc>
        <w:tc>
          <w:tcPr>
            <w:tcW w:w="80" w:type="dxa"/>
            <w:vAlign w:val="bottom"/>
            <w:shd w:val="clear" w:color="auto" w:fill="E5F1F8"/>
          </w:tcPr>
          <w:p>
            <w:pPr>
              <w:spacing w:after="0"/>
              <w:rPr>
                <w:sz w:val="16"/>
                <w:szCs w:val="16"/>
                <w:color w:val="auto"/>
              </w:rPr>
            </w:pPr>
          </w:p>
        </w:tc>
        <w:tc>
          <w:tcPr>
            <w:tcW w:w="4180" w:type="dxa"/>
            <w:vAlign w:val="bottom"/>
            <w:tcBorders>
              <w:right w:val="single" w:sz="8" w:color="007CBA"/>
            </w:tcBorders>
            <w:shd w:val="clear" w:color="auto" w:fill="E5F1F8"/>
          </w:tcPr>
          <w:p>
            <w:pPr>
              <w:spacing w:after="0"/>
              <w:rPr>
                <w:sz w:val="20"/>
                <w:szCs w:val="20"/>
                <w:color w:val="auto"/>
              </w:rPr>
            </w:pPr>
            <w:r>
              <w:rPr>
                <w:rFonts w:ascii="Arial" w:cs="Arial" w:eastAsia="Arial" w:hAnsi="Arial"/>
                <w:sz w:val="16"/>
                <w:szCs w:val="16"/>
                <w:color w:val="auto"/>
              </w:rPr>
              <w:t>balanced portfolio of long-term incentive opportunities.</w:t>
            </w:r>
          </w:p>
        </w:tc>
        <w:tc>
          <w:tcPr>
            <w:tcW w:w="4260" w:type="dxa"/>
            <w:vAlign w:val="bottom"/>
            <w:shd w:val="clear" w:color="auto" w:fill="E5F1F8"/>
          </w:tcPr>
          <w:p>
            <w:pPr>
              <w:ind w:left="80"/>
              <w:spacing w:after="0"/>
              <w:rPr>
                <w:sz w:val="20"/>
                <w:szCs w:val="20"/>
                <w:color w:val="auto"/>
              </w:rPr>
            </w:pPr>
            <w:r>
              <w:rPr>
                <w:rFonts w:ascii="Arial" w:cs="Arial" w:eastAsia="Arial" w:hAnsi="Arial"/>
                <w:sz w:val="16"/>
                <w:szCs w:val="16"/>
                <w:color w:val="auto"/>
              </w:rPr>
              <w:t>NEOs at 55% PSUs and 45% RSUs.</w:t>
            </w:r>
          </w:p>
        </w:tc>
        <w:tc>
          <w:tcPr>
            <w:tcW w:w="0" w:type="dxa"/>
            <w:vAlign w:val="bottom"/>
          </w:tcPr>
          <w:p>
            <w:pPr>
              <w:spacing w:after="0"/>
              <w:rPr>
                <w:sz w:val="1"/>
                <w:szCs w:val="1"/>
                <w:color w:val="auto"/>
              </w:rPr>
            </w:pPr>
          </w:p>
        </w:tc>
      </w:tr>
      <w:tr>
        <w:trPr>
          <w:trHeight w:val="264"/>
        </w:trPr>
        <w:tc>
          <w:tcPr>
            <w:tcW w:w="2480" w:type="dxa"/>
            <w:vAlign w:val="bottom"/>
            <w:tcBorders>
              <w:right w:val="single" w:sz="8" w:color="007CBA"/>
            </w:tcBorders>
            <w:shd w:val="clear" w:color="auto" w:fill="E5F1F8"/>
          </w:tcPr>
          <w:p>
            <w:pPr>
              <w:ind w:left="280"/>
              <w:spacing w:after="0"/>
              <w:rPr>
                <w:sz w:val="20"/>
                <w:szCs w:val="20"/>
                <w:color w:val="auto"/>
              </w:rPr>
            </w:pPr>
            <w:r>
              <w:rPr>
                <w:rFonts w:ascii="Arial" w:cs="Arial" w:eastAsia="Arial" w:hAnsi="Arial"/>
                <w:sz w:val="16"/>
                <w:szCs w:val="16"/>
                <w:i w:val="1"/>
                <w:iCs w:val="1"/>
                <w:color w:val="auto"/>
              </w:rPr>
              <w:t>Performance Share Units</w:t>
            </w:r>
          </w:p>
        </w:tc>
        <w:tc>
          <w:tcPr>
            <w:tcW w:w="80" w:type="dxa"/>
            <w:vAlign w:val="bottom"/>
            <w:shd w:val="clear" w:color="auto" w:fill="E5F1F8"/>
          </w:tcPr>
          <w:p>
            <w:pPr>
              <w:spacing w:after="0"/>
              <w:rPr>
                <w:sz w:val="22"/>
                <w:szCs w:val="22"/>
                <w:color w:val="auto"/>
              </w:rPr>
            </w:pPr>
          </w:p>
        </w:tc>
        <w:tc>
          <w:tcPr>
            <w:tcW w:w="4180" w:type="dxa"/>
            <w:vAlign w:val="bottom"/>
            <w:tcBorders>
              <w:right w:val="single" w:sz="8" w:color="007CBA"/>
            </w:tcBorders>
            <w:shd w:val="clear" w:color="auto" w:fill="E5F1F8"/>
          </w:tcPr>
          <w:p>
            <w:pPr>
              <w:spacing w:after="0"/>
              <w:rPr>
                <w:sz w:val="20"/>
                <w:szCs w:val="20"/>
                <w:color w:val="auto"/>
              </w:rPr>
            </w:pPr>
            <w:r>
              <w:rPr>
                <w:rFonts w:ascii="Arial" w:cs="Arial" w:eastAsia="Arial" w:hAnsi="Arial"/>
                <w:sz w:val="16"/>
                <w:szCs w:val="16"/>
                <w:color w:val="auto"/>
              </w:rPr>
              <w:t>To motivate executives by tying incentives to our multi-</w:t>
            </w:r>
          </w:p>
        </w:tc>
        <w:tc>
          <w:tcPr>
            <w:tcW w:w="4260" w:type="dxa"/>
            <w:vAlign w:val="bottom"/>
            <w:shd w:val="clear" w:color="auto" w:fill="E5F1F8"/>
          </w:tcPr>
          <w:p>
            <w:pPr>
              <w:ind w:left="80"/>
              <w:spacing w:after="0"/>
              <w:rPr>
                <w:sz w:val="20"/>
                <w:szCs w:val="20"/>
                <w:color w:val="auto"/>
              </w:rPr>
            </w:pPr>
            <w:r>
              <w:rPr>
                <w:rFonts w:ascii="Arial" w:cs="Arial" w:eastAsia="Arial" w:hAnsi="Arial"/>
                <w:sz w:val="16"/>
                <w:szCs w:val="16"/>
                <w:color w:val="auto"/>
              </w:rPr>
              <w:t>Grants based on three-year adjusted EBITDA and Sales</w:t>
            </w:r>
          </w:p>
        </w:tc>
        <w:tc>
          <w:tcPr>
            <w:tcW w:w="0" w:type="dxa"/>
            <w:vAlign w:val="bottom"/>
          </w:tcPr>
          <w:p>
            <w:pPr>
              <w:spacing w:after="0"/>
              <w:rPr>
                <w:sz w:val="1"/>
                <w:szCs w:val="1"/>
                <w:color w:val="auto"/>
              </w:rPr>
            </w:pPr>
          </w:p>
        </w:tc>
      </w:tr>
      <w:tr>
        <w:trPr>
          <w:trHeight w:val="205"/>
        </w:trPr>
        <w:tc>
          <w:tcPr>
            <w:tcW w:w="2480" w:type="dxa"/>
            <w:vAlign w:val="bottom"/>
            <w:tcBorders>
              <w:right w:val="single" w:sz="8" w:color="007CBA"/>
            </w:tcBorders>
            <w:shd w:val="clear" w:color="auto" w:fill="E5F1F8"/>
          </w:tcPr>
          <w:p>
            <w:pPr>
              <w:ind w:left="280"/>
              <w:spacing w:after="0"/>
              <w:rPr>
                <w:sz w:val="20"/>
                <w:szCs w:val="20"/>
                <w:color w:val="auto"/>
              </w:rPr>
            </w:pPr>
            <w:r>
              <w:rPr>
                <w:rFonts w:ascii="Arial" w:cs="Arial" w:eastAsia="Arial" w:hAnsi="Arial"/>
                <w:sz w:val="16"/>
                <w:szCs w:val="16"/>
                <w:i w:val="1"/>
                <w:iCs w:val="1"/>
                <w:color w:val="auto"/>
              </w:rPr>
              <w:t>(PSUs)</w:t>
            </w:r>
          </w:p>
        </w:tc>
        <w:tc>
          <w:tcPr>
            <w:tcW w:w="80" w:type="dxa"/>
            <w:vAlign w:val="bottom"/>
            <w:shd w:val="clear" w:color="auto" w:fill="E5F1F8"/>
          </w:tcPr>
          <w:p>
            <w:pPr>
              <w:spacing w:after="0"/>
              <w:rPr>
                <w:sz w:val="17"/>
                <w:szCs w:val="17"/>
                <w:color w:val="auto"/>
              </w:rPr>
            </w:pPr>
          </w:p>
        </w:tc>
        <w:tc>
          <w:tcPr>
            <w:tcW w:w="4180" w:type="dxa"/>
            <w:vAlign w:val="bottom"/>
            <w:tcBorders>
              <w:right w:val="single" w:sz="8" w:color="007CBA"/>
            </w:tcBorders>
            <w:shd w:val="clear" w:color="auto" w:fill="E5F1F8"/>
          </w:tcPr>
          <w:p>
            <w:pPr>
              <w:spacing w:after="0"/>
              <w:rPr>
                <w:sz w:val="20"/>
                <w:szCs w:val="20"/>
                <w:color w:val="auto"/>
              </w:rPr>
            </w:pPr>
            <w:r>
              <w:rPr>
                <w:rFonts w:ascii="Arial" w:cs="Arial" w:eastAsia="Arial" w:hAnsi="Arial"/>
                <w:sz w:val="16"/>
                <w:szCs w:val="16"/>
                <w:color w:val="auto"/>
              </w:rPr>
              <w:t>year financial goals and relative TSR reinforcing the link</w:t>
            </w:r>
          </w:p>
        </w:tc>
        <w:tc>
          <w:tcPr>
            <w:tcW w:w="4260" w:type="dxa"/>
            <w:vAlign w:val="bottom"/>
            <w:shd w:val="clear" w:color="auto" w:fill="E5F1F8"/>
          </w:tcPr>
          <w:p>
            <w:pPr>
              <w:ind w:left="80"/>
              <w:spacing w:after="0"/>
              <w:rPr>
                <w:sz w:val="20"/>
                <w:szCs w:val="20"/>
                <w:color w:val="auto"/>
              </w:rPr>
            </w:pPr>
            <w:r>
              <w:rPr>
                <w:rFonts w:ascii="Arial" w:cs="Arial" w:eastAsia="Arial" w:hAnsi="Arial"/>
                <w:sz w:val="16"/>
                <w:szCs w:val="16"/>
                <w:color w:val="auto"/>
              </w:rPr>
              <w:t>Growth goals, with a modifier based on TSR performance</w:t>
            </w:r>
          </w:p>
        </w:tc>
        <w:tc>
          <w:tcPr>
            <w:tcW w:w="0" w:type="dxa"/>
            <w:vAlign w:val="bottom"/>
          </w:tcPr>
          <w:p>
            <w:pPr>
              <w:spacing w:after="0"/>
              <w:rPr>
                <w:sz w:val="1"/>
                <w:szCs w:val="1"/>
                <w:color w:val="auto"/>
              </w:rPr>
            </w:pPr>
          </w:p>
        </w:tc>
      </w:tr>
      <w:tr>
        <w:trPr>
          <w:trHeight w:val="194"/>
        </w:trPr>
        <w:tc>
          <w:tcPr>
            <w:tcW w:w="2480" w:type="dxa"/>
            <w:vAlign w:val="bottom"/>
            <w:tcBorders>
              <w:right w:val="single" w:sz="8" w:color="007CBA"/>
            </w:tcBorders>
            <w:shd w:val="clear" w:color="auto" w:fill="E5F1F8"/>
          </w:tcPr>
          <w:p>
            <w:pPr>
              <w:spacing w:after="0"/>
              <w:rPr>
                <w:sz w:val="16"/>
                <w:szCs w:val="16"/>
                <w:color w:val="auto"/>
              </w:rPr>
            </w:pPr>
          </w:p>
        </w:tc>
        <w:tc>
          <w:tcPr>
            <w:tcW w:w="80" w:type="dxa"/>
            <w:vAlign w:val="bottom"/>
            <w:shd w:val="clear" w:color="auto" w:fill="E5F1F8"/>
          </w:tcPr>
          <w:p>
            <w:pPr>
              <w:spacing w:after="0"/>
              <w:rPr>
                <w:sz w:val="16"/>
                <w:szCs w:val="16"/>
                <w:color w:val="auto"/>
              </w:rPr>
            </w:pPr>
          </w:p>
        </w:tc>
        <w:tc>
          <w:tcPr>
            <w:tcW w:w="4180" w:type="dxa"/>
            <w:vAlign w:val="bottom"/>
            <w:tcBorders>
              <w:right w:val="single" w:sz="8" w:color="007CBA"/>
            </w:tcBorders>
            <w:shd w:val="clear" w:color="auto" w:fill="E5F1F8"/>
          </w:tcPr>
          <w:p>
            <w:pPr>
              <w:spacing w:after="0"/>
              <w:rPr>
                <w:sz w:val="20"/>
                <w:szCs w:val="20"/>
                <w:color w:val="auto"/>
              </w:rPr>
            </w:pPr>
            <w:r>
              <w:rPr>
                <w:rFonts w:ascii="Arial" w:cs="Arial" w:eastAsia="Arial" w:hAnsi="Arial"/>
                <w:sz w:val="16"/>
                <w:szCs w:val="16"/>
                <w:color w:val="auto"/>
              </w:rPr>
              <w:t>between our executive officers and our shareholders.</w:t>
            </w:r>
          </w:p>
        </w:tc>
        <w:tc>
          <w:tcPr>
            <w:tcW w:w="4260" w:type="dxa"/>
            <w:vAlign w:val="bottom"/>
            <w:shd w:val="clear" w:color="auto" w:fill="E5F1F8"/>
          </w:tcPr>
          <w:p>
            <w:pPr>
              <w:ind w:left="80"/>
              <w:spacing w:after="0"/>
              <w:rPr>
                <w:sz w:val="20"/>
                <w:szCs w:val="20"/>
                <w:color w:val="auto"/>
              </w:rPr>
            </w:pPr>
            <w:r>
              <w:rPr>
                <w:rFonts w:ascii="Arial" w:cs="Arial" w:eastAsia="Arial" w:hAnsi="Arial"/>
                <w:sz w:val="16"/>
                <w:szCs w:val="16"/>
                <w:color w:val="auto"/>
              </w:rPr>
              <w:t>relative to peers.</w:t>
            </w:r>
          </w:p>
        </w:tc>
        <w:tc>
          <w:tcPr>
            <w:tcW w:w="0" w:type="dxa"/>
            <w:vAlign w:val="bottom"/>
          </w:tcPr>
          <w:p>
            <w:pPr>
              <w:spacing w:after="0"/>
              <w:rPr>
                <w:sz w:val="1"/>
                <w:szCs w:val="1"/>
                <w:color w:val="auto"/>
              </w:rPr>
            </w:pPr>
          </w:p>
        </w:tc>
      </w:tr>
      <w:tr>
        <w:trPr>
          <w:trHeight w:val="289"/>
        </w:trPr>
        <w:tc>
          <w:tcPr>
            <w:tcW w:w="2480" w:type="dxa"/>
            <w:vAlign w:val="bottom"/>
            <w:tcBorders>
              <w:right w:val="single" w:sz="8" w:color="007CBA"/>
            </w:tcBorders>
            <w:shd w:val="clear" w:color="auto" w:fill="E5F1F8"/>
          </w:tcPr>
          <w:p>
            <w:pPr>
              <w:ind w:left="280"/>
              <w:spacing w:after="0"/>
              <w:rPr>
                <w:sz w:val="20"/>
                <w:szCs w:val="20"/>
                <w:color w:val="auto"/>
              </w:rPr>
            </w:pPr>
            <w:r>
              <w:rPr>
                <w:rFonts w:ascii="Arial" w:cs="Arial" w:eastAsia="Arial" w:hAnsi="Arial"/>
                <w:sz w:val="16"/>
                <w:szCs w:val="16"/>
                <w:i w:val="1"/>
                <w:iCs w:val="1"/>
                <w:color w:val="auto"/>
              </w:rPr>
              <w:t>Restricted Stock Units</w:t>
            </w:r>
          </w:p>
        </w:tc>
        <w:tc>
          <w:tcPr>
            <w:tcW w:w="80" w:type="dxa"/>
            <w:vAlign w:val="bottom"/>
            <w:shd w:val="clear" w:color="auto" w:fill="E5F1F8"/>
          </w:tcPr>
          <w:p>
            <w:pPr>
              <w:spacing w:after="0"/>
              <w:rPr>
                <w:sz w:val="24"/>
                <w:szCs w:val="24"/>
                <w:color w:val="auto"/>
              </w:rPr>
            </w:pPr>
          </w:p>
        </w:tc>
        <w:tc>
          <w:tcPr>
            <w:tcW w:w="4180" w:type="dxa"/>
            <w:vAlign w:val="bottom"/>
            <w:tcBorders>
              <w:right w:val="single" w:sz="8" w:color="007CBA"/>
            </w:tcBorders>
            <w:shd w:val="clear" w:color="auto" w:fill="E5F1F8"/>
          </w:tcPr>
          <w:p>
            <w:pPr>
              <w:spacing w:after="0"/>
              <w:rPr>
                <w:sz w:val="20"/>
                <w:szCs w:val="20"/>
                <w:color w:val="auto"/>
              </w:rPr>
            </w:pPr>
            <w:r>
              <w:rPr>
                <w:rFonts w:ascii="Arial" w:cs="Arial" w:eastAsia="Arial" w:hAnsi="Arial"/>
                <w:sz w:val="16"/>
                <w:szCs w:val="16"/>
                <w:color w:val="auto"/>
              </w:rPr>
              <w:t>To motivate the appropriate behaviors delivering superior</w:t>
            </w:r>
          </w:p>
        </w:tc>
        <w:tc>
          <w:tcPr>
            <w:tcW w:w="4260" w:type="dxa"/>
            <w:vAlign w:val="bottom"/>
            <w:shd w:val="clear" w:color="auto" w:fill="E5F1F8"/>
          </w:tcPr>
          <w:p>
            <w:pPr>
              <w:ind w:left="80"/>
              <w:spacing w:after="0"/>
              <w:rPr>
                <w:sz w:val="20"/>
                <w:szCs w:val="20"/>
                <w:color w:val="auto"/>
              </w:rPr>
            </w:pPr>
            <w:r>
              <w:rPr>
                <w:rFonts w:ascii="Arial" w:cs="Arial" w:eastAsia="Arial" w:hAnsi="Arial"/>
                <w:sz w:val="16"/>
                <w:szCs w:val="16"/>
                <w:color w:val="auto"/>
              </w:rPr>
              <w:t>Stock price growth. Awards are subject to achievement of</w:t>
            </w:r>
          </w:p>
        </w:tc>
        <w:tc>
          <w:tcPr>
            <w:tcW w:w="0" w:type="dxa"/>
            <w:vAlign w:val="bottom"/>
          </w:tcPr>
          <w:p>
            <w:pPr>
              <w:spacing w:after="0"/>
              <w:rPr>
                <w:sz w:val="1"/>
                <w:szCs w:val="1"/>
                <w:color w:val="auto"/>
              </w:rPr>
            </w:pPr>
          </w:p>
        </w:tc>
      </w:tr>
      <w:tr>
        <w:trPr>
          <w:trHeight w:val="205"/>
        </w:trPr>
        <w:tc>
          <w:tcPr>
            <w:tcW w:w="2480" w:type="dxa"/>
            <w:vAlign w:val="bottom"/>
            <w:tcBorders>
              <w:right w:val="single" w:sz="8" w:color="007CBA"/>
            </w:tcBorders>
            <w:shd w:val="clear" w:color="auto" w:fill="E5F1F8"/>
          </w:tcPr>
          <w:p>
            <w:pPr>
              <w:ind w:left="280"/>
              <w:spacing w:after="0"/>
              <w:rPr>
                <w:sz w:val="20"/>
                <w:szCs w:val="20"/>
                <w:color w:val="auto"/>
              </w:rPr>
            </w:pPr>
            <w:r>
              <w:rPr>
                <w:rFonts w:ascii="Arial" w:cs="Arial" w:eastAsia="Arial" w:hAnsi="Arial"/>
                <w:sz w:val="16"/>
                <w:szCs w:val="16"/>
                <w:i w:val="1"/>
                <w:iCs w:val="1"/>
                <w:color w:val="auto"/>
              </w:rPr>
              <w:t>(RSUs)</w:t>
            </w:r>
          </w:p>
        </w:tc>
        <w:tc>
          <w:tcPr>
            <w:tcW w:w="80" w:type="dxa"/>
            <w:vAlign w:val="bottom"/>
            <w:shd w:val="clear" w:color="auto" w:fill="E5F1F8"/>
          </w:tcPr>
          <w:p>
            <w:pPr>
              <w:spacing w:after="0"/>
              <w:rPr>
                <w:sz w:val="17"/>
                <w:szCs w:val="17"/>
                <w:color w:val="auto"/>
              </w:rPr>
            </w:pPr>
          </w:p>
        </w:tc>
        <w:tc>
          <w:tcPr>
            <w:tcW w:w="4180" w:type="dxa"/>
            <w:vAlign w:val="bottom"/>
            <w:tcBorders>
              <w:right w:val="single" w:sz="8" w:color="007CBA"/>
            </w:tcBorders>
            <w:shd w:val="clear" w:color="auto" w:fill="E5F1F8"/>
          </w:tcPr>
          <w:p>
            <w:pPr>
              <w:spacing w:after="0"/>
              <w:rPr>
                <w:sz w:val="20"/>
                <w:szCs w:val="20"/>
                <w:color w:val="auto"/>
              </w:rPr>
            </w:pPr>
            <w:r>
              <w:rPr>
                <w:rFonts w:ascii="Arial" w:cs="Arial" w:eastAsia="Arial" w:hAnsi="Arial"/>
                <w:sz w:val="16"/>
                <w:szCs w:val="16"/>
                <w:color w:val="auto"/>
              </w:rPr>
              <w:t>long-term total shareholder return. Also promotes a base-</w:t>
            </w:r>
          </w:p>
        </w:tc>
        <w:tc>
          <w:tcPr>
            <w:tcW w:w="4260" w:type="dxa"/>
            <w:vAlign w:val="bottom"/>
            <w:shd w:val="clear" w:color="auto" w:fill="E5F1F8"/>
          </w:tcPr>
          <w:p>
            <w:pPr>
              <w:ind w:left="80"/>
              <w:spacing w:after="0"/>
              <w:rPr>
                <w:sz w:val="20"/>
                <w:szCs w:val="20"/>
                <w:color w:val="auto"/>
              </w:rPr>
            </w:pPr>
            <w:r>
              <w:rPr>
                <w:rFonts w:ascii="Arial" w:cs="Arial" w:eastAsia="Arial" w:hAnsi="Arial"/>
                <w:sz w:val="16"/>
                <w:szCs w:val="16"/>
                <w:color w:val="auto"/>
              </w:rPr>
              <w:t>one-year adjusted EBITDA goals.</w:t>
            </w:r>
          </w:p>
        </w:tc>
        <w:tc>
          <w:tcPr>
            <w:tcW w:w="0" w:type="dxa"/>
            <w:vAlign w:val="bottom"/>
          </w:tcPr>
          <w:p>
            <w:pPr>
              <w:spacing w:after="0"/>
              <w:rPr>
                <w:sz w:val="1"/>
                <w:szCs w:val="1"/>
                <w:color w:val="auto"/>
              </w:rPr>
            </w:pPr>
          </w:p>
        </w:tc>
      </w:tr>
      <w:tr>
        <w:trPr>
          <w:trHeight w:val="221"/>
        </w:trPr>
        <w:tc>
          <w:tcPr>
            <w:tcW w:w="2480" w:type="dxa"/>
            <w:vAlign w:val="bottom"/>
            <w:tcBorders>
              <w:bottom w:val="single" w:sz="8" w:color="E5F1F8"/>
              <w:right w:val="single" w:sz="8" w:color="007CBA"/>
            </w:tcBorders>
            <w:shd w:val="clear" w:color="auto" w:fill="E5F1F8"/>
          </w:tcPr>
          <w:p>
            <w:pPr>
              <w:spacing w:after="0"/>
              <w:rPr>
                <w:sz w:val="19"/>
                <w:szCs w:val="19"/>
                <w:color w:val="auto"/>
              </w:rPr>
            </w:pPr>
          </w:p>
        </w:tc>
        <w:tc>
          <w:tcPr>
            <w:tcW w:w="80" w:type="dxa"/>
            <w:vAlign w:val="bottom"/>
            <w:tcBorders>
              <w:bottom w:val="single" w:sz="8" w:color="E5F1F8"/>
            </w:tcBorders>
            <w:shd w:val="clear" w:color="auto" w:fill="E5F1F8"/>
          </w:tcPr>
          <w:p>
            <w:pPr>
              <w:spacing w:after="0"/>
              <w:rPr>
                <w:sz w:val="19"/>
                <w:szCs w:val="19"/>
                <w:color w:val="auto"/>
              </w:rPr>
            </w:pPr>
          </w:p>
        </w:tc>
        <w:tc>
          <w:tcPr>
            <w:tcW w:w="4180" w:type="dxa"/>
            <w:vAlign w:val="bottom"/>
            <w:tcBorders>
              <w:bottom w:val="single" w:sz="8" w:color="E5F1F8"/>
              <w:right w:val="single" w:sz="8" w:color="007CBA"/>
            </w:tcBorders>
            <w:shd w:val="clear" w:color="auto" w:fill="E5F1F8"/>
          </w:tcPr>
          <w:p>
            <w:pPr>
              <w:spacing w:after="0"/>
              <w:rPr>
                <w:sz w:val="20"/>
                <w:szCs w:val="20"/>
                <w:color w:val="auto"/>
              </w:rPr>
            </w:pPr>
            <w:r>
              <w:rPr>
                <w:rFonts w:ascii="Arial" w:cs="Arial" w:eastAsia="Arial" w:hAnsi="Arial"/>
                <w:sz w:val="16"/>
                <w:szCs w:val="16"/>
                <w:color w:val="auto"/>
              </w:rPr>
              <w:t>level of executive retention.</w:t>
            </w:r>
          </w:p>
        </w:tc>
        <w:tc>
          <w:tcPr>
            <w:tcW w:w="4260" w:type="dxa"/>
            <w:vAlign w:val="bottom"/>
            <w:tcBorders>
              <w:bottom w:val="single" w:sz="8" w:color="E5F1F8"/>
            </w:tcBorders>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480" w:type="dxa"/>
            <w:vAlign w:val="bottom"/>
            <w:tcBorders>
              <w:right w:val="single" w:sz="8" w:color="007CBA"/>
            </w:tcBorders>
          </w:tcPr>
          <w:p>
            <w:pPr>
              <w:ind w:left="60"/>
              <w:spacing w:after="0"/>
              <w:rPr>
                <w:sz w:val="20"/>
                <w:szCs w:val="20"/>
                <w:color w:val="auto"/>
              </w:rPr>
            </w:pPr>
            <w:r>
              <w:rPr>
                <w:rFonts w:ascii="Arial" w:cs="Arial" w:eastAsia="Arial" w:hAnsi="Arial"/>
                <w:sz w:val="16"/>
                <w:szCs w:val="16"/>
                <w:b w:val="1"/>
                <w:bCs w:val="1"/>
                <w:color w:val="auto"/>
              </w:rPr>
              <w:t>Health/Welfare Plan and</w:t>
            </w:r>
          </w:p>
        </w:tc>
        <w:tc>
          <w:tcPr>
            <w:tcW w:w="80" w:type="dxa"/>
            <w:vAlign w:val="bottom"/>
          </w:tcPr>
          <w:p>
            <w:pPr>
              <w:spacing w:after="0"/>
              <w:rPr>
                <w:sz w:val="24"/>
                <w:szCs w:val="24"/>
                <w:color w:val="auto"/>
              </w:rPr>
            </w:pPr>
          </w:p>
        </w:tc>
        <w:tc>
          <w:tcPr>
            <w:tcW w:w="4180" w:type="dxa"/>
            <w:vAlign w:val="bottom"/>
            <w:tcBorders>
              <w:right w:val="single" w:sz="8" w:color="007CBA"/>
            </w:tcBorders>
          </w:tcPr>
          <w:p>
            <w:pPr>
              <w:spacing w:after="0"/>
              <w:rPr>
                <w:sz w:val="20"/>
                <w:szCs w:val="20"/>
                <w:color w:val="auto"/>
              </w:rPr>
            </w:pPr>
            <w:r>
              <w:rPr>
                <w:rFonts w:ascii="Arial" w:cs="Arial" w:eastAsia="Arial" w:hAnsi="Arial"/>
                <w:sz w:val="16"/>
                <w:szCs w:val="16"/>
                <w:color w:val="auto"/>
              </w:rPr>
              <w:t>To provide competitive benefits promoting employee</w:t>
            </w:r>
          </w:p>
        </w:tc>
        <w:tc>
          <w:tcPr>
            <w:tcW w:w="4260" w:type="dxa"/>
            <w:vAlign w:val="bottom"/>
          </w:tcPr>
          <w:p>
            <w:pPr>
              <w:ind w:left="80"/>
              <w:spacing w:after="0"/>
              <w:rPr>
                <w:sz w:val="20"/>
                <w:szCs w:val="20"/>
                <w:color w:val="auto"/>
              </w:rPr>
            </w:pPr>
            <w:r>
              <w:rPr>
                <w:rFonts w:ascii="Arial" w:cs="Arial" w:eastAsia="Arial" w:hAnsi="Arial"/>
                <w:sz w:val="16"/>
                <w:szCs w:val="16"/>
                <w:color w:val="auto"/>
              </w:rPr>
              <w:t>Fixed compensation component.</w:t>
            </w:r>
          </w:p>
        </w:tc>
        <w:tc>
          <w:tcPr>
            <w:tcW w:w="0" w:type="dxa"/>
            <w:vAlign w:val="bottom"/>
          </w:tcPr>
          <w:p>
            <w:pPr>
              <w:spacing w:after="0"/>
              <w:rPr>
                <w:sz w:val="1"/>
                <w:szCs w:val="1"/>
                <w:color w:val="auto"/>
              </w:rPr>
            </w:pPr>
          </w:p>
        </w:tc>
      </w:tr>
      <w:tr>
        <w:trPr>
          <w:trHeight w:val="237"/>
        </w:trPr>
        <w:tc>
          <w:tcPr>
            <w:tcW w:w="2480" w:type="dxa"/>
            <w:vAlign w:val="bottom"/>
            <w:tcBorders>
              <w:right w:val="single" w:sz="8" w:color="007CBA"/>
            </w:tcBorders>
          </w:tcPr>
          <w:p>
            <w:pPr>
              <w:ind w:left="60"/>
              <w:spacing w:after="0"/>
              <w:rPr>
                <w:sz w:val="20"/>
                <w:szCs w:val="20"/>
                <w:color w:val="auto"/>
              </w:rPr>
            </w:pPr>
            <w:r>
              <w:rPr>
                <w:rFonts w:ascii="Arial" w:cs="Arial" w:eastAsia="Arial" w:hAnsi="Arial"/>
                <w:sz w:val="16"/>
                <w:szCs w:val="16"/>
                <w:b w:val="1"/>
                <w:bCs w:val="1"/>
                <w:color w:val="auto"/>
              </w:rPr>
              <w:t>Retirement Benefits</w:t>
            </w:r>
          </w:p>
        </w:tc>
        <w:tc>
          <w:tcPr>
            <w:tcW w:w="80" w:type="dxa"/>
            <w:vAlign w:val="bottom"/>
          </w:tcPr>
          <w:p>
            <w:pPr>
              <w:spacing w:after="0"/>
              <w:rPr>
                <w:sz w:val="20"/>
                <w:szCs w:val="20"/>
                <w:color w:val="auto"/>
              </w:rPr>
            </w:pPr>
          </w:p>
        </w:tc>
        <w:tc>
          <w:tcPr>
            <w:tcW w:w="4180" w:type="dxa"/>
            <w:vAlign w:val="bottom"/>
            <w:tcBorders>
              <w:right w:val="single" w:sz="8" w:color="007CBA"/>
            </w:tcBorders>
          </w:tcPr>
          <w:p>
            <w:pPr>
              <w:spacing w:after="0"/>
              <w:rPr>
                <w:sz w:val="20"/>
                <w:szCs w:val="20"/>
                <w:color w:val="auto"/>
              </w:rPr>
            </w:pPr>
            <w:r>
              <w:rPr>
                <w:rFonts w:ascii="Arial" w:cs="Arial" w:eastAsia="Arial" w:hAnsi="Arial"/>
                <w:sz w:val="16"/>
                <w:szCs w:val="16"/>
                <w:color w:val="auto"/>
              </w:rPr>
              <w:t>health and productivity and support financial security.</w:t>
            </w:r>
          </w:p>
        </w:tc>
        <w:tc>
          <w:tcPr>
            <w:tcW w:w="4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480" w:type="dxa"/>
            <w:vAlign w:val="bottom"/>
            <w:tcBorders>
              <w:right w:val="single" w:sz="8" w:color="007CBA"/>
            </w:tcBorders>
          </w:tcPr>
          <w:p>
            <w:pPr>
              <w:spacing w:after="0"/>
              <w:rPr>
                <w:sz w:val="4"/>
                <w:szCs w:val="4"/>
                <w:color w:val="auto"/>
              </w:rPr>
            </w:pPr>
          </w:p>
        </w:tc>
        <w:tc>
          <w:tcPr>
            <w:tcW w:w="80" w:type="dxa"/>
            <w:vAlign w:val="bottom"/>
          </w:tcPr>
          <w:p>
            <w:pPr>
              <w:spacing w:after="0"/>
              <w:rPr>
                <w:sz w:val="4"/>
                <w:szCs w:val="4"/>
                <w:color w:val="auto"/>
              </w:rPr>
            </w:pPr>
          </w:p>
        </w:tc>
        <w:tc>
          <w:tcPr>
            <w:tcW w:w="4180" w:type="dxa"/>
            <w:vAlign w:val="bottom"/>
            <w:tcBorders>
              <w:right w:val="single" w:sz="8" w:color="007CBA"/>
            </w:tcBorders>
          </w:tcPr>
          <w:p>
            <w:pPr>
              <w:spacing w:after="0"/>
              <w:rPr>
                <w:sz w:val="4"/>
                <w:szCs w:val="4"/>
                <w:color w:val="auto"/>
              </w:rPr>
            </w:pPr>
          </w:p>
        </w:tc>
        <w:tc>
          <w:tcPr>
            <w:tcW w:w="4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248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b w:val="1"/>
                <w:bCs w:val="1"/>
                <w:color w:val="auto"/>
              </w:rPr>
              <w:t>Perquisites and Other Benefits</w:t>
            </w:r>
          </w:p>
        </w:tc>
        <w:tc>
          <w:tcPr>
            <w:tcW w:w="80" w:type="dxa"/>
            <w:vAlign w:val="bottom"/>
            <w:shd w:val="clear" w:color="auto" w:fill="E5F1F8"/>
          </w:tcPr>
          <w:p>
            <w:pPr>
              <w:spacing w:after="0"/>
              <w:rPr>
                <w:sz w:val="24"/>
                <w:szCs w:val="24"/>
                <w:color w:val="auto"/>
              </w:rPr>
            </w:pPr>
          </w:p>
        </w:tc>
        <w:tc>
          <w:tcPr>
            <w:tcW w:w="4180" w:type="dxa"/>
            <w:vAlign w:val="bottom"/>
            <w:tcBorders>
              <w:right w:val="single" w:sz="8" w:color="007CBA"/>
            </w:tcBorders>
            <w:shd w:val="clear" w:color="auto" w:fill="E5F1F8"/>
          </w:tcPr>
          <w:p>
            <w:pPr>
              <w:spacing w:after="0"/>
              <w:rPr>
                <w:sz w:val="20"/>
                <w:szCs w:val="20"/>
                <w:color w:val="auto"/>
              </w:rPr>
            </w:pPr>
            <w:r>
              <w:rPr>
                <w:rFonts w:ascii="Arial" w:cs="Arial" w:eastAsia="Arial" w:hAnsi="Arial"/>
                <w:sz w:val="16"/>
                <w:szCs w:val="16"/>
                <w:color w:val="auto"/>
              </w:rPr>
              <w:t>To provide limited business-related benefits, where</w:t>
            </w:r>
          </w:p>
        </w:tc>
        <w:tc>
          <w:tcPr>
            <w:tcW w:w="4260" w:type="dxa"/>
            <w:vAlign w:val="bottom"/>
            <w:shd w:val="clear" w:color="auto" w:fill="E5F1F8"/>
          </w:tcPr>
          <w:p>
            <w:pPr>
              <w:ind w:left="80"/>
              <w:spacing w:after="0"/>
              <w:rPr>
                <w:sz w:val="20"/>
                <w:szCs w:val="20"/>
                <w:color w:val="auto"/>
              </w:rPr>
            </w:pPr>
            <w:r>
              <w:rPr>
                <w:rFonts w:ascii="Arial" w:cs="Arial" w:eastAsia="Arial" w:hAnsi="Arial"/>
                <w:sz w:val="16"/>
                <w:szCs w:val="16"/>
                <w:color w:val="auto"/>
              </w:rPr>
              <w:t>Fixed compensation component.</w:t>
            </w:r>
          </w:p>
        </w:tc>
        <w:tc>
          <w:tcPr>
            <w:tcW w:w="0" w:type="dxa"/>
            <w:vAlign w:val="bottom"/>
          </w:tcPr>
          <w:p>
            <w:pPr>
              <w:spacing w:after="0"/>
              <w:rPr>
                <w:sz w:val="1"/>
                <w:szCs w:val="1"/>
                <w:color w:val="auto"/>
              </w:rPr>
            </w:pPr>
          </w:p>
        </w:tc>
      </w:tr>
      <w:tr>
        <w:trPr>
          <w:trHeight w:val="164"/>
        </w:trPr>
        <w:tc>
          <w:tcPr>
            <w:tcW w:w="2480" w:type="dxa"/>
            <w:vAlign w:val="bottom"/>
            <w:tcBorders>
              <w:right w:val="single" w:sz="8" w:color="007CBA"/>
            </w:tcBorders>
            <w:shd w:val="clear" w:color="auto" w:fill="E5F1F8"/>
          </w:tcPr>
          <w:p>
            <w:pPr>
              <w:spacing w:after="0"/>
              <w:rPr>
                <w:sz w:val="14"/>
                <w:szCs w:val="14"/>
                <w:color w:val="auto"/>
              </w:rPr>
            </w:pPr>
          </w:p>
        </w:tc>
        <w:tc>
          <w:tcPr>
            <w:tcW w:w="80" w:type="dxa"/>
            <w:vAlign w:val="bottom"/>
            <w:shd w:val="clear" w:color="auto" w:fill="E5F1F8"/>
          </w:tcPr>
          <w:p>
            <w:pPr>
              <w:spacing w:after="0"/>
              <w:rPr>
                <w:sz w:val="14"/>
                <w:szCs w:val="14"/>
                <w:color w:val="auto"/>
              </w:rPr>
            </w:pPr>
          </w:p>
        </w:tc>
        <w:tc>
          <w:tcPr>
            <w:tcW w:w="4180" w:type="dxa"/>
            <w:vAlign w:val="bottom"/>
            <w:tcBorders>
              <w:right w:val="single" w:sz="8" w:color="007CBA"/>
            </w:tcBorders>
            <w:shd w:val="clear" w:color="auto" w:fill="E5F1F8"/>
          </w:tcPr>
          <w:p>
            <w:pPr>
              <w:spacing w:after="0" w:line="164" w:lineRule="exact"/>
              <w:rPr>
                <w:sz w:val="20"/>
                <w:szCs w:val="20"/>
                <w:color w:val="auto"/>
              </w:rPr>
            </w:pPr>
            <w:r>
              <w:rPr>
                <w:rFonts w:ascii="Arial" w:cs="Arial" w:eastAsia="Arial" w:hAnsi="Arial"/>
                <w:sz w:val="16"/>
                <w:szCs w:val="16"/>
                <w:color w:val="auto"/>
              </w:rPr>
              <w:t>appropriate, and to assist in attracting and retaining</w:t>
            </w:r>
          </w:p>
        </w:tc>
        <w:tc>
          <w:tcPr>
            <w:tcW w:w="4260" w:type="dxa"/>
            <w:vAlign w:val="bottom"/>
            <w:shd w:val="clear" w:color="auto" w:fill="E5F1F8"/>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480" w:type="dxa"/>
            <w:vAlign w:val="bottom"/>
            <w:tcBorders>
              <w:bottom w:val="single" w:sz="8" w:color="E5F1F8"/>
              <w:right w:val="single" w:sz="8" w:color="007CBA"/>
            </w:tcBorders>
            <w:shd w:val="clear" w:color="auto" w:fill="E5F1F8"/>
          </w:tcPr>
          <w:p>
            <w:pPr>
              <w:spacing w:after="0"/>
              <w:rPr>
                <w:sz w:val="19"/>
                <w:szCs w:val="19"/>
                <w:color w:val="auto"/>
              </w:rPr>
            </w:pPr>
          </w:p>
        </w:tc>
        <w:tc>
          <w:tcPr>
            <w:tcW w:w="80" w:type="dxa"/>
            <w:vAlign w:val="bottom"/>
            <w:tcBorders>
              <w:bottom w:val="single" w:sz="8" w:color="E5F1F8"/>
            </w:tcBorders>
            <w:shd w:val="clear" w:color="auto" w:fill="E5F1F8"/>
          </w:tcPr>
          <w:p>
            <w:pPr>
              <w:spacing w:after="0"/>
              <w:rPr>
                <w:sz w:val="19"/>
                <w:szCs w:val="19"/>
                <w:color w:val="auto"/>
              </w:rPr>
            </w:pPr>
          </w:p>
        </w:tc>
        <w:tc>
          <w:tcPr>
            <w:tcW w:w="4180" w:type="dxa"/>
            <w:vAlign w:val="bottom"/>
            <w:tcBorders>
              <w:bottom w:val="single" w:sz="8" w:color="E5F1F8"/>
              <w:right w:val="single" w:sz="8" w:color="007CBA"/>
            </w:tcBorders>
            <w:shd w:val="clear" w:color="auto" w:fill="E5F1F8"/>
          </w:tcPr>
          <w:p>
            <w:pPr>
              <w:spacing w:after="0"/>
              <w:rPr>
                <w:sz w:val="20"/>
                <w:szCs w:val="20"/>
                <w:color w:val="auto"/>
              </w:rPr>
            </w:pPr>
            <w:r>
              <w:rPr>
                <w:rFonts w:ascii="Arial" w:cs="Arial" w:eastAsia="Arial" w:hAnsi="Arial"/>
                <w:sz w:val="16"/>
                <w:szCs w:val="16"/>
                <w:color w:val="auto"/>
              </w:rPr>
              <w:t>executive officers.</w:t>
            </w:r>
          </w:p>
        </w:tc>
        <w:tc>
          <w:tcPr>
            <w:tcW w:w="4260" w:type="dxa"/>
            <w:vAlign w:val="bottom"/>
            <w:tcBorders>
              <w:bottom w:val="single" w:sz="8" w:color="E5F1F8"/>
            </w:tcBorders>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480" w:type="dxa"/>
            <w:vAlign w:val="bottom"/>
            <w:tcBorders>
              <w:right w:val="single" w:sz="8" w:color="007CBA"/>
            </w:tcBorders>
          </w:tcPr>
          <w:p>
            <w:pPr>
              <w:ind w:left="60"/>
              <w:spacing w:after="0"/>
              <w:rPr>
                <w:sz w:val="20"/>
                <w:szCs w:val="20"/>
                <w:color w:val="auto"/>
              </w:rPr>
            </w:pPr>
            <w:r>
              <w:rPr>
                <w:rFonts w:ascii="Arial" w:cs="Arial" w:eastAsia="Arial" w:hAnsi="Arial"/>
                <w:sz w:val="16"/>
                <w:szCs w:val="16"/>
                <w:b w:val="1"/>
                <w:bCs w:val="1"/>
                <w:color w:val="auto"/>
              </w:rPr>
              <w:t>Change-in-Control Protection</w:t>
            </w:r>
          </w:p>
        </w:tc>
        <w:tc>
          <w:tcPr>
            <w:tcW w:w="80" w:type="dxa"/>
            <w:vAlign w:val="bottom"/>
          </w:tcPr>
          <w:p>
            <w:pPr>
              <w:spacing w:after="0"/>
              <w:rPr>
                <w:sz w:val="24"/>
                <w:szCs w:val="24"/>
                <w:color w:val="auto"/>
              </w:rPr>
            </w:pPr>
          </w:p>
        </w:tc>
        <w:tc>
          <w:tcPr>
            <w:tcW w:w="4180" w:type="dxa"/>
            <w:vAlign w:val="bottom"/>
            <w:tcBorders>
              <w:right w:val="single" w:sz="8" w:color="007CBA"/>
            </w:tcBorders>
          </w:tcPr>
          <w:p>
            <w:pPr>
              <w:spacing w:after="0"/>
              <w:rPr>
                <w:sz w:val="20"/>
                <w:szCs w:val="20"/>
                <w:color w:val="auto"/>
              </w:rPr>
            </w:pPr>
            <w:r>
              <w:rPr>
                <w:rFonts w:ascii="Arial" w:cs="Arial" w:eastAsia="Arial" w:hAnsi="Arial"/>
                <w:sz w:val="16"/>
                <w:szCs w:val="16"/>
                <w:color w:val="auto"/>
              </w:rPr>
              <w:t>To provide continuity of management and bridge future</w:t>
            </w:r>
          </w:p>
        </w:tc>
        <w:tc>
          <w:tcPr>
            <w:tcW w:w="4260" w:type="dxa"/>
            <w:vAlign w:val="bottom"/>
          </w:tcPr>
          <w:p>
            <w:pPr>
              <w:ind w:left="80"/>
              <w:spacing w:after="0"/>
              <w:rPr>
                <w:sz w:val="20"/>
                <w:szCs w:val="20"/>
                <w:color w:val="auto"/>
              </w:rPr>
            </w:pPr>
            <w:r>
              <w:rPr>
                <w:rFonts w:ascii="Arial" w:cs="Arial" w:eastAsia="Arial" w:hAnsi="Arial"/>
                <w:sz w:val="16"/>
                <w:szCs w:val="16"/>
                <w:color w:val="auto"/>
              </w:rPr>
              <w:t>Fixed compensation component; only paid in the event</w:t>
            </w:r>
          </w:p>
        </w:tc>
        <w:tc>
          <w:tcPr>
            <w:tcW w:w="0" w:type="dxa"/>
            <w:vAlign w:val="bottom"/>
          </w:tcPr>
          <w:p>
            <w:pPr>
              <w:spacing w:after="0"/>
              <w:rPr>
                <w:sz w:val="1"/>
                <w:szCs w:val="1"/>
                <w:color w:val="auto"/>
              </w:rPr>
            </w:pPr>
          </w:p>
        </w:tc>
      </w:tr>
      <w:tr>
        <w:trPr>
          <w:trHeight w:val="164"/>
        </w:trPr>
        <w:tc>
          <w:tcPr>
            <w:tcW w:w="2480" w:type="dxa"/>
            <w:vAlign w:val="bottom"/>
            <w:tcBorders>
              <w:right w:val="single" w:sz="8" w:color="007CBA"/>
            </w:tcBorders>
          </w:tcPr>
          <w:p>
            <w:pPr>
              <w:spacing w:after="0"/>
              <w:rPr>
                <w:sz w:val="14"/>
                <w:szCs w:val="14"/>
                <w:color w:val="auto"/>
              </w:rPr>
            </w:pPr>
          </w:p>
        </w:tc>
        <w:tc>
          <w:tcPr>
            <w:tcW w:w="80" w:type="dxa"/>
            <w:vAlign w:val="bottom"/>
          </w:tcPr>
          <w:p>
            <w:pPr>
              <w:spacing w:after="0"/>
              <w:rPr>
                <w:sz w:val="14"/>
                <w:szCs w:val="14"/>
                <w:color w:val="auto"/>
              </w:rPr>
            </w:pPr>
          </w:p>
        </w:tc>
        <w:tc>
          <w:tcPr>
            <w:tcW w:w="4180" w:type="dxa"/>
            <w:vAlign w:val="bottom"/>
            <w:tcBorders>
              <w:right w:val="single" w:sz="8" w:color="007CBA"/>
            </w:tcBorders>
          </w:tcPr>
          <w:p>
            <w:pPr>
              <w:spacing w:after="0" w:line="164" w:lineRule="exact"/>
              <w:rPr>
                <w:sz w:val="20"/>
                <w:szCs w:val="20"/>
                <w:color w:val="auto"/>
              </w:rPr>
            </w:pPr>
            <w:r>
              <w:rPr>
                <w:rFonts w:ascii="Arial" w:cs="Arial" w:eastAsia="Arial" w:hAnsi="Arial"/>
                <w:sz w:val="16"/>
                <w:szCs w:val="16"/>
                <w:color w:val="auto"/>
              </w:rPr>
              <w:t>employment if terminated following a change-in-control.</w:t>
            </w:r>
          </w:p>
        </w:tc>
        <w:tc>
          <w:tcPr>
            <w:tcW w:w="4260" w:type="dxa"/>
            <w:vAlign w:val="bottom"/>
          </w:tcPr>
          <w:p>
            <w:pPr>
              <w:ind w:left="80"/>
              <w:spacing w:after="0" w:line="164" w:lineRule="exact"/>
              <w:rPr>
                <w:sz w:val="20"/>
                <w:szCs w:val="20"/>
                <w:color w:val="auto"/>
              </w:rPr>
            </w:pPr>
            <w:r>
              <w:rPr>
                <w:rFonts w:ascii="Arial" w:cs="Arial" w:eastAsia="Arial" w:hAnsi="Arial"/>
                <w:sz w:val="16"/>
                <w:szCs w:val="16"/>
                <w:color w:val="auto"/>
              </w:rPr>
              <w:t>the executive’s employment is terminated other than “for</w:t>
            </w:r>
          </w:p>
        </w:tc>
        <w:tc>
          <w:tcPr>
            <w:tcW w:w="0" w:type="dxa"/>
            <w:vAlign w:val="bottom"/>
          </w:tcPr>
          <w:p>
            <w:pPr>
              <w:spacing w:after="0"/>
              <w:rPr>
                <w:sz w:val="1"/>
                <w:szCs w:val="1"/>
                <w:color w:val="auto"/>
              </w:rPr>
            </w:pPr>
          </w:p>
        </w:tc>
      </w:tr>
      <w:tr>
        <w:trPr>
          <w:trHeight w:val="189"/>
        </w:trPr>
        <w:tc>
          <w:tcPr>
            <w:tcW w:w="2480" w:type="dxa"/>
            <w:vAlign w:val="bottom"/>
            <w:tcBorders>
              <w:right w:val="single" w:sz="8" w:color="007CBA"/>
            </w:tcBorders>
          </w:tcPr>
          <w:p>
            <w:pPr>
              <w:spacing w:after="0"/>
              <w:rPr>
                <w:sz w:val="16"/>
                <w:szCs w:val="16"/>
                <w:color w:val="auto"/>
              </w:rPr>
            </w:pPr>
          </w:p>
        </w:tc>
        <w:tc>
          <w:tcPr>
            <w:tcW w:w="80" w:type="dxa"/>
            <w:vAlign w:val="bottom"/>
          </w:tcPr>
          <w:p>
            <w:pPr>
              <w:spacing w:after="0"/>
              <w:rPr>
                <w:sz w:val="16"/>
                <w:szCs w:val="16"/>
                <w:color w:val="auto"/>
              </w:rPr>
            </w:pPr>
          </w:p>
        </w:tc>
        <w:tc>
          <w:tcPr>
            <w:tcW w:w="4180" w:type="dxa"/>
            <w:vAlign w:val="bottom"/>
            <w:tcBorders>
              <w:right w:val="single" w:sz="8" w:color="007CBA"/>
            </w:tcBorders>
          </w:tcPr>
          <w:p>
            <w:pPr>
              <w:spacing w:after="0"/>
              <w:rPr>
                <w:sz w:val="16"/>
                <w:szCs w:val="16"/>
                <w:color w:val="auto"/>
              </w:rPr>
            </w:pPr>
          </w:p>
        </w:tc>
        <w:tc>
          <w:tcPr>
            <w:tcW w:w="4260" w:type="dxa"/>
            <w:vAlign w:val="bottom"/>
          </w:tcPr>
          <w:p>
            <w:pPr>
              <w:ind w:left="80"/>
              <w:spacing w:after="0"/>
              <w:rPr>
                <w:sz w:val="20"/>
                <w:szCs w:val="20"/>
                <w:color w:val="auto"/>
              </w:rPr>
            </w:pPr>
            <w:r>
              <w:rPr>
                <w:rFonts w:ascii="Arial" w:cs="Arial" w:eastAsia="Arial" w:hAnsi="Arial"/>
                <w:sz w:val="16"/>
                <w:szCs w:val="16"/>
                <w:color w:val="auto"/>
              </w:rPr>
              <w:t>cause” or for “good reason”, in either case, in connection</w:t>
            </w:r>
          </w:p>
        </w:tc>
        <w:tc>
          <w:tcPr>
            <w:tcW w:w="0" w:type="dxa"/>
            <w:vAlign w:val="bottom"/>
          </w:tcPr>
          <w:p>
            <w:pPr>
              <w:spacing w:after="0"/>
              <w:rPr>
                <w:sz w:val="1"/>
                <w:szCs w:val="1"/>
                <w:color w:val="auto"/>
              </w:rPr>
            </w:pPr>
          </w:p>
        </w:tc>
      </w:tr>
      <w:tr>
        <w:trPr>
          <w:trHeight w:val="194"/>
        </w:trPr>
        <w:tc>
          <w:tcPr>
            <w:tcW w:w="2480" w:type="dxa"/>
            <w:vAlign w:val="bottom"/>
            <w:tcBorders>
              <w:right w:val="single" w:sz="8" w:color="007CBA"/>
            </w:tcBorders>
          </w:tcPr>
          <w:p>
            <w:pPr>
              <w:spacing w:after="0"/>
              <w:rPr>
                <w:sz w:val="16"/>
                <w:szCs w:val="16"/>
                <w:color w:val="auto"/>
              </w:rPr>
            </w:pPr>
          </w:p>
        </w:tc>
        <w:tc>
          <w:tcPr>
            <w:tcW w:w="80" w:type="dxa"/>
            <w:vAlign w:val="bottom"/>
          </w:tcPr>
          <w:p>
            <w:pPr>
              <w:spacing w:after="0"/>
              <w:rPr>
                <w:sz w:val="16"/>
                <w:szCs w:val="16"/>
                <w:color w:val="auto"/>
              </w:rPr>
            </w:pPr>
          </w:p>
        </w:tc>
        <w:tc>
          <w:tcPr>
            <w:tcW w:w="4180" w:type="dxa"/>
            <w:vAlign w:val="bottom"/>
            <w:tcBorders>
              <w:right w:val="single" w:sz="8" w:color="007CBA"/>
            </w:tcBorders>
          </w:tcPr>
          <w:p>
            <w:pPr>
              <w:spacing w:after="0"/>
              <w:rPr>
                <w:sz w:val="16"/>
                <w:szCs w:val="16"/>
                <w:color w:val="auto"/>
              </w:rPr>
            </w:pPr>
          </w:p>
        </w:tc>
        <w:tc>
          <w:tcPr>
            <w:tcW w:w="4260" w:type="dxa"/>
            <w:vAlign w:val="bottom"/>
          </w:tcPr>
          <w:p>
            <w:pPr>
              <w:ind w:left="80"/>
              <w:spacing w:after="0"/>
              <w:rPr>
                <w:sz w:val="20"/>
                <w:szCs w:val="20"/>
                <w:color w:val="auto"/>
              </w:rPr>
            </w:pPr>
            <w:r>
              <w:rPr>
                <w:rFonts w:ascii="Arial" w:cs="Arial" w:eastAsia="Arial" w:hAnsi="Arial"/>
                <w:sz w:val="16"/>
                <w:szCs w:val="16"/>
                <w:color w:val="auto"/>
              </w:rPr>
              <w:t>with a change in control.</w:t>
            </w:r>
          </w:p>
        </w:tc>
        <w:tc>
          <w:tcPr>
            <w:tcW w:w="0" w:type="dxa"/>
            <w:vAlign w:val="bottom"/>
          </w:tcPr>
          <w:p>
            <w:pPr>
              <w:spacing w:after="0"/>
              <w:rPr>
                <w:sz w:val="1"/>
                <w:szCs w:val="1"/>
                <w:color w:val="auto"/>
              </w:rPr>
            </w:pPr>
          </w:p>
        </w:tc>
      </w:tr>
      <w:tr>
        <w:trPr>
          <w:trHeight w:val="46"/>
        </w:trPr>
        <w:tc>
          <w:tcPr>
            <w:tcW w:w="2480" w:type="dxa"/>
            <w:vAlign w:val="bottom"/>
            <w:tcBorders>
              <w:bottom w:val="single" w:sz="8" w:color="007CBA"/>
              <w:right w:val="single" w:sz="8" w:color="007CBA"/>
            </w:tcBorders>
          </w:tcPr>
          <w:p>
            <w:pPr>
              <w:spacing w:after="0"/>
              <w:rPr>
                <w:sz w:val="4"/>
                <w:szCs w:val="4"/>
                <w:color w:val="auto"/>
              </w:rPr>
            </w:pPr>
          </w:p>
        </w:tc>
        <w:tc>
          <w:tcPr>
            <w:tcW w:w="80" w:type="dxa"/>
            <w:vAlign w:val="bottom"/>
            <w:tcBorders>
              <w:bottom w:val="single" w:sz="8" w:color="007CBA"/>
            </w:tcBorders>
          </w:tcPr>
          <w:p>
            <w:pPr>
              <w:spacing w:after="0"/>
              <w:rPr>
                <w:sz w:val="4"/>
                <w:szCs w:val="4"/>
                <w:color w:val="auto"/>
              </w:rPr>
            </w:pPr>
          </w:p>
        </w:tc>
        <w:tc>
          <w:tcPr>
            <w:tcW w:w="4180" w:type="dxa"/>
            <w:vAlign w:val="bottom"/>
            <w:tcBorders>
              <w:bottom w:val="single" w:sz="8" w:color="007CBA"/>
              <w:right w:val="single" w:sz="8" w:color="007CBA"/>
            </w:tcBorders>
          </w:tcPr>
          <w:p>
            <w:pPr>
              <w:spacing w:after="0"/>
              <w:rPr>
                <w:sz w:val="4"/>
                <w:szCs w:val="4"/>
                <w:color w:val="auto"/>
              </w:rPr>
            </w:pPr>
          </w:p>
        </w:tc>
        <w:tc>
          <w:tcPr>
            <w:tcW w:w="4260" w:type="dxa"/>
            <w:vAlign w:val="bottom"/>
            <w:tcBorders>
              <w:bottom w:val="single" w:sz="8" w:color="007CBA"/>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3517265</wp:posOffset>
            </wp:positionH>
            <wp:positionV relativeFrom="paragraph">
              <wp:posOffset>93980</wp:posOffset>
            </wp:positionV>
            <wp:extent cx="410845" cy="2482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163" w:lineRule="exact"/>
        <w:rPr>
          <w:sz w:val="20"/>
          <w:szCs w:val="20"/>
          <w:color w:val="auto"/>
        </w:rPr>
      </w:pPr>
    </w:p>
    <w:p>
      <w:pPr>
        <w:ind w:left="640" w:hanging="430"/>
        <w:spacing w:after="0"/>
        <w:tabs>
          <w:tab w:leader="none" w:pos="640" w:val="left"/>
        </w:tabs>
        <w:numPr>
          <w:ilvl w:val="0"/>
          <w:numId w:val="95"/>
        </w:numPr>
        <w:rPr>
          <w:rFonts w:ascii="Arial" w:cs="Arial" w:eastAsia="Arial" w:hAnsi="Arial"/>
          <w:sz w:val="13"/>
          <w:szCs w:val="13"/>
          <w:b w:val="1"/>
          <w:bCs w:val="1"/>
          <w:color w:val="auto"/>
        </w:rPr>
      </w:pPr>
      <w:r>
        <w:rPr>
          <w:rFonts w:ascii="Arial" w:cs="Arial" w:eastAsia="Arial" w:hAnsi="Arial"/>
          <w:sz w:val="13"/>
          <w:szCs w:val="13"/>
          <w:color w:val="007CBA"/>
        </w:rPr>
        <w:t>2019 PROXY STATEMENT</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9" w:lineRule="exact"/>
        <w:rPr>
          <w:sz w:val="20"/>
          <w:szCs w:val="20"/>
          <w:color w:val="auto"/>
        </w:rPr>
      </w:pPr>
    </w:p>
    <w:p>
      <w:pPr>
        <w:ind w:left="5700"/>
        <w:spacing w:after="0" w:line="288" w:lineRule="exact"/>
        <w:rPr>
          <w:sz w:val="20"/>
          <w:szCs w:val="20"/>
          <w:color w:val="auto"/>
        </w:rPr>
      </w:pPr>
      <w:r>
        <w:rPr>
          <w:rFonts w:ascii="Arial" w:cs="Arial" w:eastAsia="Arial" w:hAnsi="Arial"/>
          <w:sz w:val="13"/>
          <w:szCs w:val="13"/>
          <w:color w:val="auto"/>
        </w:rPr>
        <w:t xml:space="preserve">Considerations Regarding 2018 Compensation </w:t>
      </w:r>
      <w:r>
        <w:rPr>
          <w:rFonts w:ascii="MS PGothic" w:cs="MS PGothic" w:eastAsia="MS PGothic" w:hAnsi="MS PGothic"/>
          <w:sz w:val="25"/>
          <w:szCs w:val="25"/>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Compensation Discussion and Analysis</w:t>
      </w: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7CBA"/>
        </w:rPr>
        <w:t>Considerations Regarding 2018 Compensation</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The following chart summarizes the </w:t>
      </w:r>
      <w:r>
        <w:rPr>
          <w:rFonts w:ascii="Arial" w:cs="Arial" w:eastAsia="Arial" w:hAnsi="Arial"/>
          <w:sz w:val="16"/>
          <w:szCs w:val="16"/>
          <w:b w:val="1"/>
          <w:bCs w:val="1"/>
          <w:color w:val="auto"/>
        </w:rPr>
        <w:t>target</w:t>
      </w:r>
      <w:r>
        <w:rPr>
          <w:rFonts w:ascii="Arial" w:cs="Arial" w:eastAsia="Arial" w:hAnsi="Arial"/>
          <w:sz w:val="16"/>
          <w:szCs w:val="16"/>
          <w:color w:val="auto"/>
        </w:rPr>
        <w:t xml:space="preserve"> compensation in our 2018 executive compensation program:</w:t>
      </w:r>
    </w:p>
    <w:p>
      <w:pPr>
        <w:spacing w:after="0" w:line="266" w:lineRule="exact"/>
        <w:rPr>
          <w:sz w:val="20"/>
          <w:szCs w:val="20"/>
          <w:color w:val="auto"/>
        </w:rPr>
      </w:pPr>
    </w:p>
    <w:tbl>
      <w:tblPr>
        <w:tblLayout w:type="fixed"/>
        <w:tblInd w:w="220" w:type="dxa"/>
        <w:tblCellMar>
          <w:top w:w="0" w:type="dxa"/>
          <w:left w:w="0" w:type="dxa"/>
          <w:bottom w:w="0" w:type="dxa"/>
          <w:right w:w="0" w:type="dxa"/>
        </w:tblCellMar>
      </w:tblPr>
      <w:tr>
        <w:trPr>
          <w:trHeight w:val="256"/>
        </w:trPr>
        <w:tc>
          <w:tcPr>
            <w:tcW w:w="1720" w:type="dxa"/>
            <w:vAlign w:val="bottom"/>
            <w:shd w:val="clear" w:color="auto" w:fill="007CBA"/>
          </w:tcPr>
          <w:p>
            <w:pPr>
              <w:ind w:left="60"/>
              <w:spacing w:after="0"/>
              <w:rPr>
                <w:sz w:val="20"/>
                <w:szCs w:val="20"/>
                <w:color w:val="auto"/>
              </w:rPr>
            </w:pPr>
            <w:r>
              <w:rPr>
                <w:rFonts w:ascii="Arial" w:cs="Arial" w:eastAsia="Arial" w:hAnsi="Arial"/>
                <w:sz w:val="16"/>
                <w:szCs w:val="16"/>
                <w:b w:val="1"/>
                <w:bCs w:val="1"/>
                <w:color w:val="FFFFFF"/>
              </w:rPr>
              <w:t>Pay Component</w:t>
            </w:r>
          </w:p>
        </w:tc>
        <w:tc>
          <w:tcPr>
            <w:tcW w:w="9280" w:type="dxa"/>
            <w:vAlign w:val="bottom"/>
            <w:gridSpan w:val="2"/>
            <w:shd w:val="clear" w:color="auto" w:fill="007CBA"/>
          </w:tcPr>
          <w:p>
            <w:pPr>
              <w:ind w:left="420"/>
              <w:spacing w:after="0"/>
              <w:rPr>
                <w:sz w:val="20"/>
                <w:szCs w:val="20"/>
                <w:color w:val="auto"/>
              </w:rPr>
            </w:pPr>
            <w:r>
              <w:rPr>
                <w:rFonts w:ascii="Arial" w:cs="Arial" w:eastAsia="Arial" w:hAnsi="Arial"/>
                <w:sz w:val="16"/>
                <w:szCs w:val="16"/>
                <w:b w:val="1"/>
                <w:bCs w:val="1"/>
                <w:color w:val="FFFFFF"/>
              </w:rPr>
              <w:t>Summary</w:t>
            </w:r>
          </w:p>
        </w:tc>
      </w:tr>
      <w:tr>
        <w:trPr>
          <w:trHeight w:val="231"/>
        </w:trPr>
        <w:tc>
          <w:tcPr>
            <w:tcW w:w="1720" w:type="dxa"/>
            <w:vAlign w:val="bottom"/>
          </w:tcPr>
          <w:p>
            <w:pPr>
              <w:ind w:left="60"/>
              <w:spacing w:after="0"/>
              <w:rPr>
                <w:sz w:val="20"/>
                <w:szCs w:val="20"/>
                <w:color w:val="auto"/>
              </w:rPr>
            </w:pPr>
            <w:r>
              <w:rPr>
                <w:rFonts w:ascii="Arial" w:cs="Arial" w:eastAsia="Arial" w:hAnsi="Arial"/>
                <w:sz w:val="16"/>
                <w:szCs w:val="16"/>
                <w:b w:val="1"/>
                <w:bCs w:val="1"/>
                <w:color w:val="auto"/>
              </w:rPr>
              <w:t>Base Salary</w:t>
            </w:r>
          </w:p>
        </w:tc>
        <w:tc>
          <w:tcPr>
            <w:tcW w:w="640" w:type="dxa"/>
            <w:vAlign w:val="bottom"/>
          </w:tcPr>
          <w:p>
            <w:pPr>
              <w:ind w:left="500"/>
              <w:spacing w:after="0"/>
              <w:rPr>
                <w:sz w:val="20"/>
                <w:szCs w:val="20"/>
                <w:color w:val="auto"/>
              </w:rPr>
            </w:pPr>
            <w:r>
              <w:rPr>
                <w:rFonts w:ascii="Arial" w:cs="Arial" w:eastAsia="Arial" w:hAnsi="Arial"/>
                <w:sz w:val="16"/>
                <w:szCs w:val="16"/>
                <w:color w:val="007CBA"/>
              </w:rPr>
              <w:t>•</w:t>
            </w:r>
          </w:p>
        </w:tc>
        <w:tc>
          <w:tcPr>
            <w:tcW w:w="8640" w:type="dxa"/>
            <w:vAlign w:val="bottom"/>
          </w:tcPr>
          <w:p>
            <w:pPr>
              <w:ind w:left="100"/>
              <w:spacing w:after="0"/>
              <w:rPr>
                <w:sz w:val="20"/>
                <w:szCs w:val="20"/>
                <w:color w:val="auto"/>
              </w:rPr>
            </w:pPr>
            <w:r>
              <w:rPr>
                <w:rFonts w:ascii="Arial" w:cs="Arial" w:eastAsia="Arial" w:hAnsi="Arial"/>
                <w:sz w:val="16"/>
                <w:szCs w:val="16"/>
                <w:color w:val="auto"/>
              </w:rPr>
              <w:t>At the February 2018 meeting, the Committee reviewed competitive market data and individual performance</w:t>
            </w:r>
          </w:p>
        </w:tc>
      </w:tr>
      <w:tr>
        <w:trPr>
          <w:trHeight w:val="194"/>
        </w:trPr>
        <w:tc>
          <w:tcPr>
            <w:tcW w:w="1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40" w:type="dxa"/>
            <w:vAlign w:val="bottom"/>
          </w:tcPr>
          <w:p>
            <w:pPr>
              <w:ind w:left="100"/>
              <w:spacing w:after="0"/>
              <w:rPr>
                <w:sz w:val="20"/>
                <w:szCs w:val="20"/>
                <w:color w:val="auto"/>
              </w:rPr>
            </w:pPr>
            <w:r>
              <w:rPr>
                <w:rFonts w:ascii="Arial" w:cs="Arial" w:eastAsia="Arial" w:hAnsi="Arial"/>
                <w:sz w:val="16"/>
                <w:szCs w:val="16"/>
                <w:color w:val="auto"/>
              </w:rPr>
              <w:t>evaluations. Increases were effective March 1, 2018 for all NEOs.</w:t>
            </w:r>
          </w:p>
        </w:tc>
      </w:tr>
      <w:tr>
        <w:trPr>
          <w:trHeight w:val="46"/>
        </w:trPr>
        <w:tc>
          <w:tcPr>
            <w:tcW w:w="1720" w:type="dxa"/>
            <w:vAlign w:val="bottom"/>
            <w:tcBorders>
              <w:bottom w:val="single" w:sz="8" w:color="007CBA"/>
            </w:tcBorders>
          </w:tcPr>
          <w:p>
            <w:pPr>
              <w:spacing w:after="0"/>
              <w:rPr>
                <w:sz w:val="4"/>
                <w:szCs w:val="4"/>
                <w:color w:val="auto"/>
              </w:rPr>
            </w:pPr>
          </w:p>
        </w:tc>
        <w:tc>
          <w:tcPr>
            <w:tcW w:w="640" w:type="dxa"/>
            <w:vAlign w:val="bottom"/>
            <w:tcBorders>
              <w:bottom w:val="single" w:sz="8" w:color="007CBA"/>
            </w:tcBorders>
          </w:tcPr>
          <w:p>
            <w:pPr>
              <w:spacing w:after="0"/>
              <w:rPr>
                <w:sz w:val="4"/>
                <w:szCs w:val="4"/>
                <w:color w:val="auto"/>
              </w:rPr>
            </w:pPr>
          </w:p>
        </w:tc>
        <w:tc>
          <w:tcPr>
            <w:tcW w:w="8640" w:type="dxa"/>
            <w:vAlign w:val="bottom"/>
            <w:tcBorders>
              <w:bottom w:val="single" w:sz="8" w:color="007CBA"/>
            </w:tcBorders>
          </w:tcPr>
          <w:p>
            <w:pPr>
              <w:spacing w:after="0"/>
              <w:rPr>
                <w:sz w:val="4"/>
                <w:szCs w:val="4"/>
                <w:color w:val="auto"/>
              </w:rPr>
            </w:pPr>
          </w:p>
        </w:tc>
      </w:tr>
      <w:tr>
        <w:trPr>
          <w:trHeight w:val="205"/>
        </w:trPr>
        <w:tc>
          <w:tcPr>
            <w:tcW w:w="1720" w:type="dxa"/>
            <w:vAlign w:val="bottom"/>
          </w:tcPr>
          <w:p>
            <w:pPr>
              <w:ind w:left="60"/>
              <w:spacing w:after="0"/>
              <w:rPr>
                <w:sz w:val="20"/>
                <w:szCs w:val="20"/>
                <w:color w:val="auto"/>
              </w:rPr>
            </w:pPr>
            <w:r>
              <w:rPr>
                <w:rFonts w:ascii="Arial" w:cs="Arial" w:eastAsia="Arial" w:hAnsi="Arial"/>
                <w:sz w:val="16"/>
                <w:szCs w:val="16"/>
                <w:b w:val="1"/>
                <w:bCs w:val="1"/>
                <w:color w:val="auto"/>
              </w:rPr>
              <w:t>Target Annual</w:t>
            </w:r>
          </w:p>
        </w:tc>
        <w:tc>
          <w:tcPr>
            <w:tcW w:w="640" w:type="dxa"/>
            <w:vAlign w:val="bottom"/>
          </w:tcPr>
          <w:p>
            <w:pPr>
              <w:ind w:left="500"/>
              <w:spacing w:after="0"/>
              <w:rPr>
                <w:sz w:val="20"/>
                <w:szCs w:val="20"/>
                <w:color w:val="auto"/>
              </w:rPr>
            </w:pPr>
            <w:r>
              <w:rPr>
                <w:rFonts w:ascii="Arial" w:cs="Arial" w:eastAsia="Arial" w:hAnsi="Arial"/>
                <w:sz w:val="16"/>
                <w:szCs w:val="16"/>
                <w:color w:val="007CBA"/>
              </w:rPr>
              <w:t>•</w:t>
            </w:r>
          </w:p>
        </w:tc>
        <w:tc>
          <w:tcPr>
            <w:tcW w:w="8640" w:type="dxa"/>
            <w:vAlign w:val="bottom"/>
          </w:tcPr>
          <w:p>
            <w:pPr>
              <w:ind w:left="100"/>
              <w:spacing w:after="0"/>
              <w:rPr>
                <w:sz w:val="20"/>
                <w:szCs w:val="20"/>
                <w:color w:val="auto"/>
              </w:rPr>
            </w:pPr>
            <w:r>
              <w:rPr>
                <w:rFonts w:ascii="Arial" w:cs="Arial" w:eastAsia="Arial" w:hAnsi="Arial"/>
                <w:sz w:val="16"/>
                <w:szCs w:val="16"/>
                <w:color w:val="auto"/>
              </w:rPr>
              <w:t>NEO target bonuses (as a percentage of base earnings) did not change in 2018. Our CEO’s target incentive for</w:t>
            </w:r>
          </w:p>
        </w:tc>
      </w:tr>
      <w:tr>
        <w:trPr>
          <w:trHeight w:val="209"/>
        </w:trPr>
        <w:tc>
          <w:tcPr>
            <w:tcW w:w="1720" w:type="dxa"/>
            <w:vAlign w:val="bottom"/>
          </w:tcPr>
          <w:p>
            <w:pPr>
              <w:ind w:left="60"/>
              <w:spacing w:after="0"/>
              <w:rPr>
                <w:sz w:val="20"/>
                <w:szCs w:val="20"/>
                <w:color w:val="auto"/>
              </w:rPr>
            </w:pPr>
            <w:r>
              <w:rPr>
                <w:rFonts w:ascii="Arial" w:cs="Arial" w:eastAsia="Arial" w:hAnsi="Arial"/>
                <w:sz w:val="16"/>
                <w:szCs w:val="16"/>
                <w:b w:val="1"/>
                <w:bCs w:val="1"/>
                <w:color w:val="auto"/>
              </w:rPr>
              <w:t>Cash Incentives</w:t>
            </w:r>
          </w:p>
        </w:tc>
        <w:tc>
          <w:tcPr>
            <w:tcW w:w="640" w:type="dxa"/>
            <w:vAlign w:val="bottom"/>
          </w:tcPr>
          <w:p>
            <w:pPr>
              <w:spacing w:after="0"/>
              <w:rPr>
                <w:sz w:val="18"/>
                <w:szCs w:val="18"/>
                <w:color w:val="auto"/>
              </w:rPr>
            </w:pPr>
          </w:p>
        </w:tc>
        <w:tc>
          <w:tcPr>
            <w:tcW w:w="8640" w:type="dxa"/>
            <w:vAlign w:val="bottom"/>
          </w:tcPr>
          <w:p>
            <w:pPr>
              <w:ind w:left="100"/>
              <w:spacing w:after="0"/>
              <w:rPr>
                <w:sz w:val="20"/>
                <w:szCs w:val="20"/>
                <w:color w:val="auto"/>
              </w:rPr>
            </w:pPr>
            <w:r>
              <w:rPr>
                <w:rFonts w:ascii="Arial" w:cs="Arial" w:eastAsia="Arial" w:hAnsi="Arial"/>
                <w:sz w:val="16"/>
                <w:szCs w:val="16"/>
                <w:color w:val="auto"/>
              </w:rPr>
              <w:t>2018 was 110% of base earnings. Other NEOs, target incentives for 2018 were 70% to 80% of base earnings.</w:t>
            </w:r>
          </w:p>
        </w:tc>
      </w:tr>
    </w:tbl>
    <w:p>
      <w:pPr>
        <w:ind w:left="2680" w:right="180" w:hanging="244"/>
        <w:spacing w:after="0" w:line="246" w:lineRule="auto"/>
        <w:tabs>
          <w:tab w:leader="none" w:pos="2666" w:val="left"/>
        </w:tabs>
        <w:numPr>
          <w:ilvl w:val="0"/>
          <w:numId w:val="96"/>
        </w:numPr>
        <w:rPr>
          <w:rFonts w:ascii="Arial" w:cs="Arial" w:eastAsia="Arial" w:hAnsi="Arial"/>
          <w:sz w:val="16"/>
          <w:szCs w:val="16"/>
          <w:color w:val="007CBA"/>
        </w:rPr>
      </w:pPr>
      <w:r>
        <w:rPr>
          <w:rFonts w:ascii="Arial" w:cs="Arial" w:eastAsia="Arial" w:hAnsi="Arial"/>
          <w:sz w:val="16"/>
          <w:szCs w:val="16"/>
          <w:color w:val="auto"/>
        </w:rPr>
        <w:t>Our shareholders in 2016 approved a new Executive Cash Incentive Plan that fixed the bonus amounts based on certain objective criteria and allowed the Committee to reduce the award based on enumerated factors in the plan.</w:t>
      </w:r>
    </w:p>
    <w:p>
      <w:pPr>
        <w:ind w:left="2680" w:right="180" w:hanging="244"/>
        <w:spacing w:after="0" w:line="246" w:lineRule="auto"/>
        <w:tabs>
          <w:tab w:leader="none" w:pos="2666" w:val="left"/>
        </w:tabs>
        <w:numPr>
          <w:ilvl w:val="0"/>
          <w:numId w:val="96"/>
        </w:numPr>
        <w:rPr>
          <w:rFonts w:ascii="Arial" w:cs="Arial" w:eastAsia="Arial" w:hAnsi="Arial"/>
          <w:sz w:val="16"/>
          <w:szCs w:val="16"/>
          <w:color w:val="007CBA"/>
        </w:rPr>
      </w:pPr>
      <w:r>
        <w:rPr>
          <w:rFonts w:ascii="Arial" w:cs="Arial" w:eastAsia="Arial" w:hAnsi="Arial"/>
          <w:sz w:val="16"/>
          <w:szCs w:val="16"/>
          <w:color w:val="auto"/>
        </w:rPr>
        <w:t>Our CEO is required to invest a minimum of 35% of his annual cash bonus into stock units, which are held generally for a period of three years.</w:t>
      </w:r>
    </w:p>
    <w:p>
      <w:pPr>
        <w:ind w:left="2680" w:right="180" w:hanging="244"/>
        <w:spacing w:after="0" w:line="260" w:lineRule="auto"/>
        <w:tabs>
          <w:tab w:leader="none" w:pos="2666" w:val="left"/>
        </w:tabs>
        <w:numPr>
          <w:ilvl w:val="0"/>
          <w:numId w:val="96"/>
        </w:numPr>
        <w:rPr>
          <w:rFonts w:ascii="Arial" w:cs="Arial" w:eastAsia="Arial" w:hAnsi="Arial"/>
          <w:sz w:val="16"/>
          <w:szCs w:val="16"/>
          <w:color w:val="007CBA"/>
        </w:rPr>
      </w:pPr>
      <w:r>
        <w:rPr>
          <w:rFonts w:ascii="Arial" w:cs="Arial" w:eastAsia="Arial" w:hAnsi="Arial"/>
          <w:sz w:val="16"/>
          <w:szCs w:val="16"/>
          <w:color w:val="auto"/>
        </w:rPr>
        <w:t>Other NEOs are required to invest a minimum of 20% of their annual cash bonus into stock units, which are held generally for a period of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19685</wp:posOffset>
            </wp:positionV>
            <wp:extent cx="698944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47"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1560" w:type="dxa"/>
            <w:vAlign w:val="bottom"/>
          </w:tcPr>
          <w:p>
            <w:pPr>
              <w:ind w:left="60"/>
              <w:spacing w:after="0"/>
              <w:rPr>
                <w:sz w:val="20"/>
                <w:szCs w:val="20"/>
                <w:color w:val="auto"/>
              </w:rPr>
            </w:pPr>
            <w:r>
              <w:rPr>
                <w:rFonts w:ascii="Arial" w:cs="Arial" w:eastAsia="Arial" w:hAnsi="Arial"/>
                <w:sz w:val="16"/>
                <w:szCs w:val="16"/>
                <w:b w:val="1"/>
                <w:bCs w:val="1"/>
                <w:color w:val="auto"/>
              </w:rPr>
              <w:t>Long-Term</w:t>
            </w:r>
          </w:p>
        </w:tc>
        <w:tc>
          <w:tcPr>
            <w:tcW w:w="9440" w:type="dxa"/>
            <w:vAlign w:val="bottom"/>
          </w:tcPr>
          <w:p>
            <w:pPr>
              <w:ind w:left="660"/>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Our LTI structure consists of PSUs and performance-based RSUs.</w:t>
            </w:r>
          </w:p>
        </w:tc>
      </w:tr>
      <w:tr>
        <w:trPr>
          <w:trHeight w:val="209"/>
        </w:trPr>
        <w:tc>
          <w:tcPr>
            <w:tcW w:w="1560" w:type="dxa"/>
            <w:vAlign w:val="bottom"/>
          </w:tcPr>
          <w:p>
            <w:pPr>
              <w:ind w:left="60"/>
              <w:spacing w:after="0"/>
              <w:rPr>
                <w:sz w:val="20"/>
                <w:szCs w:val="20"/>
                <w:color w:val="auto"/>
              </w:rPr>
            </w:pPr>
            <w:r>
              <w:rPr>
                <w:rFonts w:ascii="Arial" w:cs="Arial" w:eastAsia="Arial" w:hAnsi="Arial"/>
                <w:sz w:val="16"/>
                <w:szCs w:val="16"/>
                <w:b w:val="1"/>
                <w:bCs w:val="1"/>
                <w:color w:val="auto"/>
              </w:rPr>
              <w:t>Incentives</w:t>
            </w:r>
          </w:p>
        </w:tc>
        <w:tc>
          <w:tcPr>
            <w:tcW w:w="9440" w:type="dxa"/>
            <w:vAlign w:val="bottom"/>
          </w:tcPr>
          <w:p>
            <w:pPr>
              <w:ind w:left="660"/>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The LTI awards for NEOs in 2018 were weighted 55% PSUs and 45% RSUs. The LTI grant size is based on</w:t>
            </w:r>
          </w:p>
        </w:tc>
      </w:tr>
      <w:tr>
        <w:trPr>
          <w:trHeight w:val="189"/>
        </w:trPr>
        <w:tc>
          <w:tcPr>
            <w:tcW w:w="1560" w:type="dxa"/>
            <w:vAlign w:val="bottom"/>
          </w:tcPr>
          <w:p>
            <w:pPr>
              <w:spacing w:after="0"/>
              <w:rPr>
                <w:sz w:val="16"/>
                <w:szCs w:val="16"/>
                <w:color w:val="auto"/>
              </w:rPr>
            </w:pPr>
          </w:p>
        </w:tc>
        <w:tc>
          <w:tcPr>
            <w:tcW w:w="9440" w:type="dxa"/>
            <w:vAlign w:val="bottom"/>
          </w:tcPr>
          <w:p>
            <w:pPr>
              <w:ind w:left="900"/>
              <w:spacing w:after="0"/>
              <w:rPr>
                <w:sz w:val="20"/>
                <w:szCs w:val="20"/>
                <w:color w:val="auto"/>
              </w:rPr>
            </w:pPr>
            <w:r>
              <w:rPr>
                <w:rFonts w:ascii="Arial" w:cs="Arial" w:eastAsia="Arial" w:hAnsi="Arial"/>
                <w:sz w:val="16"/>
                <w:szCs w:val="16"/>
                <w:color w:val="auto"/>
              </w:rPr>
              <w:t>competitive market data.</w:t>
            </w:r>
          </w:p>
        </w:tc>
      </w:tr>
      <w:tr>
        <w:trPr>
          <w:trHeight w:val="189"/>
        </w:trPr>
        <w:tc>
          <w:tcPr>
            <w:tcW w:w="1560" w:type="dxa"/>
            <w:vAlign w:val="bottom"/>
          </w:tcPr>
          <w:p>
            <w:pPr>
              <w:spacing w:after="0"/>
              <w:rPr>
                <w:sz w:val="16"/>
                <w:szCs w:val="16"/>
                <w:color w:val="auto"/>
              </w:rPr>
            </w:pPr>
          </w:p>
        </w:tc>
        <w:tc>
          <w:tcPr>
            <w:tcW w:w="9440" w:type="dxa"/>
            <w:vAlign w:val="bottom"/>
          </w:tcPr>
          <w:p>
            <w:pPr>
              <w:ind w:left="660"/>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PSU awards in 2018 are earned based on achievement of performance levels, with 33% based on three-year</w:t>
            </w:r>
          </w:p>
        </w:tc>
      </w:tr>
      <w:tr>
        <w:trPr>
          <w:trHeight w:val="189"/>
        </w:trPr>
        <w:tc>
          <w:tcPr>
            <w:tcW w:w="1560" w:type="dxa"/>
            <w:vAlign w:val="bottom"/>
          </w:tcPr>
          <w:p>
            <w:pPr>
              <w:spacing w:after="0"/>
              <w:rPr>
                <w:sz w:val="16"/>
                <w:szCs w:val="16"/>
                <w:color w:val="auto"/>
              </w:rPr>
            </w:pPr>
          </w:p>
        </w:tc>
        <w:tc>
          <w:tcPr>
            <w:tcW w:w="9440" w:type="dxa"/>
            <w:vAlign w:val="bottom"/>
          </w:tcPr>
          <w:p>
            <w:pPr>
              <w:ind w:left="900"/>
              <w:spacing w:after="0"/>
              <w:rPr>
                <w:sz w:val="20"/>
                <w:szCs w:val="20"/>
                <w:color w:val="auto"/>
              </w:rPr>
            </w:pPr>
            <w:r>
              <w:rPr>
                <w:rFonts w:ascii="Arial" w:cs="Arial" w:eastAsia="Arial" w:hAnsi="Arial"/>
                <w:sz w:val="16"/>
                <w:szCs w:val="16"/>
                <w:color w:val="auto"/>
              </w:rPr>
              <w:t>cumulative Sales Growth and 67% based on three-year cumulative adjusted EBITDA performance. The Company’s</w:t>
            </w:r>
          </w:p>
        </w:tc>
      </w:tr>
      <w:tr>
        <w:trPr>
          <w:trHeight w:val="189"/>
        </w:trPr>
        <w:tc>
          <w:tcPr>
            <w:tcW w:w="1560" w:type="dxa"/>
            <w:vAlign w:val="bottom"/>
          </w:tcPr>
          <w:p>
            <w:pPr>
              <w:spacing w:after="0"/>
              <w:rPr>
                <w:sz w:val="16"/>
                <w:szCs w:val="16"/>
                <w:color w:val="auto"/>
              </w:rPr>
            </w:pPr>
          </w:p>
        </w:tc>
        <w:tc>
          <w:tcPr>
            <w:tcW w:w="9440" w:type="dxa"/>
            <w:vAlign w:val="bottom"/>
          </w:tcPr>
          <w:p>
            <w:pPr>
              <w:ind w:left="900"/>
              <w:spacing w:after="0"/>
              <w:rPr>
                <w:sz w:val="20"/>
                <w:szCs w:val="20"/>
                <w:color w:val="auto"/>
              </w:rPr>
            </w:pPr>
            <w:r>
              <w:rPr>
                <w:rFonts w:ascii="Arial" w:cs="Arial" w:eastAsia="Arial" w:hAnsi="Arial"/>
                <w:sz w:val="16"/>
                <w:szCs w:val="16"/>
                <w:color w:val="auto"/>
              </w:rPr>
              <w:t>relative TSR ranking compared to the S&amp;P 500 provides a modifier to the award up to 20%.</w:t>
            </w:r>
          </w:p>
        </w:tc>
      </w:tr>
      <w:tr>
        <w:trPr>
          <w:trHeight w:val="194"/>
        </w:trPr>
        <w:tc>
          <w:tcPr>
            <w:tcW w:w="1560" w:type="dxa"/>
            <w:vAlign w:val="bottom"/>
          </w:tcPr>
          <w:p>
            <w:pPr>
              <w:spacing w:after="0"/>
              <w:rPr>
                <w:sz w:val="16"/>
                <w:szCs w:val="16"/>
                <w:color w:val="auto"/>
              </w:rPr>
            </w:pPr>
          </w:p>
        </w:tc>
        <w:tc>
          <w:tcPr>
            <w:tcW w:w="9440" w:type="dxa"/>
            <w:vAlign w:val="bottom"/>
          </w:tcPr>
          <w:p>
            <w:pPr>
              <w:ind w:left="660"/>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RSU awards to NEOs in 2018 are subject to the achievement of one-year adjusted EBITDA performance.</w:t>
            </w:r>
          </w:p>
        </w:tc>
      </w:tr>
      <w:tr>
        <w:trPr>
          <w:trHeight w:val="46"/>
        </w:trPr>
        <w:tc>
          <w:tcPr>
            <w:tcW w:w="1560" w:type="dxa"/>
            <w:vAlign w:val="bottom"/>
            <w:tcBorders>
              <w:bottom w:val="single" w:sz="8" w:color="007CBA"/>
            </w:tcBorders>
          </w:tcPr>
          <w:p>
            <w:pPr>
              <w:spacing w:after="0"/>
              <w:rPr>
                <w:sz w:val="4"/>
                <w:szCs w:val="4"/>
                <w:color w:val="auto"/>
              </w:rPr>
            </w:pPr>
          </w:p>
        </w:tc>
        <w:tc>
          <w:tcPr>
            <w:tcW w:w="9440" w:type="dxa"/>
            <w:vAlign w:val="bottom"/>
            <w:tcBorders>
              <w:bottom w:val="single" w:sz="8" w:color="007CBA"/>
            </w:tcBorders>
          </w:tcPr>
          <w:p>
            <w:pPr>
              <w:spacing w:after="0"/>
              <w:rPr>
                <w:sz w:val="4"/>
                <w:szCs w:val="4"/>
                <w:color w:val="auto"/>
              </w:rPr>
            </w:pPr>
          </w:p>
        </w:tc>
      </w:tr>
      <w:tr>
        <w:trPr>
          <w:trHeight w:val="182"/>
        </w:trPr>
        <w:tc>
          <w:tcPr>
            <w:tcW w:w="1560" w:type="dxa"/>
            <w:vAlign w:val="bottom"/>
            <w:tcBorders>
              <w:bottom w:val="single" w:sz="8" w:color="007CBA"/>
            </w:tcBorders>
            <w:shd w:val="clear" w:color="auto" w:fill="E5F1F8"/>
          </w:tcPr>
          <w:p>
            <w:pPr>
              <w:spacing w:after="0"/>
              <w:rPr>
                <w:sz w:val="15"/>
                <w:szCs w:val="15"/>
                <w:color w:val="auto"/>
              </w:rPr>
            </w:pPr>
          </w:p>
        </w:tc>
        <w:tc>
          <w:tcPr>
            <w:tcW w:w="9440" w:type="dxa"/>
            <w:vAlign w:val="bottom"/>
            <w:tcBorders>
              <w:bottom w:val="single" w:sz="8" w:color="007CBA"/>
            </w:tcBorders>
            <w:shd w:val="clear" w:color="auto" w:fill="E5F1F8"/>
          </w:tcPr>
          <w:p>
            <w:pPr>
              <w:spacing w:after="0"/>
              <w:rPr>
                <w:sz w:val="15"/>
                <w:szCs w:val="15"/>
                <w:color w:val="auto"/>
              </w:rPr>
            </w:pPr>
          </w:p>
        </w:tc>
      </w:tr>
    </w:tbl>
    <w:p>
      <w:pPr>
        <w:spacing w:after="0" w:line="22" w:lineRule="exact"/>
        <w:rPr>
          <w:sz w:val="20"/>
          <w:szCs w:val="20"/>
          <w:color w:val="auto"/>
        </w:rPr>
      </w:pPr>
    </w:p>
    <w:p>
      <w:pPr>
        <w:jc w:val="both"/>
        <w:ind w:left="2360" w:right="180" w:hanging="2073"/>
        <w:spacing w:after="0" w:line="250" w:lineRule="auto"/>
        <w:tabs>
          <w:tab w:leader="none" w:pos="2340" w:val="left"/>
        </w:tabs>
        <w:rPr>
          <w:sz w:val="20"/>
          <w:szCs w:val="20"/>
          <w:color w:val="auto"/>
        </w:rPr>
      </w:pPr>
      <w:r>
        <w:rPr>
          <w:rFonts w:ascii="Arial" w:cs="Arial" w:eastAsia="Arial" w:hAnsi="Arial"/>
          <w:sz w:val="16"/>
          <w:szCs w:val="16"/>
          <w:b w:val="1"/>
          <w:bCs w:val="1"/>
          <w:color w:val="auto"/>
        </w:rPr>
        <w:t>Total Compensation</w:t>
      </w:r>
      <w:r>
        <w:rPr>
          <w:sz w:val="20"/>
          <w:szCs w:val="20"/>
          <w:color w:val="auto"/>
        </w:rPr>
        <w:tab/>
      </w:r>
      <w:r>
        <w:rPr>
          <w:rFonts w:ascii="Arial" w:cs="Arial" w:eastAsia="Arial" w:hAnsi="Arial"/>
          <w:sz w:val="16"/>
          <w:szCs w:val="16"/>
          <w:color w:val="auto"/>
        </w:rPr>
        <w:t>The Committee uses the size-adjusted 50th percentile of our Compensation Peer Group as a guide in setting the target for the total compensation opportunity, but considers a variety of factors in setting compensation. Overall, the Committee believes targeted compensation should be more heavily weighted on variable “at-risk” compensation and longer-term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12700</wp:posOffset>
            </wp:positionV>
            <wp:extent cx="698944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Committee approved the following actual compensation items in February 2018.</w:t>
      </w:r>
    </w:p>
    <w:p>
      <w:pPr>
        <w:spacing w:after="0" w:line="296"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7CBA"/>
        </w:rPr>
        <w:t>2018 Base Salary</w:t>
      </w:r>
    </w:p>
    <w:p>
      <w:pPr>
        <w:spacing w:after="0" w:line="150"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The Committee determines base salaries for the NEOs and other executives based on a number of factors, including but not limited to, market data, individual performance, the Company’s performance, internal pay equity, the advice of the Committee’s independent compensation consultant, management recommendations (except for the CEO), and, for the CEO, the Committee’s assessment of Mr. Nye’s performance. Based on these factors, the Committee approved the following increases in base salary.</w:t>
      </w:r>
    </w:p>
    <w:p>
      <w:pPr>
        <w:spacing w:after="0" w:line="110" w:lineRule="exact"/>
        <w:rPr>
          <w:sz w:val="20"/>
          <w:szCs w:val="20"/>
          <w:color w:val="auto"/>
        </w:rPr>
      </w:pPr>
    </w:p>
    <w:p>
      <w:pPr>
        <w:ind w:left="540" w:hanging="330"/>
        <w:spacing w:after="0" w:line="260" w:lineRule="auto"/>
        <w:tabs>
          <w:tab w:leader="none" w:pos="540" w:val="left"/>
        </w:tabs>
        <w:numPr>
          <w:ilvl w:val="0"/>
          <w:numId w:val="97"/>
        </w:numPr>
        <w:rPr>
          <w:rFonts w:ascii="Arial" w:cs="Arial" w:eastAsia="Arial" w:hAnsi="Arial"/>
          <w:sz w:val="16"/>
          <w:szCs w:val="16"/>
          <w:color w:val="007CBA"/>
        </w:rPr>
      </w:pPr>
      <w:r>
        <w:rPr>
          <w:rFonts w:ascii="Arial" w:cs="Arial" w:eastAsia="Arial" w:hAnsi="Arial"/>
          <w:sz w:val="16"/>
          <w:szCs w:val="16"/>
          <w:color w:val="auto"/>
        </w:rPr>
        <w:t>Mr. Nye: 5.3% increase, based on his excellent achievements as CEO since 2010 in an economic environment that resulted in muted shipment volume recovery, and specifically his performance in 2018.</w:t>
      </w:r>
    </w:p>
    <w:p>
      <w:pPr>
        <w:spacing w:after="0" w:line="100" w:lineRule="exact"/>
        <w:rPr>
          <w:rFonts w:ascii="Arial" w:cs="Arial" w:eastAsia="Arial" w:hAnsi="Arial"/>
          <w:sz w:val="16"/>
          <w:szCs w:val="16"/>
          <w:color w:val="007CBA"/>
        </w:rPr>
      </w:pPr>
    </w:p>
    <w:p>
      <w:pPr>
        <w:ind w:left="540" w:hanging="330"/>
        <w:spacing w:after="0"/>
        <w:tabs>
          <w:tab w:leader="none" w:pos="540" w:val="left"/>
        </w:tabs>
        <w:numPr>
          <w:ilvl w:val="0"/>
          <w:numId w:val="97"/>
        </w:numPr>
        <w:rPr>
          <w:rFonts w:ascii="Arial" w:cs="Arial" w:eastAsia="Arial" w:hAnsi="Arial"/>
          <w:sz w:val="16"/>
          <w:szCs w:val="16"/>
          <w:color w:val="007CBA"/>
        </w:rPr>
      </w:pPr>
      <w:r>
        <w:rPr>
          <w:rFonts w:ascii="Arial" w:cs="Arial" w:eastAsia="Arial" w:hAnsi="Arial"/>
          <w:sz w:val="16"/>
          <w:szCs w:val="16"/>
          <w:color w:val="auto"/>
        </w:rPr>
        <w:t>Other NEOs: approximately 4.0% to 9.0% increases, based on a review of competitive market data and individual performance evaluations.</w:t>
      </w:r>
    </w:p>
    <w:p>
      <w:pPr>
        <w:spacing w:after="0" w:line="219" w:lineRule="exact"/>
        <w:rPr>
          <w:sz w:val="20"/>
          <w:szCs w:val="20"/>
          <w:color w:val="auto"/>
        </w:rPr>
      </w:pPr>
    </w:p>
    <w:tbl>
      <w:tblPr>
        <w:tblLayout w:type="fixed"/>
        <w:tblInd w:w="220" w:type="dxa"/>
        <w:tblCellMar>
          <w:top w:w="0" w:type="dxa"/>
          <w:left w:w="0" w:type="dxa"/>
          <w:bottom w:w="0" w:type="dxa"/>
          <w:right w:w="0" w:type="dxa"/>
        </w:tblCellMar>
      </w:tblPr>
      <w:tr>
        <w:trPr>
          <w:trHeight w:val="176"/>
        </w:trPr>
        <w:tc>
          <w:tcPr>
            <w:tcW w:w="8920" w:type="dxa"/>
            <w:vAlign w:val="bottom"/>
            <w:tcBorders>
              <w:right w:val="single" w:sz="8" w:color="007CBA"/>
            </w:tcBorders>
            <w:shd w:val="clear" w:color="auto" w:fill="007CBA"/>
          </w:tcPr>
          <w:p>
            <w:pPr>
              <w:spacing w:after="0"/>
              <w:rPr>
                <w:sz w:val="15"/>
                <w:szCs w:val="15"/>
                <w:color w:val="auto"/>
              </w:rPr>
            </w:pPr>
          </w:p>
        </w:tc>
        <w:tc>
          <w:tcPr>
            <w:tcW w:w="360" w:type="dxa"/>
            <w:vAlign w:val="bottom"/>
            <w:shd w:val="clear" w:color="auto" w:fill="007CBA"/>
          </w:tcPr>
          <w:p>
            <w:pPr>
              <w:spacing w:after="0"/>
              <w:rPr>
                <w:sz w:val="15"/>
                <w:szCs w:val="15"/>
                <w:color w:val="auto"/>
              </w:rPr>
            </w:pPr>
          </w:p>
        </w:tc>
        <w:tc>
          <w:tcPr>
            <w:tcW w:w="68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4"/>
                <w:szCs w:val="14"/>
                <w:b w:val="1"/>
                <w:bCs w:val="1"/>
                <w:color w:val="FFFFFF"/>
              </w:rPr>
              <w:t>2018</w:t>
            </w:r>
          </w:p>
        </w:tc>
        <w:tc>
          <w:tcPr>
            <w:tcW w:w="380" w:type="dxa"/>
            <w:vAlign w:val="bottom"/>
            <w:shd w:val="clear" w:color="auto" w:fill="007CBA"/>
          </w:tcPr>
          <w:p>
            <w:pPr>
              <w:spacing w:after="0"/>
              <w:rPr>
                <w:sz w:val="15"/>
                <w:szCs w:val="15"/>
                <w:color w:val="auto"/>
              </w:rPr>
            </w:pPr>
          </w:p>
        </w:tc>
        <w:tc>
          <w:tcPr>
            <w:tcW w:w="440" w:type="dxa"/>
            <w:vAlign w:val="bottom"/>
            <w:shd w:val="clear" w:color="auto" w:fill="007CBA"/>
          </w:tcPr>
          <w:p>
            <w:pPr>
              <w:jc w:val="right"/>
              <w:ind w:right="8"/>
              <w:spacing w:after="0"/>
              <w:rPr>
                <w:sz w:val="20"/>
                <w:szCs w:val="20"/>
                <w:color w:val="auto"/>
              </w:rPr>
            </w:pPr>
            <w:r>
              <w:rPr>
                <w:rFonts w:ascii="Arial" w:cs="Arial" w:eastAsia="Arial" w:hAnsi="Arial"/>
                <w:sz w:val="14"/>
                <w:szCs w:val="14"/>
                <w:b w:val="1"/>
                <w:bCs w:val="1"/>
                <w:color w:val="FFFFFF"/>
              </w:rPr>
              <w:t>2017</w:t>
            </w:r>
          </w:p>
        </w:tc>
        <w:tc>
          <w:tcPr>
            <w:tcW w:w="220" w:type="dxa"/>
            <w:vAlign w:val="bottom"/>
            <w:shd w:val="clear" w:color="auto" w:fill="007CBA"/>
          </w:tcPr>
          <w:p>
            <w:pPr>
              <w:spacing w:after="0"/>
              <w:rPr>
                <w:sz w:val="15"/>
                <w:szCs w:val="15"/>
                <w:color w:val="auto"/>
              </w:rPr>
            </w:pPr>
          </w:p>
        </w:tc>
      </w:tr>
      <w:tr>
        <w:trPr>
          <w:trHeight w:val="202"/>
        </w:trPr>
        <w:tc>
          <w:tcPr>
            <w:tcW w:w="892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4"/>
                <w:szCs w:val="14"/>
                <w:b w:val="1"/>
                <w:bCs w:val="1"/>
                <w:color w:val="FFFFFF"/>
              </w:rPr>
              <w:t>NEO</w:t>
            </w:r>
          </w:p>
        </w:tc>
        <w:tc>
          <w:tcPr>
            <w:tcW w:w="1040" w:type="dxa"/>
            <w:vAlign w:val="bottom"/>
            <w:tcBorders>
              <w:right w:val="single" w:sz="8" w:color="007CBA"/>
            </w:tcBorders>
            <w:gridSpan w:val="2"/>
            <w:shd w:val="clear" w:color="auto" w:fill="007CBA"/>
          </w:tcPr>
          <w:p>
            <w:pPr>
              <w:ind w:left="160"/>
              <w:spacing w:after="0"/>
              <w:rPr>
                <w:sz w:val="20"/>
                <w:szCs w:val="20"/>
                <w:color w:val="auto"/>
              </w:rPr>
            </w:pPr>
            <w:r>
              <w:rPr>
                <w:rFonts w:ascii="Arial" w:cs="Arial" w:eastAsia="Arial" w:hAnsi="Arial"/>
                <w:sz w:val="14"/>
                <w:szCs w:val="14"/>
                <w:b w:val="1"/>
                <w:bCs w:val="1"/>
                <w:color w:val="FFFFFF"/>
                <w:w w:val="98"/>
              </w:rPr>
              <w:t>Base Salary*</w:t>
            </w:r>
          </w:p>
        </w:tc>
        <w:tc>
          <w:tcPr>
            <w:tcW w:w="1040" w:type="dxa"/>
            <w:vAlign w:val="bottom"/>
            <w:gridSpan w:val="3"/>
            <w:shd w:val="clear" w:color="auto" w:fill="007CBA"/>
          </w:tcPr>
          <w:p>
            <w:pPr>
              <w:jc w:val="center"/>
              <w:ind w:left="68"/>
              <w:spacing w:after="0"/>
              <w:rPr>
                <w:sz w:val="20"/>
                <w:szCs w:val="20"/>
                <w:color w:val="auto"/>
              </w:rPr>
            </w:pPr>
            <w:r>
              <w:rPr>
                <w:rFonts w:ascii="Arial" w:cs="Arial" w:eastAsia="Arial" w:hAnsi="Arial"/>
                <w:sz w:val="14"/>
                <w:szCs w:val="14"/>
                <w:b w:val="1"/>
                <w:bCs w:val="1"/>
                <w:color w:val="FFFFFF"/>
              </w:rPr>
              <w:t>Base Salary</w:t>
            </w:r>
          </w:p>
        </w:tc>
      </w:tr>
      <w:tr>
        <w:trPr>
          <w:trHeight w:val="229"/>
        </w:trPr>
        <w:tc>
          <w:tcPr>
            <w:tcW w:w="892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C. Howard Nye</w:t>
            </w:r>
          </w:p>
        </w:tc>
        <w:tc>
          <w:tcPr>
            <w:tcW w:w="1040" w:type="dxa"/>
            <w:vAlign w:val="bottom"/>
            <w:tcBorders>
              <w:right w:val="single" w:sz="8" w:color="007CBA"/>
            </w:tcBorders>
            <w:gridSpan w:val="2"/>
            <w:shd w:val="clear" w:color="auto" w:fill="E5F1F8"/>
          </w:tcPr>
          <w:p>
            <w:pPr>
              <w:ind w:left="220"/>
              <w:spacing w:after="0"/>
              <w:rPr>
                <w:sz w:val="20"/>
                <w:szCs w:val="20"/>
                <w:color w:val="auto"/>
              </w:rPr>
            </w:pPr>
            <w:r>
              <w:rPr>
                <w:rFonts w:ascii="Arial" w:cs="Arial" w:eastAsia="Arial" w:hAnsi="Arial"/>
                <w:sz w:val="14"/>
                <w:szCs w:val="14"/>
                <w:color w:val="auto"/>
              </w:rPr>
              <w:t>$1,100,000</w:t>
            </w:r>
          </w:p>
        </w:tc>
        <w:tc>
          <w:tcPr>
            <w:tcW w:w="1040" w:type="dxa"/>
            <w:vAlign w:val="bottom"/>
            <w:gridSpan w:val="3"/>
            <w:shd w:val="clear" w:color="auto" w:fill="E5F1F8"/>
          </w:tcPr>
          <w:p>
            <w:pPr>
              <w:jc w:val="right"/>
              <w:ind w:right="17"/>
              <w:spacing w:after="0"/>
              <w:rPr>
                <w:sz w:val="20"/>
                <w:szCs w:val="20"/>
                <w:color w:val="auto"/>
              </w:rPr>
            </w:pPr>
            <w:r>
              <w:rPr>
                <w:rFonts w:ascii="Arial" w:cs="Arial" w:eastAsia="Arial" w:hAnsi="Arial"/>
                <w:sz w:val="14"/>
                <w:szCs w:val="14"/>
                <w:color w:val="auto"/>
              </w:rPr>
              <w:t>$1,045,000</w:t>
            </w:r>
          </w:p>
        </w:tc>
      </w:tr>
      <w:tr>
        <w:trPr>
          <w:trHeight w:val="223"/>
        </w:trPr>
        <w:tc>
          <w:tcPr>
            <w:tcW w:w="892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James A. J. Nickolas</w:t>
            </w:r>
          </w:p>
        </w:tc>
        <w:tc>
          <w:tcPr>
            <w:tcW w:w="360" w:type="dxa"/>
            <w:vAlign w:val="bottom"/>
          </w:tcPr>
          <w:p>
            <w:pPr>
              <w:ind w:left="220"/>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488,800</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7"/>
              <w:spacing w:after="0"/>
              <w:rPr>
                <w:sz w:val="20"/>
                <w:szCs w:val="20"/>
                <w:color w:val="auto"/>
              </w:rPr>
            </w:pPr>
            <w:r>
              <w:rPr>
                <w:rFonts w:ascii="Arial" w:cs="Arial" w:eastAsia="Arial" w:hAnsi="Arial"/>
                <w:sz w:val="14"/>
                <w:szCs w:val="14"/>
                <w:color w:val="auto"/>
              </w:rPr>
              <w:t>470,000</w:t>
            </w:r>
          </w:p>
        </w:tc>
      </w:tr>
      <w:tr>
        <w:trPr>
          <w:trHeight w:val="235"/>
        </w:trPr>
        <w:tc>
          <w:tcPr>
            <w:tcW w:w="892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Roselyn R. Bar</w:t>
            </w:r>
          </w:p>
        </w:tc>
        <w:tc>
          <w:tcPr>
            <w:tcW w:w="360" w:type="dxa"/>
            <w:vAlign w:val="bottom"/>
            <w:shd w:val="clear" w:color="auto" w:fill="E5F1F8"/>
          </w:tcPr>
          <w:p>
            <w:pPr>
              <w:ind w:left="220"/>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542,500</w:t>
            </w:r>
          </w:p>
        </w:tc>
        <w:tc>
          <w:tcPr>
            <w:tcW w:w="380" w:type="dxa"/>
            <w:vAlign w:val="bottom"/>
            <w:shd w:val="clear" w:color="auto" w:fill="E5F1F8"/>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E5F1F8"/>
          </w:tcPr>
          <w:p>
            <w:pPr>
              <w:jc w:val="right"/>
              <w:ind w:right="17"/>
              <w:spacing w:after="0"/>
              <w:rPr>
                <w:sz w:val="20"/>
                <w:szCs w:val="20"/>
                <w:color w:val="auto"/>
              </w:rPr>
            </w:pPr>
            <w:r>
              <w:rPr>
                <w:rFonts w:ascii="Arial" w:cs="Arial" w:eastAsia="Arial" w:hAnsi="Arial"/>
                <w:sz w:val="14"/>
                <w:szCs w:val="14"/>
                <w:color w:val="auto"/>
              </w:rPr>
              <w:t>514,200</w:t>
            </w:r>
          </w:p>
        </w:tc>
      </w:tr>
      <w:tr>
        <w:trPr>
          <w:trHeight w:val="223"/>
        </w:trPr>
        <w:tc>
          <w:tcPr>
            <w:tcW w:w="892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Donald A. McCunniff</w:t>
            </w:r>
          </w:p>
        </w:tc>
        <w:tc>
          <w:tcPr>
            <w:tcW w:w="360" w:type="dxa"/>
            <w:vAlign w:val="bottom"/>
          </w:tcPr>
          <w:p>
            <w:pPr>
              <w:ind w:left="220"/>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418,900</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7"/>
              <w:spacing w:after="0"/>
              <w:rPr>
                <w:sz w:val="20"/>
                <w:szCs w:val="20"/>
                <w:color w:val="auto"/>
              </w:rPr>
            </w:pPr>
            <w:r>
              <w:rPr>
                <w:rFonts w:ascii="Arial" w:cs="Arial" w:eastAsia="Arial" w:hAnsi="Arial"/>
                <w:sz w:val="14"/>
                <w:szCs w:val="14"/>
                <w:color w:val="auto"/>
              </w:rPr>
              <w:t>384,300</w:t>
            </w:r>
          </w:p>
        </w:tc>
      </w:tr>
      <w:tr>
        <w:trPr>
          <w:trHeight w:val="229"/>
        </w:trPr>
        <w:tc>
          <w:tcPr>
            <w:tcW w:w="8920" w:type="dxa"/>
            <w:vAlign w:val="bottom"/>
            <w:tcBorders>
              <w:bottom w:val="single" w:sz="8" w:color="007CBA"/>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Daniel L. Grant</w:t>
            </w:r>
          </w:p>
        </w:tc>
        <w:tc>
          <w:tcPr>
            <w:tcW w:w="360" w:type="dxa"/>
            <w:vAlign w:val="bottom"/>
            <w:tcBorders>
              <w:bottom w:val="single" w:sz="8" w:color="007CBA"/>
            </w:tcBorders>
            <w:shd w:val="clear" w:color="auto" w:fill="E5F1F8"/>
          </w:tcPr>
          <w:p>
            <w:pPr>
              <w:ind w:left="2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7CBA"/>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384,000</w:t>
            </w:r>
          </w:p>
        </w:tc>
        <w:tc>
          <w:tcPr>
            <w:tcW w:w="380" w:type="dxa"/>
            <w:vAlign w:val="bottom"/>
            <w:tcBorders>
              <w:bottom w:val="single" w:sz="8" w:color="007CBA"/>
            </w:tcBorders>
            <w:shd w:val="clear" w:color="auto" w:fill="E5F1F8"/>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007CBA"/>
            </w:tcBorders>
            <w:gridSpan w:val="2"/>
            <w:shd w:val="clear" w:color="auto" w:fill="E5F1F8"/>
          </w:tcPr>
          <w:p>
            <w:pPr>
              <w:jc w:val="right"/>
              <w:ind w:right="17"/>
              <w:spacing w:after="0"/>
              <w:rPr>
                <w:sz w:val="20"/>
                <w:szCs w:val="20"/>
                <w:color w:val="auto"/>
              </w:rPr>
            </w:pPr>
            <w:r>
              <w:rPr>
                <w:rFonts w:ascii="Arial" w:cs="Arial" w:eastAsia="Arial" w:hAnsi="Arial"/>
                <w:sz w:val="14"/>
                <w:szCs w:val="14"/>
                <w:color w:val="auto"/>
              </w:rPr>
              <w:t>362,300</w:t>
            </w:r>
          </w:p>
        </w:tc>
      </w:tr>
      <w:tr>
        <w:trPr>
          <w:trHeight w:val="257"/>
        </w:trPr>
        <w:tc>
          <w:tcPr>
            <w:tcW w:w="8920" w:type="dxa"/>
            <w:vAlign w:val="bottom"/>
          </w:tcPr>
          <w:p>
            <w:pPr>
              <w:spacing w:after="0"/>
              <w:rPr>
                <w:sz w:val="20"/>
                <w:szCs w:val="20"/>
                <w:color w:val="auto"/>
              </w:rPr>
            </w:pPr>
            <w:r>
              <w:rPr>
                <w:rFonts w:ascii="Arial" w:cs="Arial" w:eastAsia="Arial" w:hAnsi="Arial"/>
                <w:sz w:val="14"/>
                <w:szCs w:val="14"/>
                <w:color w:val="auto"/>
              </w:rPr>
              <w:t>* NEO base salaries were increased effective March 1, 2018.</w:t>
            </w: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320"/>
        </w:trPr>
        <w:tc>
          <w:tcPr>
            <w:tcW w:w="8920" w:type="dxa"/>
            <w:vAlign w:val="bottom"/>
          </w:tcPr>
          <w:p>
            <w:pPr>
              <w:spacing w:after="0"/>
              <w:rPr>
                <w:sz w:val="24"/>
                <w:szCs w:val="24"/>
                <w:color w:val="auto"/>
              </w:rPr>
            </w:pPr>
          </w:p>
        </w:tc>
        <w:tc>
          <w:tcPr>
            <w:tcW w:w="1860" w:type="dxa"/>
            <w:vAlign w:val="bottom"/>
            <w:gridSpan w:val="4"/>
          </w:tcPr>
          <w:p>
            <w:pPr>
              <w:ind w:left="120"/>
              <w:spacing w:after="0"/>
              <w:rPr>
                <w:sz w:val="20"/>
                <w:szCs w:val="20"/>
                <w:color w:val="auto"/>
              </w:rPr>
            </w:pPr>
            <w:r>
              <w:rPr>
                <w:rFonts w:ascii="Arial" w:cs="Arial" w:eastAsia="Arial" w:hAnsi="Arial"/>
                <w:sz w:val="13"/>
                <w:szCs w:val="13"/>
                <w:color w:val="007CBA"/>
              </w:rPr>
              <w:t>2019 PROXY STATEMENT</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3439795</wp:posOffset>
            </wp:positionH>
            <wp:positionV relativeFrom="paragraph">
              <wp:posOffset>-117475</wp:posOffset>
            </wp:positionV>
            <wp:extent cx="410845" cy="2482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9" w:lineRule="exact"/>
        <w:rPr>
          <w:sz w:val="20"/>
          <w:szCs w:val="20"/>
          <w:color w:val="auto"/>
        </w:rPr>
      </w:pPr>
    </w:p>
    <w:p>
      <w:pPr>
        <w:ind w:left="220"/>
        <w:spacing w:after="0" w:line="288" w:lineRule="exact"/>
        <w:rPr>
          <w:sz w:val="20"/>
          <w:szCs w:val="20"/>
          <w:color w:val="auto"/>
        </w:rPr>
      </w:pPr>
      <w:r>
        <w:rPr>
          <w:rFonts w:ascii="Arial" w:cs="Arial" w:eastAsia="Arial" w:hAnsi="Arial"/>
          <w:sz w:val="13"/>
          <w:szCs w:val="13"/>
          <w:color w:val="007CBA"/>
        </w:rPr>
        <w:t xml:space="preserve">Compensation Discussion and Analysis </w:t>
      </w:r>
      <w:r>
        <w:rPr>
          <w:rFonts w:ascii="MS PGothic" w:cs="MS PGothic" w:eastAsia="MS PGothic" w:hAnsi="MS PGothic"/>
          <w:sz w:val="25"/>
          <w:szCs w:val="25"/>
          <w:color w:val="007CBA"/>
        </w:rPr>
        <w:t>◆</w:t>
      </w:r>
      <w:r>
        <w:rPr>
          <w:rFonts w:ascii="Arial" w:cs="Arial" w:eastAsia="Arial" w:hAnsi="Arial"/>
          <w:sz w:val="13"/>
          <w:szCs w:val="13"/>
          <w:color w:val="007CBA"/>
        </w:rPr>
        <w:t xml:space="preserve"> </w:t>
      </w:r>
      <w:r>
        <w:rPr>
          <w:rFonts w:ascii="Arial" w:cs="Arial" w:eastAsia="Arial" w:hAnsi="Arial"/>
          <w:sz w:val="13"/>
          <w:szCs w:val="13"/>
          <w:color w:val="000000"/>
        </w:rPr>
        <w:t>2018 Annual Cash Incentive Goals and Results</w:t>
      </w: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7CBA"/>
        </w:rPr>
        <w:t>2018 Annual Cash Incentive Goals and Results</w:t>
      </w:r>
    </w:p>
    <w:p>
      <w:pPr>
        <w:sectPr>
          <w:pgSz w:w="11900" w:h="16838" w:orient="portrait"/>
          <w:cols w:equalWidth="0" w:num="1">
            <w:col w:w="11220"/>
          </w:cols>
          <w:pgMar w:left="240" w:top="459" w:right="439" w:bottom="1440" w:gutter="0" w:footer="0" w:header="0"/>
        </w:sectPr>
      </w:pPr>
    </w:p>
    <w:p>
      <w:pPr>
        <w:spacing w:after="0" w:line="217"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NEOs and other executives are eligible to earn annual incentive compensation under our Executive Cash Incentive Plan based on the achievement of various performance metrics. Individual NEO targets (as a percent of base salary) are approved by the Committee at the beginning of the year based on a review of competitive market data, the advice of the Committee’s independent compensation consultant, and internal pay equity.</w:t>
      </w:r>
    </w:p>
    <w:p>
      <w:pPr>
        <w:spacing w:after="0" w:line="180"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The Committee awards actual annual cash incentive compensation based on achievement against corporate performance objectives and individualized targeted goals. This furthers Martin Marietta’s compensation philosophy to encourage superior performance and reward the achievement of Martin Marietta’s annual goals. In 2018, all of the executive officers participated in the plan. The annual incentive compensation level paid for 2018 for the NEOs other than Mr. Nye was 145% to 165% of target. The annual incentive compensation level paid for 2018 for Mr. Nye was 175%.</w:t>
      </w:r>
    </w:p>
    <w:p>
      <w:pPr>
        <w:spacing w:after="0" w:line="164" w:lineRule="exact"/>
        <w:rPr>
          <w:sz w:val="20"/>
          <w:szCs w:val="20"/>
          <w:color w:val="auto"/>
        </w:rPr>
      </w:pPr>
    </w:p>
    <w:p>
      <w:pPr>
        <w:jc w:val="both"/>
        <w:ind w:left="220"/>
        <w:spacing w:after="0" w:line="247" w:lineRule="auto"/>
        <w:rPr>
          <w:sz w:val="20"/>
          <w:szCs w:val="20"/>
          <w:color w:val="auto"/>
        </w:rPr>
      </w:pPr>
      <w:r>
        <w:rPr>
          <w:rFonts w:ascii="Arial" w:cs="Arial" w:eastAsia="Arial" w:hAnsi="Arial"/>
          <w:sz w:val="16"/>
          <w:szCs w:val="16"/>
          <w:color w:val="auto"/>
        </w:rPr>
        <w:t>In determining the incentive payment for the CEO, the Committee first reviews the achievements of Martin Marietta for the past year as compared to its targeted goals set at the end of the previous year. Our financial goals are established at the completion of our annual long-range planning process, which for 2018 were determined in November 2017. The long-range planning process includes reviews of the assumptions used by the business segments in generating their financial projections, such as industry trends and competitive assessments, current and future projected performance levels, and the risks and opportunities surrounding these baseline assumptions. The long-range plan on which our financial goals are based is tied to the business environment in which we operate and can vary year-over-year.</w:t>
      </w:r>
    </w:p>
    <w:p>
      <w:pPr>
        <w:spacing w:after="0" w:line="169"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The objective financial metrics in our long-range plan that were measured for purposes of the 2018 Annual Cash Incentive were Pre-Tax Earnings and EBITDA, which are viewed as indicative of the Company’s profitability, and Days Sales Outstanding (DSO), which is viewed as indicative of the Company’s cash flow, important measures reflecting our performance and the creation of value for shareholders. In addition, the Committee considered the following:</w:t>
      </w:r>
    </w:p>
    <w:p>
      <w:pPr>
        <w:spacing w:after="0" w:line="113" w:lineRule="exact"/>
        <w:rPr>
          <w:sz w:val="20"/>
          <w:szCs w:val="20"/>
          <w:color w:val="auto"/>
        </w:rPr>
      </w:pPr>
    </w:p>
    <w:p>
      <w:pPr>
        <w:jc w:val="both"/>
        <w:ind w:left="580" w:right="20" w:hanging="289"/>
        <w:spacing w:after="0" w:line="253" w:lineRule="auto"/>
        <w:tabs>
          <w:tab w:leader="none" w:pos="580" w:val="left"/>
        </w:tabs>
        <w:numPr>
          <w:ilvl w:val="0"/>
          <w:numId w:val="98"/>
        </w:numPr>
        <w:rPr>
          <w:rFonts w:ascii="Arial" w:cs="Arial" w:eastAsia="Arial" w:hAnsi="Arial"/>
          <w:sz w:val="16"/>
          <w:szCs w:val="16"/>
          <w:color w:val="007CBA"/>
        </w:rPr>
      </w:pPr>
      <w:r>
        <w:rPr>
          <w:rFonts w:ascii="Arial" w:cs="Arial" w:eastAsia="Arial" w:hAnsi="Arial"/>
          <w:sz w:val="16"/>
          <w:szCs w:val="16"/>
          <w:color w:val="auto"/>
        </w:rPr>
        <w:t>A detailed assessment of Martin Marietta’s overall financial performance and each segment’s financial performance, including the highlights and the challenges.</w:t>
      </w:r>
    </w:p>
    <w:p>
      <w:pPr>
        <w:spacing w:after="0" w:line="106" w:lineRule="exact"/>
        <w:rPr>
          <w:rFonts w:ascii="Arial" w:cs="Arial" w:eastAsia="Arial" w:hAnsi="Arial"/>
          <w:sz w:val="16"/>
          <w:szCs w:val="16"/>
          <w:color w:val="007CBA"/>
        </w:rPr>
      </w:pPr>
    </w:p>
    <w:p>
      <w:pPr>
        <w:ind w:left="580" w:right="20" w:hanging="289"/>
        <w:spacing w:after="0" w:line="260" w:lineRule="auto"/>
        <w:tabs>
          <w:tab w:leader="none" w:pos="580" w:val="left"/>
        </w:tabs>
        <w:numPr>
          <w:ilvl w:val="0"/>
          <w:numId w:val="98"/>
        </w:numPr>
        <w:rPr>
          <w:rFonts w:ascii="Arial" w:cs="Arial" w:eastAsia="Arial" w:hAnsi="Arial"/>
          <w:sz w:val="16"/>
          <w:szCs w:val="16"/>
          <w:color w:val="007CBA"/>
        </w:rPr>
      </w:pPr>
      <w:r>
        <w:rPr>
          <w:rFonts w:ascii="Arial" w:cs="Arial" w:eastAsia="Arial" w:hAnsi="Arial"/>
          <w:sz w:val="16"/>
          <w:szCs w:val="16"/>
          <w:color w:val="auto"/>
        </w:rPr>
        <w:t>Shareholder returns, including the consistent delivery of value to Martin Marietta’s shareholders.</w:t>
      </w:r>
    </w:p>
    <w:p>
      <w:pPr>
        <w:spacing w:after="0" w:line="100" w:lineRule="exact"/>
        <w:rPr>
          <w:rFonts w:ascii="Arial" w:cs="Arial" w:eastAsia="Arial" w:hAnsi="Arial"/>
          <w:sz w:val="16"/>
          <w:szCs w:val="16"/>
          <w:color w:val="007CBA"/>
        </w:rPr>
      </w:pPr>
    </w:p>
    <w:p>
      <w:pPr>
        <w:jc w:val="both"/>
        <w:ind w:left="580" w:right="20" w:hanging="289"/>
        <w:spacing w:after="0" w:line="253" w:lineRule="auto"/>
        <w:tabs>
          <w:tab w:leader="none" w:pos="580" w:val="left"/>
        </w:tabs>
        <w:numPr>
          <w:ilvl w:val="0"/>
          <w:numId w:val="98"/>
        </w:numPr>
        <w:rPr>
          <w:rFonts w:ascii="Arial" w:cs="Arial" w:eastAsia="Arial" w:hAnsi="Arial"/>
          <w:sz w:val="16"/>
          <w:szCs w:val="16"/>
          <w:color w:val="007CBA"/>
        </w:rPr>
      </w:pPr>
      <w:r>
        <w:rPr>
          <w:rFonts w:ascii="Arial" w:cs="Arial" w:eastAsia="Arial" w:hAnsi="Arial"/>
          <w:sz w:val="16"/>
          <w:szCs w:val="16"/>
          <w:color w:val="auto"/>
        </w:rPr>
        <w:t>Our safety performance, which continues to be industry leading even though we increased hourly headcount and trained new employees hired through our acquisitions made during the year.</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360" w:right="20" w:hanging="275"/>
        <w:spacing w:after="0" w:line="260" w:lineRule="auto"/>
        <w:tabs>
          <w:tab w:leader="none" w:pos="360" w:val="left"/>
        </w:tabs>
        <w:numPr>
          <w:ilvl w:val="0"/>
          <w:numId w:val="99"/>
        </w:numPr>
        <w:rPr>
          <w:rFonts w:ascii="Arial" w:cs="Arial" w:eastAsia="Arial" w:hAnsi="Arial"/>
          <w:sz w:val="16"/>
          <w:szCs w:val="16"/>
          <w:color w:val="007CBA"/>
        </w:rPr>
      </w:pPr>
      <w:r>
        <w:rPr>
          <w:rFonts w:ascii="Arial" w:cs="Arial" w:eastAsia="Arial" w:hAnsi="Arial"/>
          <w:sz w:val="16"/>
          <w:szCs w:val="16"/>
          <w:color w:val="auto"/>
        </w:rPr>
        <w:t>Outstanding environmental and regulatory compliance results, sustainability initiatives, and cybersecurity protections.</w:t>
      </w:r>
    </w:p>
    <w:p>
      <w:pPr>
        <w:spacing w:after="0" w:line="100" w:lineRule="exact"/>
        <w:rPr>
          <w:rFonts w:ascii="Arial" w:cs="Arial" w:eastAsia="Arial" w:hAnsi="Arial"/>
          <w:sz w:val="16"/>
          <w:szCs w:val="16"/>
          <w:color w:val="007CBA"/>
        </w:rPr>
      </w:pPr>
    </w:p>
    <w:p>
      <w:pPr>
        <w:ind w:left="360" w:hanging="275"/>
        <w:spacing w:after="0"/>
        <w:tabs>
          <w:tab w:leader="none" w:pos="360" w:val="left"/>
        </w:tabs>
        <w:numPr>
          <w:ilvl w:val="0"/>
          <w:numId w:val="99"/>
        </w:numPr>
        <w:rPr>
          <w:rFonts w:ascii="Arial" w:cs="Arial" w:eastAsia="Arial" w:hAnsi="Arial"/>
          <w:sz w:val="16"/>
          <w:szCs w:val="16"/>
          <w:color w:val="007CBA"/>
        </w:rPr>
      </w:pPr>
      <w:r>
        <w:rPr>
          <w:rFonts w:ascii="Arial" w:cs="Arial" w:eastAsia="Arial" w:hAnsi="Arial"/>
          <w:sz w:val="16"/>
          <w:szCs w:val="16"/>
          <w:color w:val="auto"/>
        </w:rPr>
        <w:t>Continuing achievement of excellent management of working capital.</w:t>
      </w:r>
    </w:p>
    <w:p>
      <w:pPr>
        <w:spacing w:after="0" w:line="126" w:lineRule="exact"/>
        <w:rPr>
          <w:rFonts w:ascii="Arial" w:cs="Arial" w:eastAsia="Arial" w:hAnsi="Arial"/>
          <w:sz w:val="16"/>
          <w:szCs w:val="16"/>
          <w:color w:val="007CBA"/>
        </w:rPr>
      </w:pPr>
    </w:p>
    <w:p>
      <w:pPr>
        <w:ind w:left="360" w:hanging="275"/>
        <w:spacing w:after="0"/>
        <w:tabs>
          <w:tab w:leader="none" w:pos="360" w:val="left"/>
        </w:tabs>
        <w:numPr>
          <w:ilvl w:val="0"/>
          <w:numId w:val="99"/>
        </w:numPr>
        <w:rPr>
          <w:rFonts w:ascii="Arial" w:cs="Arial" w:eastAsia="Arial" w:hAnsi="Arial"/>
          <w:sz w:val="16"/>
          <w:szCs w:val="16"/>
          <w:color w:val="007CBA"/>
        </w:rPr>
      </w:pPr>
      <w:r>
        <w:rPr>
          <w:rFonts w:ascii="Arial" w:cs="Arial" w:eastAsia="Arial" w:hAnsi="Arial"/>
          <w:sz w:val="16"/>
          <w:szCs w:val="16"/>
          <w:color w:val="auto"/>
        </w:rPr>
        <w:t>The successful organic and inorganic growth of Martin Marietta.</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making the determination as to Mr. Nye’s annual incentive award, the Committee also took into consideration that his target bonus opportunity is below market.</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Key individual performance criteria are established for each NEO, which are intended to drive strategic and support operational results in the Company and the functional groups. For the NEOs other than Mr. Nye, 50% of the determination is made with respect to Martin Marietta’s performance and 50% is based on the individual’s performance against established objectives.</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individualized target goals are tailored for each executive, his or her specific areas of responsibility and the then-current and longer-term goals of Martin Marietta. In addition, achievement of the goals typically is in part dependent on conditions outside the control of each of the NEOs. For example, our business may be adversely affected by hurricanes or other weather-related conditions, which could have the result of impeding the achievement of certain performance-based goals. Similar to the Committee’s assessment of financial goals, the Committee’s assessment of individual performance goals generally excludes non-recurring or extraordinary items.</w:t>
      </w:r>
    </w:p>
    <w:p>
      <w:pPr>
        <w:spacing w:after="0" w:line="17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Committee also reviewed and considered management’s furtherance of its strategic plan, including a primary objective of value-enhancing growth, and the adoption of Mission, Vision, and Values of the Company to unify management with the same objectives.</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The Committee conducted a comparative review of the individual contributions of each of the executive officers towards achieving these goals. The Committee also considered qualitative measures of performance for the executive officers, such as adherence to and implementation of Martin Marietta’s </w:t>
      </w:r>
      <w:r>
        <w:rPr>
          <w:rFonts w:ascii="Arial" w:cs="Arial" w:eastAsia="Arial" w:hAnsi="Arial"/>
          <w:sz w:val="16"/>
          <w:szCs w:val="16"/>
          <w:i w:val="1"/>
          <w:iCs w:val="1"/>
          <w:color w:val="auto"/>
        </w:rPr>
        <w:t>Code of Ethical Business Conduct</w:t>
      </w:r>
      <w:r>
        <w:rPr>
          <w:rFonts w:ascii="Arial" w:cs="Arial" w:eastAsia="Arial" w:hAnsi="Arial"/>
          <w:sz w:val="16"/>
          <w:szCs w:val="16"/>
          <w:color w:val="auto"/>
        </w:rPr>
        <w:t>, customer satisfaction, and product quality.</w:t>
      </w:r>
    </w:p>
    <w:p>
      <w:pPr>
        <w:spacing w:after="0" w:line="16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maximum incentive compensation is fixed based on objective criteria as described in the Executive Cash Incentive Plan, and the Committee then determines an appropriate award payout beneath the maximum amount based on the factors described above. Although there is substantial uncertainty with respect to achieving the target levels at the time the goals are set and communicated, our NEOs have a reasonable expectation of receiving a cash incentive award at a level that is at least near their target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198120</wp:posOffset>
            </wp:positionV>
            <wp:extent cx="410845" cy="2482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232"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114" w:lineRule="exact"/>
        <w:rPr>
          <w:sz w:val="20"/>
          <w:szCs w:val="20"/>
          <w:color w:val="auto"/>
        </w:rPr>
      </w:pPr>
    </w:p>
    <w:p>
      <w:pPr>
        <w:ind w:left="640" w:hanging="430"/>
        <w:spacing w:after="0"/>
        <w:tabs>
          <w:tab w:leader="none" w:pos="640" w:val="left"/>
        </w:tabs>
        <w:numPr>
          <w:ilvl w:val="0"/>
          <w:numId w:val="100"/>
        </w:numPr>
        <w:rPr>
          <w:rFonts w:ascii="Arial" w:cs="Arial" w:eastAsia="Arial" w:hAnsi="Arial"/>
          <w:sz w:val="12"/>
          <w:szCs w:val="12"/>
          <w:b w:val="1"/>
          <w:bCs w:val="1"/>
          <w:color w:val="auto"/>
        </w:rPr>
      </w:pPr>
      <w:r>
        <w:rPr>
          <w:rFonts w:ascii="Arial" w:cs="Arial" w:eastAsia="Arial" w:hAnsi="Arial"/>
          <w:sz w:val="12"/>
          <w:szCs w:val="12"/>
          <w:color w:val="007CBA"/>
        </w:rPr>
        <w:t>2019 PROXY STATEMENT</w:t>
      </w:r>
    </w:p>
    <w:p>
      <w:pPr>
        <w:sectPr>
          <w:pgSz w:w="11900" w:h="16838" w:orient="portrait"/>
          <w:cols w:equalWidth="0" w:num="1">
            <w:col w:w="11220"/>
          </w:cols>
          <w:pgMar w:left="240" w:top="459" w:right="43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9" w:lineRule="exact"/>
        <w:rPr>
          <w:sz w:val="20"/>
          <w:szCs w:val="20"/>
          <w:color w:val="auto"/>
        </w:rPr>
      </w:pPr>
    </w:p>
    <w:p>
      <w:pPr>
        <w:ind w:left="5680"/>
        <w:spacing w:after="0" w:line="288" w:lineRule="exact"/>
        <w:rPr>
          <w:sz w:val="20"/>
          <w:szCs w:val="20"/>
          <w:color w:val="auto"/>
        </w:rPr>
      </w:pPr>
      <w:r>
        <w:rPr>
          <w:rFonts w:ascii="Arial" w:cs="Arial" w:eastAsia="Arial" w:hAnsi="Arial"/>
          <w:sz w:val="13"/>
          <w:szCs w:val="13"/>
          <w:color w:val="auto"/>
        </w:rPr>
        <w:t xml:space="preserve">2018 Annual Cash Incentive Goals and Results </w:t>
      </w:r>
      <w:r>
        <w:rPr>
          <w:rFonts w:ascii="MS PGothic" w:cs="MS PGothic" w:eastAsia="MS PGothic" w:hAnsi="MS PGothic"/>
          <w:sz w:val="25"/>
          <w:szCs w:val="25"/>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Compensation Discussion and Analysis</w:t>
      </w: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2018 Actual Incentive Cash Earned</w:t>
      </w:r>
    </w:p>
    <w:p>
      <w:pPr>
        <w:spacing w:after="0" w:line="237" w:lineRule="exact"/>
        <w:rPr>
          <w:sz w:val="20"/>
          <w:szCs w:val="20"/>
          <w:color w:val="auto"/>
        </w:rPr>
      </w:pPr>
    </w:p>
    <w:p>
      <w:pPr>
        <w:jc w:val="both"/>
        <w:ind w:left="220"/>
        <w:spacing w:after="0" w:line="253" w:lineRule="auto"/>
        <w:rPr>
          <w:sz w:val="20"/>
          <w:szCs w:val="20"/>
          <w:color w:val="auto"/>
        </w:rPr>
      </w:pPr>
      <w:r>
        <w:rPr>
          <w:rFonts w:ascii="Arial" w:cs="Arial" w:eastAsia="Arial" w:hAnsi="Arial"/>
          <w:sz w:val="16"/>
          <w:szCs w:val="16"/>
          <w:color w:val="auto"/>
        </w:rPr>
        <w:t>In 2018, the Committee determined that Company and individual performance warranted the annual incentive payments in the chart below based on a review of financial metrics and other important achievements. The Committee reviews the NEOs’ performance based on continuous improvement from the preceding year. The Committee considered the following financial metrics in making this determination:</w:t>
      </w:r>
    </w:p>
    <w:p>
      <w:pPr>
        <w:spacing w:after="0" w:line="106" w:lineRule="exact"/>
        <w:rPr>
          <w:sz w:val="20"/>
          <w:szCs w:val="20"/>
          <w:color w:val="auto"/>
        </w:rPr>
      </w:pPr>
    </w:p>
    <w:p>
      <w:pPr>
        <w:ind w:left="540" w:hanging="330"/>
        <w:spacing w:after="0"/>
        <w:tabs>
          <w:tab w:leader="none" w:pos="540" w:val="left"/>
        </w:tabs>
        <w:numPr>
          <w:ilvl w:val="0"/>
          <w:numId w:val="101"/>
        </w:numPr>
        <w:rPr>
          <w:rFonts w:ascii="Arial" w:cs="Arial" w:eastAsia="Arial" w:hAnsi="Arial"/>
          <w:sz w:val="16"/>
          <w:szCs w:val="16"/>
          <w:color w:val="007CBA"/>
        </w:rPr>
      </w:pPr>
      <w:r>
        <w:rPr>
          <w:rFonts w:ascii="Arial" w:cs="Arial" w:eastAsia="Arial" w:hAnsi="Arial"/>
          <w:sz w:val="16"/>
          <w:szCs w:val="16"/>
          <w:color w:val="auto"/>
        </w:rPr>
        <w:t>Pre-Tax Earnings (profitability) as against prior year</w:t>
      </w:r>
    </w:p>
    <w:p>
      <w:pPr>
        <w:spacing w:after="0" w:line="126" w:lineRule="exact"/>
        <w:rPr>
          <w:rFonts w:ascii="Arial" w:cs="Arial" w:eastAsia="Arial" w:hAnsi="Arial"/>
          <w:sz w:val="16"/>
          <w:szCs w:val="16"/>
          <w:color w:val="007CBA"/>
        </w:rPr>
      </w:pPr>
    </w:p>
    <w:p>
      <w:pPr>
        <w:ind w:left="540" w:hanging="330"/>
        <w:spacing w:after="0"/>
        <w:tabs>
          <w:tab w:leader="none" w:pos="540" w:val="left"/>
        </w:tabs>
        <w:numPr>
          <w:ilvl w:val="0"/>
          <w:numId w:val="101"/>
        </w:numPr>
        <w:rPr>
          <w:rFonts w:ascii="Arial" w:cs="Arial" w:eastAsia="Arial" w:hAnsi="Arial"/>
          <w:sz w:val="16"/>
          <w:szCs w:val="16"/>
          <w:color w:val="007CBA"/>
        </w:rPr>
      </w:pPr>
      <w:r>
        <w:rPr>
          <w:rFonts w:ascii="Arial" w:cs="Arial" w:eastAsia="Arial" w:hAnsi="Arial"/>
          <w:sz w:val="16"/>
          <w:szCs w:val="16"/>
          <w:color w:val="auto"/>
        </w:rPr>
        <w:t>EBITDA (profitability) as against prior year</w:t>
      </w:r>
    </w:p>
    <w:p>
      <w:pPr>
        <w:spacing w:after="0" w:line="126" w:lineRule="exact"/>
        <w:rPr>
          <w:rFonts w:ascii="Arial" w:cs="Arial" w:eastAsia="Arial" w:hAnsi="Arial"/>
          <w:sz w:val="16"/>
          <w:szCs w:val="16"/>
          <w:color w:val="007CBA"/>
        </w:rPr>
      </w:pPr>
    </w:p>
    <w:p>
      <w:pPr>
        <w:ind w:left="540" w:hanging="330"/>
        <w:spacing w:after="0"/>
        <w:tabs>
          <w:tab w:leader="none" w:pos="540" w:val="left"/>
        </w:tabs>
        <w:numPr>
          <w:ilvl w:val="0"/>
          <w:numId w:val="101"/>
        </w:numPr>
        <w:rPr>
          <w:rFonts w:ascii="Arial" w:cs="Arial" w:eastAsia="Arial" w:hAnsi="Arial"/>
          <w:sz w:val="16"/>
          <w:szCs w:val="16"/>
          <w:color w:val="007CBA"/>
        </w:rPr>
      </w:pPr>
      <w:r>
        <w:rPr>
          <w:rFonts w:ascii="Arial" w:cs="Arial" w:eastAsia="Arial" w:hAnsi="Arial"/>
          <w:sz w:val="16"/>
          <w:szCs w:val="16"/>
          <w:color w:val="auto"/>
        </w:rPr>
        <w:t>Days Sales Outstanding, or DSO (cash flow) as against prior year</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table below summarizes the targets for 2018 and annual incentive award earned by each NEO:</w:t>
      </w:r>
    </w:p>
    <w:p>
      <w:pPr>
        <w:spacing w:after="0" w:line="246"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1880" w:type="dxa"/>
            <w:vAlign w:val="bottom"/>
            <w:tcBorders>
              <w:right w:val="single" w:sz="8" w:color="007CBA"/>
            </w:tcBorders>
            <w:shd w:val="clear" w:color="auto" w:fill="007CBA"/>
          </w:tcPr>
          <w:p>
            <w:pPr>
              <w:spacing w:after="0"/>
              <w:rPr>
                <w:sz w:val="18"/>
                <w:szCs w:val="18"/>
                <w:color w:val="auto"/>
              </w:rPr>
            </w:pPr>
          </w:p>
        </w:tc>
        <w:tc>
          <w:tcPr>
            <w:tcW w:w="180" w:type="dxa"/>
            <w:vAlign w:val="bottom"/>
            <w:shd w:val="clear" w:color="auto" w:fill="007CBA"/>
          </w:tcPr>
          <w:p>
            <w:pPr>
              <w:spacing w:after="0"/>
              <w:rPr>
                <w:sz w:val="18"/>
                <w:szCs w:val="18"/>
                <w:color w:val="auto"/>
              </w:rPr>
            </w:pPr>
          </w:p>
        </w:tc>
        <w:tc>
          <w:tcPr>
            <w:tcW w:w="5240" w:type="dxa"/>
            <w:vAlign w:val="bottom"/>
            <w:tcBorders>
              <w:right w:val="single" w:sz="8" w:color="007CBA"/>
            </w:tcBorders>
            <w:shd w:val="clear" w:color="auto" w:fill="007CBA"/>
          </w:tcPr>
          <w:p>
            <w:pPr>
              <w:spacing w:after="0"/>
              <w:rPr>
                <w:sz w:val="18"/>
                <w:szCs w:val="18"/>
                <w:color w:val="auto"/>
              </w:rPr>
            </w:pPr>
          </w:p>
        </w:tc>
        <w:tc>
          <w:tcPr>
            <w:tcW w:w="13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Target Annual</w:t>
            </w:r>
          </w:p>
        </w:tc>
        <w:tc>
          <w:tcPr>
            <w:tcW w:w="1200" w:type="dxa"/>
            <w:vAlign w:val="bottom"/>
            <w:tcBorders>
              <w:right w:val="single" w:sz="8" w:color="007CBA"/>
            </w:tcBorders>
            <w:gridSpan w:val="2"/>
            <w:shd w:val="clear" w:color="auto" w:fill="007CBA"/>
          </w:tcPr>
          <w:p>
            <w:pPr>
              <w:jc w:val="center"/>
              <w:spacing w:after="0"/>
              <w:rPr>
                <w:sz w:val="20"/>
                <w:szCs w:val="20"/>
                <w:color w:val="auto"/>
              </w:rPr>
            </w:pPr>
            <w:r>
              <w:rPr>
                <w:rFonts w:ascii="Arial" w:cs="Arial" w:eastAsia="Arial" w:hAnsi="Arial"/>
                <w:sz w:val="14"/>
                <w:szCs w:val="14"/>
                <w:b w:val="1"/>
                <w:bCs w:val="1"/>
                <w:color w:val="FFFFFF"/>
              </w:rPr>
              <w:t>2018 Target</w:t>
            </w:r>
          </w:p>
        </w:tc>
        <w:tc>
          <w:tcPr>
            <w:tcW w:w="1200" w:type="dxa"/>
            <w:vAlign w:val="bottom"/>
            <w:gridSpan w:val="2"/>
            <w:shd w:val="clear" w:color="auto" w:fill="007CBA"/>
          </w:tcPr>
          <w:p>
            <w:pPr>
              <w:jc w:val="center"/>
              <w:spacing w:after="0"/>
              <w:rPr>
                <w:sz w:val="20"/>
                <w:szCs w:val="20"/>
                <w:color w:val="auto"/>
              </w:rPr>
            </w:pPr>
            <w:r>
              <w:rPr>
                <w:rFonts w:ascii="Arial" w:cs="Arial" w:eastAsia="Arial" w:hAnsi="Arial"/>
                <w:sz w:val="14"/>
                <w:szCs w:val="14"/>
                <w:b w:val="1"/>
                <w:bCs w:val="1"/>
                <w:color w:val="FFFFFF"/>
              </w:rPr>
              <w:t>2018 Actual</w:t>
            </w:r>
          </w:p>
        </w:tc>
      </w:tr>
      <w:tr>
        <w:trPr>
          <w:trHeight w:val="162"/>
        </w:trPr>
        <w:tc>
          <w:tcPr>
            <w:tcW w:w="1880" w:type="dxa"/>
            <w:vAlign w:val="bottom"/>
            <w:tcBorders>
              <w:right w:val="single" w:sz="8" w:color="007CBA"/>
            </w:tcBorders>
            <w:shd w:val="clear" w:color="auto" w:fill="007CBA"/>
          </w:tcPr>
          <w:p>
            <w:pPr>
              <w:spacing w:after="0"/>
              <w:rPr>
                <w:sz w:val="14"/>
                <w:szCs w:val="14"/>
                <w:color w:val="auto"/>
              </w:rPr>
            </w:pPr>
          </w:p>
        </w:tc>
        <w:tc>
          <w:tcPr>
            <w:tcW w:w="180" w:type="dxa"/>
            <w:vAlign w:val="bottom"/>
            <w:shd w:val="clear" w:color="auto" w:fill="007CBA"/>
          </w:tcPr>
          <w:p>
            <w:pPr>
              <w:spacing w:after="0"/>
              <w:rPr>
                <w:sz w:val="14"/>
                <w:szCs w:val="14"/>
                <w:color w:val="auto"/>
              </w:rPr>
            </w:pPr>
          </w:p>
        </w:tc>
        <w:tc>
          <w:tcPr>
            <w:tcW w:w="5240" w:type="dxa"/>
            <w:vAlign w:val="bottom"/>
            <w:tcBorders>
              <w:right w:val="single" w:sz="8" w:color="007CBA"/>
            </w:tcBorders>
            <w:shd w:val="clear" w:color="auto" w:fill="007CBA"/>
          </w:tcPr>
          <w:p>
            <w:pPr>
              <w:spacing w:after="0"/>
              <w:rPr>
                <w:sz w:val="14"/>
                <w:szCs w:val="14"/>
                <w:color w:val="auto"/>
              </w:rPr>
            </w:pPr>
          </w:p>
        </w:tc>
        <w:tc>
          <w:tcPr>
            <w:tcW w:w="13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Incentive Bonus</w:t>
            </w:r>
          </w:p>
        </w:tc>
        <w:tc>
          <w:tcPr>
            <w:tcW w:w="260" w:type="dxa"/>
            <w:vAlign w:val="bottom"/>
            <w:shd w:val="clear" w:color="auto" w:fill="007CBA"/>
          </w:tcPr>
          <w:p>
            <w:pPr>
              <w:spacing w:after="0"/>
              <w:rPr>
                <w:sz w:val="14"/>
                <w:szCs w:val="14"/>
                <w:color w:val="auto"/>
              </w:rPr>
            </w:pPr>
          </w:p>
        </w:tc>
        <w:tc>
          <w:tcPr>
            <w:tcW w:w="940" w:type="dxa"/>
            <w:vAlign w:val="bottom"/>
            <w:tcBorders>
              <w:right w:val="single" w:sz="8" w:color="007CBA"/>
            </w:tcBorders>
            <w:shd w:val="clear" w:color="auto" w:fill="007CBA"/>
          </w:tcPr>
          <w:p>
            <w:pPr>
              <w:jc w:val="center"/>
              <w:ind w:right="208"/>
              <w:spacing w:after="0"/>
              <w:rPr>
                <w:sz w:val="20"/>
                <w:szCs w:val="20"/>
                <w:color w:val="auto"/>
              </w:rPr>
            </w:pPr>
            <w:r>
              <w:rPr>
                <w:rFonts w:ascii="Arial" w:cs="Arial" w:eastAsia="Arial" w:hAnsi="Arial"/>
                <w:sz w:val="14"/>
                <w:szCs w:val="14"/>
                <w:b w:val="1"/>
                <w:bCs w:val="1"/>
                <w:color w:val="FFFFFF"/>
              </w:rPr>
              <w:t>Annual</w:t>
            </w:r>
          </w:p>
        </w:tc>
        <w:tc>
          <w:tcPr>
            <w:tcW w:w="260" w:type="dxa"/>
            <w:vAlign w:val="bottom"/>
            <w:shd w:val="clear" w:color="auto" w:fill="007CBA"/>
          </w:tcPr>
          <w:p>
            <w:pPr>
              <w:spacing w:after="0"/>
              <w:rPr>
                <w:sz w:val="14"/>
                <w:szCs w:val="14"/>
                <w:color w:val="auto"/>
              </w:rPr>
            </w:pPr>
          </w:p>
        </w:tc>
        <w:tc>
          <w:tcPr>
            <w:tcW w:w="940" w:type="dxa"/>
            <w:vAlign w:val="bottom"/>
            <w:shd w:val="clear" w:color="auto" w:fill="007CBA"/>
          </w:tcPr>
          <w:p>
            <w:pPr>
              <w:jc w:val="center"/>
              <w:ind w:right="188"/>
              <w:spacing w:after="0"/>
              <w:rPr>
                <w:sz w:val="20"/>
                <w:szCs w:val="20"/>
                <w:color w:val="auto"/>
              </w:rPr>
            </w:pPr>
            <w:r>
              <w:rPr>
                <w:rFonts w:ascii="Arial" w:cs="Arial" w:eastAsia="Arial" w:hAnsi="Arial"/>
                <w:sz w:val="14"/>
                <w:szCs w:val="14"/>
                <w:b w:val="1"/>
                <w:bCs w:val="1"/>
                <w:color w:val="FFFFFF"/>
              </w:rPr>
              <w:t>Annual</w:t>
            </w:r>
          </w:p>
        </w:tc>
      </w:tr>
      <w:tr>
        <w:trPr>
          <w:trHeight w:val="202"/>
        </w:trPr>
        <w:tc>
          <w:tcPr>
            <w:tcW w:w="188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4"/>
                <w:szCs w:val="14"/>
                <w:b w:val="1"/>
                <w:bCs w:val="1"/>
                <w:color w:val="FFFFFF"/>
              </w:rPr>
              <w:t>NEO</w:t>
            </w:r>
          </w:p>
        </w:tc>
        <w:tc>
          <w:tcPr>
            <w:tcW w:w="180" w:type="dxa"/>
            <w:vAlign w:val="bottom"/>
            <w:shd w:val="clear" w:color="auto" w:fill="007CBA"/>
          </w:tcPr>
          <w:p>
            <w:pPr>
              <w:spacing w:after="0"/>
              <w:rPr>
                <w:sz w:val="17"/>
                <w:szCs w:val="17"/>
                <w:color w:val="auto"/>
              </w:rPr>
            </w:pPr>
          </w:p>
        </w:tc>
        <w:tc>
          <w:tcPr>
            <w:tcW w:w="5240" w:type="dxa"/>
            <w:vAlign w:val="bottom"/>
            <w:tcBorders>
              <w:right w:val="single" w:sz="8" w:color="007CBA"/>
            </w:tcBorders>
            <w:shd w:val="clear" w:color="auto" w:fill="007CBA"/>
          </w:tcPr>
          <w:p>
            <w:pPr>
              <w:ind w:left="1600"/>
              <w:spacing w:after="0"/>
              <w:rPr>
                <w:sz w:val="20"/>
                <w:szCs w:val="20"/>
                <w:color w:val="auto"/>
              </w:rPr>
            </w:pPr>
            <w:r>
              <w:rPr>
                <w:rFonts w:ascii="Arial" w:cs="Arial" w:eastAsia="Arial" w:hAnsi="Arial"/>
                <w:sz w:val="14"/>
                <w:szCs w:val="14"/>
                <w:b w:val="1"/>
                <w:bCs w:val="1"/>
                <w:color w:val="FFFFFF"/>
              </w:rPr>
              <w:t>2018 Performance Metrics</w:t>
            </w:r>
          </w:p>
        </w:tc>
        <w:tc>
          <w:tcPr>
            <w:tcW w:w="13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 of Salary)</w:t>
            </w:r>
          </w:p>
        </w:tc>
        <w:tc>
          <w:tcPr>
            <w:tcW w:w="260" w:type="dxa"/>
            <w:vAlign w:val="bottom"/>
            <w:shd w:val="clear" w:color="auto" w:fill="007CBA"/>
          </w:tcPr>
          <w:p>
            <w:pPr>
              <w:spacing w:after="0"/>
              <w:rPr>
                <w:sz w:val="17"/>
                <w:szCs w:val="17"/>
                <w:color w:val="auto"/>
              </w:rPr>
            </w:pPr>
          </w:p>
        </w:tc>
        <w:tc>
          <w:tcPr>
            <w:tcW w:w="940" w:type="dxa"/>
            <w:vAlign w:val="bottom"/>
            <w:tcBorders>
              <w:right w:val="single" w:sz="8" w:color="007CBA"/>
            </w:tcBorders>
            <w:shd w:val="clear" w:color="auto" w:fill="007CBA"/>
          </w:tcPr>
          <w:p>
            <w:pPr>
              <w:jc w:val="center"/>
              <w:ind w:right="208"/>
              <w:spacing w:after="0"/>
              <w:rPr>
                <w:sz w:val="20"/>
                <w:szCs w:val="20"/>
                <w:color w:val="auto"/>
              </w:rPr>
            </w:pPr>
            <w:r>
              <w:rPr>
                <w:rFonts w:ascii="Arial" w:cs="Arial" w:eastAsia="Arial" w:hAnsi="Arial"/>
                <w:sz w:val="14"/>
                <w:szCs w:val="14"/>
                <w:b w:val="1"/>
                <w:bCs w:val="1"/>
                <w:color w:val="FFFFFF"/>
                <w:w w:val="99"/>
              </w:rPr>
              <w:t>Incentive*</w:t>
            </w:r>
          </w:p>
        </w:tc>
        <w:tc>
          <w:tcPr>
            <w:tcW w:w="260" w:type="dxa"/>
            <w:vAlign w:val="bottom"/>
            <w:shd w:val="clear" w:color="auto" w:fill="007CBA"/>
          </w:tcPr>
          <w:p>
            <w:pPr>
              <w:spacing w:after="0"/>
              <w:rPr>
                <w:sz w:val="17"/>
                <w:szCs w:val="17"/>
                <w:color w:val="auto"/>
              </w:rPr>
            </w:pPr>
          </w:p>
        </w:tc>
        <w:tc>
          <w:tcPr>
            <w:tcW w:w="940" w:type="dxa"/>
            <w:vAlign w:val="bottom"/>
            <w:shd w:val="clear" w:color="auto" w:fill="007CBA"/>
          </w:tcPr>
          <w:p>
            <w:pPr>
              <w:jc w:val="center"/>
              <w:ind w:right="208"/>
              <w:spacing w:after="0"/>
              <w:rPr>
                <w:sz w:val="20"/>
                <w:szCs w:val="20"/>
                <w:color w:val="auto"/>
              </w:rPr>
            </w:pPr>
            <w:r>
              <w:rPr>
                <w:rFonts w:ascii="Arial" w:cs="Arial" w:eastAsia="Arial" w:hAnsi="Arial"/>
                <w:sz w:val="14"/>
                <w:szCs w:val="14"/>
                <w:b w:val="1"/>
                <w:bCs w:val="1"/>
                <w:color w:val="FFFFFF"/>
              </w:rPr>
              <w:t>Incentive</w:t>
            </w:r>
          </w:p>
        </w:tc>
      </w:tr>
      <w:tr>
        <w:trPr>
          <w:trHeight w:val="217"/>
        </w:trPr>
        <w:tc>
          <w:tcPr>
            <w:tcW w:w="18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C. Howard Nye</w:t>
            </w:r>
          </w:p>
        </w:tc>
        <w:tc>
          <w:tcPr>
            <w:tcW w:w="180" w:type="dxa"/>
            <w:vAlign w:val="bottom"/>
            <w:shd w:val="clear" w:color="auto" w:fill="E5F1F8"/>
          </w:tcPr>
          <w:p>
            <w:pPr>
              <w:ind w:left="60"/>
              <w:spacing w:after="0"/>
              <w:rPr>
                <w:sz w:val="20"/>
                <w:szCs w:val="20"/>
                <w:color w:val="auto"/>
              </w:rPr>
            </w:pPr>
            <w:r>
              <w:rPr>
                <w:rFonts w:ascii="Arial" w:cs="Arial" w:eastAsia="Arial" w:hAnsi="Arial"/>
                <w:sz w:val="14"/>
                <w:szCs w:val="14"/>
                <w:color w:val="007CBA"/>
              </w:rPr>
              <w:t>•</w:t>
            </w:r>
          </w:p>
        </w:tc>
        <w:tc>
          <w:tcPr>
            <w:tcW w:w="524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Continuous improvement on safety performance from prior year</w:t>
            </w:r>
          </w:p>
        </w:tc>
        <w:tc>
          <w:tcPr>
            <w:tcW w:w="1300" w:type="dxa"/>
            <w:vAlign w:val="bottom"/>
            <w:tcBorders>
              <w:right w:val="single" w:sz="8" w:color="007CBA"/>
            </w:tcBorders>
            <w:shd w:val="clear" w:color="auto" w:fill="E5F1F8"/>
          </w:tcPr>
          <w:p>
            <w:pPr>
              <w:jc w:val="right"/>
              <w:ind w:right="408"/>
              <w:spacing w:after="0"/>
              <w:rPr>
                <w:sz w:val="20"/>
                <w:szCs w:val="20"/>
                <w:color w:val="auto"/>
              </w:rPr>
            </w:pPr>
            <w:r>
              <w:rPr>
                <w:rFonts w:ascii="Arial" w:cs="Arial" w:eastAsia="Arial" w:hAnsi="Arial"/>
                <w:sz w:val="14"/>
                <w:szCs w:val="14"/>
                <w:color w:val="auto"/>
              </w:rPr>
              <w:t>110%</w:t>
            </w:r>
          </w:p>
        </w:tc>
        <w:tc>
          <w:tcPr>
            <w:tcW w:w="260" w:type="dxa"/>
            <w:vAlign w:val="bottom"/>
            <w:shd w:val="clear" w:color="auto" w:fill="E5F1F8"/>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007CBA"/>
            </w:tcBorders>
            <w:shd w:val="clear" w:color="auto" w:fill="E5F1F8"/>
          </w:tcPr>
          <w:p>
            <w:pPr>
              <w:jc w:val="right"/>
              <w:ind w:right="128"/>
              <w:spacing w:after="0"/>
              <w:rPr>
                <w:sz w:val="20"/>
                <w:szCs w:val="20"/>
                <w:color w:val="auto"/>
              </w:rPr>
            </w:pPr>
            <w:r>
              <w:rPr>
                <w:rFonts w:ascii="Arial" w:cs="Arial" w:eastAsia="Arial" w:hAnsi="Arial"/>
                <w:sz w:val="14"/>
                <w:szCs w:val="14"/>
                <w:color w:val="auto"/>
              </w:rPr>
              <w:t>1,199,917</w:t>
            </w:r>
          </w:p>
        </w:tc>
        <w:tc>
          <w:tcPr>
            <w:tcW w:w="260" w:type="dxa"/>
            <w:vAlign w:val="bottom"/>
            <w:shd w:val="clear" w:color="auto" w:fill="E5F1F8"/>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5F1F8"/>
          </w:tcPr>
          <w:p>
            <w:pPr>
              <w:jc w:val="right"/>
              <w:ind w:right="108"/>
              <w:spacing w:after="0"/>
              <w:rPr>
                <w:sz w:val="20"/>
                <w:szCs w:val="20"/>
                <w:color w:val="auto"/>
              </w:rPr>
            </w:pPr>
            <w:r>
              <w:rPr>
                <w:rFonts w:ascii="Arial" w:cs="Arial" w:eastAsia="Arial" w:hAnsi="Arial"/>
                <w:sz w:val="14"/>
                <w:szCs w:val="14"/>
                <w:color w:val="auto"/>
              </w:rPr>
              <w:t>2,100,000</w:t>
            </w:r>
          </w:p>
        </w:tc>
      </w:tr>
      <w:tr>
        <w:trPr>
          <w:trHeight w:val="273"/>
        </w:trPr>
        <w:tc>
          <w:tcPr>
            <w:tcW w:w="1880" w:type="dxa"/>
            <w:vAlign w:val="bottom"/>
            <w:tcBorders>
              <w:right w:val="single" w:sz="8" w:color="007CBA"/>
            </w:tcBorders>
            <w:shd w:val="clear" w:color="auto" w:fill="E5F1F8"/>
          </w:tcPr>
          <w:p>
            <w:pPr>
              <w:spacing w:after="0"/>
              <w:rPr>
                <w:sz w:val="23"/>
                <w:szCs w:val="23"/>
                <w:color w:val="auto"/>
              </w:rPr>
            </w:pPr>
          </w:p>
        </w:tc>
        <w:tc>
          <w:tcPr>
            <w:tcW w:w="5420" w:type="dxa"/>
            <w:vAlign w:val="bottom"/>
            <w:tcBorders>
              <w:right w:val="single" w:sz="8" w:color="007CBA"/>
            </w:tcBorders>
            <w:gridSpan w:val="2"/>
            <w:shd w:val="clear" w:color="auto" w:fill="E5F1F8"/>
          </w:tcPr>
          <w:p>
            <w:pPr>
              <w:ind w:left="60"/>
              <w:spacing w:after="0"/>
              <w:rPr>
                <w:sz w:val="20"/>
                <w:szCs w:val="20"/>
                <w:color w:val="auto"/>
              </w:rPr>
            </w:pPr>
            <w:r>
              <w:rPr>
                <w:rFonts w:ascii="Arial" w:cs="Arial" w:eastAsia="Arial" w:hAnsi="Arial"/>
                <w:sz w:val="14"/>
                <w:szCs w:val="14"/>
                <w:color w:val="007CBA"/>
              </w:rPr>
              <w:t xml:space="preserve">•  </w:t>
            </w:r>
            <w:r>
              <w:rPr>
                <w:rFonts w:ascii="Arial" w:cs="Arial" w:eastAsia="Arial" w:hAnsi="Arial"/>
                <w:sz w:val="14"/>
                <w:szCs w:val="14"/>
                <w:color w:val="000000"/>
              </w:rPr>
              <w:t>Successful organic and inorganic growth, including acquisition and integration of</w:t>
            </w:r>
          </w:p>
        </w:tc>
        <w:tc>
          <w:tcPr>
            <w:tcW w:w="1300" w:type="dxa"/>
            <w:vAlign w:val="bottom"/>
            <w:tcBorders>
              <w:right w:val="single" w:sz="8" w:color="007CBA"/>
            </w:tcBorders>
            <w:shd w:val="clear" w:color="auto" w:fill="E5F1F8"/>
          </w:tcPr>
          <w:p>
            <w:pPr>
              <w:spacing w:after="0"/>
              <w:rPr>
                <w:sz w:val="23"/>
                <w:szCs w:val="23"/>
                <w:color w:val="auto"/>
              </w:rPr>
            </w:pPr>
          </w:p>
        </w:tc>
        <w:tc>
          <w:tcPr>
            <w:tcW w:w="260" w:type="dxa"/>
            <w:vAlign w:val="bottom"/>
            <w:shd w:val="clear" w:color="auto" w:fill="E5F1F8"/>
          </w:tcPr>
          <w:p>
            <w:pPr>
              <w:spacing w:after="0"/>
              <w:rPr>
                <w:sz w:val="23"/>
                <w:szCs w:val="23"/>
                <w:color w:val="auto"/>
              </w:rPr>
            </w:pPr>
          </w:p>
        </w:tc>
        <w:tc>
          <w:tcPr>
            <w:tcW w:w="940" w:type="dxa"/>
            <w:vAlign w:val="bottom"/>
            <w:tcBorders>
              <w:right w:val="single" w:sz="8" w:color="007CBA"/>
            </w:tcBorders>
            <w:shd w:val="clear" w:color="auto" w:fill="E5F1F8"/>
          </w:tcPr>
          <w:p>
            <w:pPr>
              <w:spacing w:after="0"/>
              <w:rPr>
                <w:sz w:val="23"/>
                <w:szCs w:val="23"/>
                <w:color w:val="auto"/>
              </w:rPr>
            </w:pPr>
          </w:p>
        </w:tc>
        <w:tc>
          <w:tcPr>
            <w:tcW w:w="260" w:type="dxa"/>
            <w:vAlign w:val="bottom"/>
            <w:shd w:val="clear" w:color="auto" w:fill="E5F1F8"/>
          </w:tcPr>
          <w:p>
            <w:pPr>
              <w:spacing w:after="0"/>
              <w:rPr>
                <w:sz w:val="23"/>
                <w:szCs w:val="23"/>
                <w:color w:val="auto"/>
              </w:rPr>
            </w:pPr>
          </w:p>
        </w:tc>
        <w:tc>
          <w:tcPr>
            <w:tcW w:w="940" w:type="dxa"/>
            <w:vAlign w:val="bottom"/>
            <w:shd w:val="clear" w:color="auto" w:fill="E5F1F8"/>
          </w:tcPr>
          <w:p>
            <w:pPr>
              <w:spacing w:after="0"/>
              <w:rPr>
                <w:sz w:val="23"/>
                <w:szCs w:val="23"/>
                <w:color w:val="auto"/>
              </w:rPr>
            </w:pPr>
          </w:p>
        </w:tc>
      </w:tr>
      <w:tr>
        <w:trPr>
          <w:trHeight w:val="172"/>
        </w:trPr>
        <w:tc>
          <w:tcPr>
            <w:tcW w:w="1880" w:type="dxa"/>
            <w:vAlign w:val="bottom"/>
            <w:tcBorders>
              <w:right w:val="single" w:sz="8" w:color="007CBA"/>
            </w:tcBorders>
            <w:shd w:val="clear" w:color="auto" w:fill="E5F1F8"/>
          </w:tcPr>
          <w:p>
            <w:pPr>
              <w:spacing w:after="0"/>
              <w:rPr>
                <w:sz w:val="14"/>
                <w:szCs w:val="14"/>
                <w:color w:val="auto"/>
              </w:rPr>
            </w:pPr>
          </w:p>
        </w:tc>
        <w:tc>
          <w:tcPr>
            <w:tcW w:w="180" w:type="dxa"/>
            <w:vAlign w:val="bottom"/>
            <w:shd w:val="clear" w:color="auto" w:fill="E5F1F8"/>
          </w:tcPr>
          <w:p>
            <w:pPr>
              <w:spacing w:after="0"/>
              <w:rPr>
                <w:sz w:val="14"/>
                <w:szCs w:val="14"/>
                <w:color w:val="auto"/>
              </w:rPr>
            </w:pPr>
          </w:p>
        </w:tc>
        <w:tc>
          <w:tcPr>
            <w:tcW w:w="5240" w:type="dxa"/>
            <w:vAlign w:val="bottom"/>
            <w:tcBorders>
              <w:right w:val="single" w:sz="8" w:color="007CBA"/>
            </w:tcBorders>
            <w:shd w:val="clear" w:color="auto" w:fill="E5F1F8"/>
          </w:tcPr>
          <w:p>
            <w:pPr>
              <w:ind w:left="100"/>
              <w:spacing w:after="0"/>
              <w:rPr>
                <w:sz w:val="20"/>
                <w:szCs w:val="20"/>
                <w:color w:val="auto"/>
              </w:rPr>
            </w:pPr>
            <w:r>
              <w:rPr>
                <w:rFonts w:ascii="Arial" w:cs="Arial" w:eastAsia="Arial" w:hAnsi="Arial"/>
                <w:sz w:val="14"/>
                <w:szCs w:val="14"/>
                <w:color w:val="auto"/>
              </w:rPr>
              <w:t>Bluegrass Materials</w:t>
            </w:r>
          </w:p>
        </w:tc>
        <w:tc>
          <w:tcPr>
            <w:tcW w:w="1300" w:type="dxa"/>
            <w:vAlign w:val="bottom"/>
            <w:tcBorders>
              <w:right w:val="single" w:sz="8" w:color="007CBA"/>
            </w:tcBorders>
            <w:shd w:val="clear" w:color="auto" w:fill="E5F1F8"/>
          </w:tcPr>
          <w:p>
            <w:pPr>
              <w:spacing w:after="0"/>
              <w:rPr>
                <w:sz w:val="14"/>
                <w:szCs w:val="14"/>
                <w:color w:val="auto"/>
              </w:rPr>
            </w:pPr>
          </w:p>
        </w:tc>
        <w:tc>
          <w:tcPr>
            <w:tcW w:w="260" w:type="dxa"/>
            <w:vAlign w:val="bottom"/>
            <w:shd w:val="clear" w:color="auto" w:fill="E5F1F8"/>
          </w:tcPr>
          <w:p>
            <w:pPr>
              <w:spacing w:after="0"/>
              <w:rPr>
                <w:sz w:val="14"/>
                <w:szCs w:val="14"/>
                <w:color w:val="auto"/>
              </w:rPr>
            </w:pPr>
          </w:p>
        </w:tc>
        <w:tc>
          <w:tcPr>
            <w:tcW w:w="940" w:type="dxa"/>
            <w:vAlign w:val="bottom"/>
            <w:tcBorders>
              <w:right w:val="single" w:sz="8" w:color="007CBA"/>
            </w:tcBorders>
            <w:shd w:val="clear" w:color="auto" w:fill="E5F1F8"/>
          </w:tcPr>
          <w:p>
            <w:pPr>
              <w:spacing w:after="0"/>
              <w:rPr>
                <w:sz w:val="14"/>
                <w:szCs w:val="14"/>
                <w:color w:val="auto"/>
              </w:rPr>
            </w:pPr>
          </w:p>
        </w:tc>
        <w:tc>
          <w:tcPr>
            <w:tcW w:w="260" w:type="dxa"/>
            <w:vAlign w:val="bottom"/>
            <w:shd w:val="clear" w:color="auto" w:fill="E5F1F8"/>
          </w:tcPr>
          <w:p>
            <w:pPr>
              <w:spacing w:after="0"/>
              <w:rPr>
                <w:sz w:val="14"/>
                <w:szCs w:val="14"/>
                <w:color w:val="auto"/>
              </w:rPr>
            </w:pPr>
          </w:p>
        </w:tc>
        <w:tc>
          <w:tcPr>
            <w:tcW w:w="940" w:type="dxa"/>
            <w:vAlign w:val="bottom"/>
            <w:shd w:val="clear" w:color="auto" w:fill="E5F1F8"/>
          </w:tcPr>
          <w:p>
            <w:pPr>
              <w:spacing w:after="0"/>
              <w:rPr>
                <w:sz w:val="14"/>
                <w:szCs w:val="14"/>
                <w:color w:val="auto"/>
              </w:rPr>
            </w:pPr>
          </w:p>
        </w:tc>
      </w:tr>
      <w:tr>
        <w:trPr>
          <w:trHeight w:val="273"/>
        </w:trPr>
        <w:tc>
          <w:tcPr>
            <w:tcW w:w="1880" w:type="dxa"/>
            <w:vAlign w:val="bottom"/>
            <w:tcBorders>
              <w:right w:val="single" w:sz="8" w:color="007CBA"/>
            </w:tcBorders>
            <w:shd w:val="clear" w:color="auto" w:fill="E5F1F8"/>
          </w:tcPr>
          <w:p>
            <w:pPr>
              <w:spacing w:after="0"/>
              <w:rPr>
                <w:sz w:val="23"/>
                <w:szCs w:val="23"/>
                <w:color w:val="auto"/>
              </w:rPr>
            </w:pPr>
          </w:p>
        </w:tc>
        <w:tc>
          <w:tcPr>
            <w:tcW w:w="180" w:type="dxa"/>
            <w:vAlign w:val="bottom"/>
            <w:shd w:val="clear" w:color="auto" w:fill="E5F1F8"/>
          </w:tcPr>
          <w:p>
            <w:pPr>
              <w:ind w:left="60"/>
              <w:spacing w:after="0"/>
              <w:rPr>
                <w:sz w:val="20"/>
                <w:szCs w:val="20"/>
                <w:color w:val="auto"/>
              </w:rPr>
            </w:pPr>
            <w:r>
              <w:rPr>
                <w:rFonts w:ascii="Arial" w:cs="Arial" w:eastAsia="Arial" w:hAnsi="Arial"/>
                <w:sz w:val="14"/>
                <w:szCs w:val="14"/>
                <w:color w:val="007CBA"/>
              </w:rPr>
              <w:t>•</w:t>
            </w:r>
          </w:p>
        </w:tc>
        <w:tc>
          <w:tcPr>
            <w:tcW w:w="524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Ongoing  delivery  of  management  succession  and  development  plan  and</w:t>
            </w:r>
          </w:p>
        </w:tc>
        <w:tc>
          <w:tcPr>
            <w:tcW w:w="1300" w:type="dxa"/>
            <w:vAlign w:val="bottom"/>
            <w:tcBorders>
              <w:right w:val="single" w:sz="8" w:color="007CBA"/>
            </w:tcBorders>
            <w:shd w:val="clear" w:color="auto" w:fill="E5F1F8"/>
          </w:tcPr>
          <w:p>
            <w:pPr>
              <w:spacing w:after="0"/>
              <w:rPr>
                <w:sz w:val="23"/>
                <w:szCs w:val="23"/>
                <w:color w:val="auto"/>
              </w:rPr>
            </w:pPr>
          </w:p>
        </w:tc>
        <w:tc>
          <w:tcPr>
            <w:tcW w:w="260" w:type="dxa"/>
            <w:vAlign w:val="bottom"/>
            <w:shd w:val="clear" w:color="auto" w:fill="E5F1F8"/>
          </w:tcPr>
          <w:p>
            <w:pPr>
              <w:spacing w:after="0"/>
              <w:rPr>
                <w:sz w:val="23"/>
                <w:szCs w:val="23"/>
                <w:color w:val="auto"/>
              </w:rPr>
            </w:pPr>
          </w:p>
        </w:tc>
        <w:tc>
          <w:tcPr>
            <w:tcW w:w="940" w:type="dxa"/>
            <w:vAlign w:val="bottom"/>
            <w:tcBorders>
              <w:right w:val="single" w:sz="8" w:color="007CBA"/>
            </w:tcBorders>
            <w:shd w:val="clear" w:color="auto" w:fill="E5F1F8"/>
          </w:tcPr>
          <w:p>
            <w:pPr>
              <w:spacing w:after="0"/>
              <w:rPr>
                <w:sz w:val="23"/>
                <w:szCs w:val="23"/>
                <w:color w:val="auto"/>
              </w:rPr>
            </w:pPr>
          </w:p>
        </w:tc>
        <w:tc>
          <w:tcPr>
            <w:tcW w:w="260" w:type="dxa"/>
            <w:vAlign w:val="bottom"/>
            <w:shd w:val="clear" w:color="auto" w:fill="E5F1F8"/>
          </w:tcPr>
          <w:p>
            <w:pPr>
              <w:spacing w:after="0"/>
              <w:rPr>
                <w:sz w:val="23"/>
                <w:szCs w:val="23"/>
                <w:color w:val="auto"/>
              </w:rPr>
            </w:pPr>
          </w:p>
        </w:tc>
        <w:tc>
          <w:tcPr>
            <w:tcW w:w="940" w:type="dxa"/>
            <w:vAlign w:val="bottom"/>
            <w:shd w:val="clear" w:color="auto" w:fill="E5F1F8"/>
          </w:tcPr>
          <w:p>
            <w:pPr>
              <w:spacing w:after="0"/>
              <w:rPr>
                <w:sz w:val="23"/>
                <w:szCs w:val="23"/>
                <w:color w:val="auto"/>
              </w:rPr>
            </w:pPr>
          </w:p>
        </w:tc>
      </w:tr>
      <w:tr>
        <w:trPr>
          <w:trHeight w:val="191"/>
        </w:trPr>
        <w:tc>
          <w:tcPr>
            <w:tcW w:w="1880" w:type="dxa"/>
            <w:vAlign w:val="bottom"/>
            <w:tcBorders>
              <w:bottom w:val="single" w:sz="8" w:color="E5F1F8"/>
              <w:right w:val="single" w:sz="8" w:color="007CBA"/>
            </w:tcBorders>
            <w:shd w:val="clear" w:color="auto" w:fill="E5F1F8"/>
          </w:tcPr>
          <w:p>
            <w:pPr>
              <w:spacing w:after="0"/>
              <w:rPr>
                <w:sz w:val="16"/>
                <w:szCs w:val="16"/>
                <w:color w:val="auto"/>
              </w:rPr>
            </w:pPr>
          </w:p>
        </w:tc>
        <w:tc>
          <w:tcPr>
            <w:tcW w:w="180" w:type="dxa"/>
            <w:vAlign w:val="bottom"/>
            <w:tcBorders>
              <w:bottom w:val="single" w:sz="8" w:color="E5F1F8"/>
            </w:tcBorders>
            <w:shd w:val="clear" w:color="auto" w:fill="E5F1F8"/>
          </w:tcPr>
          <w:p>
            <w:pPr>
              <w:spacing w:after="0"/>
              <w:rPr>
                <w:sz w:val="16"/>
                <w:szCs w:val="16"/>
                <w:color w:val="auto"/>
              </w:rPr>
            </w:pPr>
          </w:p>
        </w:tc>
        <w:tc>
          <w:tcPr>
            <w:tcW w:w="5240" w:type="dxa"/>
            <w:vAlign w:val="bottom"/>
            <w:tcBorders>
              <w:bottom w:val="single" w:sz="8" w:color="E5F1F8"/>
              <w:right w:val="single" w:sz="8" w:color="007CBA"/>
            </w:tcBorders>
            <w:shd w:val="clear" w:color="auto" w:fill="E5F1F8"/>
          </w:tcPr>
          <w:p>
            <w:pPr>
              <w:ind w:left="100"/>
              <w:spacing w:after="0"/>
              <w:rPr>
                <w:sz w:val="20"/>
                <w:szCs w:val="20"/>
                <w:color w:val="auto"/>
              </w:rPr>
            </w:pPr>
            <w:r>
              <w:rPr>
                <w:rFonts w:ascii="Arial" w:cs="Arial" w:eastAsia="Arial" w:hAnsi="Arial"/>
                <w:sz w:val="14"/>
                <w:szCs w:val="14"/>
                <w:color w:val="auto"/>
              </w:rPr>
              <w:t>emergency CEO plan</w:t>
            </w:r>
          </w:p>
        </w:tc>
        <w:tc>
          <w:tcPr>
            <w:tcW w:w="1300" w:type="dxa"/>
            <w:vAlign w:val="bottom"/>
            <w:tcBorders>
              <w:bottom w:val="single" w:sz="8" w:color="E5F1F8"/>
              <w:right w:val="single" w:sz="8" w:color="007CBA"/>
            </w:tcBorders>
            <w:shd w:val="clear" w:color="auto" w:fill="E5F1F8"/>
          </w:tcPr>
          <w:p>
            <w:pPr>
              <w:spacing w:after="0"/>
              <w:rPr>
                <w:sz w:val="16"/>
                <w:szCs w:val="16"/>
                <w:color w:val="auto"/>
              </w:rPr>
            </w:pPr>
          </w:p>
        </w:tc>
        <w:tc>
          <w:tcPr>
            <w:tcW w:w="260" w:type="dxa"/>
            <w:vAlign w:val="bottom"/>
            <w:tcBorders>
              <w:bottom w:val="single" w:sz="8" w:color="E5F1F8"/>
            </w:tcBorders>
            <w:shd w:val="clear" w:color="auto" w:fill="E5F1F8"/>
          </w:tcPr>
          <w:p>
            <w:pPr>
              <w:spacing w:after="0"/>
              <w:rPr>
                <w:sz w:val="16"/>
                <w:szCs w:val="16"/>
                <w:color w:val="auto"/>
              </w:rPr>
            </w:pPr>
          </w:p>
        </w:tc>
        <w:tc>
          <w:tcPr>
            <w:tcW w:w="940" w:type="dxa"/>
            <w:vAlign w:val="bottom"/>
            <w:tcBorders>
              <w:bottom w:val="single" w:sz="8" w:color="E5F1F8"/>
              <w:right w:val="single" w:sz="8" w:color="007CBA"/>
            </w:tcBorders>
            <w:shd w:val="clear" w:color="auto" w:fill="E5F1F8"/>
          </w:tcPr>
          <w:p>
            <w:pPr>
              <w:spacing w:after="0"/>
              <w:rPr>
                <w:sz w:val="16"/>
                <w:szCs w:val="16"/>
                <w:color w:val="auto"/>
              </w:rPr>
            </w:pPr>
          </w:p>
        </w:tc>
        <w:tc>
          <w:tcPr>
            <w:tcW w:w="260" w:type="dxa"/>
            <w:vAlign w:val="bottom"/>
            <w:tcBorders>
              <w:bottom w:val="single" w:sz="8" w:color="E5F1F8"/>
            </w:tcBorders>
            <w:shd w:val="clear" w:color="auto" w:fill="E5F1F8"/>
          </w:tcPr>
          <w:p>
            <w:pPr>
              <w:spacing w:after="0"/>
              <w:rPr>
                <w:sz w:val="16"/>
                <w:szCs w:val="16"/>
                <w:color w:val="auto"/>
              </w:rPr>
            </w:pPr>
          </w:p>
        </w:tc>
        <w:tc>
          <w:tcPr>
            <w:tcW w:w="940" w:type="dxa"/>
            <w:vAlign w:val="bottom"/>
            <w:tcBorders>
              <w:bottom w:val="single" w:sz="8" w:color="E5F1F8"/>
            </w:tcBorders>
            <w:shd w:val="clear" w:color="auto" w:fill="E5F1F8"/>
          </w:tcPr>
          <w:p>
            <w:pPr>
              <w:spacing w:after="0"/>
              <w:rPr>
                <w:sz w:val="16"/>
                <w:szCs w:val="16"/>
                <w:color w:val="auto"/>
              </w:rPr>
            </w:pPr>
          </w:p>
        </w:tc>
      </w:tr>
      <w:tr>
        <w:trPr>
          <w:trHeight w:val="217"/>
        </w:trPr>
        <w:tc>
          <w:tcPr>
            <w:tcW w:w="18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James A. J. Nickolas</w:t>
            </w:r>
          </w:p>
        </w:tc>
        <w:tc>
          <w:tcPr>
            <w:tcW w:w="180" w:type="dxa"/>
            <w:vAlign w:val="bottom"/>
          </w:tcPr>
          <w:p>
            <w:pPr>
              <w:ind w:left="60"/>
              <w:spacing w:after="0"/>
              <w:rPr>
                <w:sz w:val="20"/>
                <w:szCs w:val="20"/>
                <w:color w:val="auto"/>
              </w:rPr>
            </w:pPr>
            <w:r>
              <w:rPr>
                <w:rFonts w:ascii="Arial" w:cs="Arial" w:eastAsia="Arial" w:hAnsi="Arial"/>
                <w:sz w:val="14"/>
                <w:szCs w:val="14"/>
                <w:color w:val="007CBA"/>
              </w:rPr>
              <w:t>•</w:t>
            </w:r>
          </w:p>
        </w:tc>
        <w:tc>
          <w:tcPr>
            <w:tcW w:w="524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Continue to develop and build finance team</w:t>
            </w:r>
          </w:p>
        </w:tc>
        <w:tc>
          <w:tcPr>
            <w:tcW w:w="1300" w:type="dxa"/>
            <w:vAlign w:val="bottom"/>
            <w:tcBorders>
              <w:right w:val="single" w:sz="8" w:color="007CBA"/>
            </w:tcBorders>
          </w:tcPr>
          <w:p>
            <w:pPr>
              <w:jc w:val="right"/>
              <w:ind w:right="408"/>
              <w:spacing w:after="0"/>
              <w:rPr>
                <w:sz w:val="20"/>
                <w:szCs w:val="20"/>
                <w:color w:val="auto"/>
              </w:rPr>
            </w:pPr>
            <w:r>
              <w:rPr>
                <w:rFonts w:ascii="Arial" w:cs="Arial" w:eastAsia="Arial" w:hAnsi="Arial"/>
                <w:sz w:val="14"/>
                <w:szCs w:val="14"/>
                <w:color w:val="auto"/>
              </w:rPr>
              <w:t>75%</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007CBA"/>
            </w:tcBorders>
          </w:tcPr>
          <w:p>
            <w:pPr>
              <w:jc w:val="right"/>
              <w:ind w:right="128"/>
              <w:spacing w:after="0"/>
              <w:rPr>
                <w:sz w:val="20"/>
                <w:szCs w:val="20"/>
                <w:color w:val="auto"/>
              </w:rPr>
            </w:pPr>
            <w:r>
              <w:rPr>
                <w:rFonts w:ascii="Arial" w:cs="Arial" w:eastAsia="Arial" w:hAnsi="Arial"/>
                <w:sz w:val="14"/>
                <w:szCs w:val="14"/>
                <w:color w:val="auto"/>
              </w:rPr>
              <w:t>364,250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564,588</w:t>
            </w:r>
          </w:p>
        </w:tc>
      </w:tr>
      <w:tr>
        <w:trPr>
          <w:trHeight w:val="283"/>
        </w:trPr>
        <w:tc>
          <w:tcPr>
            <w:tcW w:w="1880" w:type="dxa"/>
            <w:vAlign w:val="bottom"/>
            <w:tcBorders>
              <w:right w:val="single" w:sz="8" w:color="007CBA"/>
            </w:tcBorders>
          </w:tcPr>
          <w:p>
            <w:pPr>
              <w:spacing w:after="0"/>
              <w:rPr>
                <w:sz w:val="24"/>
                <w:szCs w:val="24"/>
                <w:color w:val="auto"/>
              </w:rPr>
            </w:pPr>
          </w:p>
        </w:tc>
        <w:tc>
          <w:tcPr>
            <w:tcW w:w="5420" w:type="dxa"/>
            <w:vAlign w:val="bottom"/>
            <w:tcBorders>
              <w:right w:val="single" w:sz="8" w:color="007CBA"/>
            </w:tcBorders>
            <w:gridSpan w:val="2"/>
          </w:tcPr>
          <w:p>
            <w:pPr>
              <w:ind w:left="60"/>
              <w:spacing w:after="0"/>
              <w:rPr>
                <w:sz w:val="20"/>
                <w:szCs w:val="20"/>
                <w:color w:val="auto"/>
              </w:rPr>
            </w:pPr>
            <w:r>
              <w:rPr>
                <w:rFonts w:ascii="Arial" w:cs="Arial" w:eastAsia="Arial" w:hAnsi="Arial"/>
                <w:sz w:val="14"/>
                <w:szCs w:val="14"/>
                <w:color w:val="007CBA"/>
              </w:rPr>
              <w:t xml:space="preserve">•  </w:t>
            </w:r>
            <w:r>
              <w:rPr>
                <w:rFonts w:ascii="Arial" w:cs="Arial" w:eastAsia="Arial" w:hAnsi="Arial"/>
                <w:sz w:val="14"/>
                <w:szCs w:val="14"/>
                <w:color w:val="000000"/>
              </w:rPr>
              <w:t>Develop new financial planning and internal reporting processes</w:t>
            </w:r>
          </w:p>
        </w:tc>
        <w:tc>
          <w:tcPr>
            <w:tcW w:w="1300" w:type="dxa"/>
            <w:vAlign w:val="bottom"/>
            <w:tcBorders>
              <w:right w:val="single" w:sz="8" w:color="007CBA"/>
            </w:tcBorders>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Borders>
              <w:right w:val="single" w:sz="8" w:color="007CBA"/>
            </w:tcBorders>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83"/>
        </w:trPr>
        <w:tc>
          <w:tcPr>
            <w:tcW w:w="1880" w:type="dxa"/>
            <w:vAlign w:val="bottom"/>
            <w:tcBorders>
              <w:right w:val="single" w:sz="8" w:color="007CBA"/>
            </w:tcBorders>
          </w:tcPr>
          <w:p>
            <w:pPr>
              <w:spacing w:after="0"/>
              <w:rPr>
                <w:sz w:val="24"/>
                <w:szCs w:val="24"/>
                <w:color w:val="auto"/>
              </w:rPr>
            </w:pPr>
          </w:p>
        </w:tc>
        <w:tc>
          <w:tcPr>
            <w:tcW w:w="5420" w:type="dxa"/>
            <w:vAlign w:val="bottom"/>
            <w:tcBorders>
              <w:right w:val="single" w:sz="8" w:color="007CBA"/>
            </w:tcBorders>
            <w:gridSpan w:val="2"/>
          </w:tcPr>
          <w:p>
            <w:pPr>
              <w:ind w:left="60"/>
              <w:spacing w:after="0"/>
              <w:rPr>
                <w:sz w:val="20"/>
                <w:szCs w:val="20"/>
                <w:color w:val="auto"/>
              </w:rPr>
            </w:pPr>
            <w:r>
              <w:rPr>
                <w:rFonts w:ascii="Arial" w:cs="Arial" w:eastAsia="Arial" w:hAnsi="Arial"/>
                <w:sz w:val="14"/>
                <w:szCs w:val="14"/>
                <w:color w:val="007CBA"/>
              </w:rPr>
              <w:t xml:space="preserve">•  </w:t>
            </w:r>
            <w:r>
              <w:rPr>
                <w:rFonts w:ascii="Arial" w:cs="Arial" w:eastAsia="Arial" w:hAnsi="Arial"/>
                <w:sz w:val="14"/>
                <w:szCs w:val="14"/>
                <w:color w:val="000000"/>
              </w:rPr>
              <w:t>Establish finance team succession planning framework</w:t>
            </w:r>
          </w:p>
        </w:tc>
        <w:tc>
          <w:tcPr>
            <w:tcW w:w="1300" w:type="dxa"/>
            <w:vAlign w:val="bottom"/>
            <w:tcBorders>
              <w:right w:val="single" w:sz="8" w:color="007CBA"/>
            </w:tcBorders>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Borders>
              <w:right w:val="single" w:sz="8" w:color="007CBA"/>
            </w:tcBorders>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9"/>
        </w:trPr>
        <w:tc>
          <w:tcPr>
            <w:tcW w:w="1880" w:type="dxa"/>
            <w:vAlign w:val="bottom"/>
            <w:tcBorders>
              <w:right w:val="single" w:sz="8" w:color="007CBA"/>
            </w:tcBorders>
          </w:tcPr>
          <w:p>
            <w:pPr>
              <w:spacing w:after="0"/>
              <w:rPr>
                <w:sz w:val="3"/>
                <w:szCs w:val="3"/>
                <w:color w:val="auto"/>
              </w:rPr>
            </w:pPr>
          </w:p>
        </w:tc>
        <w:tc>
          <w:tcPr>
            <w:tcW w:w="180" w:type="dxa"/>
            <w:vAlign w:val="bottom"/>
          </w:tcPr>
          <w:p>
            <w:pPr>
              <w:spacing w:after="0"/>
              <w:rPr>
                <w:sz w:val="3"/>
                <w:szCs w:val="3"/>
                <w:color w:val="auto"/>
              </w:rPr>
            </w:pPr>
          </w:p>
        </w:tc>
        <w:tc>
          <w:tcPr>
            <w:tcW w:w="5240" w:type="dxa"/>
            <w:vAlign w:val="bottom"/>
            <w:tcBorders>
              <w:right w:val="single" w:sz="8" w:color="007CBA"/>
            </w:tcBorders>
          </w:tcPr>
          <w:p>
            <w:pPr>
              <w:spacing w:after="0"/>
              <w:rPr>
                <w:sz w:val="3"/>
                <w:szCs w:val="3"/>
                <w:color w:val="auto"/>
              </w:rPr>
            </w:pPr>
          </w:p>
        </w:tc>
        <w:tc>
          <w:tcPr>
            <w:tcW w:w="1300" w:type="dxa"/>
            <w:vAlign w:val="bottom"/>
            <w:tcBorders>
              <w:right w:val="single" w:sz="8" w:color="007CBA"/>
            </w:tcBorders>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Borders>
              <w:right w:val="single" w:sz="8" w:color="007CBA"/>
            </w:tcBorders>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07"/>
        </w:trPr>
        <w:tc>
          <w:tcPr>
            <w:tcW w:w="18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Roselyn R. Bar</w:t>
            </w:r>
          </w:p>
        </w:tc>
        <w:tc>
          <w:tcPr>
            <w:tcW w:w="180" w:type="dxa"/>
            <w:vAlign w:val="bottom"/>
            <w:shd w:val="clear" w:color="auto" w:fill="E5F1F8"/>
          </w:tcPr>
          <w:p>
            <w:pPr>
              <w:ind w:left="60"/>
              <w:spacing w:after="0"/>
              <w:rPr>
                <w:sz w:val="20"/>
                <w:szCs w:val="20"/>
                <w:color w:val="auto"/>
              </w:rPr>
            </w:pPr>
            <w:r>
              <w:rPr>
                <w:rFonts w:ascii="Arial" w:cs="Arial" w:eastAsia="Arial" w:hAnsi="Arial"/>
                <w:sz w:val="14"/>
                <w:szCs w:val="14"/>
                <w:color w:val="007CBA"/>
              </w:rPr>
              <w:t>•</w:t>
            </w:r>
          </w:p>
        </w:tc>
        <w:tc>
          <w:tcPr>
            <w:tcW w:w="524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Effective management of legal function at high level, including resolution of</w:t>
            </w:r>
          </w:p>
        </w:tc>
        <w:tc>
          <w:tcPr>
            <w:tcW w:w="1300" w:type="dxa"/>
            <w:vAlign w:val="bottom"/>
            <w:tcBorders>
              <w:right w:val="single" w:sz="8" w:color="007CBA"/>
            </w:tcBorders>
            <w:shd w:val="clear" w:color="auto" w:fill="E5F1F8"/>
          </w:tcPr>
          <w:p>
            <w:pPr>
              <w:jc w:val="right"/>
              <w:ind w:right="408"/>
              <w:spacing w:after="0"/>
              <w:rPr>
                <w:sz w:val="20"/>
                <w:szCs w:val="20"/>
                <w:color w:val="auto"/>
              </w:rPr>
            </w:pPr>
            <w:r>
              <w:rPr>
                <w:rFonts w:ascii="Arial" w:cs="Arial" w:eastAsia="Arial" w:hAnsi="Arial"/>
                <w:sz w:val="14"/>
                <w:szCs w:val="14"/>
                <w:color w:val="auto"/>
              </w:rPr>
              <w:t>80%</w:t>
            </w:r>
          </w:p>
        </w:tc>
        <w:tc>
          <w:tcPr>
            <w:tcW w:w="260" w:type="dxa"/>
            <w:vAlign w:val="bottom"/>
            <w:shd w:val="clear" w:color="auto" w:fill="E5F1F8"/>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007CBA"/>
            </w:tcBorders>
            <w:shd w:val="clear" w:color="auto" w:fill="E5F1F8"/>
          </w:tcPr>
          <w:p>
            <w:pPr>
              <w:jc w:val="right"/>
              <w:ind w:right="128"/>
              <w:spacing w:after="0"/>
              <w:rPr>
                <w:sz w:val="20"/>
                <w:szCs w:val="20"/>
                <w:color w:val="auto"/>
              </w:rPr>
            </w:pPr>
            <w:r>
              <w:rPr>
                <w:rFonts w:ascii="Arial" w:cs="Arial" w:eastAsia="Arial" w:hAnsi="Arial"/>
                <w:sz w:val="14"/>
                <w:szCs w:val="14"/>
                <w:color w:val="auto"/>
              </w:rPr>
              <w:t>430,227</w:t>
            </w:r>
          </w:p>
        </w:tc>
        <w:tc>
          <w:tcPr>
            <w:tcW w:w="260" w:type="dxa"/>
            <w:vAlign w:val="bottom"/>
            <w:shd w:val="clear" w:color="auto" w:fill="E5F1F8"/>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5F1F8"/>
          </w:tcPr>
          <w:p>
            <w:pPr>
              <w:jc w:val="right"/>
              <w:ind w:right="108"/>
              <w:spacing w:after="0"/>
              <w:rPr>
                <w:sz w:val="20"/>
                <w:szCs w:val="20"/>
                <w:color w:val="auto"/>
              </w:rPr>
            </w:pPr>
            <w:r>
              <w:rPr>
                <w:rFonts w:ascii="Arial" w:cs="Arial" w:eastAsia="Arial" w:hAnsi="Arial"/>
                <w:sz w:val="14"/>
                <w:szCs w:val="14"/>
                <w:color w:val="auto"/>
              </w:rPr>
              <w:t>709,874</w:t>
            </w:r>
          </w:p>
        </w:tc>
      </w:tr>
      <w:tr>
        <w:trPr>
          <w:trHeight w:val="172"/>
        </w:trPr>
        <w:tc>
          <w:tcPr>
            <w:tcW w:w="1880" w:type="dxa"/>
            <w:vAlign w:val="bottom"/>
            <w:tcBorders>
              <w:right w:val="single" w:sz="8" w:color="007CBA"/>
            </w:tcBorders>
            <w:shd w:val="clear" w:color="auto" w:fill="E5F1F8"/>
          </w:tcPr>
          <w:p>
            <w:pPr>
              <w:spacing w:after="0"/>
              <w:rPr>
                <w:sz w:val="14"/>
                <w:szCs w:val="14"/>
                <w:color w:val="auto"/>
              </w:rPr>
            </w:pPr>
          </w:p>
        </w:tc>
        <w:tc>
          <w:tcPr>
            <w:tcW w:w="180" w:type="dxa"/>
            <w:vAlign w:val="bottom"/>
            <w:shd w:val="clear" w:color="auto" w:fill="E5F1F8"/>
          </w:tcPr>
          <w:p>
            <w:pPr>
              <w:spacing w:after="0"/>
              <w:rPr>
                <w:sz w:val="14"/>
                <w:szCs w:val="14"/>
                <w:color w:val="auto"/>
              </w:rPr>
            </w:pPr>
          </w:p>
        </w:tc>
        <w:tc>
          <w:tcPr>
            <w:tcW w:w="5240" w:type="dxa"/>
            <w:vAlign w:val="bottom"/>
            <w:tcBorders>
              <w:right w:val="single" w:sz="8" w:color="007CBA"/>
            </w:tcBorders>
            <w:shd w:val="clear" w:color="auto" w:fill="E5F1F8"/>
          </w:tcPr>
          <w:p>
            <w:pPr>
              <w:ind w:left="100"/>
              <w:spacing w:after="0"/>
              <w:rPr>
                <w:sz w:val="20"/>
                <w:szCs w:val="20"/>
                <w:color w:val="auto"/>
              </w:rPr>
            </w:pPr>
            <w:r>
              <w:rPr>
                <w:rFonts w:ascii="Arial" w:cs="Arial" w:eastAsia="Arial" w:hAnsi="Arial"/>
                <w:sz w:val="14"/>
                <w:szCs w:val="14"/>
                <w:color w:val="auto"/>
              </w:rPr>
              <w:t>disputes</w:t>
            </w:r>
          </w:p>
        </w:tc>
        <w:tc>
          <w:tcPr>
            <w:tcW w:w="1300" w:type="dxa"/>
            <w:vAlign w:val="bottom"/>
            <w:tcBorders>
              <w:right w:val="single" w:sz="8" w:color="007CBA"/>
            </w:tcBorders>
            <w:shd w:val="clear" w:color="auto" w:fill="E5F1F8"/>
          </w:tcPr>
          <w:p>
            <w:pPr>
              <w:spacing w:after="0"/>
              <w:rPr>
                <w:sz w:val="14"/>
                <w:szCs w:val="14"/>
                <w:color w:val="auto"/>
              </w:rPr>
            </w:pPr>
          </w:p>
        </w:tc>
        <w:tc>
          <w:tcPr>
            <w:tcW w:w="260" w:type="dxa"/>
            <w:vAlign w:val="bottom"/>
            <w:shd w:val="clear" w:color="auto" w:fill="E5F1F8"/>
          </w:tcPr>
          <w:p>
            <w:pPr>
              <w:spacing w:after="0"/>
              <w:rPr>
                <w:sz w:val="14"/>
                <w:szCs w:val="14"/>
                <w:color w:val="auto"/>
              </w:rPr>
            </w:pPr>
          </w:p>
        </w:tc>
        <w:tc>
          <w:tcPr>
            <w:tcW w:w="940" w:type="dxa"/>
            <w:vAlign w:val="bottom"/>
            <w:tcBorders>
              <w:right w:val="single" w:sz="8" w:color="007CBA"/>
            </w:tcBorders>
            <w:shd w:val="clear" w:color="auto" w:fill="E5F1F8"/>
          </w:tcPr>
          <w:p>
            <w:pPr>
              <w:spacing w:after="0"/>
              <w:rPr>
                <w:sz w:val="14"/>
                <w:szCs w:val="14"/>
                <w:color w:val="auto"/>
              </w:rPr>
            </w:pPr>
          </w:p>
        </w:tc>
        <w:tc>
          <w:tcPr>
            <w:tcW w:w="260" w:type="dxa"/>
            <w:vAlign w:val="bottom"/>
            <w:shd w:val="clear" w:color="auto" w:fill="E5F1F8"/>
          </w:tcPr>
          <w:p>
            <w:pPr>
              <w:spacing w:after="0"/>
              <w:rPr>
                <w:sz w:val="14"/>
                <w:szCs w:val="14"/>
                <w:color w:val="auto"/>
              </w:rPr>
            </w:pPr>
          </w:p>
        </w:tc>
        <w:tc>
          <w:tcPr>
            <w:tcW w:w="940" w:type="dxa"/>
            <w:vAlign w:val="bottom"/>
            <w:shd w:val="clear" w:color="auto" w:fill="E5F1F8"/>
          </w:tcPr>
          <w:p>
            <w:pPr>
              <w:spacing w:after="0"/>
              <w:rPr>
                <w:sz w:val="14"/>
                <w:szCs w:val="14"/>
                <w:color w:val="auto"/>
              </w:rPr>
            </w:pPr>
          </w:p>
        </w:tc>
      </w:tr>
      <w:tr>
        <w:trPr>
          <w:trHeight w:val="273"/>
        </w:trPr>
        <w:tc>
          <w:tcPr>
            <w:tcW w:w="1880" w:type="dxa"/>
            <w:vAlign w:val="bottom"/>
            <w:tcBorders>
              <w:right w:val="single" w:sz="8" w:color="007CBA"/>
            </w:tcBorders>
            <w:shd w:val="clear" w:color="auto" w:fill="E5F1F8"/>
          </w:tcPr>
          <w:p>
            <w:pPr>
              <w:spacing w:after="0"/>
              <w:rPr>
                <w:sz w:val="23"/>
                <w:szCs w:val="23"/>
                <w:color w:val="auto"/>
              </w:rPr>
            </w:pPr>
          </w:p>
        </w:tc>
        <w:tc>
          <w:tcPr>
            <w:tcW w:w="180" w:type="dxa"/>
            <w:vAlign w:val="bottom"/>
            <w:shd w:val="clear" w:color="auto" w:fill="E5F1F8"/>
          </w:tcPr>
          <w:p>
            <w:pPr>
              <w:ind w:left="60"/>
              <w:spacing w:after="0"/>
              <w:rPr>
                <w:sz w:val="20"/>
                <w:szCs w:val="20"/>
                <w:color w:val="auto"/>
              </w:rPr>
            </w:pPr>
            <w:r>
              <w:rPr>
                <w:rFonts w:ascii="Arial" w:cs="Arial" w:eastAsia="Arial" w:hAnsi="Arial"/>
                <w:sz w:val="14"/>
                <w:szCs w:val="14"/>
                <w:color w:val="007CBA"/>
              </w:rPr>
              <w:t>•</w:t>
            </w:r>
          </w:p>
        </w:tc>
        <w:tc>
          <w:tcPr>
            <w:tcW w:w="524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Legal support of acquisitions, including successful regulatory resolution of</w:t>
            </w:r>
          </w:p>
        </w:tc>
        <w:tc>
          <w:tcPr>
            <w:tcW w:w="1300" w:type="dxa"/>
            <w:vAlign w:val="bottom"/>
            <w:tcBorders>
              <w:right w:val="single" w:sz="8" w:color="007CBA"/>
            </w:tcBorders>
            <w:shd w:val="clear" w:color="auto" w:fill="E5F1F8"/>
          </w:tcPr>
          <w:p>
            <w:pPr>
              <w:spacing w:after="0"/>
              <w:rPr>
                <w:sz w:val="23"/>
                <w:szCs w:val="23"/>
                <w:color w:val="auto"/>
              </w:rPr>
            </w:pPr>
          </w:p>
        </w:tc>
        <w:tc>
          <w:tcPr>
            <w:tcW w:w="260" w:type="dxa"/>
            <w:vAlign w:val="bottom"/>
            <w:shd w:val="clear" w:color="auto" w:fill="E5F1F8"/>
          </w:tcPr>
          <w:p>
            <w:pPr>
              <w:spacing w:after="0"/>
              <w:rPr>
                <w:sz w:val="23"/>
                <w:szCs w:val="23"/>
                <w:color w:val="auto"/>
              </w:rPr>
            </w:pPr>
          </w:p>
        </w:tc>
        <w:tc>
          <w:tcPr>
            <w:tcW w:w="940" w:type="dxa"/>
            <w:vAlign w:val="bottom"/>
            <w:tcBorders>
              <w:right w:val="single" w:sz="8" w:color="007CBA"/>
            </w:tcBorders>
            <w:shd w:val="clear" w:color="auto" w:fill="E5F1F8"/>
          </w:tcPr>
          <w:p>
            <w:pPr>
              <w:spacing w:after="0"/>
              <w:rPr>
                <w:sz w:val="23"/>
                <w:szCs w:val="23"/>
                <w:color w:val="auto"/>
              </w:rPr>
            </w:pPr>
          </w:p>
        </w:tc>
        <w:tc>
          <w:tcPr>
            <w:tcW w:w="260" w:type="dxa"/>
            <w:vAlign w:val="bottom"/>
            <w:shd w:val="clear" w:color="auto" w:fill="E5F1F8"/>
          </w:tcPr>
          <w:p>
            <w:pPr>
              <w:spacing w:after="0"/>
              <w:rPr>
                <w:sz w:val="23"/>
                <w:szCs w:val="23"/>
                <w:color w:val="auto"/>
              </w:rPr>
            </w:pPr>
          </w:p>
        </w:tc>
        <w:tc>
          <w:tcPr>
            <w:tcW w:w="940" w:type="dxa"/>
            <w:vAlign w:val="bottom"/>
            <w:shd w:val="clear" w:color="auto" w:fill="E5F1F8"/>
          </w:tcPr>
          <w:p>
            <w:pPr>
              <w:spacing w:after="0"/>
              <w:rPr>
                <w:sz w:val="23"/>
                <w:szCs w:val="23"/>
                <w:color w:val="auto"/>
              </w:rPr>
            </w:pPr>
          </w:p>
        </w:tc>
      </w:tr>
      <w:tr>
        <w:trPr>
          <w:trHeight w:val="172"/>
        </w:trPr>
        <w:tc>
          <w:tcPr>
            <w:tcW w:w="1880" w:type="dxa"/>
            <w:vAlign w:val="bottom"/>
            <w:tcBorders>
              <w:right w:val="single" w:sz="8" w:color="007CBA"/>
            </w:tcBorders>
            <w:shd w:val="clear" w:color="auto" w:fill="E5F1F8"/>
          </w:tcPr>
          <w:p>
            <w:pPr>
              <w:spacing w:after="0"/>
              <w:rPr>
                <w:sz w:val="14"/>
                <w:szCs w:val="14"/>
                <w:color w:val="auto"/>
              </w:rPr>
            </w:pPr>
          </w:p>
        </w:tc>
        <w:tc>
          <w:tcPr>
            <w:tcW w:w="180" w:type="dxa"/>
            <w:vAlign w:val="bottom"/>
            <w:shd w:val="clear" w:color="auto" w:fill="E5F1F8"/>
          </w:tcPr>
          <w:p>
            <w:pPr>
              <w:spacing w:after="0"/>
              <w:rPr>
                <w:sz w:val="14"/>
                <w:szCs w:val="14"/>
                <w:color w:val="auto"/>
              </w:rPr>
            </w:pPr>
          </w:p>
        </w:tc>
        <w:tc>
          <w:tcPr>
            <w:tcW w:w="5240" w:type="dxa"/>
            <w:vAlign w:val="bottom"/>
            <w:tcBorders>
              <w:right w:val="single" w:sz="8" w:color="007CBA"/>
            </w:tcBorders>
            <w:shd w:val="clear" w:color="auto" w:fill="E5F1F8"/>
          </w:tcPr>
          <w:p>
            <w:pPr>
              <w:ind w:left="100"/>
              <w:spacing w:after="0"/>
              <w:rPr>
                <w:sz w:val="20"/>
                <w:szCs w:val="20"/>
                <w:color w:val="auto"/>
              </w:rPr>
            </w:pPr>
            <w:r>
              <w:rPr>
                <w:rFonts w:ascii="Arial" w:cs="Arial" w:eastAsia="Arial" w:hAnsi="Arial"/>
                <w:sz w:val="14"/>
                <w:szCs w:val="14"/>
                <w:color w:val="auto"/>
              </w:rPr>
              <w:t>Bluegrass Materials</w:t>
            </w:r>
          </w:p>
        </w:tc>
        <w:tc>
          <w:tcPr>
            <w:tcW w:w="1300" w:type="dxa"/>
            <w:vAlign w:val="bottom"/>
            <w:tcBorders>
              <w:right w:val="single" w:sz="8" w:color="007CBA"/>
            </w:tcBorders>
            <w:shd w:val="clear" w:color="auto" w:fill="E5F1F8"/>
          </w:tcPr>
          <w:p>
            <w:pPr>
              <w:spacing w:after="0"/>
              <w:rPr>
                <w:sz w:val="14"/>
                <w:szCs w:val="14"/>
                <w:color w:val="auto"/>
              </w:rPr>
            </w:pPr>
          </w:p>
        </w:tc>
        <w:tc>
          <w:tcPr>
            <w:tcW w:w="260" w:type="dxa"/>
            <w:vAlign w:val="bottom"/>
            <w:shd w:val="clear" w:color="auto" w:fill="E5F1F8"/>
          </w:tcPr>
          <w:p>
            <w:pPr>
              <w:spacing w:after="0"/>
              <w:rPr>
                <w:sz w:val="14"/>
                <w:szCs w:val="14"/>
                <w:color w:val="auto"/>
              </w:rPr>
            </w:pPr>
          </w:p>
        </w:tc>
        <w:tc>
          <w:tcPr>
            <w:tcW w:w="940" w:type="dxa"/>
            <w:vAlign w:val="bottom"/>
            <w:tcBorders>
              <w:right w:val="single" w:sz="8" w:color="007CBA"/>
            </w:tcBorders>
            <w:shd w:val="clear" w:color="auto" w:fill="E5F1F8"/>
          </w:tcPr>
          <w:p>
            <w:pPr>
              <w:spacing w:after="0"/>
              <w:rPr>
                <w:sz w:val="14"/>
                <w:szCs w:val="14"/>
                <w:color w:val="auto"/>
              </w:rPr>
            </w:pPr>
          </w:p>
        </w:tc>
        <w:tc>
          <w:tcPr>
            <w:tcW w:w="260" w:type="dxa"/>
            <w:vAlign w:val="bottom"/>
            <w:shd w:val="clear" w:color="auto" w:fill="E5F1F8"/>
          </w:tcPr>
          <w:p>
            <w:pPr>
              <w:spacing w:after="0"/>
              <w:rPr>
                <w:sz w:val="14"/>
                <w:szCs w:val="14"/>
                <w:color w:val="auto"/>
              </w:rPr>
            </w:pPr>
          </w:p>
        </w:tc>
        <w:tc>
          <w:tcPr>
            <w:tcW w:w="940" w:type="dxa"/>
            <w:vAlign w:val="bottom"/>
            <w:shd w:val="clear" w:color="auto" w:fill="E5F1F8"/>
          </w:tcPr>
          <w:p>
            <w:pPr>
              <w:spacing w:after="0"/>
              <w:rPr>
                <w:sz w:val="14"/>
                <w:szCs w:val="14"/>
                <w:color w:val="auto"/>
              </w:rPr>
            </w:pPr>
          </w:p>
        </w:tc>
      </w:tr>
      <w:tr>
        <w:trPr>
          <w:trHeight w:val="283"/>
        </w:trPr>
        <w:tc>
          <w:tcPr>
            <w:tcW w:w="1880" w:type="dxa"/>
            <w:vAlign w:val="bottom"/>
            <w:tcBorders>
              <w:right w:val="single" w:sz="8" w:color="007CBA"/>
            </w:tcBorders>
            <w:shd w:val="clear" w:color="auto" w:fill="E5F1F8"/>
          </w:tcPr>
          <w:p>
            <w:pPr>
              <w:spacing w:after="0"/>
              <w:rPr>
                <w:sz w:val="24"/>
                <w:szCs w:val="24"/>
                <w:color w:val="auto"/>
              </w:rPr>
            </w:pPr>
          </w:p>
        </w:tc>
        <w:tc>
          <w:tcPr>
            <w:tcW w:w="5420" w:type="dxa"/>
            <w:vAlign w:val="bottom"/>
            <w:tcBorders>
              <w:right w:val="single" w:sz="8" w:color="007CBA"/>
            </w:tcBorders>
            <w:gridSpan w:val="2"/>
            <w:shd w:val="clear" w:color="auto" w:fill="E5F1F8"/>
          </w:tcPr>
          <w:p>
            <w:pPr>
              <w:ind w:left="60"/>
              <w:spacing w:after="0"/>
              <w:rPr>
                <w:sz w:val="20"/>
                <w:szCs w:val="20"/>
                <w:color w:val="auto"/>
              </w:rPr>
            </w:pPr>
            <w:r>
              <w:rPr>
                <w:rFonts w:ascii="Arial" w:cs="Arial" w:eastAsia="Arial" w:hAnsi="Arial"/>
                <w:sz w:val="14"/>
                <w:szCs w:val="14"/>
                <w:color w:val="007CBA"/>
              </w:rPr>
              <w:t xml:space="preserve">•  </w:t>
            </w:r>
            <w:r>
              <w:rPr>
                <w:rFonts w:ascii="Arial" w:cs="Arial" w:eastAsia="Arial" w:hAnsi="Arial"/>
                <w:sz w:val="14"/>
                <w:szCs w:val="14"/>
                <w:color w:val="000000"/>
              </w:rPr>
              <w:t>Provide oversight of ethics program as Chief Ethics Officer</w:t>
            </w:r>
          </w:p>
        </w:tc>
        <w:tc>
          <w:tcPr>
            <w:tcW w:w="1300" w:type="dxa"/>
            <w:vAlign w:val="bottom"/>
            <w:tcBorders>
              <w:right w:val="single" w:sz="8" w:color="007CBA"/>
            </w:tcBorders>
            <w:shd w:val="clear" w:color="auto" w:fill="E5F1F8"/>
          </w:tcPr>
          <w:p>
            <w:pPr>
              <w:spacing w:after="0"/>
              <w:rPr>
                <w:sz w:val="24"/>
                <w:szCs w:val="24"/>
                <w:color w:val="auto"/>
              </w:rPr>
            </w:pPr>
          </w:p>
        </w:tc>
        <w:tc>
          <w:tcPr>
            <w:tcW w:w="260" w:type="dxa"/>
            <w:vAlign w:val="bottom"/>
            <w:shd w:val="clear" w:color="auto" w:fill="E5F1F8"/>
          </w:tcPr>
          <w:p>
            <w:pPr>
              <w:spacing w:after="0"/>
              <w:rPr>
                <w:sz w:val="24"/>
                <w:szCs w:val="24"/>
                <w:color w:val="auto"/>
              </w:rPr>
            </w:pPr>
          </w:p>
        </w:tc>
        <w:tc>
          <w:tcPr>
            <w:tcW w:w="940" w:type="dxa"/>
            <w:vAlign w:val="bottom"/>
            <w:tcBorders>
              <w:right w:val="single" w:sz="8" w:color="007CBA"/>
            </w:tcBorders>
            <w:shd w:val="clear" w:color="auto" w:fill="E5F1F8"/>
          </w:tcPr>
          <w:p>
            <w:pPr>
              <w:spacing w:after="0"/>
              <w:rPr>
                <w:sz w:val="24"/>
                <w:szCs w:val="24"/>
                <w:color w:val="auto"/>
              </w:rPr>
            </w:pPr>
          </w:p>
        </w:tc>
        <w:tc>
          <w:tcPr>
            <w:tcW w:w="260" w:type="dxa"/>
            <w:vAlign w:val="bottom"/>
            <w:shd w:val="clear" w:color="auto" w:fill="E5F1F8"/>
          </w:tcPr>
          <w:p>
            <w:pPr>
              <w:spacing w:after="0"/>
              <w:rPr>
                <w:sz w:val="24"/>
                <w:szCs w:val="24"/>
                <w:color w:val="auto"/>
              </w:rPr>
            </w:pPr>
          </w:p>
        </w:tc>
        <w:tc>
          <w:tcPr>
            <w:tcW w:w="940" w:type="dxa"/>
            <w:vAlign w:val="bottom"/>
            <w:shd w:val="clear" w:color="auto" w:fill="E5F1F8"/>
          </w:tcPr>
          <w:p>
            <w:pPr>
              <w:spacing w:after="0"/>
              <w:rPr>
                <w:sz w:val="24"/>
                <w:szCs w:val="24"/>
                <w:color w:val="auto"/>
              </w:rPr>
            </w:pPr>
          </w:p>
        </w:tc>
      </w:tr>
      <w:tr>
        <w:trPr>
          <w:trHeight w:val="273"/>
        </w:trPr>
        <w:tc>
          <w:tcPr>
            <w:tcW w:w="1880" w:type="dxa"/>
            <w:vAlign w:val="bottom"/>
            <w:tcBorders>
              <w:right w:val="single" w:sz="8" w:color="007CBA"/>
            </w:tcBorders>
            <w:shd w:val="clear" w:color="auto" w:fill="E5F1F8"/>
          </w:tcPr>
          <w:p>
            <w:pPr>
              <w:spacing w:after="0"/>
              <w:rPr>
                <w:sz w:val="23"/>
                <w:szCs w:val="23"/>
                <w:color w:val="auto"/>
              </w:rPr>
            </w:pPr>
          </w:p>
        </w:tc>
        <w:tc>
          <w:tcPr>
            <w:tcW w:w="5420" w:type="dxa"/>
            <w:vAlign w:val="bottom"/>
            <w:tcBorders>
              <w:right w:val="single" w:sz="8" w:color="007CBA"/>
            </w:tcBorders>
            <w:gridSpan w:val="2"/>
            <w:shd w:val="clear" w:color="auto" w:fill="E5F1F8"/>
          </w:tcPr>
          <w:p>
            <w:pPr>
              <w:ind w:left="60"/>
              <w:spacing w:after="0"/>
              <w:rPr>
                <w:sz w:val="20"/>
                <w:szCs w:val="20"/>
                <w:color w:val="auto"/>
              </w:rPr>
            </w:pPr>
            <w:r>
              <w:rPr>
                <w:rFonts w:ascii="Arial" w:cs="Arial" w:eastAsia="Arial" w:hAnsi="Arial"/>
                <w:sz w:val="14"/>
                <w:szCs w:val="14"/>
                <w:color w:val="007CBA"/>
              </w:rPr>
              <w:t xml:space="preserve">•  </w:t>
            </w:r>
            <w:r>
              <w:rPr>
                <w:rFonts w:ascii="Arial" w:cs="Arial" w:eastAsia="Arial" w:hAnsi="Arial"/>
                <w:sz w:val="14"/>
                <w:szCs w:val="14"/>
                <w:color w:val="000000"/>
              </w:rPr>
              <w:t>Continued improvement of processes and management of Corporate Secretary</w:t>
            </w:r>
          </w:p>
        </w:tc>
        <w:tc>
          <w:tcPr>
            <w:tcW w:w="1300" w:type="dxa"/>
            <w:vAlign w:val="bottom"/>
            <w:tcBorders>
              <w:right w:val="single" w:sz="8" w:color="007CBA"/>
            </w:tcBorders>
            <w:shd w:val="clear" w:color="auto" w:fill="E5F1F8"/>
          </w:tcPr>
          <w:p>
            <w:pPr>
              <w:spacing w:after="0"/>
              <w:rPr>
                <w:sz w:val="23"/>
                <w:szCs w:val="23"/>
                <w:color w:val="auto"/>
              </w:rPr>
            </w:pPr>
          </w:p>
        </w:tc>
        <w:tc>
          <w:tcPr>
            <w:tcW w:w="260" w:type="dxa"/>
            <w:vAlign w:val="bottom"/>
            <w:shd w:val="clear" w:color="auto" w:fill="E5F1F8"/>
          </w:tcPr>
          <w:p>
            <w:pPr>
              <w:spacing w:after="0"/>
              <w:rPr>
                <w:sz w:val="23"/>
                <w:szCs w:val="23"/>
                <w:color w:val="auto"/>
              </w:rPr>
            </w:pPr>
          </w:p>
        </w:tc>
        <w:tc>
          <w:tcPr>
            <w:tcW w:w="940" w:type="dxa"/>
            <w:vAlign w:val="bottom"/>
            <w:tcBorders>
              <w:right w:val="single" w:sz="8" w:color="007CBA"/>
            </w:tcBorders>
            <w:shd w:val="clear" w:color="auto" w:fill="E5F1F8"/>
          </w:tcPr>
          <w:p>
            <w:pPr>
              <w:spacing w:after="0"/>
              <w:rPr>
                <w:sz w:val="23"/>
                <w:szCs w:val="23"/>
                <w:color w:val="auto"/>
              </w:rPr>
            </w:pPr>
          </w:p>
        </w:tc>
        <w:tc>
          <w:tcPr>
            <w:tcW w:w="260" w:type="dxa"/>
            <w:vAlign w:val="bottom"/>
            <w:shd w:val="clear" w:color="auto" w:fill="E5F1F8"/>
          </w:tcPr>
          <w:p>
            <w:pPr>
              <w:spacing w:after="0"/>
              <w:rPr>
                <w:sz w:val="23"/>
                <w:szCs w:val="23"/>
                <w:color w:val="auto"/>
              </w:rPr>
            </w:pPr>
          </w:p>
        </w:tc>
        <w:tc>
          <w:tcPr>
            <w:tcW w:w="940" w:type="dxa"/>
            <w:vAlign w:val="bottom"/>
            <w:shd w:val="clear" w:color="auto" w:fill="E5F1F8"/>
          </w:tcPr>
          <w:p>
            <w:pPr>
              <w:spacing w:after="0"/>
              <w:rPr>
                <w:sz w:val="23"/>
                <w:szCs w:val="23"/>
                <w:color w:val="auto"/>
              </w:rPr>
            </w:pPr>
          </w:p>
        </w:tc>
      </w:tr>
      <w:tr>
        <w:trPr>
          <w:trHeight w:val="191"/>
        </w:trPr>
        <w:tc>
          <w:tcPr>
            <w:tcW w:w="1880" w:type="dxa"/>
            <w:vAlign w:val="bottom"/>
            <w:tcBorders>
              <w:bottom w:val="single" w:sz="8" w:color="E5F1F8"/>
              <w:right w:val="single" w:sz="8" w:color="007CBA"/>
            </w:tcBorders>
            <w:shd w:val="clear" w:color="auto" w:fill="E5F1F8"/>
          </w:tcPr>
          <w:p>
            <w:pPr>
              <w:spacing w:after="0"/>
              <w:rPr>
                <w:sz w:val="16"/>
                <w:szCs w:val="16"/>
                <w:color w:val="auto"/>
              </w:rPr>
            </w:pPr>
          </w:p>
        </w:tc>
        <w:tc>
          <w:tcPr>
            <w:tcW w:w="180" w:type="dxa"/>
            <w:vAlign w:val="bottom"/>
            <w:tcBorders>
              <w:bottom w:val="single" w:sz="8" w:color="E5F1F8"/>
            </w:tcBorders>
            <w:shd w:val="clear" w:color="auto" w:fill="E5F1F8"/>
          </w:tcPr>
          <w:p>
            <w:pPr>
              <w:spacing w:after="0"/>
              <w:rPr>
                <w:sz w:val="16"/>
                <w:szCs w:val="16"/>
                <w:color w:val="auto"/>
              </w:rPr>
            </w:pPr>
          </w:p>
        </w:tc>
        <w:tc>
          <w:tcPr>
            <w:tcW w:w="5240" w:type="dxa"/>
            <w:vAlign w:val="bottom"/>
            <w:tcBorders>
              <w:bottom w:val="single" w:sz="8" w:color="E5F1F8"/>
              <w:right w:val="single" w:sz="8" w:color="007CBA"/>
            </w:tcBorders>
            <w:shd w:val="clear" w:color="auto" w:fill="E5F1F8"/>
          </w:tcPr>
          <w:p>
            <w:pPr>
              <w:ind w:left="100"/>
              <w:spacing w:after="0"/>
              <w:rPr>
                <w:sz w:val="20"/>
                <w:szCs w:val="20"/>
                <w:color w:val="auto"/>
              </w:rPr>
            </w:pPr>
            <w:r>
              <w:rPr>
                <w:rFonts w:ascii="Arial" w:cs="Arial" w:eastAsia="Arial" w:hAnsi="Arial"/>
                <w:sz w:val="14"/>
                <w:szCs w:val="14"/>
                <w:color w:val="auto"/>
              </w:rPr>
              <w:t>function</w:t>
            </w:r>
          </w:p>
        </w:tc>
        <w:tc>
          <w:tcPr>
            <w:tcW w:w="1300" w:type="dxa"/>
            <w:vAlign w:val="bottom"/>
            <w:tcBorders>
              <w:bottom w:val="single" w:sz="8" w:color="E5F1F8"/>
              <w:right w:val="single" w:sz="8" w:color="007CBA"/>
            </w:tcBorders>
            <w:shd w:val="clear" w:color="auto" w:fill="E5F1F8"/>
          </w:tcPr>
          <w:p>
            <w:pPr>
              <w:spacing w:after="0"/>
              <w:rPr>
                <w:sz w:val="16"/>
                <w:szCs w:val="16"/>
                <w:color w:val="auto"/>
              </w:rPr>
            </w:pPr>
          </w:p>
        </w:tc>
        <w:tc>
          <w:tcPr>
            <w:tcW w:w="260" w:type="dxa"/>
            <w:vAlign w:val="bottom"/>
            <w:tcBorders>
              <w:bottom w:val="single" w:sz="8" w:color="E5F1F8"/>
            </w:tcBorders>
            <w:shd w:val="clear" w:color="auto" w:fill="E5F1F8"/>
          </w:tcPr>
          <w:p>
            <w:pPr>
              <w:spacing w:after="0"/>
              <w:rPr>
                <w:sz w:val="16"/>
                <w:szCs w:val="16"/>
                <w:color w:val="auto"/>
              </w:rPr>
            </w:pPr>
          </w:p>
        </w:tc>
        <w:tc>
          <w:tcPr>
            <w:tcW w:w="940" w:type="dxa"/>
            <w:vAlign w:val="bottom"/>
            <w:tcBorders>
              <w:bottom w:val="single" w:sz="8" w:color="E5F1F8"/>
              <w:right w:val="single" w:sz="8" w:color="007CBA"/>
            </w:tcBorders>
            <w:shd w:val="clear" w:color="auto" w:fill="E5F1F8"/>
          </w:tcPr>
          <w:p>
            <w:pPr>
              <w:spacing w:after="0"/>
              <w:rPr>
                <w:sz w:val="16"/>
                <w:szCs w:val="16"/>
                <w:color w:val="auto"/>
              </w:rPr>
            </w:pPr>
          </w:p>
        </w:tc>
        <w:tc>
          <w:tcPr>
            <w:tcW w:w="260" w:type="dxa"/>
            <w:vAlign w:val="bottom"/>
            <w:tcBorders>
              <w:bottom w:val="single" w:sz="8" w:color="E5F1F8"/>
            </w:tcBorders>
            <w:shd w:val="clear" w:color="auto" w:fill="E5F1F8"/>
          </w:tcPr>
          <w:p>
            <w:pPr>
              <w:spacing w:after="0"/>
              <w:rPr>
                <w:sz w:val="16"/>
                <w:szCs w:val="16"/>
                <w:color w:val="auto"/>
              </w:rPr>
            </w:pPr>
          </w:p>
        </w:tc>
        <w:tc>
          <w:tcPr>
            <w:tcW w:w="940" w:type="dxa"/>
            <w:vAlign w:val="bottom"/>
            <w:tcBorders>
              <w:bottom w:val="single" w:sz="8" w:color="E5F1F8"/>
            </w:tcBorders>
            <w:shd w:val="clear" w:color="auto" w:fill="E5F1F8"/>
          </w:tcPr>
          <w:p>
            <w:pPr>
              <w:spacing w:after="0"/>
              <w:rPr>
                <w:sz w:val="16"/>
                <w:szCs w:val="16"/>
                <w:color w:val="auto"/>
              </w:rPr>
            </w:pPr>
          </w:p>
        </w:tc>
      </w:tr>
      <w:tr>
        <w:trPr>
          <w:trHeight w:val="217"/>
        </w:trPr>
        <w:tc>
          <w:tcPr>
            <w:tcW w:w="18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Donald A. McCunniff</w:t>
            </w:r>
          </w:p>
        </w:tc>
        <w:tc>
          <w:tcPr>
            <w:tcW w:w="180" w:type="dxa"/>
            <w:vAlign w:val="bottom"/>
          </w:tcPr>
          <w:p>
            <w:pPr>
              <w:ind w:left="60"/>
              <w:spacing w:after="0"/>
              <w:rPr>
                <w:sz w:val="20"/>
                <w:szCs w:val="20"/>
                <w:color w:val="auto"/>
              </w:rPr>
            </w:pPr>
            <w:r>
              <w:rPr>
                <w:rFonts w:ascii="Arial" w:cs="Arial" w:eastAsia="Arial" w:hAnsi="Arial"/>
                <w:sz w:val="14"/>
                <w:szCs w:val="14"/>
                <w:color w:val="007CBA"/>
              </w:rPr>
              <w:t>•</w:t>
            </w:r>
          </w:p>
        </w:tc>
        <w:tc>
          <w:tcPr>
            <w:tcW w:w="524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Continue to drive safety performance</w:t>
            </w:r>
          </w:p>
        </w:tc>
        <w:tc>
          <w:tcPr>
            <w:tcW w:w="1300" w:type="dxa"/>
            <w:vAlign w:val="bottom"/>
            <w:tcBorders>
              <w:right w:val="single" w:sz="8" w:color="007CBA"/>
            </w:tcBorders>
          </w:tcPr>
          <w:p>
            <w:pPr>
              <w:jc w:val="right"/>
              <w:ind w:right="408"/>
              <w:spacing w:after="0"/>
              <w:rPr>
                <w:sz w:val="20"/>
                <w:szCs w:val="20"/>
                <w:color w:val="auto"/>
              </w:rPr>
            </w:pPr>
            <w:r>
              <w:rPr>
                <w:rFonts w:ascii="Arial" w:cs="Arial" w:eastAsia="Arial" w:hAnsi="Arial"/>
                <w:sz w:val="14"/>
                <w:szCs w:val="14"/>
                <w:color w:val="auto"/>
              </w:rPr>
              <w:t>70%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007CBA"/>
            </w:tcBorders>
          </w:tcPr>
          <w:p>
            <w:pPr>
              <w:jc w:val="right"/>
              <w:ind w:right="128"/>
              <w:spacing w:after="0"/>
              <w:rPr>
                <w:sz w:val="20"/>
                <w:szCs w:val="20"/>
                <w:color w:val="auto"/>
              </w:rPr>
            </w:pPr>
            <w:r>
              <w:rPr>
                <w:rFonts w:ascii="Arial" w:cs="Arial" w:eastAsia="Arial" w:hAnsi="Arial"/>
                <w:sz w:val="14"/>
                <w:szCs w:val="14"/>
                <w:color w:val="auto"/>
              </w:rPr>
              <w:t>289,193</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462,709</w:t>
            </w:r>
          </w:p>
        </w:tc>
      </w:tr>
      <w:tr>
        <w:trPr>
          <w:trHeight w:val="283"/>
        </w:trPr>
        <w:tc>
          <w:tcPr>
            <w:tcW w:w="1880" w:type="dxa"/>
            <w:vAlign w:val="bottom"/>
            <w:tcBorders>
              <w:right w:val="single" w:sz="8" w:color="007CBA"/>
            </w:tcBorders>
          </w:tcPr>
          <w:p>
            <w:pPr>
              <w:spacing w:after="0"/>
              <w:rPr>
                <w:sz w:val="24"/>
                <w:szCs w:val="24"/>
                <w:color w:val="auto"/>
              </w:rPr>
            </w:pPr>
          </w:p>
        </w:tc>
        <w:tc>
          <w:tcPr>
            <w:tcW w:w="5420" w:type="dxa"/>
            <w:vAlign w:val="bottom"/>
            <w:tcBorders>
              <w:right w:val="single" w:sz="8" w:color="007CBA"/>
            </w:tcBorders>
            <w:gridSpan w:val="2"/>
          </w:tcPr>
          <w:p>
            <w:pPr>
              <w:ind w:left="60"/>
              <w:spacing w:after="0"/>
              <w:rPr>
                <w:sz w:val="20"/>
                <w:szCs w:val="20"/>
                <w:color w:val="auto"/>
              </w:rPr>
            </w:pPr>
            <w:r>
              <w:rPr>
                <w:rFonts w:ascii="Arial" w:cs="Arial" w:eastAsia="Arial" w:hAnsi="Arial"/>
                <w:sz w:val="14"/>
                <w:szCs w:val="14"/>
                <w:color w:val="007CBA"/>
              </w:rPr>
              <w:t xml:space="preserve">•  </w:t>
            </w:r>
            <w:r>
              <w:rPr>
                <w:rFonts w:ascii="Arial" w:cs="Arial" w:eastAsia="Arial" w:hAnsi="Arial"/>
                <w:sz w:val="14"/>
                <w:szCs w:val="14"/>
                <w:color w:val="000000"/>
              </w:rPr>
              <w:t>Transition health and welfare plans to more effective third party administrators</w:t>
            </w:r>
          </w:p>
        </w:tc>
        <w:tc>
          <w:tcPr>
            <w:tcW w:w="1300" w:type="dxa"/>
            <w:vAlign w:val="bottom"/>
            <w:tcBorders>
              <w:right w:val="single" w:sz="8" w:color="007CBA"/>
            </w:tcBorders>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Borders>
              <w:right w:val="single" w:sz="8" w:color="007CBA"/>
            </w:tcBorders>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83"/>
        </w:trPr>
        <w:tc>
          <w:tcPr>
            <w:tcW w:w="1880" w:type="dxa"/>
            <w:vAlign w:val="bottom"/>
            <w:tcBorders>
              <w:right w:val="single" w:sz="8" w:color="007CBA"/>
            </w:tcBorders>
          </w:tcPr>
          <w:p>
            <w:pPr>
              <w:spacing w:after="0"/>
              <w:rPr>
                <w:sz w:val="24"/>
                <w:szCs w:val="24"/>
                <w:color w:val="auto"/>
              </w:rPr>
            </w:pPr>
          </w:p>
        </w:tc>
        <w:tc>
          <w:tcPr>
            <w:tcW w:w="5420" w:type="dxa"/>
            <w:vAlign w:val="bottom"/>
            <w:tcBorders>
              <w:right w:val="single" w:sz="8" w:color="007CBA"/>
            </w:tcBorders>
            <w:gridSpan w:val="2"/>
          </w:tcPr>
          <w:p>
            <w:pPr>
              <w:ind w:left="60"/>
              <w:spacing w:after="0"/>
              <w:rPr>
                <w:sz w:val="20"/>
                <w:szCs w:val="20"/>
                <w:color w:val="auto"/>
              </w:rPr>
            </w:pPr>
            <w:r>
              <w:rPr>
                <w:rFonts w:ascii="Arial" w:cs="Arial" w:eastAsia="Arial" w:hAnsi="Arial"/>
                <w:sz w:val="14"/>
                <w:szCs w:val="14"/>
                <w:color w:val="007CBA"/>
              </w:rPr>
              <w:t xml:space="preserve">•  </w:t>
            </w:r>
            <w:r>
              <w:rPr>
                <w:rFonts w:ascii="Arial" w:cs="Arial" w:eastAsia="Arial" w:hAnsi="Arial"/>
                <w:sz w:val="14"/>
                <w:szCs w:val="14"/>
                <w:color w:val="000000"/>
              </w:rPr>
              <w:t>Continue to mature learning and development programs</w:t>
            </w:r>
          </w:p>
        </w:tc>
        <w:tc>
          <w:tcPr>
            <w:tcW w:w="1300" w:type="dxa"/>
            <w:vAlign w:val="bottom"/>
            <w:tcBorders>
              <w:right w:val="single" w:sz="8" w:color="007CBA"/>
            </w:tcBorders>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Borders>
              <w:right w:val="single" w:sz="8" w:color="007CBA"/>
            </w:tcBorders>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9"/>
        </w:trPr>
        <w:tc>
          <w:tcPr>
            <w:tcW w:w="1880" w:type="dxa"/>
            <w:vAlign w:val="bottom"/>
            <w:tcBorders>
              <w:right w:val="single" w:sz="8" w:color="007CBA"/>
            </w:tcBorders>
          </w:tcPr>
          <w:p>
            <w:pPr>
              <w:spacing w:after="0"/>
              <w:rPr>
                <w:sz w:val="3"/>
                <w:szCs w:val="3"/>
                <w:color w:val="auto"/>
              </w:rPr>
            </w:pPr>
          </w:p>
        </w:tc>
        <w:tc>
          <w:tcPr>
            <w:tcW w:w="180" w:type="dxa"/>
            <w:vAlign w:val="bottom"/>
          </w:tcPr>
          <w:p>
            <w:pPr>
              <w:spacing w:after="0"/>
              <w:rPr>
                <w:sz w:val="3"/>
                <w:szCs w:val="3"/>
                <w:color w:val="auto"/>
              </w:rPr>
            </w:pPr>
          </w:p>
        </w:tc>
        <w:tc>
          <w:tcPr>
            <w:tcW w:w="5240" w:type="dxa"/>
            <w:vAlign w:val="bottom"/>
            <w:tcBorders>
              <w:right w:val="single" w:sz="8" w:color="007CBA"/>
            </w:tcBorders>
          </w:tcPr>
          <w:p>
            <w:pPr>
              <w:spacing w:after="0"/>
              <w:rPr>
                <w:sz w:val="3"/>
                <w:szCs w:val="3"/>
                <w:color w:val="auto"/>
              </w:rPr>
            </w:pPr>
          </w:p>
        </w:tc>
        <w:tc>
          <w:tcPr>
            <w:tcW w:w="1300" w:type="dxa"/>
            <w:vAlign w:val="bottom"/>
            <w:tcBorders>
              <w:right w:val="single" w:sz="8" w:color="007CBA"/>
            </w:tcBorders>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Borders>
              <w:right w:val="single" w:sz="8" w:color="007CBA"/>
            </w:tcBorders>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07"/>
        </w:trPr>
        <w:tc>
          <w:tcPr>
            <w:tcW w:w="18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Daniel L. Grant</w:t>
            </w:r>
          </w:p>
        </w:tc>
        <w:tc>
          <w:tcPr>
            <w:tcW w:w="180" w:type="dxa"/>
            <w:vAlign w:val="bottom"/>
            <w:shd w:val="clear" w:color="auto" w:fill="E5F1F8"/>
          </w:tcPr>
          <w:p>
            <w:pPr>
              <w:ind w:left="60"/>
              <w:spacing w:after="0"/>
              <w:rPr>
                <w:sz w:val="20"/>
                <w:szCs w:val="20"/>
                <w:color w:val="auto"/>
              </w:rPr>
            </w:pPr>
            <w:r>
              <w:rPr>
                <w:rFonts w:ascii="Arial" w:cs="Arial" w:eastAsia="Arial" w:hAnsi="Arial"/>
                <w:sz w:val="14"/>
                <w:szCs w:val="14"/>
                <w:color w:val="007CBA"/>
              </w:rPr>
              <w:t>•</w:t>
            </w:r>
          </w:p>
        </w:tc>
        <w:tc>
          <w:tcPr>
            <w:tcW w:w="524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Continue to pursue projects that align with our strategic objectives, including</w:t>
            </w:r>
          </w:p>
        </w:tc>
        <w:tc>
          <w:tcPr>
            <w:tcW w:w="1300" w:type="dxa"/>
            <w:vAlign w:val="bottom"/>
            <w:tcBorders>
              <w:right w:val="single" w:sz="8" w:color="007CBA"/>
            </w:tcBorders>
            <w:shd w:val="clear" w:color="auto" w:fill="E5F1F8"/>
          </w:tcPr>
          <w:p>
            <w:pPr>
              <w:jc w:val="right"/>
              <w:ind w:right="408"/>
              <w:spacing w:after="0"/>
              <w:rPr>
                <w:sz w:val="20"/>
                <w:szCs w:val="20"/>
                <w:color w:val="auto"/>
              </w:rPr>
            </w:pPr>
            <w:r>
              <w:rPr>
                <w:rFonts w:ascii="Arial" w:cs="Arial" w:eastAsia="Arial" w:hAnsi="Arial"/>
                <w:sz w:val="14"/>
                <w:szCs w:val="14"/>
                <w:color w:val="auto"/>
              </w:rPr>
              <w:t>70%</w:t>
            </w:r>
          </w:p>
        </w:tc>
        <w:tc>
          <w:tcPr>
            <w:tcW w:w="260" w:type="dxa"/>
            <w:vAlign w:val="bottom"/>
            <w:shd w:val="clear" w:color="auto" w:fill="E5F1F8"/>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007CBA"/>
            </w:tcBorders>
            <w:shd w:val="clear" w:color="auto" w:fill="E5F1F8"/>
          </w:tcPr>
          <w:p>
            <w:pPr>
              <w:jc w:val="right"/>
              <w:ind w:right="128"/>
              <w:spacing w:after="0"/>
              <w:rPr>
                <w:sz w:val="20"/>
                <w:szCs w:val="20"/>
                <w:color w:val="auto"/>
              </w:rPr>
            </w:pPr>
            <w:r>
              <w:rPr>
                <w:rFonts w:ascii="Arial" w:cs="Arial" w:eastAsia="Arial" w:hAnsi="Arial"/>
                <w:sz w:val="14"/>
                <w:szCs w:val="14"/>
                <w:color w:val="auto"/>
              </w:rPr>
              <w:t>266,268</w:t>
            </w:r>
          </w:p>
        </w:tc>
        <w:tc>
          <w:tcPr>
            <w:tcW w:w="260" w:type="dxa"/>
            <w:vAlign w:val="bottom"/>
            <w:shd w:val="clear" w:color="auto" w:fill="E5F1F8"/>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5F1F8"/>
          </w:tcPr>
          <w:p>
            <w:pPr>
              <w:jc w:val="right"/>
              <w:ind w:right="108"/>
              <w:spacing w:after="0"/>
              <w:rPr>
                <w:sz w:val="20"/>
                <w:szCs w:val="20"/>
                <w:color w:val="auto"/>
              </w:rPr>
            </w:pPr>
            <w:r>
              <w:rPr>
                <w:rFonts w:ascii="Arial" w:cs="Arial" w:eastAsia="Arial" w:hAnsi="Arial"/>
                <w:sz w:val="14"/>
                <w:szCs w:val="14"/>
                <w:color w:val="auto"/>
              </w:rPr>
              <w:t>386,089</w:t>
            </w:r>
          </w:p>
        </w:tc>
      </w:tr>
      <w:tr>
        <w:trPr>
          <w:trHeight w:val="172"/>
        </w:trPr>
        <w:tc>
          <w:tcPr>
            <w:tcW w:w="1880" w:type="dxa"/>
            <w:vAlign w:val="bottom"/>
            <w:tcBorders>
              <w:right w:val="single" w:sz="8" w:color="007CBA"/>
            </w:tcBorders>
            <w:shd w:val="clear" w:color="auto" w:fill="E5F1F8"/>
          </w:tcPr>
          <w:p>
            <w:pPr>
              <w:spacing w:after="0"/>
              <w:rPr>
                <w:sz w:val="14"/>
                <w:szCs w:val="14"/>
                <w:color w:val="auto"/>
              </w:rPr>
            </w:pPr>
          </w:p>
        </w:tc>
        <w:tc>
          <w:tcPr>
            <w:tcW w:w="180" w:type="dxa"/>
            <w:vAlign w:val="bottom"/>
            <w:shd w:val="clear" w:color="auto" w:fill="E5F1F8"/>
          </w:tcPr>
          <w:p>
            <w:pPr>
              <w:spacing w:after="0"/>
              <w:rPr>
                <w:sz w:val="14"/>
                <w:szCs w:val="14"/>
                <w:color w:val="auto"/>
              </w:rPr>
            </w:pPr>
          </w:p>
        </w:tc>
        <w:tc>
          <w:tcPr>
            <w:tcW w:w="5240" w:type="dxa"/>
            <w:vAlign w:val="bottom"/>
            <w:tcBorders>
              <w:right w:val="single" w:sz="8" w:color="007CBA"/>
            </w:tcBorders>
            <w:shd w:val="clear" w:color="auto" w:fill="E5F1F8"/>
          </w:tcPr>
          <w:p>
            <w:pPr>
              <w:ind w:left="100"/>
              <w:spacing w:after="0"/>
              <w:rPr>
                <w:sz w:val="20"/>
                <w:szCs w:val="20"/>
                <w:color w:val="auto"/>
              </w:rPr>
            </w:pPr>
            <w:r>
              <w:rPr>
                <w:rFonts w:ascii="Arial" w:cs="Arial" w:eastAsia="Arial" w:hAnsi="Arial"/>
                <w:sz w:val="14"/>
                <w:szCs w:val="14"/>
                <w:color w:val="auto"/>
              </w:rPr>
              <w:t>Bluegrass Materials acquisition</w:t>
            </w:r>
          </w:p>
        </w:tc>
        <w:tc>
          <w:tcPr>
            <w:tcW w:w="1300" w:type="dxa"/>
            <w:vAlign w:val="bottom"/>
            <w:tcBorders>
              <w:right w:val="single" w:sz="8" w:color="007CBA"/>
            </w:tcBorders>
            <w:shd w:val="clear" w:color="auto" w:fill="E5F1F8"/>
          </w:tcPr>
          <w:p>
            <w:pPr>
              <w:spacing w:after="0"/>
              <w:rPr>
                <w:sz w:val="14"/>
                <w:szCs w:val="14"/>
                <w:color w:val="auto"/>
              </w:rPr>
            </w:pPr>
          </w:p>
        </w:tc>
        <w:tc>
          <w:tcPr>
            <w:tcW w:w="260" w:type="dxa"/>
            <w:vAlign w:val="bottom"/>
            <w:shd w:val="clear" w:color="auto" w:fill="E5F1F8"/>
          </w:tcPr>
          <w:p>
            <w:pPr>
              <w:spacing w:after="0"/>
              <w:rPr>
                <w:sz w:val="14"/>
                <w:szCs w:val="14"/>
                <w:color w:val="auto"/>
              </w:rPr>
            </w:pPr>
          </w:p>
        </w:tc>
        <w:tc>
          <w:tcPr>
            <w:tcW w:w="940" w:type="dxa"/>
            <w:vAlign w:val="bottom"/>
            <w:tcBorders>
              <w:right w:val="single" w:sz="8" w:color="007CBA"/>
            </w:tcBorders>
            <w:shd w:val="clear" w:color="auto" w:fill="E5F1F8"/>
          </w:tcPr>
          <w:p>
            <w:pPr>
              <w:spacing w:after="0"/>
              <w:rPr>
                <w:sz w:val="14"/>
                <w:szCs w:val="14"/>
                <w:color w:val="auto"/>
              </w:rPr>
            </w:pPr>
          </w:p>
        </w:tc>
        <w:tc>
          <w:tcPr>
            <w:tcW w:w="260" w:type="dxa"/>
            <w:vAlign w:val="bottom"/>
            <w:shd w:val="clear" w:color="auto" w:fill="E5F1F8"/>
          </w:tcPr>
          <w:p>
            <w:pPr>
              <w:spacing w:after="0"/>
              <w:rPr>
                <w:sz w:val="14"/>
                <w:szCs w:val="14"/>
                <w:color w:val="auto"/>
              </w:rPr>
            </w:pPr>
          </w:p>
        </w:tc>
        <w:tc>
          <w:tcPr>
            <w:tcW w:w="940" w:type="dxa"/>
            <w:vAlign w:val="bottom"/>
            <w:shd w:val="clear" w:color="auto" w:fill="E5F1F8"/>
          </w:tcPr>
          <w:p>
            <w:pPr>
              <w:spacing w:after="0"/>
              <w:rPr>
                <w:sz w:val="14"/>
                <w:szCs w:val="14"/>
                <w:color w:val="auto"/>
              </w:rPr>
            </w:pPr>
          </w:p>
        </w:tc>
      </w:tr>
      <w:tr>
        <w:trPr>
          <w:trHeight w:val="283"/>
        </w:trPr>
        <w:tc>
          <w:tcPr>
            <w:tcW w:w="1880" w:type="dxa"/>
            <w:vAlign w:val="bottom"/>
            <w:tcBorders>
              <w:right w:val="single" w:sz="8" w:color="007CBA"/>
            </w:tcBorders>
            <w:shd w:val="clear" w:color="auto" w:fill="E5F1F8"/>
          </w:tcPr>
          <w:p>
            <w:pPr>
              <w:spacing w:after="0"/>
              <w:rPr>
                <w:sz w:val="24"/>
                <w:szCs w:val="24"/>
                <w:color w:val="auto"/>
              </w:rPr>
            </w:pPr>
          </w:p>
        </w:tc>
        <w:tc>
          <w:tcPr>
            <w:tcW w:w="5420" w:type="dxa"/>
            <w:vAlign w:val="bottom"/>
            <w:tcBorders>
              <w:right w:val="single" w:sz="8" w:color="007CBA"/>
            </w:tcBorders>
            <w:gridSpan w:val="2"/>
            <w:shd w:val="clear" w:color="auto" w:fill="E5F1F8"/>
          </w:tcPr>
          <w:p>
            <w:pPr>
              <w:ind w:left="60"/>
              <w:spacing w:after="0"/>
              <w:rPr>
                <w:sz w:val="20"/>
                <w:szCs w:val="20"/>
                <w:color w:val="auto"/>
              </w:rPr>
            </w:pPr>
            <w:r>
              <w:rPr>
                <w:rFonts w:ascii="Arial" w:cs="Arial" w:eastAsia="Arial" w:hAnsi="Arial"/>
                <w:sz w:val="14"/>
                <w:szCs w:val="14"/>
                <w:color w:val="007CBA"/>
              </w:rPr>
              <w:t xml:space="preserve">•  </w:t>
            </w:r>
            <w:r>
              <w:rPr>
                <w:rFonts w:ascii="Arial" w:cs="Arial" w:eastAsia="Arial" w:hAnsi="Arial"/>
                <w:sz w:val="14"/>
                <w:szCs w:val="14"/>
                <w:color w:val="000000"/>
              </w:rPr>
              <w:t>Development of Strategy and Development personnel</w:t>
            </w:r>
          </w:p>
        </w:tc>
        <w:tc>
          <w:tcPr>
            <w:tcW w:w="1300" w:type="dxa"/>
            <w:vAlign w:val="bottom"/>
            <w:tcBorders>
              <w:right w:val="single" w:sz="8" w:color="007CBA"/>
            </w:tcBorders>
            <w:shd w:val="clear" w:color="auto" w:fill="E5F1F8"/>
          </w:tcPr>
          <w:p>
            <w:pPr>
              <w:spacing w:after="0"/>
              <w:rPr>
                <w:sz w:val="24"/>
                <w:szCs w:val="24"/>
                <w:color w:val="auto"/>
              </w:rPr>
            </w:pPr>
          </w:p>
        </w:tc>
        <w:tc>
          <w:tcPr>
            <w:tcW w:w="260" w:type="dxa"/>
            <w:vAlign w:val="bottom"/>
            <w:shd w:val="clear" w:color="auto" w:fill="E5F1F8"/>
          </w:tcPr>
          <w:p>
            <w:pPr>
              <w:spacing w:after="0"/>
              <w:rPr>
                <w:sz w:val="24"/>
                <w:szCs w:val="24"/>
                <w:color w:val="auto"/>
              </w:rPr>
            </w:pPr>
          </w:p>
        </w:tc>
        <w:tc>
          <w:tcPr>
            <w:tcW w:w="940" w:type="dxa"/>
            <w:vAlign w:val="bottom"/>
            <w:tcBorders>
              <w:right w:val="single" w:sz="8" w:color="007CBA"/>
            </w:tcBorders>
            <w:shd w:val="clear" w:color="auto" w:fill="E5F1F8"/>
          </w:tcPr>
          <w:p>
            <w:pPr>
              <w:spacing w:after="0"/>
              <w:rPr>
                <w:sz w:val="24"/>
                <w:szCs w:val="24"/>
                <w:color w:val="auto"/>
              </w:rPr>
            </w:pPr>
          </w:p>
        </w:tc>
        <w:tc>
          <w:tcPr>
            <w:tcW w:w="260" w:type="dxa"/>
            <w:vAlign w:val="bottom"/>
            <w:shd w:val="clear" w:color="auto" w:fill="E5F1F8"/>
          </w:tcPr>
          <w:p>
            <w:pPr>
              <w:spacing w:after="0"/>
              <w:rPr>
                <w:sz w:val="24"/>
                <w:szCs w:val="24"/>
                <w:color w:val="auto"/>
              </w:rPr>
            </w:pPr>
          </w:p>
        </w:tc>
        <w:tc>
          <w:tcPr>
            <w:tcW w:w="940" w:type="dxa"/>
            <w:vAlign w:val="bottom"/>
            <w:shd w:val="clear" w:color="auto" w:fill="E5F1F8"/>
          </w:tcPr>
          <w:p>
            <w:pPr>
              <w:spacing w:after="0"/>
              <w:rPr>
                <w:sz w:val="24"/>
                <w:szCs w:val="24"/>
                <w:color w:val="auto"/>
              </w:rPr>
            </w:pPr>
          </w:p>
        </w:tc>
      </w:tr>
      <w:tr>
        <w:trPr>
          <w:trHeight w:val="302"/>
        </w:trPr>
        <w:tc>
          <w:tcPr>
            <w:tcW w:w="1880" w:type="dxa"/>
            <w:vAlign w:val="bottom"/>
            <w:tcBorders>
              <w:bottom w:val="single" w:sz="8" w:color="E5F1F8"/>
              <w:right w:val="single" w:sz="8" w:color="007CBA"/>
            </w:tcBorders>
            <w:shd w:val="clear" w:color="auto" w:fill="E5F1F8"/>
          </w:tcPr>
          <w:p>
            <w:pPr>
              <w:spacing w:after="0"/>
              <w:rPr>
                <w:sz w:val="24"/>
                <w:szCs w:val="24"/>
                <w:color w:val="auto"/>
              </w:rPr>
            </w:pPr>
          </w:p>
        </w:tc>
        <w:tc>
          <w:tcPr>
            <w:tcW w:w="5420" w:type="dxa"/>
            <w:vAlign w:val="bottom"/>
            <w:tcBorders>
              <w:bottom w:val="single" w:sz="8" w:color="E5F1F8"/>
              <w:right w:val="single" w:sz="8" w:color="007CBA"/>
            </w:tcBorders>
            <w:gridSpan w:val="2"/>
            <w:shd w:val="clear" w:color="auto" w:fill="E5F1F8"/>
          </w:tcPr>
          <w:p>
            <w:pPr>
              <w:ind w:left="60"/>
              <w:spacing w:after="0"/>
              <w:rPr>
                <w:sz w:val="20"/>
                <w:szCs w:val="20"/>
                <w:color w:val="auto"/>
              </w:rPr>
            </w:pPr>
            <w:r>
              <w:rPr>
                <w:rFonts w:ascii="Arial" w:cs="Arial" w:eastAsia="Arial" w:hAnsi="Arial"/>
                <w:sz w:val="14"/>
                <w:szCs w:val="14"/>
                <w:color w:val="007CBA"/>
              </w:rPr>
              <w:t xml:space="preserve">•  </w:t>
            </w:r>
            <w:r>
              <w:rPr>
                <w:rFonts w:ascii="Arial" w:cs="Arial" w:eastAsia="Arial" w:hAnsi="Arial"/>
                <w:sz w:val="14"/>
                <w:szCs w:val="14"/>
                <w:color w:val="000000"/>
              </w:rPr>
              <w:t>Continue progress on world-class organization initiative</w:t>
            </w:r>
          </w:p>
        </w:tc>
        <w:tc>
          <w:tcPr>
            <w:tcW w:w="1300" w:type="dxa"/>
            <w:vAlign w:val="bottom"/>
            <w:tcBorders>
              <w:bottom w:val="single" w:sz="8" w:color="E5F1F8"/>
              <w:right w:val="single" w:sz="8" w:color="007CBA"/>
            </w:tcBorders>
            <w:shd w:val="clear" w:color="auto" w:fill="E5F1F8"/>
          </w:tcPr>
          <w:p>
            <w:pPr>
              <w:spacing w:after="0"/>
              <w:rPr>
                <w:sz w:val="24"/>
                <w:szCs w:val="24"/>
                <w:color w:val="auto"/>
              </w:rPr>
            </w:pPr>
          </w:p>
        </w:tc>
        <w:tc>
          <w:tcPr>
            <w:tcW w:w="260" w:type="dxa"/>
            <w:vAlign w:val="bottom"/>
            <w:tcBorders>
              <w:bottom w:val="single" w:sz="8" w:color="E5F1F8"/>
            </w:tcBorders>
            <w:shd w:val="clear" w:color="auto" w:fill="E5F1F8"/>
          </w:tcPr>
          <w:p>
            <w:pPr>
              <w:spacing w:after="0"/>
              <w:rPr>
                <w:sz w:val="24"/>
                <w:szCs w:val="24"/>
                <w:color w:val="auto"/>
              </w:rPr>
            </w:pPr>
          </w:p>
        </w:tc>
        <w:tc>
          <w:tcPr>
            <w:tcW w:w="940" w:type="dxa"/>
            <w:vAlign w:val="bottom"/>
            <w:tcBorders>
              <w:bottom w:val="single" w:sz="8" w:color="E5F1F8"/>
              <w:right w:val="single" w:sz="8" w:color="007CBA"/>
            </w:tcBorders>
            <w:shd w:val="clear" w:color="auto" w:fill="E5F1F8"/>
          </w:tcPr>
          <w:p>
            <w:pPr>
              <w:spacing w:after="0"/>
              <w:rPr>
                <w:sz w:val="24"/>
                <w:szCs w:val="24"/>
                <w:color w:val="auto"/>
              </w:rPr>
            </w:pPr>
          </w:p>
        </w:tc>
        <w:tc>
          <w:tcPr>
            <w:tcW w:w="260" w:type="dxa"/>
            <w:vAlign w:val="bottom"/>
            <w:tcBorders>
              <w:bottom w:val="single" w:sz="8" w:color="E5F1F8"/>
            </w:tcBorders>
            <w:shd w:val="clear" w:color="auto" w:fill="E5F1F8"/>
          </w:tcPr>
          <w:p>
            <w:pPr>
              <w:spacing w:after="0"/>
              <w:rPr>
                <w:sz w:val="24"/>
                <w:szCs w:val="24"/>
                <w:color w:val="auto"/>
              </w:rPr>
            </w:pPr>
          </w:p>
        </w:tc>
        <w:tc>
          <w:tcPr>
            <w:tcW w:w="940" w:type="dxa"/>
            <w:vAlign w:val="bottom"/>
            <w:tcBorders>
              <w:bottom w:val="single" w:sz="8" w:color="E5F1F8"/>
            </w:tcBorders>
            <w:shd w:val="clear" w:color="auto" w:fill="E5F1F8"/>
          </w:tcPr>
          <w:p>
            <w:pPr>
              <w:spacing w:after="0"/>
              <w:rPr>
                <w:sz w:val="24"/>
                <w:szCs w:val="24"/>
                <w:color w:val="auto"/>
              </w:rPr>
            </w:pPr>
          </w:p>
        </w:tc>
      </w:tr>
      <w:tr>
        <w:trPr>
          <w:trHeight w:val="20"/>
        </w:trPr>
        <w:tc>
          <w:tcPr>
            <w:tcW w:w="1880" w:type="dxa"/>
            <w:vAlign w:val="bottom"/>
            <w:tcBorders>
              <w:right w:val="single" w:sz="8" w:color="007CBA"/>
            </w:tcBorders>
            <w:shd w:val="clear" w:color="auto" w:fill="007CBA"/>
          </w:tcPr>
          <w:p>
            <w:pPr>
              <w:spacing w:after="0" w:line="20" w:lineRule="exact"/>
              <w:rPr>
                <w:sz w:val="1"/>
                <w:szCs w:val="1"/>
                <w:color w:val="auto"/>
              </w:rPr>
            </w:pPr>
          </w:p>
        </w:tc>
        <w:tc>
          <w:tcPr>
            <w:tcW w:w="180" w:type="dxa"/>
            <w:vAlign w:val="bottom"/>
            <w:shd w:val="clear" w:color="auto" w:fill="007CBA"/>
          </w:tcPr>
          <w:p>
            <w:pPr>
              <w:spacing w:after="0" w:line="20" w:lineRule="exact"/>
              <w:rPr>
                <w:sz w:val="1"/>
                <w:szCs w:val="1"/>
                <w:color w:val="auto"/>
              </w:rPr>
            </w:pPr>
          </w:p>
        </w:tc>
        <w:tc>
          <w:tcPr>
            <w:tcW w:w="5240" w:type="dxa"/>
            <w:vAlign w:val="bottom"/>
            <w:tcBorders>
              <w:right w:val="single" w:sz="8" w:color="007CBA"/>
            </w:tcBorders>
            <w:shd w:val="clear" w:color="auto" w:fill="007CBA"/>
          </w:tcPr>
          <w:p>
            <w:pPr>
              <w:spacing w:after="0" w:line="20" w:lineRule="exact"/>
              <w:rPr>
                <w:sz w:val="1"/>
                <w:szCs w:val="1"/>
                <w:color w:val="auto"/>
              </w:rPr>
            </w:pPr>
          </w:p>
        </w:tc>
        <w:tc>
          <w:tcPr>
            <w:tcW w:w="1300" w:type="dxa"/>
            <w:vAlign w:val="bottom"/>
            <w:tcBorders>
              <w:right w:val="single" w:sz="8" w:color="007CBA"/>
            </w:tcBorders>
            <w:shd w:val="clear" w:color="auto" w:fill="007CBA"/>
          </w:tcPr>
          <w:p>
            <w:pPr>
              <w:spacing w:after="0" w:line="20" w:lineRule="exact"/>
              <w:rPr>
                <w:sz w:val="1"/>
                <w:szCs w:val="1"/>
                <w:color w:val="auto"/>
              </w:rPr>
            </w:pPr>
          </w:p>
        </w:tc>
        <w:tc>
          <w:tcPr>
            <w:tcW w:w="260" w:type="dxa"/>
            <w:vAlign w:val="bottom"/>
            <w:shd w:val="clear" w:color="auto" w:fill="007CBA"/>
          </w:tcPr>
          <w:p>
            <w:pPr>
              <w:spacing w:after="0" w:line="20" w:lineRule="exact"/>
              <w:rPr>
                <w:sz w:val="1"/>
                <w:szCs w:val="1"/>
                <w:color w:val="auto"/>
              </w:rPr>
            </w:pPr>
          </w:p>
        </w:tc>
        <w:tc>
          <w:tcPr>
            <w:tcW w:w="940" w:type="dxa"/>
            <w:vAlign w:val="bottom"/>
            <w:tcBorders>
              <w:right w:val="single" w:sz="8" w:color="007CBA"/>
            </w:tcBorders>
            <w:shd w:val="clear" w:color="auto" w:fill="007CBA"/>
          </w:tcPr>
          <w:p>
            <w:pPr>
              <w:spacing w:after="0" w:line="20" w:lineRule="exact"/>
              <w:rPr>
                <w:sz w:val="1"/>
                <w:szCs w:val="1"/>
                <w:color w:val="auto"/>
              </w:rPr>
            </w:pPr>
          </w:p>
        </w:tc>
        <w:tc>
          <w:tcPr>
            <w:tcW w:w="260" w:type="dxa"/>
            <w:vAlign w:val="bottom"/>
            <w:shd w:val="clear" w:color="auto" w:fill="007CBA"/>
          </w:tcPr>
          <w:p>
            <w:pPr>
              <w:spacing w:after="0" w:line="20" w:lineRule="exact"/>
              <w:rPr>
                <w:sz w:val="1"/>
                <w:szCs w:val="1"/>
                <w:color w:val="auto"/>
              </w:rPr>
            </w:pPr>
          </w:p>
        </w:tc>
        <w:tc>
          <w:tcPr>
            <w:tcW w:w="940" w:type="dxa"/>
            <w:vAlign w:val="bottom"/>
            <w:shd w:val="clear" w:color="auto" w:fill="007CBA"/>
          </w:tcPr>
          <w:p>
            <w:pPr>
              <w:spacing w:after="0" w:line="20" w:lineRule="exact"/>
              <w:rPr>
                <w:sz w:val="1"/>
                <w:szCs w:val="1"/>
                <w:color w:val="auto"/>
              </w:rPr>
            </w:pPr>
          </w:p>
        </w:tc>
      </w:tr>
    </w:tbl>
    <w:p>
      <w:pPr>
        <w:spacing w:after="0" w:line="86" w:lineRule="exact"/>
        <w:rPr>
          <w:sz w:val="20"/>
          <w:szCs w:val="20"/>
          <w:color w:val="auto"/>
        </w:rPr>
      </w:pPr>
    </w:p>
    <w:p>
      <w:pPr>
        <w:ind w:left="220"/>
        <w:spacing w:after="0"/>
        <w:rPr>
          <w:sz w:val="20"/>
          <w:szCs w:val="20"/>
          <w:color w:val="auto"/>
        </w:rPr>
      </w:pPr>
      <w:r>
        <w:rPr>
          <w:rFonts w:ascii="Arial" w:cs="Arial" w:eastAsia="Arial" w:hAnsi="Arial"/>
          <w:sz w:val="14"/>
          <w:szCs w:val="14"/>
          <w:color w:val="auto"/>
        </w:rPr>
        <w:t>* Based on actual base earnings in 2018.</w:t>
      </w:r>
    </w:p>
    <w:p>
      <w:pPr>
        <w:sectPr>
          <w:pgSz w:w="11900" w:h="16838" w:orient="portrait"/>
          <w:cols w:equalWidth="0" w:num="1">
            <w:col w:w="11220"/>
          </w:cols>
          <w:pgMar w:left="240" w:top="459" w:right="439" w:bottom="1440" w:gutter="0" w:footer="0" w:header="0"/>
        </w:sectPr>
      </w:pPr>
    </w:p>
    <w:p>
      <w:pPr>
        <w:spacing w:after="0" w:line="240" w:lineRule="exact"/>
        <w:rPr>
          <w:sz w:val="20"/>
          <w:szCs w:val="20"/>
          <w:color w:val="auto"/>
        </w:rPr>
      </w:pPr>
    </w:p>
    <w:p>
      <w:pPr>
        <w:ind w:left="220" w:right="220"/>
        <w:spacing w:after="0" w:line="249" w:lineRule="auto"/>
        <w:rPr>
          <w:sz w:val="20"/>
          <w:szCs w:val="20"/>
          <w:color w:val="auto"/>
        </w:rPr>
      </w:pPr>
      <w:r>
        <w:rPr>
          <w:rFonts w:ascii="Arial" w:cs="Arial" w:eastAsia="Arial" w:hAnsi="Arial"/>
          <w:sz w:val="17"/>
          <w:szCs w:val="17"/>
          <w:b w:val="1"/>
          <w:bCs w:val="1"/>
          <w:color w:val="auto"/>
        </w:rPr>
        <w:t>Annual Incentive Feature: Performance-Based Stock Purchase Plan</w:t>
      </w:r>
    </w:p>
    <w:p>
      <w:pPr>
        <w:jc w:val="both"/>
        <w:ind w:left="220"/>
        <w:spacing w:after="0" w:line="249" w:lineRule="auto"/>
        <w:rPr>
          <w:sz w:val="20"/>
          <w:szCs w:val="20"/>
          <w:color w:val="auto"/>
        </w:rPr>
      </w:pPr>
      <w:r>
        <w:rPr>
          <w:rFonts w:ascii="Arial" w:cs="Arial" w:eastAsia="Arial" w:hAnsi="Arial"/>
          <w:sz w:val="16"/>
          <w:szCs w:val="16"/>
          <w:color w:val="auto"/>
        </w:rPr>
        <w:t>The Incentive Stock Plan further promoted the alignment of executive compensation levels with our investors’ financial interests by requiring that a portion of the annual bonus award be deferred into Company stock units that vest based on continued service. Executive officers can also elect to defer amounts above the mandatory deferral amount.</w:t>
      </w:r>
    </w:p>
    <w:p>
      <w:pPr>
        <w:spacing w:after="0" w:line="179"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The voluntary election allows executives to invest up to 50% of their annual cash incentive compensation to purchase units that are subsequently converted into shares of common stock pursuant to the terms of the plan at a 20% discount from the market price of Martin Marietta’s common stock on the date the amount of the incentive compensation is determined. The</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discount is used to account for the risk of trading current cash compensation for “at-risk” shares which may decline in value.</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mandatory portion requires executives to invest a minimum of 20% of their cash incentive compensation towards the crediting of units under the plan. The CEO is required to invest a minimum of 35% of his cash incentive compensation towards the crediting of such units.</w:t>
      </w:r>
    </w:p>
    <w:p>
      <w:pPr>
        <w:spacing w:after="0" w:line="16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units generally vest in three years from the date of the award and are distributed in shares of common stock. If an executive officer voluntarily terminates employment before the units vest, the stock units are forfeited and the executive officer receives a cash payment equal to the lesser of the cash that was invested or the fair value of the share units on the day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179705</wp:posOffset>
            </wp:positionV>
            <wp:extent cx="410845" cy="2482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88" w:lineRule="exact"/>
        <w:rPr>
          <w:sz w:val="20"/>
          <w:szCs w:val="20"/>
          <w:color w:val="auto"/>
        </w:rPr>
      </w:pPr>
    </w:p>
    <w:tbl>
      <w:tblPr>
        <w:tblLayout w:type="fixed"/>
        <w:tblInd w:w="926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2019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45</w:t>
            </w:r>
          </w:p>
        </w:tc>
      </w:tr>
    </w:tbl>
    <w:p>
      <w:pPr>
        <w:sectPr>
          <w:pgSz w:w="11900" w:h="16838" w:orient="portrait"/>
          <w:cols w:equalWidth="0" w:num="1">
            <w:col w:w="11220"/>
          </w:cols>
          <w:pgMar w:left="240" w:top="459" w:right="43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9" w:lineRule="exact"/>
        <w:rPr>
          <w:sz w:val="20"/>
          <w:szCs w:val="20"/>
          <w:color w:val="auto"/>
        </w:rPr>
      </w:pPr>
    </w:p>
    <w:p>
      <w:pPr>
        <w:ind w:left="220"/>
        <w:spacing w:after="0" w:line="288" w:lineRule="exact"/>
        <w:rPr>
          <w:sz w:val="20"/>
          <w:szCs w:val="20"/>
          <w:color w:val="auto"/>
        </w:rPr>
      </w:pPr>
      <w:r>
        <w:rPr>
          <w:rFonts w:ascii="Arial" w:cs="Arial" w:eastAsia="Arial" w:hAnsi="Arial"/>
          <w:sz w:val="13"/>
          <w:szCs w:val="13"/>
          <w:color w:val="007CBA"/>
        </w:rPr>
        <w:t xml:space="preserve">Compensation Discussion and Analysis </w:t>
      </w:r>
      <w:r>
        <w:rPr>
          <w:rFonts w:ascii="MS PGothic" w:cs="MS PGothic" w:eastAsia="MS PGothic" w:hAnsi="MS PGothic"/>
          <w:sz w:val="25"/>
          <w:szCs w:val="25"/>
          <w:color w:val="007CBA"/>
        </w:rPr>
        <w:t>◆</w:t>
      </w:r>
      <w:r>
        <w:rPr>
          <w:rFonts w:ascii="Arial" w:cs="Arial" w:eastAsia="Arial" w:hAnsi="Arial"/>
          <w:sz w:val="13"/>
          <w:szCs w:val="13"/>
          <w:color w:val="007CBA"/>
        </w:rPr>
        <w:t xml:space="preserve"> </w:t>
      </w:r>
      <w:r>
        <w:rPr>
          <w:rFonts w:ascii="Arial" w:cs="Arial" w:eastAsia="Arial" w:hAnsi="Arial"/>
          <w:sz w:val="13"/>
          <w:szCs w:val="13"/>
          <w:color w:val="000000"/>
        </w:rPr>
        <w:t>2018 Annual Cash Incentive Goals and Results</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The mandatory contribution requirement directly links a portion of executive officer compensation to shareholder returns. The vesting aspect, combined with the yearly stock purchase requirement, creates continuous overlapping three-year cycles, which encourage executive officer retention and provide a continuous link of a significant portion of executive officer compensation with shareholder return over the long-term to reward these executive officers in line with our shareholders when our stock price increases.</w:t>
      </w:r>
    </w:p>
    <w:p>
      <w:pPr>
        <w:spacing w:after="0" w:line="281"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7CBA"/>
        </w:rPr>
        <w:t>2018 Long-Term Incentive Compensation</w:t>
      </w:r>
    </w:p>
    <w:p>
      <w:pPr>
        <w:spacing w:after="0" w:line="150"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Our Long-Term Incentive (LTI) plan’s design reflects the objectives of our compensation program and is in-line with current market approaches, based on the advice of the Committee’s independent compensation consultant. Our plan design objectives are a simplified LTI program, that is transparent and enhances the line of sight between our performance and compensation.</w:t>
      </w:r>
    </w:p>
    <w:p>
      <w:pPr>
        <w:spacing w:after="0" w:line="177" w:lineRule="exact"/>
        <w:rPr>
          <w:sz w:val="20"/>
          <w:szCs w:val="20"/>
          <w:color w:val="auto"/>
        </w:rPr>
      </w:pPr>
    </w:p>
    <w:p>
      <w:pPr>
        <w:jc w:val="both"/>
        <w:ind w:left="220"/>
        <w:spacing w:after="0" w:line="247" w:lineRule="auto"/>
        <w:rPr>
          <w:sz w:val="20"/>
          <w:szCs w:val="20"/>
          <w:color w:val="auto"/>
        </w:rPr>
      </w:pPr>
      <w:r>
        <w:rPr>
          <w:rFonts w:ascii="Arial" w:cs="Arial" w:eastAsia="Arial" w:hAnsi="Arial"/>
          <w:sz w:val="16"/>
          <w:szCs w:val="16"/>
          <w:color w:val="auto"/>
        </w:rPr>
        <w:t xml:space="preserve">The award in 2018 for all NEOs was based on a fixed percentage of base salary with some variation for position and grade, which amount was converted into common stock units based on the average Martin Marietta stock price for the 20-day period ending on February 22, 2018, the day the Martin Marietta Board of Directors confirmed the award, or $220.2915. This award value was then divided into PSUs and performance-based RSUs, with 55% of the total award for NEOs consisting of the PSUs at target level and 45% of the total award for NEOs consisting of performance-based RSUs. The Committee believes that the incentive mix (PSUs and performance-based RSUs) constitutes a simplified pay process and streamlined plan, which more fully reflects the performance of the Company and is better aligned with each manager’s role within Martin Marietta. See a further description under </w:t>
      </w:r>
      <w:r>
        <w:rPr>
          <w:rFonts w:ascii="Arial" w:cs="Arial" w:eastAsia="Arial" w:hAnsi="Arial"/>
          <w:sz w:val="16"/>
          <w:szCs w:val="16"/>
          <w:i w:val="1"/>
          <w:iCs w:val="1"/>
          <w:color w:val="auto"/>
        </w:rPr>
        <w:t>Outstanding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Equity Awards at Fiscal Year-End </w:t>
      </w:r>
      <w:r>
        <w:rPr>
          <w:rFonts w:ascii="Arial" w:cs="Arial" w:eastAsia="Arial" w:hAnsi="Arial"/>
          <w:sz w:val="16"/>
          <w:szCs w:val="16"/>
          <w:color w:val="auto"/>
        </w:rPr>
        <w:t>and corresponding footnotes on pages</w:t>
      </w:r>
      <w:r>
        <w:rPr>
          <w:rFonts w:ascii="Arial" w:cs="Arial" w:eastAsia="Arial" w:hAnsi="Arial"/>
          <w:sz w:val="16"/>
          <w:szCs w:val="16"/>
          <w:i w:val="1"/>
          <w:iCs w:val="1"/>
          <w:color w:val="auto"/>
        </w:rPr>
        <w:t xml:space="preserve"> </w:t>
      </w:r>
      <w:r>
        <w:rPr>
          <w:rFonts w:ascii="Arial" w:cs="Arial" w:eastAsia="Arial" w:hAnsi="Arial"/>
          <w:sz w:val="16"/>
          <w:szCs w:val="16"/>
          <w:color w:val="auto"/>
        </w:rPr>
        <w:t>57 to 58.</w:t>
      </w:r>
    </w:p>
    <w:p>
      <w:pPr>
        <w:spacing w:after="0" w:line="325"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7CBA"/>
        </w:rPr>
        <w:t>PSU Awards (55% of LTI Award)</w:t>
      </w:r>
    </w:p>
    <w:p>
      <w:pPr>
        <w:spacing w:after="0" w:line="150"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One of our compensation objectives is to align the potential rewards to senior management with increases in shareholder value. In that regard, the PSUs give the recipient the opportunity to receive Martin Marietta common stock if specific performance goals are achieved, consisting of:</w:t>
      </w:r>
    </w:p>
    <w:p>
      <w:pPr>
        <w:spacing w:after="0" w:line="110" w:lineRule="exact"/>
        <w:rPr>
          <w:sz w:val="20"/>
          <w:szCs w:val="20"/>
          <w:color w:val="auto"/>
        </w:rPr>
      </w:pPr>
    </w:p>
    <w:p>
      <w:pPr>
        <w:jc w:val="both"/>
        <w:ind w:left="540" w:right="20" w:hanging="330"/>
        <w:spacing w:after="0" w:line="253" w:lineRule="auto"/>
        <w:tabs>
          <w:tab w:leader="none" w:pos="5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Earnings before Interest, Income Taxes, Depreciation and Amortization (EBITDA), measuring profitability and comprising 67% of the total target award, and</w:t>
      </w:r>
    </w:p>
    <w:p>
      <w:pPr>
        <w:spacing w:after="0" w:line="106" w:lineRule="exact"/>
        <w:rPr>
          <w:rFonts w:ascii="Arial" w:cs="Arial" w:eastAsia="Arial" w:hAnsi="Arial"/>
          <w:sz w:val="16"/>
          <w:szCs w:val="16"/>
          <w:color w:val="auto"/>
        </w:rPr>
      </w:pPr>
    </w:p>
    <w:p>
      <w:pPr>
        <w:ind w:left="540" w:right="20" w:hanging="330"/>
        <w:spacing w:after="0" w:line="260" w:lineRule="auto"/>
        <w:tabs>
          <w:tab w:leader="none" w:pos="5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Sales Growth, measuring growth and comprising 33% of the total target award.</w:t>
      </w:r>
    </w:p>
    <w:p>
      <w:pPr>
        <w:spacing w:after="0" w:line="100" w:lineRule="exact"/>
        <w:rPr>
          <w:rFonts w:ascii="Arial" w:cs="Arial" w:eastAsia="Arial" w:hAnsi="Arial"/>
          <w:sz w:val="16"/>
          <w:szCs w:val="16"/>
          <w:color w:val="auto"/>
        </w:rPr>
      </w:pPr>
    </w:p>
    <w:p>
      <w:pPr>
        <w:jc w:val="both"/>
        <w:ind w:left="540" w:right="20" w:hanging="330"/>
        <w:spacing w:after="0" w:line="253" w:lineRule="auto"/>
        <w:tabs>
          <w:tab w:leader="none" w:pos="5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 addition, the relative Total Shareholder Return (rTSR) will act as a modifier for the performance such that Martin Marietta’s performance will be measured against the S&amp;P</w:t>
      </w:r>
    </w:p>
    <w:p>
      <w:pPr>
        <w:spacing w:after="0" w:line="314" w:lineRule="exact"/>
        <w:rPr>
          <w:sz w:val="20"/>
          <w:szCs w:val="20"/>
          <w:color w:val="auto"/>
        </w:rPr>
      </w:pPr>
    </w:p>
    <w:p>
      <w:pPr>
        <w:ind w:left="640" w:hanging="430"/>
        <w:spacing w:after="0"/>
        <w:tabs>
          <w:tab w:leader="none" w:pos="640" w:val="left"/>
        </w:tabs>
        <w:numPr>
          <w:ilvl w:val="0"/>
          <w:numId w:val="103"/>
        </w:numPr>
        <w:rPr>
          <w:rFonts w:ascii="Arial" w:cs="Arial" w:eastAsia="Arial" w:hAnsi="Arial"/>
          <w:sz w:val="13"/>
          <w:szCs w:val="13"/>
          <w:b w:val="1"/>
          <w:bCs w:val="1"/>
          <w:color w:val="auto"/>
        </w:rPr>
      </w:pPr>
      <w:r>
        <w:rPr>
          <w:rFonts w:ascii="Arial" w:cs="Arial" w:eastAsia="Arial" w:hAnsi="Arial"/>
          <w:sz w:val="13"/>
          <w:szCs w:val="13"/>
          <w:color w:val="007CBA"/>
        </w:rPr>
        <w:t>2019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ind w:left="320" w:right="20"/>
        <w:spacing w:after="0" w:line="260" w:lineRule="auto"/>
        <w:rPr>
          <w:sz w:val="20"/>
          <w:szCs w:val="20"/>
          <w:color w:val="auto"/>
        </w:rPr>
      </w:pPr>
      <w:r>
        <w:rPr>
          <w:rFonts w:ascii="Arial" w:cs="Arial" w:eastAsia="Arial" w:hAnsi="Arial"/>
          <w:sz w:val="16"/>
          <w:szCs w:val="16"/>
          <w:color w:val="auto"/>
        </w:rPr>
        <w:t>500, and will modify the total award by a range of -20% to +20% depending on the rTSR. See table show on page 48.</w:t>
      </w:r>
    </w:p>
    <w:p>
      <w:pPr>
        <w:spacing w:after="0" w:line="1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EBITDA and Sales Growth are two of the drivers of our performance and metrics of significance to our investors. The total payout opportunity for PSUs in 2018 was 0% to 240%: 50% of target if the threshold level is satisfied, 100% of target if the target level is satisfied, and 200% of target if the maximum level is satisfied. The rTSR modifier over the three-year measurement period is then applied to the final award to adjust it up or down up to 20%. The threshold must be satisfied to receive PSUs for each performance metric. If the threshold is not met, none of the PSUs relating to that metric will vest. Performance in each metric is measured independently, so PSUs can be earned as long as the threshold is satisfied for at least one metric. The “Target” level is generally viewed as achievable although it has not been achieved every year. The “Maximum” level is a stretch that is attainable if we outperform in the area measured.</w:t>
      </w:r>
    </w:p>
    <w:p>
      <w:pPr>
        <w:spacing w:after="0" w:line="169"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performance will be measured in February 2021 for the three-year period beginning January 2018 through December 2020 to determine</w:t>
      </w:r>
    </w:p>
    <w:p>
      <w:pPr>
        <w:spacing w:after="0" w:line="1" w:lineRule="exact"/>
        <w:rPr>
          <w:sz w:val="20"/>
          <w:szCs w:val="20"/>
          <w:color w:val="auto"/>
        </w:rPr>
      </w:pPr>
    </w:p>
    <w:p>
      <w:pPr>
        <w:jc w:val="both"/>
        <w:ind w:firstLine="4"/>
        <w:spacing w:after="0" w:line="248" w:lineRule="auto"/>
        <w:tabs>
          <w:tab w:leader="none" w:pos="247"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three-year cumulative EBITDA for Martin Marietta against the target identified in the PSU Award Agreement, and (2) the three-year cumulative Sales Growth against the target identified in the PSU Award Agreement. This amount will be modified by the rTSR for the three-year period as against the S&amp;P 500, as set forth in the PSU Award Agreement. The Committee in its discretion may adjust the final award values only as set forth in the Agreement, either collectively or on an individual basis, in recognition of factors that are unusual or nonrecurring.</w:t>
      </w: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Over the three-year performance period, up to one-third of the target PSUs may be earned each year based on one-third of the three-year cumulative EBITDA and Sales Growth goals. Each year, any earned PSUs are capped at 100% of target, and are not distributed until the end of the three-year measurement period when the cumulative three-year performance is determined. The actual PSUs will equal the greater of the total PSUs earned for each of the annual periods (capped at 100% of target) or the amount earned for cumulative three-year performance (capped at 200% of target). The final amount of earned PSUs to be distributed are subject to the three-year rTSR modifier.</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PSUs will convert to unrestricted common stock and be paid conditioned upon and to the extent that the performance goals have been met, which will be determined in February 2021.</w:t>
      </w:r>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These awards are also generally subject to continued employment through the date the PSUs vest. The actual financial performance targets and achievement against those targets will be disclosed at the end of the three-year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668655</wp:posOffset>
            </wp:positionV>
            <wp:extent cx="410845" cy="2482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ectPr>
          <w:pgSz w:w="11900" w:h="16838" w:orient="portrait"/>
          <w:cols w:equalWidth="0" w:num="2">
            <w:col w:w="5500" w:space="320"/>
            <w:col w:w="5400"/>
          </w:cols>
          <w:pgMar w:left="240" w:top="459" w:right="43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7CBA"/>
        </w:rPr>
        <w:t>Selection of Relative TSR</w:t>
      </w:r>
    </w:p>
    <w:p>
      <w:pPr>
        <w:spacing w:after="0" w:line="150" w:lineRule="exact"/>
        <w:rPr>
          <w:sz w:val="20"/>
          <w:szCs w:val="20"/>
          <w:color w:val="auto"/>
        </w:rPr>
      </w:pPr>
    </w:p>
    <w:p>
      <w:pPr>
        <w:jc w:val="both"/>
        <w:ind w:left="220"/>
        <w:spacing w:after="0" w:line="247" w:lineRule="auto"/>
        <w:rPr>
          <w:sz w:val="20"/>
          <w:szCs w:val="20"/>
          <w:color w:val="auto"/>
        </w:rPr>
      </w:pPr>
      <w:r>
        <w:rPr>
          <w:rFonts w:ascii="Arial" w:cs="Arial" w:eastAsia="Arial" w:hAnsi="Arial"/>
          <w:sz w:val="16"/>
          <w:szCs w:val="16"/>
          <w:color w:val="auto"/>
        </w:rPr>
        <w:t>We selected rTSR for the PSUs to measure our performance against the companies in the S&amp;P 500 index. We recognize that every industry faces different challenges and opportunities, and that the S&amp;P 500 index does not perfectly correlate to the environment in which Martin Marietta operates. However, we believe that the majority of most of our closest competitors are not publicly-held companies or are not U.S. companies, and therefore accurate information to potentially use as comparisons is not readily available. As a result, we believe that comparing our TSR against the S&amp;P 500 index is appropriate because (1) it measures the interest of investors for whom we compete, (2) there is no consensus of a significantly better peer group with readily available comparable financial information; and (3) by using rTSR as a modifier rather than a primary measurement, we give our other performance measures more weight and their focus on profitability and growth both provide long-term value creation.</w:t>
      </w:r>
    </w:p>
    <w:p>
      <w:pPr>
        <w:spacing w:after="0" w:line="181" w:lineRule="exact"/>
        <w:rPr>
          <w:sz w:val="20"/>
          <w:szCs w:val="20"/>
          <w:color w:val="auto"/>
        </w:rPr>
      </w:pPr>
    </w:p>
    <w:p>
      <w:pPr>
        <w:jc w:val="both"/>
        <w:ind w:left="220"/>
        <w:spacing w:after="0" w:line="253" w:lineRule="auto"/>
        <w:rPr>
          <w:sz w:val="20"/>
          <w:szCs w:val="20"/>
          <w:color w:val="auto"/>
        </w:rPr>
      </w:pPr>
      <w:r>
        <w:rPr>
          <w:rFonts w:ascii="Arial" w:cs="Arial" w:eastAsia="Arial" w:hAnsi="Arial"/>
          <w:sz w:val="16"/>
          <w:szCs w:val="16"/>
          <w:color w:val="auto"/>
        </w:rPr>
        <w:t>In tandem, we believe that these metrics drive the behaviors of our management team in ways that are intended to create the most value for our shareholders.</w:t>
      </w:r>
    </w:p>
    <w:p>
      <w:pPr>
        <w:spacing w:after="0" w:line="276" w:lineRule="exact"/>
        <w:rPr>
          <w:sz w:val="20"/>
          <w:szCs w:val="20"/>
          <w:color w:val="auto"/>
        </w:rPr>
      </w:pPr>
    </w:p>
    <w:p>
      <w:pPr>
        <w:ind w:left="220" w:right="40"/>
        <w:spacing w:after="0" w:line="288" w:lineRule="auto"/>
        <w:rPr>
          <w:sz w:val="20"/>
          <w:szCs w:val="20"/>
          <w:color w:val="auto"/>
        </w:rPr>
      </w:pPr>
      <w:r>
        <w:rPr>
          <w:rFonts w:ascii="Arial" w:cs="Arial" w:eastAsia="Arial" w:hAnsi="Arial"/>
          <w:sz w:val="25"/>
          <w:szCs w:val="25"/>
          <w:b w:val="1"/>
          <w:bCs w:val="1"/>
          <w:color w:val="007CBA"/>
        </w:rPr>
        <w:t>Peformance-Based RSU Awards (45% of LTI Award)</w:t>
      </w:r>
    </w:p>
    <w:p>
      <w:pPr>
        <w:spacing w:after="0" w:line="111" w:lineRule="exact"/>
        <w:rPr>
          <w:sz w:val="20"/>
          <w:szCs w:val="20"/>
          <w:color w:val="auto"/>
        </w:rPr>
      </w:pPr>
    </w:p>
    <w:p>
      <w:pPr>
        <w:jc w:val="both"/>
        <w:ind w:left="220" w:right="20"/>
        <w:spacing w:after="0" w:line="248" w:lineRule="auto"/>
        <w:rPr>
          <w:sz w:val="20"/>
          <w:szCs w:val="20"/>
          <w:color w:val="auto"/>
        </w:rPr>
      </w:pPr>
      <w:r>
        <w:rPr>
          <w:rFonts w:ascii="Arial" w:cs="Arial" w:eastAsia="Arial" w:hAnsi="Arial"/>
          <w:sz w:val="16"/>
          <w:szCs w:val="16"/>
          <w:color w:val="auto"/>
        </w:rPr>
        <w:t>RSUs vest in three equal portions, each on the anniversary of the award date (February 22, 2018) over a period of three years, subject to satisfaction of the performance measure and generally to continued employment through each one of those anniversaries. Once the restricted period ends (each anniversary for one third of the total RSU award), the recipient will be issued unrestricted shares of common stock (minus applicable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jc w:val="right"/>
        <w:spacing w:after="0" w:line="251" w:lineRule="exact"/>
        <w:tabs>
          <w:tab w:leader="none" w:pos="2620" w:val="left"/>
        </w:tabs>
        <w:rPr>
          <w:sz w:val="20"/>
          <w:szCs w:val="20"/>
          <w:color w:val="auto"/>
        </w:rPr>
      </w:pPr>
      <w:r>
        <w:rPr>
          <w:rFonts w:ascii="Arial" w:cs="Arial" w:eastAsia="Arial" w:hAnsi="Arial"/>
          <w:sz w:val="13"/>
          <w:szCs w:val="13"/>
          <w:color w:val="auto"/>
        </w:rPr>
        <w:t>Selection of Relative TSR</w:t>
      </w:r>
      <w:r>
        <w:rPr>
          <w:sz w:val="20"/>
          <w:szCs w:val="20"/>
          <w:color w:val="auto"/>
        </w:rPr>
        <w:tab/>
      </w:r>
      <w:r>
        <w:rPr>
          <w:rFonts w:ascii="MS PGothic" w:cs="MS PGothic" w:eastAsia="MS PGothic" w:hAnsi="MS PGothic"/>
          <w:sz w:val="25"/>
          <w:szCs w:val="25"/>
          <w:color w:val="007CBA"/>
        </w:rPr>
        <w:t xml:space="preserve">◆ </w:t>
      </w:r>
      <w:r>
        <w:rPr>
          <w:rFonts w:ascii="Arial" w:cs="Arial" w:eastAsia="Arial" w:hAnsi="Arial"/>
          <w:sz w:val="13"/>
          <w:szCs w:val="13"/>
          <w:color w:val="007CB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-657225</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2018 RSUs awarded to executive officers are also subject to a performance measure that a stated level of EBITDA be achieved the first year. If the performance measure is satisfied, then the RSUs will continue to vest. If the performance measure is not satisfied, then the RSUs will be forfeited. The performance measure was satisfied.</w:t>
      </w:r>
    </w:p>
    <w:p>
      <w:pPr>
        <w:spacing w:after="0" w:line="281"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2018 LTI (PSU and RSU) Goals</w:t>
      </w:r>
    </w:p>
    <w:p>
      <w:pPr>
        <w:spacing w:after="0" w:line="15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setting minimum and maximum levels of payment, we reviewed historical levels of performance against our long-range plan commitments, and conducted sensitivity analyses on alternative outcomes focused on identifying likely minimum and maximum boundary performance levels. Levels between 100% and the minimum and maximum levels were derived using linear interpolation between the performance hurdles.</w:t>
      </w:r>
    </w:p>
    <w:p>
      <w:pPr>
        <w:spacing w:after="0" w:line="17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specific EBITDA and Sales Growth target values for the 2018-2020 PSUs are not publicly disclosed at the time of grant due to the proprietary nature and competitive sensitivity of the information. However, the method used to calculate the awards will be based on actual performance compared to our 2018-2020 targets, with straight-line interpolation between points. The individual award agreements require the adjustment of goals to ensure that the ultimate payouts are not impacted to the benefit or detriment of management by specified events, such as unplanned pension contributions, changes in accounting (GAAP) standards or impact of an acquisition or divestiture. The Committee does not have discretion to adjust the results of the PSU awards beyond the adjustments specified in the award agreements. The Committee may exercise its discretion to reduce the final vesting percentage to no more than target if the Company’s three-year TSR is less than zero.</w:t>
      </w:r>
    </w:p>
    <w:p>
      <w:pPr>
        <w:spacing w:after="0" w:line="970" w:lineRule="exact"/>
        <w:rPr>
          <w:sz w:val="20"/>
          <w:szCs w:val="20"/>
          <w:color w:val="auto"/>
        </w:rPr>
      </w:pPr>
    </w:p>
    <w:p>
      <w:pPr>
        <w:sectPr>
          <w:pgSz w:w="11900" w:h="16838" w:orient="portrait"/>
          <w:cols w:equalWidth="0" w:num="2">
            <w:col w:w="5500" w:space="320"/>
            <w:col w:w="5400"/>
          </w:cols>
          <w:pgMar w:left="240" w:top="459" w:right="439" w:bottom="1440" w:gutter="0" w:footer="0" w:header="0"/>
        </w:sectPr>
      </w:pPr>
    </w:p>
    <w:p>
      <w:pPr>
        <w:spacing w:after="0" w:line="15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 provides a summary of the long-term incentives that each of the NEOs received in 2018.</w:t>
      </w:r>
    </w:p>
    <w:p>
      <w:pPr>
        <w:spacing w:after="0" w:line="219" w:lineRule="exact"/>
        <w:rPr>
          <w:sz w:val="20"/>
          <w:szCs w:val="20"/>
          <w:color w:val="auto"/>
        </w:rPr>
      </w:pPr>
    </w:p>
    <w:tbl>
      <w:tblPr>
        <w:tblLayout w:type="fixed"/>
        <w:tblInd w:w="220" w:type="dxa"/>
        <w:tblCellMar>
          <w:top w:w="0" w:type="dxa"/>
          <w:left w:w="0" w:type="dxa"/>
          <w:bottom w:w="0" w:type="dxa"/>
          <w:right w:w="0" w:type="dxa"/>
        </w:tblCellMar>
      </w:tblPr>
      <w:tr>
        <w:trPr>
          <w:trHeight w:val="198"/>
        </w:trPr>
        <w:tc>
          <w:tcPr>
            <w:tcW w:w="6280" w:type="dxa"/>
            <w:vAlign w:val="bottom"/>
            <w:tcBorders>
              <w:right w:val="single" w:sz="8" w:color="007CBA"/>
            </w:tcBorders>
            <w:shd w:val="clear" w:color="auto" w:fill="007CBA"/>
          </w:tcPr>
          <w:p>
            <w:pPr>
              <w:spacing w:after="0"/>
              <w:rPr>
                <w:sz w:val="17"/>
                <w:szCs w:val="17"/>
                <w:color w:val="auto"/>
              </w:rPr>
            </w:pPr>
          </w:p>
        </w:tc>
        <w:tc>
          <w:tcPr>
            <w:tcW w:w="23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rPr>
              <w:t>RSUs</w:t>
            </w:r>
          </w:p>
        </w:tc>
        <w:tc>
          <w:tcPr>
            <w:tcW w:w="2140" w:type="dxa"/>
            <w:vAlign w:val="bottom"/>
            <w:shd w:val="clear" w:color="auto" w:fill="007CBA"/>
          </w:tcPr>
          <w:p>
            <w:pPr>
              <w:spacing w:after="0"/>
              <w:rPr>
                <w:sz w:val="17"/>
                <w:szCs w:val="17"/>
                <w:color w:val="auto"/>
              </w:rPr>
            </w:pPr>
          </w:p>
        </w:tc>
        <w:tc>
          <w:tcPr>
            <w:tcW w:w="220" w:type="dxa"/>
            <w:vAlign w:val="bottom"/>
            <w:shd w:val="clear" w:color="auto" w:fill="007CBA"/>
          </w:tcPr>
          <w:p>
            <w:pPr>
              <w:spacing w:after="0"/>
              <w:rPr>
                <w:sz w:val="17"/>
                <w:szCs w:val="17"/>
                <w:color w:val="auto"/>
              </w:rPr>
            </w:pPr>
          </w:p>
        </w:tc>
      </w:tr>
      <w:tr>
        <w:trPr>
          <w:trHeight w:val="189"/>
        </w:trPr>
        <w:tc>
          <w:tcPr>
            <w:tcW w:w="6280" w:type="dxa"/>
            <w:vAlign w:val="bottom"/>
            <w:tcBorders>
              <w:right w:val="single" w:sz="8" w:color="007CBA"/>
            </w:tcBorders>
            <w:shd w:val="clear" w:color="auto" w:fill="007CBA"/>
          </w:tcPr>
          <w:p>
            <w:pPr>
              <w:spacing w:after="0"/>
              <w:rPr>
                <w:sz w:val="16"/>
                <w:szCs w:val="16"/>
                <w:color w:val="auto"/>
              </w:rPr>
            </w:pPr>
          </w:p>
        </w:tc>
        <w:tc>
          <w:tcPr>
            <w:tcW w:w="23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rPr>
              <w:t>(3 year annual</w:t>
            </w:r>
          </w:p>
        </w:tc>
        <w:tc>
          <w:tcPr>
            <w:tcW w:w="2140" w:type="dxa"/>
            <w:vAlign w:val="bottom"/>
            <w:shd w:val="clear" w:color="auto" w:fill="007CBA"/>
          </w:tcPr>
          <w:p>
            <w:pPr>
              <w:jc w:val="center"/>
              <w:ind w:left="119"/>
              <w:spacing w:after="0"/>
              <w:rPr>
                <w:sz w:val="20"/>
                <w:szCs w:val="20"/>
                <w:color w:val="auto"/>
              </w:rPr>
            </w:pPr>
            <w:r>
              <w:rPr>
                <w:rFonts w:ascii="Arial" w:cs="Arial" w:eastAsia="Arial" w:hAnsi="Arial"/>
                <w:sz w:val="16"/>
                <w:szCs w:val="16"/>
                <w:b w:val="1"/>
                <w:bCs w:val="1"/>
                <w:color w:val="FFFFFF"/>
              </w:rPr>
              <w:t>PSUs – Target</w:t>
            </w:r>
          </w:p>
        </w:tc>
        <w:tc>
          <w:tcPr>
            <w:tcW w:w="220" w:type="dxa"/>
            <w:vAlign w:val="bottom"/>
            <w:shd w:val="clear" w:color="auto" w:fill="007CBA"/>
          </w:tcPr>
          <w:p>
            <w:pPr>
              <w:spacing w:after="0"/>
              <w:rPr>
                <w:sz w:val="16"/>
                <w:szCs w:val="16"/>
                <w:color w:val="auto"/>
              </w:rPr>
            </w:pPr>
          </w:p>
        </w:tc>
      </w:tr>
      <w:tr>
        <w:trPr>
          <w:trHeight w:val="189"/>
        </w:trPr>
        <w:tc>
          <w:tcPr>
            <w:tcW w:w="6280" w:type="dxa"/>
            <w:vAlign w:val="bottom"/>
            <w:tcBorders>
              <w:right w:val="single" w:sz="8" w:color="007CBA"/>
            </w:tcBorders>
            <w:shd w:val="clear" w:color="auto" w:fill="007CBA"/>
          </w:tcPr>
          <w:p>
            <w:pPr>
              <w:spacing w:after="0"/>
              <w:rPr>
                <w:sz w:val="16"/>
                <w:szCs w:val="16"/>
                <w:color w:val="auto"/>
              </w:rPr>
            </w:pPr>
          </w:p>
        </w:tc>
        <w:tc>
          <w:tcPr>
            <w:tcW w:w="23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rPr>
              <w:t>installment vesting</w:t>
            </w:r>
          </w:p>
        </w:tc>
        <w:tc>
          <w:tcPr>
            <w:tcW w:w="2140" w:type="dxa"/>
            <w:vAlign w:val="bottom"/>
            <w:shd w:val="clear" w:color="auto" w:fill="007CBA"/>
          </w:tcPr>
          <w:p>
            <w:pPr>
              <w:jc w:val="center"/>
              <w:ind w:left="119"/>
              <w:spacing w:after="0"/>
              <w:rPr>
                <w:sz w:val="20"/>
                <w:szCs w:val="20"/>
                <w:color w:val="auto"/>
              </w:rPr>
            </w:pPr>
            <w:r>
              <w:rPr>
                <w:rFonts w:ascii="Arial" w:cs="Arial" w:eastAsia="Arial" w:hAnsi="Arial"/>
                <w:sz w:val="16"/>
                <w:szCs w:val="16"/>
                <w:b w:val="1"/>
                <w:bCs w:val="1"/>
                <w:color w:val="FFFFFF"/>
              </w:rPr>
              <w:t>(3 year cliff vesting</w:t>
            </w:r>
          </w:p>
        </w:tc>
        <w:tc>
          <w:tcPr>
            <w:tcW w:w="220" w:type="dxa"/>
            <w:vAlign w:val="bottom"/>
            <w:shd w:val="clear" w:color="auto" w:fill="007CBA"/>
          </w:tcPr>
          <w:p>
            <w:pPr>
              <w:spacing w:after="0"/>
              <w:rPr>
                <w:sz w:val="16"/>
                <w:szCs w:val="16"/>
                <w:color w:val="auto"/>
              </w:rPr>
            </w:pPr>
          </w:p>
        </w:tc>
      </w:tr>
      <w:tr>
        <w:trPr>
          <w:trHeight w:val="189"/>
        </w:trPr>
        <w:tc>
          <w:tcPr>
            <w:tcW w:w="6280" w:type="dxa"/>
            <w:vAlign w:val="bottom"/>
            <w:tcBorders>
              <w:right w:val="single" w:sz="8" w:color="007CBA"/>
            </w:tcBorders>
            <w:shd w:val="clear" w:color="auto" w:fill="007CBA"/>
          </w:tcPr>
          <w:p>
            <w:pPr>
              <w:spacing w:after="0"/>
              <w:rPr>
                <w:sz w:val="16"/>
                <w:szCs w:val="16"/>
                <w:color w:val="auto"/>
              </w:rPr>
            </w:pPr>
          </w:p>
        </w:tc>
        <w:tc>
          <w:tcPr>
            <w:tcW w:w="23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rPr>
              <w:t>subject to achievement</w:t>
            </w:r>
          </w:p>
        </w:tc>
        <w:tc>
          <w:tcPr>
            <w:tcW w:w="2140" w:type="dxa"/>
            <w:vAlign w:val="bottom"/>
            <w:shd w:val="clear" w:color="auto" w:fill="007CBA"/>
          </w:tcPr>
          <w:p>
            <w:pPr>
              <w:jc w:val="center"/>
              <w:ind w:left="119"/>
              <w:spacing w:after="0"/>
              <w:rPr>
                <w:sz w:val="20"/>
                <w:szCs w:val="20"/>
                <w:color w:val="auto"/>
              </w:rPr>
            </w:pPr>
            <w:r>
              <w:rPr>
                <w:rFonts w:ascii="Arial" w:cs="Arial" w:eastAsia="Arial" w:hAnsi="Arial"/>
                <w:sz w:val="16"/>
                <w:szCs w:val="16"/>
                <w:b w:val="1"/>
                <w:bCs w:val="1"/>
                <w:color w:val="FFFFFF"/>
              </w:rPr>
              <w:t>subject to achievement</w:t>
            </w:r>
          </w:p>
        </w:tc>
        <w:tc>
          <w:tcPr>
            <w:tcW w:w="220" w:type="dxa"/>
            <w:vAlign w:val="bottom"/>
            <w:shd w:val="clear" w:color="auto" w:fill="007CBA"/>
          </w:tcPr>
          <w:p>
            <w:pPr>
              <w:spacing w:after="0"/>
              <w:rPr>
                <w:sz w:val="16"/>
                <w:szCs w:val="16"/>
                <w:color w:val="auto"/>
              </w:rPr>
            </w:pPr>
          </w:p>
        </w:tc>
      </w:tr>
      <w:tr>
        <w:trPr>
          <w:trHeight w:val="189"/>
        </w:trPr>
        <w:tc>
          <w:tcPr>
            <w:tcW w:w="6280" w:type="dxa"/>
            <w:vAlign w:val="bottom"/>
            <w:tcBorders>
              <w:right w:val="single" w:sz="8" w:color="007CBA"/>
            </w:tcBorders>
            <w:shd w:val="clear" w:color="auto" w:fill="007CBA"/>
          </w:tcPr>
          <w:p>
            <w:pPr>
              <w:spacing w:after="0"/>
              <w:rPr>
                <w:sz w:val="16"/>
                <w:szCs w:val="16"/>
                <w:color w:val="auto"/>
              </w:rPr>
            </w:pPr>
          </w:p>
        </w:tc>
        <w:tc>
          <w:tcPr>
            <w:tcW w:w="23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rPr>
              <w:t>of performance</w:t>
            </w:r>
          </w:p>
        </w:tc>
        <w:tc>
          <w:tcPr>
            <w:tcW w:w="2140" w:type="dxa"/>
            <w:vAlign w:val="bottom"/>
            <w:shd w:val="clear" w:color="auto" w:fill="007CBA"/>
          </w:tcPr>
          <w:p>
            <w:pPr>
              <w:jc w:val="center"/>
              <w:ind w:left="119"/>
              <w:spacing w:after="0"/>
              <w:rPr>
                <w:sz w:val="20"/>
                <w:szCs w:val="20"/>
                <w:color w:val="auto"/>
              </w:rPr>
            </w:pPr>
            <w:r>
              <w:rPr>
                <w:rFonts w:ascii="Arial" w:cs="Arial" w:eastAsia="Arial" w:hAnsi="Arial"/>
                <w:sz w:val="16"/>
                <w:szCs w:val="16"/>
                <w:b w:val="1"/>
                <w:bCs w:val="1"/>
                <w:color w:val="FFFFFF"/>
              </w:rPr>
              <w:t>of performance</w:t>
            </w:r>
          </w:p>
        </w:tc>
        <w:tc>
          <w:tcPr>
            <w:tcW w:w="220" w:type="dxa"/>
            <w:vAlign w:val="bottom"/>
            <w:shd w:val="clear" w:color="auto" w:fill="007CBA"/>
          </w:tcPr>
          <w:p>
            <w:pPr>
              <w:spacing w:after="0"/>
              <w:rPr>
                <w:sz w:val="16"/>
                <w:szCs w:val="16"/>
                <w:color w:val="auto"/>
              </w:rPr>
            </w:pPr>
          </w:p>
        </w:tc>
      </w:tr>
      <w:tr>
        <w:trPr>
          <w:trHeight w:val="189"/>
        </w:trPr>
        <w:tc>
          <w:tcPr>
            <w:tcW w:w="6280" w:type="dxa"/>
            <w:vAlign w:val="bottom"/>
            <w:tcBorders>
              <w:right w:val="single" w:sz="8" w:color="007CBA"/>
            </w:tcBorders>
            <w:shd w:val="clear" w:color="auto" w:fill="007CBA"/>
          </w:tcPr>
          <w:p>
            <w:pPr>
              <w:spacing w:after="0"/>
              <w:rPr>
                <w:sz w:val="16"/>
                <w:szCs w:val="16"/>
                <w:color w:val="auto"/>
              </w:rPr>
            </w:pPr>
          </w:p>
        </w:tc>
        <w:tc>
          <w:tcPr>
            <w:tcW w:w="23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rPr>
              <w:t>measure)</w:t>
            </w:r>
          </w:p>
        </w:tc>
        <w:tc>
          <w:tcPr>
            <w:tcW w:w="2140" w:type="dxa"/>
            <w:vAlign w:val="bottom"/>
            <w:shd w:val="clear" w:color="auto" w:fill="007CBA"/>
          </w:tcPr>
          <w:p>
            <w:pPr>
              <w:jc w:val="center"/>
              <w:ind w:left="119"/>
              <w:spacing w:after="0"/>
              <w:rPr>
                <w:sz w:val="20"/>
                <w:szCs w:val="20"/>
                <w:color w:val="auto"/>
              </w:rPr>
            </w:pPr>
            <w:r>
              <w:rPr>
                <w:rFonts w:ascii="Arial" w:cs="Arial" w:eastAsia="Arial" w:hAnsi="Arial"/>
                <w:sz w:val="16"/>
                <w:szCs w:val="16"/>
                <w:b w:val="1"/>
                <w:bCs w:val="1"/>
                <w:color w:val="FFFFFF"/>
              </w:rPr>
              <w:t>measures)</w:t>
            </w:r>
          </w:p>
        </w:tc>
        <w:tc>
          <w:tcPr>
            <w:tcW w:w="220" w:type="dxa"/>
            <w:vAlign w:val="bottom"/>
            <w:shd w:val="clear" w:color="auto" w:fill="007CBA"/>
          </w:tcPr>
          <w:p>
            <w:pPr>
              <w:spacing w:after="0"/>
              <w:rPr>
                <w:sz w:val="16"/>
                <w:szCs w:val="16"/>
                <w:color w:val="auto"/>
              </w:rPr>
            </w:pPr>
          </w:p>
        </w:tc>
      </w:tr>
      <w:tr>
        <w:trPr>
          <w:trHeight w:val="220"/>
        </w:trPr>
        <w:tc>
          <w:tcPr>
            <w:tcW w:w="628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6"/>
                <w:szCs w:val="16"/>
                <w:b w:val="1"/>
                <w:bCs w:val="1"/>
                <w:color w:val="FFFFFF"/>
              </w:rPr>
              <w:t>NEO</w:t>
            </w:r>
          </w:p>
        </w:tc>
        <w:tc>
          <w:tcPr>
            <w:tcW w:w="23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rPr>
              <w:t>(# of shares)</w:t>
            </w:r>
          </w:p>
        </w:tc>
        <w:tc>
          <w:tcPr>
            <w:tcW w:w="2140" w:type="dxa"/>
            <w:vAlign w:val="bottom"/>
            <w:shd w:val="clear" w:color="auto" w:fill="007CBA"/>
          </w:tcPr>
          <w:p>
            <w:pPr>
              <w:jc w:val="center"/>
              <w:ind w:left="119"/>
              <w:spacing w:after="0"/>
              <w:rPr>
                <w:sz w:val="20"/>
                <w:szCs w:val="20"/>
                <w:color w:val="auto"/>
              </w:rPr>
            </w:pPr>
            <w:r>
              <w:rPr>
                <w:rFonts w:ascii="Arial" w:cs="Arial" w:eastAsia="Arial" w:hAnsi="Arial"/>
                <w:sz w:val="16"/>
                <w:szCs w:val="16"/>
                <w:b w:val="1"/>
                <w:bCs w:val="1"/>
                <w:color w:val="FFFFFF"/>
              </w:rPr>
              <w:t>(# of shares)</w:t>
            </w:r>
          </w:p>
        </w:tc>
        <w:tc>
          <w:tcPr>
            <w:tcW w:w="220" w:type="dxa"/>
            <w:vAlign w:val="bottom"/>
            <w:shd w:val="clear" w:color="auto" w:fill="007CBA"/>
          </w:tcPr>
          <w:p>
            <w:pPr>
              <w:spacing w:after="0"/>
              <w:rPr>
                <w:sz w:val="19"/>
                <w:szCs w:val="19"/>
                <w:color w:val="auto"/>
              </w:rPr>
            </w:pPr>
          </w:p>
        </w:tc>
      </w:tr>
      <w:tr>
        <w:trPr>
          <w:trHeight w:val="263"/>
        </w:trPr>
        <w:tc>
          <w:tcPr>
            <w:tcW w:w="6280" w:type="dxa"/>
            <w:vAlign w:val="bottom"/>
            <w:tcBorders>
              <w:bottom w:val="single" w:sz="8" w:color="E5F1F8"/>
              <w:right w:val="single" w:sz="8" w:color="007CBA"/>
            </w:tcBorders>
            <w:shd w:val="clear" w:color="auto" w:fill="E5F1F8"/>
          </w:tcPr>
          <w:p>
            <w:pPr>
              <w:ind w:left="60"/>
              <w:spacing w:after="0"/>
              <w:rPr>
                <w:sz w:val="20"/>
                <w:szCs w:val="20"/>
                <w:color w:val="auto"/>
              </w:rPr>
            </w:pPr>
            <w:r>
              <w:rPr>
                <w:rFonts w:ascii="Arial" w:cs="Arial" w:eastAsia="Arial" w:hAnsi="Arial"/>
                <w:sz w:val="17"/>
                <w:szCs w:val="17"/>
                <w:color w:val="auto"/>
              </w:rPr>
              <w:t>C. Howard Nye</w:t>
            </w:r>
          </w:p>
        </w:tc>
        <w:tc>
          <w:tcPr>
            <w:tcW w:w="2360" w:type="dxa"/>
            <w:vAlign w:val="bottom"/>
            <w:tcBorders>
              <w:bottom w:val="single" w:sz="8" w:color="E5F1F8"/>
              <w:right w:val="single" w:sz="8" w:color="007CBA"/>
            </w:tcBorders>
            <w:shd w:val="clear" w:color="auto" w:fill="E5F1F8"/>
          </w:tcPr>
          <w:p>
            <w:pPr>
              <w:jc w:val="right"/>
              <w:ind w:right="777"/>
              <w:spacing w:after="0"/>
              <w:rPr>
                <w:sz w:val="20"/>
                <w:szCs w:val="20"/>
                <w:color w:val="auto"/>
              </w:rPr>
            </w:pPr>
            <w:r>
              <w:rPr>
                <w:rFonts w:ascii="Arial" w:cs="Arial" w:eastAsia="Arial" w:hAnsi="Arial"/>
                <w:sz w:val="17"/>
                <w:szCs w:val="17"/>
                <w:color w:val="auto"/>
              </w:rPr>
              <w:t>8,539</w:t>
            </w:r>
          </w:p>
        </w:tc>
        <w:tc>
          <w:tcPr>
            <w:tcW w:w="2140" w:type="dxa"/>
            <w:vAlign w:val="bottom"/>
            <w:tcBorders>
              <w:bottom w:val="single" w:sz="8" w:color="E5F1F8"/>
            </w:tcBorders>
            <w:shd w:val="clear" w:color="auto" w:fill="E5F1F8"/>
          </w:tcPr>
          <w:p>
            <w:pPr>
              <w:jc w:val="right"/>
              <w:ind w:right="519"/>
              <w:spacing w:after="0"/>
              <w:rPr>
                <w:sz w:val="20"/>
                <w:szCs w:val="20"/>
                <w:color w:val="auto"/>
              </w:rPr>
            </w:pPr>
            <w:r>
              <w:rPr>
                <w:rFonts w:ascii="Arial" w:cs="Arial" w:eastAsia="Arial" w:hAnsi="Arial"/>
                <w:sz w:val="17"/>
                <w:szCs w:val="17"/>
                <w:color w:val="auto"/>
              </w:rPr>
              <w:t>9,940</w:t>
            </w:r>
          </w:p>
        </w:tc>
        <w:tc>
          <w:tcPr>
            <w:tcW w:w="220" w:type="dxa"/>
            <w:vAlign w:val="bottom"/>
            <w:tcBorders>
              <w:bottom w:val="single" w:sz="8" w:color="E5F1F8"/>
            </w:tcBorders>
            <w:shd w:val="clear" w:color="auto" w:fill="E5F1F8"/>
          </w:tcPr>
          <w:p>
            <w:pPr>
              <w:spacing w:after="0"/>
              <w:rPr>
                <w:sz w:val="22"/>
                <w:szCs w:val="22"/>
                <w:color w:val="auto"/>
              </w:rPr>
            </w:pPr>
          </w:p>
        </w:tc>
      </w:tr>
      <w:tr>
        <w:trPr>
          <w:trHeight w:val="252"/>
        </w:trPr>
        <w:tc>
          <w:tcPr>
            <w:tcW w:w="6280" w:type="dxa"/>
            <w:vAlign w:val="bottom"/>
            <w:tcBorders>
              <w:right w:val="single" w:sz="8" w:color="007CBA"/>
            </w:tcBorders>
          </w:tcPr>
          <w:p>
            <w:pPr>
              <w:ind w:left="60"/>
              <w:spacing w:after="0"/>
              <w:rPr>
                <w:sz w:val="20"/>
                <w:szCs w:val="20"/>
                <w:color w:val="auto"/>
              </w:rPr>
            </w:pPr>
            <w:r>
              <w:rPr>
                <w:rFonts w:ascii="Arial" w:cs="Arial" w:eastAsia="Arial" w:hAnsi="Arial"/>
                <w:sz w:val="17"/>
                <w:szCs w:val="17"/>
                <w:color w:val="auto"/>
              </w:rPr>
              <w:t>James A. J. Nickolas</w:t>
            </w:r>
          </w:p>
        </w:tc>
        <w:tc>
          <w:tcPr>
            <w:tcW w:w="2360" w:type="dxa"/>
            <w:vAlign w:val="bottom"/>
            <w:tcBorders>
              <w:right w:val="single" w:sz="8" w:color="007CBA"/>
            </w:tcBorders>
          </w:tcPr>
          <w:p>
            <w:pPr>
              <w:jc w:val="right"/>
              <w:ind w:right="777"/>
              <w:spacing w:after="0"/>
              <w:rPr>
                <w:sz w:val="20"/>
                <w:szCs w:val="20"/>
                <w:color w:val="auto"/>
              </w:rPr>
            </w:pPr>
            <w:r>
              <w:rPr>
                <w:rFonts w:ascii="Arial" w:cs="Arial" w:eastAsia="Arial" w:hAnsi="Arial"/>
                <w:sz w:val="17"/>
                <w:szCs w:val="17"/>
                <w:color w:val="auto"/>
              </w:rPr>
              <w:t>1,681</w:t>
            </w:r>
          </w:p>
        </w:tc>
        <w:tc>
          <w:tcPr>
            <w:tcW w:w="2140" w:type="dxa"/>
            <w:vAlign w:val="bottom"/>
          </w:tcPr>
          <w:p>
            <w:pPr>
              <w:jc w:val="right"/>
              <w:ind w:right="519"/>
              <w:spacing w:after="0"/>
              <w:rPr>
                <w:sz w:val="20"/>
                <w:szCs w:val="20"/>
                <w:color w:val="auto"/>
              </w:rPr>
            </w:pPr>
            <w:r>
              <w:rPr>
                <w:rFonts w:ascii="Arial" w:cs="Arial" w:eastAsia="Arial" w:hAnsi="Arial"/>
                <w:sz w:val="17"/>
                <w:szCs w:val="17"/>
                <w:color w:val="auto"/>
              </w:rPr>
              <w:t>1,956</w:t>
            </w:r>
          </w:p>
        </w:tc>
        <w:tc>
          <w:tcPr>
            <w:tcW w:w="220" w:type="dxa"/>
            <w:vAlign w:val="bottom"/>
          </w:tcPr>
          <w:p>
            <w:pPr>
              <w:spacing w:after="0"/>
              <w:rPr>
                <w:sz w:val="21"/>
                <w:szCs w:val="21"/>
                <w:color w:val="auto"/>
              </w:rPr>
            </w:pPr>
          </w:p>
        </w:tc>
      </w:tr>
      <w:tr>
        <w:trPr>
          <w:trHeight w:val="44"/>
        </w:trPr>
        <w:tc>
          <w:tcPr>
            <w:tcW w:w="6280" w:type="dxa"/>
            <w:vAlign w:val="bottom"/>
            <w:tcBorders>
              <w:right w:val="single" w:sz="8" w:color="007CBA"/>
            </w:tcBorders>
          </w:tcPr>
          <w:p>
            <w:pPr>
              <w:spacing w:after="0"/>
              <w:rPr>
                <w:sz w:val="3"/>
                <w:szCs w:val="3"/>
                <w:color w:val="auto"/>
              </w:rPr>
            </w:pPr>
          </w:p>
        </w:tc>
        <w:tc>
          <w:tcPr>
            <w:tcW w:w="2360" w:type="dxa"/>
            <w:vAlign w:val="bottom"/>
            <w:tcBorders>
              <w:right w:val="single" w:sz="8" w:color="007CBA"/>
            </w:tcBorders>
          </w:tcPr>
          <w:p>
            <w:pPr>
              <w:spacing w:after="0"/>
              <w:rPr>
                <w:sz w:val="3"/>
                <w:szCs w:val="3"/>
                <w:color w:val="auto"/>
              </w:rPr>
            </w:pPr>
          </w:p>
        </w:tc>
        <w:tc>
          <w:tcPr>
            <w:tcW w:w="214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63"/>
        </w:trPr>
        <w:tc>
          <w:tcPr>
            <w:tcW w:w="6280" w:type="dxa"/>
            <w:vAlign w:val="bottom"/>
            <w:tcBorders>
              <w:bottom w:val="single" w:sz="8" w:color="E5F1F8"/>
              <w:right w:val="single" w:sz="8" w:color="007CBA"/>
            </w:tcBorders>
            <w:shd w:val="clear" w:color="auto" w:fill="E5F1F8"/>
          </w:tcPr>
          <w:p>
            <w:pPr>
              <w:ind w:left="60"/>
              <w:spacing w:after="0"/>
              <w:rPr>
                <w:sz w:val="20"/>
                <w:szCs w:val="20"/>
                <w:color w:val="auto"/>
              </w:rPr>
            </w:pPr>
            <w:r>
              <w:rPr>
                <w:rFonts w:ascii="Arial" w:cs="Arial" w:eastAsia="Arial" w:hAnsi="Arial"/>
                <w:sz w:val="17"/>
                <w:szCs w:val="17"/>
                <w:color w:val="auto"/>
              </w:rPr>
              <w:t>Roselyn R. Bar</w:t>
            </w:r>
          </w:p>
        </w:tc>
        <w:tc>
          <w:tcPr>
            <w:tcW w:w="2360" w:type="dxa"/>
            <w:vAlign w:val="bottom"/>
            <w:tcBorders>
              <w:bottom w:val="single" w:sz="8" w:color="E5F1F8"/>
              <w:right w:val="single" w:sz="8" w:color="007CBA"/>
            </w:tcBorders>
            <w:shd w:val="clear" w:color="auto" w:fill="E5F1F8"/>
          </w:tcPr>
          <w:p>
            <w:pPr>
              <w:jc w:val="right"/>
              <w:ind w:right="777"/>
              <w:spacing w:after="0"/>
              <w:rPr>
                <w:sz w:val="20"/>
                <w:szCs w:val="20"/>
                <w:color w:val="auto"/>
              </w:rPr>
            </w:pPr>
            <w:r>
              <w:rPr>
                <w:rFonts w:ascii="Arial" w:cs="Arial" w:eastAsia="Arial" w:hAnsi="Arial"/>
                <w:sz w:val="17"/>
                <w:szCs w:val="17"/>
                <w:color w:val="auto"/>
              </w:rPr>
              <w:t>1,839</w:t>
            </w:r>
          </w:p>
        </w:tc>
        <w:tc>
          <w:tcPr>
            <w:tcW w:w="2140" w:type="dxa"/>
            <w:vAlign w:val="bottom"/>
            <w:tcBorders>
              <w:bottom w:val="single" w:sz="8" w:color="E5F1F8"/>
            </w:tcBorders>
            <w:shd w:val="clear" w:color="auto" w:fill="E5F1F8"/>
          </w:tcPr>
          <w:p>
            <w:pPr>
              <w:jc w:val="right"/>
              <w:ind w:right="519"/>
              <w:spacing w:after="0"/>
              <w:rPr>
                <w:sz w:val="20"/>
                <w:szCs w:val="20"/>
                <w:color w:val="auto"/>
              </w:rPr>
            </w:pPr>
            <w:r>
              <w:rPr>
                <w:rFonts w:ascii="Arial" w:cs="Arial" w:eastAsia="Arial" w:hAnsi="Arial"/>
                <w:sz w:val="17"/>
                <w:szCs w:val="17"/>
                <w:color w:val="auto"/>
              </w:rPr>
              <w:t>2,140</w:t>
            </w:r>
          </w:p>
        </w:tc>
        <w:tc>
          <w:tcPr>
            <w:tcW w:w="220" w:type="dxa"/>
            <w:vAlign w:val="bottom"/>
            <w:tcBorders>
              <w:bottom w:val="single" w:sz="8" w:color="E5F1F8"/>
            </w:tcBorders>
            <w:shd w:val="clear" w:color="auto" w:fill="E5F1F8"/>
          </w:tcPr>
          <w:p>
            <w:pPr>
              <w:spacing w:after="0"/>
              <w:rPr>
                <w:sz w:val="22"/>
                <w:szCs w:val="22"/>
                <w:color w:val="auto"/>
              </w:rPr>
            </w:pPr>
          </w:p>
        </w:tc>
      </w:tr>
      <w:tr>
        <w:trPr>
          <w:trHeight w:val="252"/>
        </w:trPr>
        <w:tc>
          <w:tcPr>
            <w:tcW w:w="6280" w:type="dxa"/>
            <w:vAlign w:val="bottom"/>
            <w:tcBorders>
              <w:right w:val="single" w:sz="8" w:color="007CBA"/>
            </w:tcBorders>
          </w:tcPr>
          <w:p>
            <w:pPr>
              <w:ind w:left="60"/>
              <w:spacing w:after="0"/>
              <w:rPr>
                <w:sz w:val="20"/>
                <w:szCs w:val="20"/>
                <w:color w:val="auto"/>
              </w:rPr>
            </w:pPr>
            <w:r>
              <w:rPr>
                <w:rFonts w:ascii="Arial" w:cs="Arial" w:eastAsia="Arial" w:hAnsi="Arial"/>
                <w:sz w:val="17"/>
                <w:szCs w:val="17"/>
                <w:color w:val="auto"/>
              </w:rPr>
              <w:t>Donald A. McCunniff</w:t>
            </w:r>
          </w:p>
        </w:tc>
        <w:tc>
          <w:tcPr>
            <w:tcW w:w="2360" w:type="dxa"/>
            <w:vAlign w:val="bottom"/>
            <w:tcBorders>
              <w:right w:val="single" w:sz="8" w:color="007CBA"/>
            </w:tcBorders>
          </w:tcPr>
          <w:p>
            <w:pPr>
              <w:jc w:val="right"/>
              <w:ind w:right="777"/>
              <w:spacing w:after="0"/>
              <w:rPr>
                <w:sz w:val="20"/>
                <w:szCs w:val="20"/>
                <w:color w:val="auto"/>
              </w:rPr>
            </w:pPr>
            <w:r>
              <w:rPr>
                <w:rFonts w:ascii="Arial" w:cs="Arial" w:eastAsia="Arial" w:hAnsi="Arial"/>
                <w:sz w:val="17"/>
                <w:szCs w:val="17"/>
                <w:color w:val="auto"/>
              </w:rPr>
              <w:t>1,178</w:t>
            </w:r>
          </w:p>
        </w:tc>
        <w:tc>
          <w:tcPr>
            <w:tcW w:w="2140" w:type="dxa"/>
            <w:vAlign w:val="bottom"/>
          </w:tcPr>
          <w:p>
            <w:pPr>
              <w:jc w:val="right"/>
              <w:ind w:right="519"/>
              <w:spacing w:after="0"/>
              <w:rPr>
                <w:sz w:val="20"/>
                <w:szCs w:val="20"/>
                <w:color w:val="auto"/>
              </w:rPr>
            </w:pPr>
            <w:r>
              <w:rPr>
                <w:rFonts w:ascii="Arial" w:cs="Arial" w:eastAsia="Arial" w:hAnsi="Arial"/>
                <w:sz w:val="17"/>
                <w:szCs w:val="17"/>
                <w:color w:val="auto"/>
              </w:rPr>
              <w:t>1,371</w:t>
            </w:r>
          </w:p>
        </w:tc>
        <w:tc>
          <w:tcPr>
            <w:tcW w:w="220" w:type="dxa"/>
            <w:vAlign w:val="bottom"/>
          </w:tcPr>
          <w:p>
            <w:pPr>
              <w:spacing w:after="0"/>
              <w:rPr>
                <w:sz w:val="21"/>
                <w:szCs w:val="21"/>
                <w:color w:val="auto"/>
              </w:rPr>
            </w:pPr>
          </w:p>
        </w:tc>
      </w:tr>
      <w:tr>
        <w:trPr>
          <w:trHeight w:val="44"/>
        </w:trPr>
        <w:tc>
          <w:tcPr>
            <w:tcW w:w="6280" w:type="dxa"/>
            <w:vAlign w:val="bottom"/>
            <w:tcBorders>
              <w:right w:val="single" w:sz="8" w:color="007CBA"/>
            </w:tcBorders>
          </w:tcPr>
          <w:p>
            <w:pPr>
              <w:spacing w:after="0"/>
              <w:rPr>
                <w:sz w:val="3"/>
                <w:szCs w:val="3"/>
                <w:color w:val="auto"/>
              </w:rPr>
            </w:pPr>
          </w:p>
        </w:tc>
        <w:tc>
          <w:tcPr>
            <w:tcW w:w="2360" w:type="dxa"/>
            <w:vAlign w:val="bottom"/>
            <w:tcBorders>
              <w:right w:val="single" w:sz="8" w:color="007CBA"/>
            </w:tcBorders>
          </w:tcPr>
          <w:p>
            <w:pPr>
              <w:spacing w:after="0"/>
              <w:rPr>
                <w:sz w:val="3"/>
                <w:szCs w:val="3"/>
                <w:color w:val="auto"/>
              </w:rPr>
            </w:pPr>
          </w:p>
        </w:tc>
        <w:tc>
          <w:tcPr>
            <w:tcW w:w="214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88"/>
        </w:trPr>
        <w:tc>
          <w:tcPr>
            <w:tcW w:w="6280" w:type="dxa"/>
            <w:vAlign w:val="bottom"/>
            <w:tcBorders>
              <w:bottom w:val="single" w:sz="8" w:color="E5F1F8"/>
              <w:right w:val="single" w:sz="8" w:color="007CBA"/>
            </w:tcBorders>
            <w:shd w:val="clear" w:color="auto" w:fill="E5F1F8"/>
          </w:tcPr>
          <w:p>
            <w:pPr>
              <w:ind w:left="60"/>
              <w:spacing w:after="0"/>
              <w:rPr>
                <w:sz w:val="20"/>
                <w:szCs w:val="20"/>
                <w:color w:val="auto"/>
              </w:rPr>
            </w:pPr>
            <w:r>
              <w:rPr>
                <w:rFonts w:ascii="Arial" w:cs="Arial" w:eastAsia="Arial" w:hAnsi="Arial"/>
                <w:sz w:val="17"/>
                <w:szCs w:val="17"/>
                <w:color w:val="auto"/>
              </w:rPr>
              <w:t>Daniel L. Grant</w:t>
            </w:r>
          </w:p>
        </w:tc>
        <w:tc>
          <w:tcPr>
            <w:tcW w:w="2360" w:type="dxa"/>
            <w:vAlign w:val="bottom"/>
            <w:tcBorders>
              <w:bottom w:val="single" w:sz="8" w:color="E5F1F8"/>
              <w:right w:val="single" w:sz="8" w:color="007CBA"/>
            </w:tcBorders>
            <w:shd w:val="clear" w:color="auto" w:fill="E5F1F8"/>
          </w:tcPr>
          <w:p>
            <w:pPr>
              <w:jc w:val="right"/>
              <w:ind w:right="777"/>
              <w:spacing w:after="0"/>
              <w:rPr>
                <w:sz w:val="20"/>
                <w:szCs w:val="20"/>
                <w:color w:val="auto"/>
              </w:rPr>
            </w:pPr>
            <w:r>
              <w:rPr>
                <w:rFonts w:ascii="Arial" w:cs="Arial" w:eastAsia="Arial" w:hAnsi="Arial"/>
                <w:sz w:val="17"/>
                <w:szCs w:val="17"/>
                <w:color w:val="auto"/>
              </w:rPr>
              <w:t>963</w:t>
            </w:r>
          </w:p>
        </w:tc>
        <w:tc>
          <w:tcPr>
            <w:tcW w:w="2140" w:type="dxa"/>
            <w:vAlign w:val="bottom"/>
            <w:tcBorders>
              <w:bottom w:val="single" w:sz="8" w:color="E5F1F8"/>
            </w:tcBorders>
            <w:shd w:val="clear" w:color="auto" w:fill="E5F1F8"/>
          </w:tcPr>
          <w:p>
            <w:pPr>
              <w:jc w:val="right"/>
              <w:ind w:right="519"/>
              <w:spacing w:after="0"/>
              <w:rPr>
                <w:sz w:val="20"/>
                <w:szCs w:val="20"/>
                <w:color w:val="auto"/>
              </w:rPr>
            </w:pPr>
            <w:r>
              <w:rPr>
                <w:rFonts w:ascii="Arial" w:cs="Arial" w:eastAsia="Arial" w:hAnsi="Arial"/>
                <w:sz w:val="17"/>
                <w:szCs w:val="17"/>
                <w:color w:val="auto"/>
              </w:rPr>
              <w:t>1,120</w:t>
            </w:r>
          </w:p>
        </w:tc>
        <w:tc>
          <w:tcPr>
            <w:tcW w:w="220" w:type="dxa"/>
            <w:vAlign w:val="bottom"/>
            <w:tcBorders>
              <w:bottom w:val="single" w:sz="8" w:color="E5F1F8"/>
            </w:tcBorders>
            <w:shd w:val="clear" w:color="auto" w:fill="E5F1F8"/>
          </w:tcPr>
          <w:p>
            <w:pPr>
              <w:spacing w:after="0"/>
              <w:rPr>
                <w:sz w:val="24"/>
                <w:szCs w:val="24"/>
                <w:color w:val="auto"/>
              </w:rPr>
            </w:pPr>
          </w:p>
        </w:tc>
      </w:tr>
      <w:tr>
        <w:trPr>
          <w:trHeight w:val="328"/>
        </w:trPr>
        <w:tc>
          <w:tcPr>
            <w:tcW w:w="6280" w:type="dxa"/>
            <w:vAlign w:val="bottom"/>
            <w:tcBorders>
              <w:top w:val="single" w:sz="8" w:color="007CBA"/>
            </w:tcBorders>
          </w:tcPr>
          <w:p>
            <w:pPr>
              <w:spacing w:after="0"/>
              <w:rPr>
                <w:sz w:val="24"/>
                <w:szCs w:val="24"/>
                <w:color w:val="auto"/>
              </w:rPr>
            </w:pPr>
          </w:p>
        </w:tc>
        <w:tc>
          <w:tcPr>
            <w:tcW w:w="2360" w:type="dxa"/>
            <w:vAlign w:val="bottom"/>
            <w:tcBorders>
              <w:top w:val="single" w:sz="8" w:color="007CBA"/>
            </w:tcBorders>
          </w:tcPr>
          <w:p>
            <w:pPr>
              <w:spacing w:after="0"/>
              <w:rPr>
                <w:sz w:val="24"/>
                <w:szCs w:val="24"/>
                <w:color w:val="auto"/>
              </w:rPr>
            </w:pPr>
          </w:p>
        </w:tc>
        <w:tc>
          <w:tcPr>
            <w:tcW w:w="2140" w:type="dxa"/>
            <w:vAlign w:val="bottom"/>
            <w:tcBorders>
              <w:top w:val="single" w:sz="8" w:color="007CBA"/>
            </w:tcBorders>
          </w:tcPr>
          <w:p>
            <w:pPr>
              <w:jc w:val="center"/>
              <w:ind w:left="99"/>
              <w:spacing w:after="0"/>
              <w:rPr>
                <w:sz w:val="20"/>
                <w:szCs w:val="20"/>
                <w:color w:val="auto"/>
              </w:rPr>
            </w:pPr>
            <w:r>
              <w:rPr>
                <w:rFonts w:ascii="Arial" w:cs="Arial" w:eastAsia="Arial" w:hAnsi="Arial"/>
                <w:sz w:val="13"/>
                <w:szCs w:val="13"/>
                <w:color w:val="007CBA"/>
                <w:w w:val="94"/>
              </w:rPr>
              <w:t>2019 PROXY STATEMENT</w:t>
            </w:r>
          </w:p>
        </w:tc>
        <w:tc>
          <w:tcPr>
            <w:tcW w:w="220" w:type="dxa"/>
            <w:vAlign w:val="bottom"/>
            <w:tcBorders>
              <w:top w:val="single" w:sz="8" w:color="007CBA"/>
            </w:tcBorders>
          </w:tcPr>
          <w:p>
            <w:pPr>
              <w:jc w:val="right"/>
              <w:spacing w:after="0"/>
              <w:rPr>
                <w:sz w:val="20"/>
                <w:szCs w:val="20"/>
                <w:color w:val="auto"/>
              </w:rPr>
            </w:pPr>
            <w:r>
              <w:rPr>
                <w:rFonts w:ascii="Arial" w:cs="Arial" w:eastAsia="Arial" w:hAnsi="Arial"/>
                <w:sz w:val="13"/>
                <w:szCs w:val="13"/>
                <w:b w:val="1"/>
                <w:bCs w:val="1"/>
                <w:color w:val="auto"/>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3439795</wp:posOffset>
            </wp:positionH>
            <wp:positionV relativeFrom="paragraph">
              <wp:posOffset>-117475</wp:posOffset>
            </wp:positionV>
            <wp:extent cx="410845" cy="2482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9" w:lineRule="exact"/>
        <w:rPr>
          <w:sz w:val="20"/>
          <w:szCs w:val="20"/>
          <w:color w:val="auto"/>
        </w:rPr>
      </w:pPr>
    </w:p>
    <w:p>
      <w:pPr>
        <w:ind w:left="220"/>
        <w:spacing w:after="0" w:line="288" w:lineRule="exact"/>
        <w:rPr>
          <w:sz w:val="20"/>
          <w:szCs w:val="20"/>
          <w:color w:val="auto"/>
        </w:rPr>
      </w:pPr>
      <w:r>
        <w:rPr>
          <w:rFonts w:ascii="Arial" w:cs="Arial" w:eastAsia="Arial" w:hAnsi="Arial"/>
          <w:sz w:val="13"/>
          <w:szCs w:val="13"/>
          <w:color w:val="007CBA"/>
        </w:rPr>
        <w:t xml:space="preserve">Compensation Discussion and Analysis </w:t>
      </w:r>
      <w:r>
        <w:rPr>
          <w:rFonts w:ascii="MS PGothic" w:cs="MS PGothic" w:eastAsia="MS PGothic" w:hAnsi="MS PGothic"/>
          <w:sz w:val="25"/>
          <w:szCs w:val="25"/>
          <w:color w:val="007CBA"/>
        </w:rPr>
        <w:t>◆</w:t>
      </w:r>
      <w:r>
        <w:rPr>
          <w:rFonts w:ascii="Arial" w:cs="Arial" w:eastAsia="Arial" w:hAnsi="Arial"/>
          <w:sz w:val="13"/>
          <w:szCs w:val="13"/>
          <w:color w:val="007CBA"/>
        </w:rPr>
        <w:t xml:space="preserve"> </w:t>
      </w:r>
      <w:r>
        <w:rPr>
          <w:rFonts w:ascii="Arial" w:cs="Arial" w:eastAsia="Arial" w:hAnsi="Arial"/>
          <w:sz w:val="13"/>
          <w:szCs w:val="13"/>
          <w:color w:val="000000"/>
        </w:rPr>
        <w:t>2018-2020 Performance Goals</w:t>
      </w: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7CBA"/>
        </w:rPr>
        <w:t>2018-2020 Performance Goals</w:t>
      </w:r>
    </w:p>
    <w:p>
      <w:pPr>
        <w:spacing w:after="0" w:line="257" w:lineRule="exact"/>
        <w:rPr>
          <w:sz w:val="20"/>
          <w:szCs w:val="20"/>
          <w:color w:val="auto"/>
        </w:rPr>
      </w:pPr>
    </w:p>
    <w:p>
      <w:pPr>
        <w:ind w:left="220" w:right="40"/>
        <w:spacing w:after="0" w:line="260" w:lineRule="auto"/>
        <w:rPr>
          <w:sz w:val="20"/>
          <w:szCs w:val="20"/>
          <w:color w:val="auto"/>
        </w:rPr>
      </w:pPr>
      <w:r>
        <w:rPr>
          <w:rFonts w:ascii="Arial" w:cs="Arial" w:eastAsia="Arial" w:hAnsi="Arial"/>
          <w:sz w:val="16"/>
          <w:szCs w:val="16"/>
          <w:color w:val="auto"/>
        </w:rPr>
        <w:t>In setting performance goals for the three-year PSUs awarded in 2018, the Committee considered various factors in choosing the metrics and establishing the goals, including:</w:t>
      </w:r>
    </w:p>
    <w:p>
      <w:pPr>
        <w:spacing w:after="0" w:line="60" w:lineRule="exact"/>
        <w:rPr>
          <w:sz w:val="20"/>
          <w:szCs w:val="20"/>
          <w:color w:val="auto"/>
        </w:rPr>
      </w:pPr>
    </w:p>
    <w:p>
      <w:pPr>
        <w:ind w:left="540" w:hanging="330"/>
        <w:spacing w:after="0"/>
        <w:tabs>
          <w:tab w:leader="none" w:pos="540" w:val="left"/>
        </w:tabs>
        <w:numPr>
          <w:ilvl w:val="0"/>
          <w:numId w:val="105"/>
        </w:numPr>
        <w:rPr>
          <w:rFonts w:ascii="Arial" w:cs="Arial" w:eastAsia="Arial" w:hAnsi="Arial"/>
          <w:sz w:val="16"/>
          <w:szCs w:val="16"/>
          <w:color w:val="007CBA"/>
        </w:rPr>
      </w:pPr>
      <w:r>
        <w:rPr>
          <w:rFonts w:ascii="Arial" w:cs="Arial" w:eastAsia="Arial" w:hAnsi="Arial"/>
          <w:sz w:val="16"/>
          <w:szCs w:val="16"/>
          <w:color w:val="auto"/>
        </w:rPr>
        <w:t>The metrics reflect drivers of our performance and we believe are important to our investors.</w:t>
      </w:r>
    </w:p>
    <w:p>
      <w:pPr>
        <w:spacing w:after="0" w:line="85" w:lineRule="exact"/>
        <w:rPr>
          <w:rFonts w:ascii="Arial" w:cs="Arial" w:eastAsia="Arial" w:hAnsi="Arial"/>
          <w:sz w:val="16"/>
          <w:szCs w:val="16"/>
          <w:color w:val="007CBA"/>
        </w:rPr>
      </w:pPr>
    </w:p>
    <w:p>
      <w:pPr>
        <w:ind w:left="540" w:hanging="330"/>
        <w:spacing w:after="0"/>
        <w:tabs>
          <w:tab w:leader="none" w:pos="540" w:val="left"/>
        </w:tabs>
        <w:numPr>
          <w:ilvl w:val="0"/>
          <w:numId w:val="105"/>
        </w:numPr>
        <w:rPr>
          <w:rFonts w:ascii="Arial" w:cs="Arial" w:eastAsia="Arial" w:hAnsi="Arial"/>
          <w:sz w:val="16"/>
          <w:szCs w:val="16"/>
          <w:color w:val="007CBA"/>
        </w:rPr>
      </w:pPr>
      <w:r>
        <w:rPr>
          <w:rFonts w:ascii="Arial" w:cs="Arial" w:eastAsia="Arial" w:hAnsi="Arial"/>
          <w:sz w:val="16"/>
          <w:szCs w:val="16"/>
          <w:color w:val="auto"/>
        </w:rPr>
        <w:t>The goals are consistent with our business plan and positive over prior year.</w:t>
      </w:r>
    </w:p>
    <w:p>
      <w:pPr>
        <w:spacing w:after="0" w:line="85" w:lineRule="exact"/>
        <w:rPr>
          <w:rFonts w:ascii="Arial" w:cs="Arial" w:eastAsia="Arial" w:hAnsi="Arial"/>
          <w:sz w:val="16"/>
          <w:szCs w:val="16"/>
          <w:color w:val="007CBA"/>
        </w:rPr>
      </w:pPr>
    </w:p>
    <w:p>
      <w:pPr>
        <w:ind w:left="540" w:hanging="330"/>
        <w:spacing w:after="0"/>
        <w:tabs>
          <w:tab w:leader="none" w:pos="540" w:val="left"/>
        </w:tabs>
        <w:numPr>
          <w:ilvl w:val="0"/>
          <w:numId w:val="105"/>
        </w:numPr>
        <w:rPr>
          <w:rFonts w:ascii="Arial" w:cs="Arial" w:eastAsia="Arial" w:hAnsi="Arial"/>
          <w:sz w:val="16"/>
          <w:szCs w:val="16"/>
          <w:color w:val="007CBA"/>
        </w:rPr>
      </w:pPr>
      <w:r>
        <w:rPr>
          <w:rFonts w:ascii="Arial" w:cs="Arial" w:eastAsia="Arial" w:hAnsi="Arial"/>
          <w:sz w:val="16"/>
          <w:szCs w:val="16"/>
          <w:color w:val="auto"/>
        </w:rPr>
        <w:t>We have a history of setting challenging target and maximum goals.</w:t>
      </w:r>
    </w:p>
    <w:p>
      <w:pPr>
        <w:spacing w:after="0" w:line="85" w:lineRule="exact"/>
        <w:rPr>
          <w:rFonts w:ascii="Arial" w:cs="Arial" w:eastAsia="Arial" w:hAnsi="Arial"/>
          <w:sz w:val="16"/>
          <w:szCs w:val="16"/>
          <w:color w:val="007CBA"/>
        </w:rPr>
      </w:pPr>
    </w:p>
    <w:p>
      <w:pPr>
        <w:ind w:left="540" w:hanging="330"/>
        <w:spacing w:after="0"/>
        <w:tabs>
          <w:tab w:leader="none" w:pos="540" w:val="left"/>
        </w:tabs>
        <w:numPr>
          <w:ilvl w:val="0"/>
          <w:numId w:val="105"/>
        </w:numPr>
        <w:rPr>
          <w:rFonts w:ascii="Arial" w:cs="Arial" w:eastAsia="Arial" w:hAnsi="Arial"/>
          <w:sz w:val="16"/>
          <w:szCs w:val="16"/>
          <w:color w:val="007CBA"/>
        </w:rPr>
      </w:pPr>
      <w:r>
        <w:rPr>
          <w:rFonts w:ascii="Arial" w:cs="Arial" w:eastAsia="Arial" w:hAnsi="Arial"/>
          <w:sz w:val="16"/>
          <w:szCs w:val="16"/>
          <w:color w:val="auto"/>
        </w:rPr>
        <w:t>Our prior payouts on our PSUs, despite record financial performance, were on average below target:</w:t>
      </w:r>
    </w:p>
    <w:p>
      <w:pPr>
        <w:spacing w:after="0" w:line="85" w:lineRule="exact"/>
        <w:rPr>
          <w:rFonts w:ascii="Arial" w:cs="Arial" w:eastAsia="Arial" w:hAnsi="Arial"/>
          <w:sz w:val="16"/>
          <w:szCs w:val="16"/>
          <w:color w:val="007CBA"/>
        </w:rPr>
      </w:pPr>
    </w:p>
    <w:p>
      <w:pPr>
        <w:ind w:left="640"/>
        <w:spacing w:after="0"/>
        <w:rPr>
          <w:rFonts w:ascii="Arial" w:cs="Arial" w:eastAsia="Arial" w:hAnsi="Arial"/>
          <w:sz w:val="16"/>
          <w:szCs w:val="16"/>
          <w:color w:val="007CBA"/>
        </w:rPr>
      </w:pPr>
      <w:r>
        <w:rPr>
          <w:rFonts w:ascii="Arial" w:cs="Arial" w:eastAsia="Arial" w:hAnsi="Arial"/>
          <w:sz w:val="16"/>
          <w:szCs w:val="16"/>
          <w:color w:val="auto"/>
        </w:rPr>
        <w:t>—  2014 to 2016: 108%</w:t>
      </w:r>
    </w:p>
    <w:p>
      <w:pPr>
        <w:spacing w:after="0" w:line="85" w:lineRule="exact"/>
        <w:rPr>
          <w:rFonts w:ascii="Arial" w:cs="Arial" w:eastAsia="Arial" w:hAnsi="Arial"/>
          <w:sz w:val="16"/>
          <w:szCs w:val="16"/>
          <w:color w:val="007CBA"/>
        </w:rPr>
      </w:pPr>
    </w:p>
    <w:p>
      <w:pPr>
        <w:ind w:left="640"/>
        <w:spacing w:after="0"/>
        <w:rPr>
          <w:rFonts w:ascii="Arial" w:cs="Arial" w:eastAsia="Arial" w:hAnsi="Arial"/>
          <w:sz w:val="16"/>
          <w:szCs w:val="16"/>
          <w:color w:val="007CBA"/>
        </w:rPr>
      </w:pPr>
      <w:r>
        <w:rPr>
          <w:rFonts w:ascii="Arial" w:cs="Arial" w:eastAsia="Arial" w:hAnsi="Arial"/>
          <w:sz w:val="16"/>
          <w:szCs w:val="16"/>
          <w:color w:val="auto"/>
        </w:rPr>
        <w:t>—  2015 to 2017: 95%</w:t>
      </w:r>
    </w:p>
    <w:p>
      <w:pPr>
        <w:spacing w:after="0" w:line="85" w:lineRule="exact"/>
        <w:rPr>
          <w:rFonts w:ascii="Arial" w:cs="Arial" w:eastAsia="Arial" w:hAnsi="Arial"/>
          <w:sz w:val="16"/>
          <w:szCs w:val="16"/>
          <w:color w:val="007CBA"/>
        </w:rPr>
      </w:pPr>
    </w:p>
    <w:p>
      <w:pPr>
        <w:ind w:left="640"/>
        <w:spacing w:after="0"/>
        <w:rPr>
          <w:rFonts w:ascii="Arial" w:cs="Arial" w:eastAsia="Arial" w:hAnsi="Arial"/>
          <w:sz w:val="16"/>
          <w:szCs w:val="16"/>
          <w:color w:val="007CBA"/>
        </w:rPr>
      </w:pPr>
      <w:r>
        <w:rPr>
          <w:rFonts w:ascii="Arial" w:cs="Arial" w:eastAsia="Arial" w:hAnsi="Arial"/>
          <w:sz w:val="16"/>
          <w:szCs w:val="16"/>
          <w:color w:val="auto"/>
        </w:rPr>
        <w:t>—  2016 to 2018: 75%</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 addition, we have looked at the alignment of our payouts with TSR and found that pay and performance are aligned.</w:t>
      </w:r>
    </w:p>
    <w:p>
      <w:pPr>
        <w:spacing w:after="0" w:line="193"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2018 Performance Goals and Metrics</w:t>
      </w:r>
    </w:p>
    <w:p>
      <w:pPr>
        <w:spacing w:after="0" w:line="262" w:lineRule="exact"/>
        <w:rPr>
          <w:sz w:val="20"/>
          <w:szCs w:val="20"/>
          <w:color w:val="auto"/>
        </w:rPr>
      </w:pPr>
    </w:p>
    <w:tbl>
      <w:tblPr>
        <w:tblLayout w:type="fixed"/>
        <w:tblInd w:w="230" w:type="dxa"/>
        <w:tblCellMar>
          <w:top w:w="0" w:type="dxa"/>
          <w:left w:w="0" w:type="dxa"/>
          <w:bottom w:w="0" w:type="dxa"/>
          <w:right w:w="0" w:type="dxa"/>
        </w:tblCellMar>
      </w:tblPr>
      <w:tr>
        <w:trPr>
          <w:trHeight w:val="189"/>
        </w:trPr>
        <w:tc>
          <w:tcPr>
            <w:tcW w:w="3000" w:type="dxa"/>
            <w:vAlign w:val="bottom"/>
            <w:tcBorders>
              <w:left w:val="single" w:sz="8" w:color="007CBA"/>
              <w:right w:val="single" w:sz="8" w:color="007CBA"/>
            </w:tcBorders>
            <w:gridSpan w:val="2"/>
            <w:shd w:val="clear" w:color="auto" w:fill="007CBA"/>
          </w:tcPr>
          <w:p>
            <w:pPr>
              <w:ind w:left="480"/>
              <w:spacing w:after="0"/>
              <w:rPr>
                <w:sz w:val="20"/>
                <w:szCs w:val="20"/>
                <w:color w:val="auto"/>
              </w:rPr>
            </w:pPr>
            <w:r>
              <w:rPr>
                <w:rFonts w:ascii="Arial" w:cs="Arial" w:eastAsia="Arial" w:hAnsi="Arial"/>
                <w:sz w:val="14"/>
                <w:szCs w:val="14"/>
                <w:b w:val="1"/>
                <w:bCs w:val="1"/>
                <w:color w:val="FFFFFF"/>
              </w:rPr>
              <w:t>Relative TSR (Modifier +/- 20%)*</w:t>
            </w:r>
          </w:p>
        </w:tc>
        <w:tc>
          <w:tcPr>
            <w:tcW w:w="200" w:type="dxa"/>
            <w:vAlign w:val="bottom"/>
            <w:tcBorders>
              <w:right w:val="single" w:sz="8" w:color="007CBA"/>
            </w:tcBorders>
          </w:tcPr>
          <w:p>
            <w:pPr>
              <w:spacing w:after="0"/>
              <w:rPr>
                <w:sz w:val="16"/>
                <w:szCs w:val="16"/>
                <w:color w:val="auto"/>
              </w:rPr>
            </w:pPr>
          </w:p>
        </w:tc>
        <w:tc>
          <w:tcPr>
            <w:tcW w:w="1560" w:type="dxa"/>
            <w:vAlign w:val="bottom"/>
            <w:shd w:val="clear" w:color="auto" w:fill="007CBA"/>
          </w:tcPr>
          <w:p>
            <w:pPr>
              <w:spacing w:after="0"/>
              <w:rPr>
                <w:sz w:val="16"/>
                <w:szCs w:val="16"/>
                <w:color w:val="auto"/>
              </w:rPr>
            </w:pPr>
          </w:p>
        </w:tc>
        <w:tc>
          <w:tcPr>
            <w:tcW w:w="2500" w:type="dxa"/>
            <w:vAlign w:val="bottom"/>
            <w:tcBorders>
              <w:right w:val="single" w:sz="8" w:color="007CBA"/>
            </w:tcBorders>
            <w:gridSpan w:val="2"/>
            <w:shd w:val="clear" w:color="auto" w:fill="007CBA"/>
          </w:tcPr>
          <w:p>
            <w:pPr>
              <w:ind w:left="20"/>
              <w:spacing w:after="0"/>
              <w:rPr>
                <w:sz w:val="20"/>
                <w:szCs w:val="20"/>
                <w:color w:val="auto"/>
              </w:rPr>
            </w:pPr>
            <w:r>
              <w:rPr>
                <w:rFonts w:ascii="Arial" w:cs="Arial" w:eastAsia="Arial" w:hAnsi="Arial"/>
                <w:sz w:val="14"/>
                <w:szCs w:val="14"/>
                <w:b w:val="1"/>
                <w:bCs w:val="1"/>
                <w:color w:val="FFFFFF"/>
              </w:rPr>
              <w:t>EBITDA (67%)</w:t>
            </w:r>
          </w:p>
        </w:tc>
        <w:tc>
          <w:tcPr>
            <w:tcW w:w="180" w:type="dxa"/>
            <w:vAlign w:val="bottom"/>
            <w:tcBorders>
              <w:right w:val="single" w:sz="8" w:color="007CBA"/>
            </w:tcBorders>
          </w:tcPr>
          <w:p>
            <w:pPr>
              <w:spacing w:after="0"/>
              <w:rPr>
                <w:sz w:val="16"/>
                <w:szCs w:val="16"/>
                <w:color w:val="auto"/>
              </w:rPr>
            </w:pPr>
          </w:p>
        </w:tc>
        <w:tc>
          <w:tcPr>
            <w:tcW w:w="3560" w:type="dxa"/>
            <w:vAlign w:val="bottom"/>
            <w:gridSpan w:val="2"/>
            <w:shd w:val="clear" w:color="auto" w:fill="007CBA"/>
          </w:tcPr>
          <w:p>
            <w:pPr>
              <w:ind w:left="1140"/>
              <w:spacing w:after="0"/>
              <w:rPr>
                <w:sz w:val="20"/>
                <w:szCs w:val="20"/>
                <w:color w:val="auto"/>
              </w:rPr>
            </w:pPr>
            <w:r>
              <w:rPr>
                <w:rFonts w:ascii="Arial" w:cs="Arial" w:eastAsia="Arial" w:hAnsi="Arial"/>
                <w:sz w:val="14"/>
                <w:szCs w:val="14"/>
                <w:b w:val="1"/>
                <w:bCs w:val="1"/>
                <w:color w:val="FFFFFF"/>
              </w:rPr>
              <w:t>Sales Growth (33%)</w:t>
            </w:r>
          </w:p>
        </w:tc>
        <w:tc>
          <w:tcPr>
            <w:tcW w:w="20" w:type="dxa"/>
            <w:vAlign w:val="bottom"/>
            <w:shd w:val="clear" w:color="auto" w:fill="007CBA"/>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60" w:type="dxa"/>
            <w:vAlign w:val="bottom"/>
            <w:tcBorders>
              <w:left w:val="single" w:sz="8" w:color="007CBA"/>
              <w:right w:val="single" w:sz="8" w:color="007CBA"/>
            </w:tcBorders>
            <w:shd w:val="clear" w:color="auto" w:fill="007CBA"/>
          </w:tcPr>
          <w:p>
            <w:pPr>
              <w:jc w:val="center"/>
              <w:ind w:left="64"/>
              <w:spacing w:after="0"/>
              <w:rPr>
                <w:sz w:val="20"/>
                <w:szCs w:val="20"/>
                <w:color w:val="auto"/>
              </w:rPr>
            </w:pPr>
            <w:r>
              <w:rPr>
                <w:rFonts w:ascii="Arial" w:cs="Arial" w:eastAsia="Arial" w:hAnsi="Arial"/>
                <w:sz w:val="14"/>
                <w:szCs w:val="14"/>
                <w:b w:val="1"/>
                <w:bCs w:val="1"/>
                <w:color w:val="FFFFFF"/>
                <w:w w:val="99"/>
              </w:rPr>
              <w:t>TSR</w:t>
            </w:r>
          </w:p>
        </w:tc>
        <w:tc>
          <w:tcPr>
            <w:tcW w:w="1940" w:type="dxa"/>
            <w:vAlign w:val="bottom"/>
            <w:tcBorders>
              <w:right w:val="single" w:sz="8" w:color="007CBA"/>
            </w:tcBorders>
            <w:shd w:val="clear" w:color="auto" w:fill="007CBA"/>
          </w:tcPr>
          <w:p>
            <w:pPr>
              <w:spacing w:after="0"/>
              <w:rPr>
                <w:sz w:val="15"/>
                <w:szCs w:val="15"/>
                <w:color w:val="auto"/>
              </w:rPr>
            </w:pPr>
          </w:p>
        </w:tc>
        <w:tc>
          <w:tcPr>
            <w:tcW w:w="200" w:type="dxa"/>
            <w:vAlign w:val="bottom"/>
            <w:tcBorders>
              <w:right w:val="single" w:sz="8" w:color="007CBA"/>
            </w:tcBorders>
          </w:tcPr>
          <w:p>
            <w:pPr>
              <w:spacing w:after="0"/>
              <w:rPr>
                <w:sz w:val="15"/>
                <w:szCs w:val="15"/>
                <w:color w:val="auto"/>
              </w:rPr>
            </w:pPr>
          </w:p>
        </w:tc>
        <w:tc>
          <w:tcPr>
            <w:tcW w:w="1560" w:type="dxa"/>
            <w:vAlign w:val="bottom"/>
            <w:shd w:val="clear" w:color="auto" w:fill="007CBA"/>
          </w:tcPr>
          <w:p>
            <w:pPr>
              <w:spacing w:after="0"/>
              <w:rPr>
                <w:sz w:val="15"/>
                <w:szCs w:val="15"/>
                <w:color w:val="auto"/>
              </w:rPr>
            </w:pPr>
          </w:p>
        </w:tc>
        <w:tc>
          <w:tcPr>
            <w:tcW w:w="440" w:type="dxa"/>
            <w:vAlign w:val="bottom"/>
            <w:tcBorders>
              <w:right w:val="single" w:sz="8" w:color="007CBA"/>
            </w:tcBorders>
            <w:shd w:val="clear" w:color="auto" w:fill="007CBA"/>
          </w:tcPr>
          <w:p>
            <w:pPr>
              <w:spacing w:after="0"/>
              <w:rPr>
                <w:sz w:val="15"/>
                <w:szCs w:val="15"/>
                <w:color w:val="auto"/>
              </w:rPr>
            </w:pPr>
          </w:p>
        </w:tc>
        <w:tc>
          <w:tcPr>
            <w:tcW w:w="2060" w:type="dxa"/>
            <w:vAlign w:val="bottom"/>
            <w:tcBorders>
              <w:right w:val="single" w:sz="8" w:color="007CBA"/>
            </w:tcBorders>
            <w:shd w:val="clear" w:color="auto" w:fill="007CBA"/>
          </w:tcPr>
          <w:p>
            <w:pPr>
              <w:spacing w:after="0"/>
              <w:rPr>
                <w:sz w:val="15"/>
                <w:szCs w:val="15"/>
                <w:color w:val="auto"/>
              </w:rPr>
            </w:pPr>
          </w:p>
        </w:tc>
        <w:tc>
          <w:tcPr>
            <w:tcW w:w="180" w:type="dxa"/>
            <w:vAlign w:val="bottom"/>
            <w:tcBorders>
              <w:right w:val="single" w:sz="8" w:color="007CBA"/>
            </w:tcBorders>
          </w:tcPr>
          <w:p>
            <w:pPr>
              <w:spacing w:after="0"/>
              <w:rPr>
                <w:sz w:val="15"/>
                <w:szCs w:val="15"/>
                <w:color w:val="auto"/>
              </w:rPr>
            </w:pPr>
          </w:p>
        </w:tc>
        <w:tc>
          <w:tcPr>
            <w:tcW w:w="19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8"/>
              </w:rPr>
              <w:t>Sales</w:t>
            </w:r>
          </w:p>
        </w:tc>
        <w:tc>
          <w:tcPr>
            <w:tcW w:w="1620" w:type="dxa"/>
            <w:vAlign w:val="bottom"/>
            <w:shd w:val="clear" w:color="auto" w:fill="007CBA"/>
          </w:tcPr>
          <w:p>
            <w:pPr>
              <w:spacing w:after="0"/>
              <w:rPr>
                <w:sz w:val="15"/>
                <w:szCs w:val="15"/>
                <w:color w:val="auto"/>
              </w:rPr>
            </w:pPr>
          </w:p>
        </w:tc>
        <w:tc>
          <w:tcPr>
            <w:tcW w:w="20" w:type="dxa"/>
            <w:vAlign w:val="bottom"/>
            <w:shd w:val="clear" w:color="auto" w:fill="007CBA"/>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60" w:type="dxa"/>
            <w:vAlign w:val="bottom"/>
            <w:tcBorders>
              <w:left w:val="single" w:sz="8" w:color="007CBA"/>
              <w:right w:val="single" w:sz="8" w:color="007CBA"/>
            </w:tcBorders>
            <w:shd w:val="clear" w:color="auto" w:fill="007CBA"/>
          </w:tcPr>
          <w:p>
            <w:pPr>
              <w:jc w:val="center"/>
              <w:ind w:left="64"/>
              <w:spacing w:after="0"/>
              <w:rPr>
                <w:sz w:val="20"/>
                <w:szCs w:val="20"/>
                <w:color w:val="auto"/>
              </w:rPr>
            </w:pPr>
            <w:r>
              <w:rPr>
                <w:rFonts w:ascii="Arial" w:cs="Arial" w:eastAsia="Arial" w:hAnsi="Arial"/>
                <w:sz w:val="14"/>
                <w:szCs w:val="14"/>
                <w:b w:val="1"/>
                <w:bCs w:val="1"/>
                <w:color w:val="FFFFFF"/>
              </w:rPr>
              <w:t>Percentile</w:t>
            </w:r>
          </w:p>
        </w:tc>
        <w:tc>
          <w:tcPr>
            <w:tcW w:w="19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Payout</w:t>
            </w:r>
          </w:p>
        </w:tc>
        <w:tc>
          <w:tcPr>
            <w:tcW w:w="200" w:type="dxa"/>
            <w:vAlign w:val="bottom"/>
            <w:tcBorders>
              <w:right w:val="single" w:sz="8" w:color="007CBA"/>
            </w:tcBorders>
          </w:tcPr>
          <w:p>
            <w:pPr>
              <w:spacing w:after="0"/>
              <w:rPr>
                <w:sz w:val="14"/>
                <w:szCs w:val="14"/>
                <w:color w:val="auto"/>
              </w:rPr>
            </w:pPr>
          </w:p>
        </w:tc>
        <w:tc>
          <w:tcPr>
            <w:tcW w:w="1560" w:type="dxa"/>
            <w:vAlign w:val="bottom"/>
            <w:shd w:val="clear" w:color="auto" w:fill="007CBA"/>
          </w:tcPr>
          <w:p>
            <w:pPr>
              <w:jc w:val="center"/>
              <w:ind w:left="422"/>
              <w:spacing w:after="0"/>
              <w:rPr>
                <w:sz w:val="20"/>
                <w:szCs w:val="20"/>
                <w:color w:val="auto"/>
              </w:rPr>
            </w:pPr>
            <w:r>
              <w:rPr>
                <w:rFonts w:ascii="Arial" w:cs="Arial" w:eastAsia="Arial" w:hAnsi="Arial"/>
                <w:sz w:val="14"/>
                <w:szCs w:val="14"/>
                <w:b w:val="1"/>
                <w:bCs w:val="1"/>
                <w:color w:val="FFFFFF"/>
              </w:rPr>
              <w:t>EBITDA</w:t>
            </w:r>
          </w:p>
        </w:tc>
        <w:tc>
          <w:tcPr>
            <w:tcW w:w="440" w:type="dxa"/>
            <w:vAlign w:val="bottom"/>
            <w:tcBorders>
              <w:right w:val="single" w:sz="8" w:color="007CBA"/>
            </w:tcBorders>
            <w:shd w:val="clear" w:color="auto" w:fill="007CBA"/>
          </w:tcPr>
          <w:p>
            <w:pPr>
              <w:spacing w:after="0"/>
              <w:rPr>
                <w:sz w:val="14"/>
                <w:szCs w:val="14"/>
                <w:color w:val="auto"/>
              </w:rPr>
            </w:pPr>
          </w:p>
        </w:tc>
        <w:tc>
          <w:tcPr>
            <w:tcW w:w="20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Payout</w:t>
            </w:r>
          </w:p>
        </w:tc>
        <w:tc>
          <w:tcPr>
            <w:tcW w:w="180" w:type="dxa"/>
            <w:vAlign w:val="bottom"/>
            <w:tcBorders>
              <w:right w:val="single" w:sz="8" w:color="007CBA"/>
            </w:tcBorders>
          </w:tcPr>
          <w:p>
            <w:pPr>
              <w:spacing w:after="0"/>
              <w:rPr>
                <w:sz w:val="14"/>
                <w:szCs w:val="14"/>
                <w:color w:val="auto"/>
              </w:rPr>
            </w:pPr>
          </w:p>
        </w:tc>
        <w:tc>
          <w:tcPr>
            <w:tcW w:w="1940" w:type="dxa"/>
            <w:vAlign w:val="bottom"/>
            <w:tcBorders>
              <w:right w:val="single" w:sz="8" w:color="007CBA"/>
            </w:tcBorders>
            <w:shd w:val="clear" w:color="auto" w:fill="007CBA"/>
          </w:tcPr>
          <w:p>
            <w:pPr>
              <w:jc w:val="center"/>
              <w:ind w:left="4"/>
              <w:spacing w:after="0"/>
              <w:rPr>
                <w:sz w:val="20"/>
                <w:szCs w:val="20"/>
                <w:color w:val="auto"/>
              </w:rPr>
            </w:pPr>
            <w:r>
              <w:rPr>
                <w:rFonts w:ascii="Arial" w:cs="Arial" w:eastAsia="Arial" w:hAnsi="Arial"/>
                <w:sz w:val="14"/>
                <w:szCs w:val="14"/>
                <w:b w:val="1"/>
                <w:bCs w:val="1"/>
                <w:color w:val="FFFFFF"/>
              </w:rPr>
              <w:t>Growth</w:t>
            </w:r>
          </w:p>
        </w:tc>
        <w:tc>
          <w:tcPr>
            <w:tcW w:w="162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Payout</w:t>
            </w:r>
          </w:p>
        </w:tc>
        <w:tc>
          <w:tcPr>
            <w:tcW w:w="2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60" w:type="dxa"/>
            <w:vAlign w:val="bottom"/>
            <w:tcBorders>
              <w:left w:val="single" w:sz="8" w:color="007CBA"/>
              <w:right w:val="single" w:sz="8" w:color="007CBA"/>
            </w:tcBorders>
            <w:shd w:val="clear" w:color="auto" w:fill="007CBA"/>
          </w:tcPr>
          <w:p>
            <w:pPr>
              <w:jc w:val="center"/>
              <w:ind w:left="44"/>
              <w:spacing w:after="0"/>
              <w:rPr>
                <w:sz w:val="20"/>
                <w:szCs w:val="20"/>
                <w:color w:val="auto"/>
              </w:rPr>
            </w:pPr>
            <w:r>
              <w:rPr>
                <w:rFonts w:ascii="Arial" w:cs="Arial" w:eastAsia="Arial" w:hAnsi="Arial"/>
                <w:sz w:val="14"/>
                <w:szCs w:val="14"/>
                <w:b w:val="1"/>
                <w:bCs w:val="1"/>
                <w:color w:val="FFFFFF"/>
              </w:rPr>
              <w:t>Achievement</w:t>
            </w:r>
          </w:p>
        </w:tc>
        <w:tc>
          <w:tcPr>
            <w:tcW w:w="19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Factor</w:t>
            </w:r>
          </w:p>
        </w:tc>
        <w:tc>
          <w:tcPr>
            <w:tcW w:w="200" w:type="dxa"/>
            <w:vAlign w:val="bottom"/>
            <w:tcBorders>
              <w:right w:val="single" w:sz="8" w:color="007CBA"/>
            </w:tcBorders>
          </w:tcPr>
          <w:p>
            <w:pPr>
              <w:spacing w:after="0"/>
              <w:rPr>
                <w:sz w:val="16"/>
                <w:szCs w:val="16"/>
                <w:color w:val="auto"/>
              </w:rPr>
            </w:pPr>
          </w:p>
        </w:tc>
        <w:tc>
          <w:tcPr>
            <w:tcW w:w="1560" w:type="dxa"/>
            <w:vAlign w:val="bottom"/>
            <w:shd w:val="clear" w:color="auto" w:fill="007CBA"/>
          </w:tcPr>
          <w:p>
            <w:pPr>
              <w:jc w:val="center"/>
              <w:ind w:left="422"/>
              <w:spacing w:after="0"/>
              <w:rPr>
                <w:sz w:val="20"/>
                <w:szCs w:val="20"/>
                <w:color w:val="auto"/>
              </w:rPr>
            </w:pPr>
            <w:r>
              <w:rPr>
                <w:rFonts w:ascii="Arial" w:cs="Arial" w:eastAsia="Arial" w:hAnsi="Arial"/>
                <w:sz w:val="14"/>
                <w:szCs w:val="14"/>
                <w:b w:val="1"/>
                <w:bCs w:val="1"/>
                <w:color w:val="FFFFFF"/>
              </w:rPr>
              <w:t>Achievement</w:t>
            </w:r>
          </w:p>
        </w:tc>
        <w:tc>
          <w:tcPr>
            <w:tcW w:w="440" w:type="dxa"/>
            <w:vAlign w:val="bottom"/>
            <w:tcBorders>
              <w:right w:val="single" w:sz="8" w:color="007CBA"/>
            </w:tcBorders>
            <w:shd w:val="clear" w:color="auto" w:fill="007CBA"/>
          </w:tcPr>
          <w:p>
            <w:pPr>
              <w:spacing w:after="0"/>
              <w:rPr>
                <w:sz w:val="16"/>
                <w:szCs w:val="16"/>
                <w:color w:val="auto"/>
              </w:rPr>
            </w:pPr>
          </w:p>
        </w:tc>
        <w:tc>
          <w:tcPr>
            <w:tcW w:w="20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Factor**</w:t>
            </w:r>
          </w:p>
        </w:tc>
        <w:tc>
          <w:tcPr>
            <w:tcW w:w="180" w:type="dxa"/>
            <w:vAlign w:val="bottom"/>
            <w:tcBorders>
              <w:right w:val="single" w:sz="8" w:color="007CBA"/>
            </w:tcBorders>
          </w:tcPr>
          <w:p>
            <w:pPr>
              <w:spacing w:after="0"/>
              <w:rPr>
                <w:sz w:val="16"/>
                <w:szCs w:val="16"/>
                <w:color w:val="auto"/>
              </w:rPr>
            </w:pPr>
          </w:p>
        </w:tc>
        <w:tc>
          <w:tcPr>
            <w:tcW w:w="19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Achievement</w:t>
            </w:r>
          </w:p>
        </w:tc>
        <w:tc>
          <w:tcPr>
            <w:tcW w:w="162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Factor**</w:t>
            </w:r>
          </w:p>
        </w:tc>
        <w:tc>
          <w:tcPr>
            <w:tcW w:w="20" w:type="dxa"/>
            <w:vAlign w:val="bottom"/>
            <w:shd w:val="clear" w:color="auto" w:fill="007CBA"/>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1060" w:type="dxa"/>
            <w:vAlign w:val="bottom"/>
            <w:tcBorders>
              <w:left w:val="single" w:sz="8" w:color="007CBA"/>
              <w:right w:val="single" w:sz="8" w:color="007CBA"/>
            </w:tcBorders>
            <w:shd w:val="clear" w:color="auto" w:fill="E5F1F8"/>
          </w:tcPr>
          <w:p>
            <w:pPr>
              <w:ind w:left="340"/>
              <w:spacing w:after="0" w:line="283" w:lineRule="exact"/>
              <w:rPr>
                <w:sz w:val="20"/>
                <w:szCs w:val="20"/>
                <w:color w:val="auto"/>
              </w:rPr>
            </w:pPr>
            <w:r>
              <w:rPr>
                <w:rFonts w:ascii="Arial" w:cs="Arial" w:eastAsia="Arial" w:hAnsi="Arial"/>
                <w:sz w:val="16"/>
                <w:szCs w:val="16"/>
                <w:color w:val="auto"/>
              </w:rPr>
              <w:t>³75</w:t>
            </w:r>
            <w:r>
              <w:rPr>
                <w:rFonts w:ascii="Arial" w:cs="Arial" w:eastAsia="Arial" w:hAnsi="Arial"/>
                <w:sz w:val="27"/>
                <w:szCs w:val="27"/>
                <w:color w:val="auto"/>
                <w:vertAlign w:val="superscript"/>
              </w:rPr>
              <w:t>th</w:t>
            </w:r>
          </w:p>
        </w:tc>
        <w:tc>
          <w:tcPr>
            <w:tcW w:w="19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6"/>
                <w:szCs w:val="16"/>
                <w:color w:val="auto"/>
              </w:rPr>
              <w:t>+20% (Maximum)</w:t>
            </w:r>
          </w:p>
        </w:tc>
        <w:tc>
          <w:tcPr>
            <w:tcW w:w="200" w:type="dxa"/>
            <w:vAlign w:val="bottom"/>
            <w:tcBorders>
              <w:right w:val="single" w:sz="8" w:color="007CBA"/>
            </w:tcBorders>
          </w:tcPr>
          <w:p>
            <w:pPr>
              <w:spacing w:after="0"/>
              <w:rPr>
                <w:sz w:val="24"/>
                <w:szCs w:val="24"/>
                <w:color w:val="auto"/>
              </w:rPr>
            </w:pPr>
          </w:p>
        </w:tc>
        <w:tc>
          <w:tcPr>
            <w:tcW w:w="1560" w:type="dxa"/>
            <w:vAlign w:val="bottom"/>
            <w:shd w:val="clear" w:color="auto" w:fill="E5F1F8"/>
          </w:tcPr>
          <w:p>
            <w:pPr>
              <w:jc w:val="center"/>
              <w:ind w:left="422"/>
              <w:spacing w:after="0"/>
              <w:rPr>
                <w:sz w:val="20"/>
                <w:szCs w:val="20"/>
                <w:color w:val="auto"/>
              </w:rPr>
            </w:pPr>
            <w:r>
              <w:rPr>
                <w:rFonts w:ascii="Arial" w:cs="Arial" w:eastAsia="Arial" w:hAnsi="Arial"/>
                <w:sz w:val="16"/>
                <w:szCs w:val="16"/>
                <w:color w:val="auto"/>
              </w:rPr>
              <w:t>Plan + ³ $.24B</w:t>
            </w:r>
          </w:p>
        </w:tc>
        <w:tc>
          <w:tcPr>
            <w:tcW w:w="440" w:type="dxa"/>
            <w:vAlign w:val="bottom"/>
            <w:tcBorders>
              <w:right w:val="single" w:sz="8" w:color="007CBA"/>
            </w:tcBorders>
            <w:shd w:val="clear" w:color="auto" w:fill="E5F1F8"/>
          </w:tcPr>
          <w:p>
            <w:pPr>
              <w:spacing w:after="0"/>
              <w:rPr>
                <w:sz w:val="24"/>
                <w:szCs w:val="24"/>
                <w:color w:val="auto"/>
              </w:rPr>
            </w:pPr>
          </w:p>
        </w:tc>
        <w:tc>
          <w:tcPr>
            <w:tcW w:w="20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6"/>
                <w:szCs w:val="16"/>
                <w:color w:val="auto"/>
              </w:rPr>
              <w:t>200% (Maximum)</w:t>
            </w:r>
          </w:p>
        </w:tc>
        <w:tc>
          <w:tcPr>
            <w:tcW w:w="180" w:type="dxa"/>
            <w:vAlign w:val="bottom"/>
            <w:tcBorders>
              <w:right w:val="single" w:sz="8" w:color="007CBA"/>
            </w:tcBorders>
          </w:tcPr>
          <w:p>
            <w:pPr>
              <w:spacing w:after="0"/>
              <w:rPr>
                <w:sz w:val="24"/>
                <w:szCs w:val="24"/>
                <w:color w:val="auto"/>
              </w:rPr>
            </w:pPr>
          </w:p>
        </w:tc>
        <w:tc>
          <w:tcPr>
            <w:tcW w:w="19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6"/>
                <w:szCs w:val="16"/>
                <w:color w:val="auto"/>
                <w:w w:val="99"/>
              </w:rPr>
              <w:t>Plan + ³ 4.5%</w:t>
            </w:r>
          </w:p>
        </w:tc>
        <w:tc>
          <w:tcPr>
            <w:tcW w:w="1620" w:type="dxa"/>
            <w:vAlign w:val="bottom"/>
            <w:shd w:val="clear" w:color="auto" w:fill="E5F1F8"/>
          </w:tcPr>
          <w:p>
            <w:pPr>
              <w:jc w:val="center"/>
              <w:ind w:left="2"/>
              <w:spacing w:after="0"/>
              <w:rPr>
                <w:sz w:val="20"/>
                <w:szCs w:val="20"/>
                <w:color w:val="auto"/>
              </w:rPr>
            </w:pPr>
            <w:r>
              <w:rPr>
                <w:rFonts w:ascii="Arial" w:cs="Arial" w:eastAsia="Arial" w:hAnsi="Arial"/>
                <w:sz w:val="16"/>
                <w:szCs w:val="16"/>
                <w:color w:val="auto"/>
              </w:rPr>
              <w:t>200% (Maximum)</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1060" w:type="dxa"/>
            <w:vAlign w:val="bottom"/>
            <w:tcBorders>
              <w:left w:val="single" w:sz="8" w:color="007CBA"/>
              <w:right w:val="single" w:sz="8" w:color="007CBA"/>
            </w:tcBorders>
          </w:tcPr>
          <w:p>
            <w:pPr>
              <w:jc w:val="center"/>
              <w:ind w:left="44"/>
              <w:spacing w:after="0"/>
              <w:rPr>
                <w:sz w:val="20"/>
                <w:szCs w:val="20"/>
                <w:color w:val="auto"/>
              </w:rPr>
            </w:pPr>
            <w:r>
              <w:rPr>
                <w:rFonts w:ascii="Arial" w:cs="Arial" w:eastAsia="Arial" w:hAnsi="Arial"/>
                <w:sz w:val="16"/>
                <w:szCs w:val="16"/>
                <w:color w:val="auto"/>
                <w:w w:val="91"/>
              </w:rPr>
              <w:t>50</w:t>
            </w:r>
            <w:r>
              <w:rPr>
                <w:rFonts w:ascii="Arial" w:cs="Arial" w:eastAsia="Arial" w:hAnsi="Arial"/>
                <w:sz w:val="27"/>
                <w:szCs w:val="27"/>
                <w:color w:val="auto"/>
                <w:w w:val="91"/>
                <w:vertAlign w:val="superscript"/>
              </w:rPr>
              <w:t>th</w:t>
            </w:r>
          </w:p>
        </w:tc>
        <w:tc>
          <w:tcPr>
            <w:tcW w:w="1940" w:type="dxa"/>
            <w:vAlign w:val="bottom"/>
            <w:tcBorders>
              <w:right w:val="single" w:sz="8" w:color="007CBA"/>
            </w:tcBorders>
          </w:tcPr>
          <w:p>
            <w:pPr>
              <w:jc w:val="center"/>
              <w:spacing w:after="0"/>
              <w:rPr>
                <w:sz w:val="20"/>
                <w:szCs w:val="20"/>
                <w:color w:val="auto"/>
              </w:rPr>
            </w:pPr>
            <w:r>
              <w:rPr>
                <w:rFonts w:ascii="Arial" w:cs="Arial" w:eastAsia="Arial" w:hAnsi="Arial"/>
                <w:sz w:val="16"/>
                <w:szCs w:val="16"/>
                <w:color w:val="auto"/>
              </w:rPr>
              <w:t>0% adjustment (Target)</w:t>
            </w:r>
          </w:p>
        </w:tc>
        <w:tc>
          <w:tcPr>
            <w:tcW w:w="200" w:type="dxa"/>
            <w:vAlign w:val="bottom"/>
            <w:tcBorders>
              <w:right w:val="single" w:sz="8" w:color="007CBA"/>
            </w:tcBorders>
          </w:tcPr>
          <w:p>
            <w:pPr>
              <w:spacing w:after="0"/>
              <w:rPr>
                <w:sz w:val="24"/>
                <w:szCs w:val="24"/>
                <w:color w:val="auto"/>
              </w:rPr>
            </w:pPr>
          </w:p>
        </w:tc>
        <w:tc>
          <w:tcPr>
            <w:tcW w:w="1560" w:type="dxa"/>
            <w:vAlign w:val="bottom"/>
          </w:tcPr>
          <w:p>
            <w:pPr>
              <w:jc w:val="center"/>
              <w:ind w:left="422"/>
              <w:spacing w:after="0"/>
              <w:rPr>
                <w:sz w:val="20"/>
                <w:szCs w:val="20"/>
                <w:color w:val="auto"/>
              </w:rPr>
            </w:pPr>
            <w:r>
              <w:rPr>
                <w:rFonts w:ascii="Arial" w:cs="Arial" w:eastAsia="Arial" w:hAnsi="Arial"/>
                <w:sz w:val="16"/>
                <w:szCs w:val="16"/>
                <w:color w:val="auto"/>
                <w:w w:val="99"/>
              </w:rPr>
              <w:t>Plan EBITDA</w:t>
            </w:r>
          </w:p>
        </w:tc>
        <w:tc>
          <w:tcPr>
            <w:tcW w:w="440" w:type="dxa"/>
            <w:vAlign w:val="bottom"/>
            <w:tcBorders>
              <w:right w:val="single" w:sz="8" w:color="007CBA"/>
            </w:tcBorders>
          </w:tcPr>
          <w:p>
            <w:pPr>
              <w:spacing w:after="0"/>
              <w:rPr>
                <w:sz w:val="24"/>
                <w:szCs w:val="24"/>
                <w:color w:val="auto"/>
              </w:rPr>
            </w:pPr>
          </w:p>
        </w:tc>
        <w:tc>
          <w:tcPr>
            <w:tcW w:w="2060" w:type="dxa"/>
            <w:vAlign w:val="bottom"/>
            <w:tcBorders>
              <w:right w:val="single" w:sz="8" w:color="007CBA"/>
            </w:tcBorders>
          </w:tcPr>
          <w:p>
            <w:pPr>
              <w:jc w:val="center"/>
              <w:ind w:left="2"/>
              <w:spacing w:after="0"/>
              <w:rPr>
                <w:sz w:val="20"/>
                <w:szCs w:val="20"/>
                <w:color w:val="auto"/>
              </w:rPr>
            </w:pPr>
            <w:r>
              <w:rPr>
                <w:rFonts w:ascii="Arial" w:cs="Arial" w:eastAsia="Arial" w:hAnsi="Arial"/>
                <w:sz w:val="16"/>
                <w:szCs w:val="16"/>
                <w:color w:val="auto"/>
                <w:w w:val="99"/>
              </w:rPr>
              <w:t>100% (Target)</w:t>
            </w:r>
          </w:p>
        </w:tc>
        <w:tc>
          <w:tcPr>
            <w:tcW w:w="180" w:type="dxa"/>
            <w:vAlign w:val="bottom"/>
            <w:tcBorders>
              <w:right w:val="single" w:sz="8" w:color="007CBA"/>
            </w:tcBorders>
          </w:tcPr>
          <w:p>
            <w:pPr>
              <w:spacing w:after="0"/>
              <w:rPr>
                <w:sz w:val="24"/>
                <w:szCs w:val="24"/>
                <w:color w:val="auto"/>
              </w:rPr>
            </w:pPr>
          </w:p>
        </w:tc>
        <w:tc>
          <w:tcPr>
            <w:tcW w:w="1940" w:type="dxa"/>
            <w:vAlign w:val="bottom"/>
            <w:tcBorders>
              <w:right w:val="single" w:sz="8" w:color="007CBA"/>
            </w:tcBorders>
          </w:tcPr>
          <w:p>
            <w:pPr>
              <w:jc w:val="center"/>
              <w:spacing w:after="0"/>
              <w:rPr>
                <w:sz w:val="20"/>
                <w:szCs w:val="20"/>
                <w:color w:val="auto"/>
              </w:rPr>
            </w:pPr>
            <w:r>
              <w:rPr>
                <w:rFonts w:ascii="Arial" w:cs="Arial" w:eastAsia="Arial" w:hAnsi="Arial"/>
                <w:sz w:val="16"/>
                <w:szCs w:val="16"/>
                <w:color w:val="auto"/>
                <w:w w:val="99"/>
              </w:rPr>
              <w:t>Plan Growth</w:t>
            </w:r>
          </w:p>
        </w:tc>
        <w:tc>
          <w:tcPr>
            <w:tcW w:w="1620" w:type="dxa"/>
            <w:vAlign w:val="bottom"/>
          </w:tcPr>
          <w:p>
            <w:pPr>
              <w:jc w:val="center"/>
              <w:ind w:left="2"/>
              <w:spacing w:after="0"/>
              <w:rPr>
                <w:sz w:val="20"/>
                <w:szCs w:val="20"/>
                <w:color w:val="auto"/>
              </w:rPr>
            </w:pPr>
            <w:r>
              <w:rPr>
                <w:rFonts w:ascii="Arial" w:cs="Arial" w:eastAsia="Arial" w:hAnsi="Arial"/>
                <w:sz w:val="16"/>
                <w:szCs w:val="16"/>
                <w:color w:val="auto"/>
                <w:w w:val="99"/>
              </w:rPr>
              <w:t>100% (Target)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060" w:type="dxa"/>
            <w:vAlign w:val="bottom"/>
            <w:tcBorders>
              <w:left w:val="single" w:sz="8" w:color="007CBA"/>
              <w:bottom w:val="single" w:sz="8" w:color="E5F1F8"/>
              <w:right w:val="single" w:sz="8" w:color="007CBA"/>
            </w:tcBorders>
            <w:vMerge w:val="restart"/>
            <w:shd w:val="clear" w:color="auto" w:fill="E5F1F8"/>
          </w:tcPr>
          <w:p>
            <w:pPr>
              <w:jc w:val="center"/>
              <w:ind w:left="44"/>
              <w:spacing w:after="0"/>
              <w:rPr>
                <w:sz w:val="20"/>
                <w:szCs w:val="20"/>
                <w:color w:val="auto"/>
              </w:rPr>
            </w:pPr>
            <w:r>
              <w:rPr>
                <w:rFonts w:ascii="Arial" w:cs="Arial" w:eastAsia="Arial" w:hAnsi="Arial"/>
                <w:sz w:val="16"/>
                <w:szCs w:val="16"/>
                <w:color w:val="auto"/>
                <w:w w:val="90"/>
              </w:rPr>
              <w:t>£ 25</w:t>
            </w:r>
            <w:r>
              <w:rPr>
                <w:rFonts w:ascii="Arial" w:cs="Arial" w:eastAsia="Arial" w:hAnsi="Arial"/>
                <w:sz w:val="27"/>
                <w:szCs w:val="27"/>
                <w:color w:val="auto"/>
                <w:w w:val="90"/>
                <w:vertAlign w:val="superscript"/>
              </w:rPr>
              <w:t>th</w:t>
            </w:r>
          </w:p>
        </w:tc>
        <w:tc>
          <w:tcPr>
            <w:tcW w:w="1940" w:type="dxa"/>
            <w:vAlign w:val="bottom"/>
            <w:tcBorders>
              <w:bottom w:val="single" w:sz="8" w:color="E5F1F8"/>
              <w:right w:val="single" w:sz="8" w:color="007CBA"/>
            </w:tcBorders>
            <w:vMerge w:val="restart"/>
            <w:shd w:val="clear" w:color="auto" w:fill="E5F1F8"/>
          </w:tcPr>
          <w:p>
            <w:pPr>
              <w:jc w:val="center"/>
              <w:spacing w:after="0"/>
              <w:rPr>
                <w:sz w:val="20"/>
                <w:szCs w:val="20"/>
                <w:color w:val="auto"/>
              </w:rPr>
            </w:pPr>
            <w:r>
              <w:rPr>
                <w:rFonts w:ascii="Arial" w:cs="Arial" w:eastAsia="Arial" w:hAnsi="Arial"/>
                <w:sz w:val="16"/>
                <w:szCs w:val="16"/>
                <w:color w:val="auto"/>
              </w:rPr>
              <w:t>-20% (Threshold)</w:t>
            </w:r>
          </w:p>
        </w:tc>
        <w:tc>
          <w:tcPr>
            <w:tcW w:w="200" w:type="dxa"/>
            <w:vAlign w:val="bottom"/>
            <w:tcBorders>
              <w:right w:val="single" w:sz="8" w:color="007CBA"/>
            </w:tcBorders>
          </w:tcPr>
          <w:p>
            <w:pPr>
              <w:spacing w:after="0"/>
              <w:rPr>
                <w:sz w:val="22"/>
                <w:szCs w:val="22"/>
                <w:color w:val="auto"/>
              </w:rPr>
            </w:pPr>
          </w:p>
        </w:tc>
        <w:tc>
          <w:tcPr>
            <w:tcW w:w="1560" w:type="dxa"/>
            <w:vAlign w:val="bottom"/>
            <w:tcBorders>
              <w:bottom w:val="single" w:sz="8" w:color="E5F1F8"/>
            </w:tcBorders>
            <w:shd w:val="clear" w:color="auto" w:fill="E5F1F8"/>
          </w:tcPr>
          <w:p>
            <w:pPr>
              <w:jc w:val="center"/>
              <w:ind w:left="422"/>
              <w:spacing w:after="0"/>
              <w:rPr>
                <w:sz w:val="20"/>
                <w:szCs w:val="20"/>
                <w:color w:val="auto"/>
              </w:rPr>
            </w:pPr>
            <w:r>
              <w:rPr>
                <w:rFonts w:ascii="Arial" w:cs="Arial" w:eastAsia="Arial" w:hAnsi="Arial"/>
                <w:sz w:val="16"/>
                <w:szCs w:val="16"/>
                <w:color w:val="auto"/>
              </w:rPr>
              <w:t>Plan - $.24B</w:t>
            </w:r>
          </w:p>
        </w:tc>
        <w:tc>
          <w:tcPr>
            <w:tcW w:w="440" w:type="dxa"/>
            <w:vAlign w:val="bottom"/>
            <w:tcBorders>
              <w:bottom w:val="single" w:sz="8" w:color="E5F1F8"/>
              <w:right w:val="single" w:sz="8" w:color="007CBA"/>
            </w:tcBorders>
            <w:shd w:val="clear" w:color="auto" w:fill="E5F1F8"/>
          </w:tcPr>
          <w:p>
            <w:pPr>
              <w:spacing w:after="0"/>
              <w:rPr>
                <w:sz w:val="22"/>
                <w:szCs w:val="22"/>
                <w:color w:val="auto"/>
              </w:rPr>
            </w:pPr>
          </w:p>
        </w:tc>
        <w:tc>
          <w:tcPr>
            <w:tcW w:w="2060" w:type="dxa"/>
            <w:vAlign w:val="bottom"/>
            <w:tcBorders>
              <w:bottom w:val="single" w:sz="8" w:color="E5F1F8"/>
              <w:right w:val="single" w:sz="8" w:color="007CBA"/>
            </w:tcBorders>
            <w:shd w:val="clear" w:color="auto" w:fill="E5F1F8"/>
          </w:tcPr>
          <w:p>
            <w:pPr>
              <w:jc w:val="center"/>
              <w:spacing w:after="0"/>
              <w:rPr>
                <w:sz w:val="20"/>
                <w:szCs w:val="20"/>
                <w:color w:val="auto"/>
              </w:rPr>
            </w:pPr>
            <w:r>
              <w:rPr>
                <w:rFonts w:ascii="Arial" w:cs="Arial" w:eastAsia="Arial" w:hAnsi="Arial"/>
                <w:sz w:val="16"/>
                <w:szCs w:val="16"/>
                <w:color w:val="auto"/>
              </w:rPr>
              <w:t>50% (Threshold)</w:t>
            </w:r>
          </w:p>
        </w:tc>
        <w:tc>
          <w:tcPr>
            <w:tcW w:w="180" w:type="dxa"/>
            <w:vAlign w:val="bottom"/>
            <w:tcBorders>
              <w:right w:val="single" w:sz="8" w:color="007CBA"/>
            </w:tcBorders>
          </w:tcPr>
          <w:p>
            <w:pPr>
              <w:spacing w:after="0"/>
              <w:rPr>
                <w:sz w:val="22"/>
                <w:szCs w:val="22"/>
                <w:color w:val="auto"/>
              </w:rPr>
            </w:pPr>
          </w:p>
        </w:tc>
        <w:tc>
          <w:tcPr>
            <w:tcW w:w="1940" w:type="dxa"/>
            <w:vAlign w:val="bottom"/>
            <w:tcBorders>
              <w:bottom w:val="single" w:sz="8" w:color="E5F1F8"/>
              <w:right w:val="single" w:sz="8" w:color="007CBA"/>
            </w:tcBorders>
            <w:shd w:val="clear" w:color="auto" w:fill="E5F1F8"/>
          </w:tcPr>
          <w:p>
            <w:pPr>
              <w:jc w:val="center"/>
              <w:spacing w:after="0"/>
              <w:rPr>
                <w:sz w:val="20"/>
                <w:szCs w:val="20"/>
                <w:color w:val="auto"/>
              </w:rPr>
            </w:pPr>
            <w:r>
              <w:rPr>
                <w:rFonts w:ascii="Arial" w:cs="Arial" w:eastAsia="Arial" w:hAnsi="Arial"/>
                <w:sz w:val="16"/>
                <w:szCs w:val="16"/>
                <w:color w:val="auto"/>
              </w:rPr>
              <w:t>Plan - 1.5%</w:t>
            </w:r>
          </w:p>
        </w:tc>
        <w:tc>
          <w:tcPr>
            <w:tcW w:w="1620" w:type="dxa"/>
            <w:vAlign w:val="bottom"/>
            <w:tcBorders>
              <w:bottom w:val="single" w:sz="8" w:color="E5F1F8"/>
            </w:tcBorders>
            <w:shd w:val="clear" w:color="auto" w:fill="E5F1F8"/>
          </w:tcPr>
          <w:p>
            <w:pPr>
              <w:jc w:val="center"/>
              <w:ind w:left="2"/>
              <w:spacing w:after="0"/>
              <w:rPr>
                <w:sz w:val="20"/>
                <w:szCs w:val="20"/>
                <w:color w:val="auto"/>
              </w:rPr>
            </w:pPr>
            <w:r>
              <w:rPr>
                <w:rFonts w:ascii="Arial" w:cs="Arial" w:eastAsia="Arial" w:hAnsi="Arial"/>
                <w:sz w:val="16"/>
                <w:szCs w:val="16"/>
                <w:color w:val="auto"/>
                <w:w w:val="99"/>
              </w:rPr>
              <w:t>50% (Threshold)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060" w:type="dxa"/>
            <w:vAlign w:val="bottom"/>
            <w:tcBorders>
              <w:left w:val="single" w:sz="8" w:color="007CBA"/>
              <w:right w:val="single" w:sz="8" w:color="007CBA"/>
            </w:tcBorders>
            <w:vMerge w:val="continue"/>
            <w:shd w:val="clear" w:color="auto" w:fill="E5F1F8"/>
          </w:tcPr>
          <w:p>
            <w:pPr>
              <w:spacing w:after="0"/>
              <w:rPr>
                <w:sz w:val="16"/>
                <w:szCs w:val="16"/>
                <w:color w:val="auto"/>
              </w:rPr>
            </w:pPr>
          </w:p>
        </w:tc>
        <w:tc>
          <w:tcPr>
            <w:tcW w:w="1940" w:type="dxa"/>
            <w:vAlign w:val="bottom"/>
            <w:tcBorders>
              <w:right w:val="single" w:sz="8" w:color="007CBA"/>
            </w:tcBorders>
            <w:vMerge w:val="continue"/>
            <w:shd w:val="clear" w:color="auto" w:fill="E5F1F8"/>
          </w:tcPr>
          <w:p>
            <w:pPr>
              <w:spacing w:after="0"/>
              <w:rPr>
                <w:sz w:val="16"/>
                <w:szCs w:val="16"/>
                <w:color w:val="auto"/>
              </w:rPr>
            </w:pPr>
          </w:p>
        </w:tc>
        <w:tc>
          <w:tcPr>
            <w:tcW w:w="200" w:type="dxa"/>
            <w:vAlign w:val="bottom"/>
            <w:tcBorders>
              <w:right w:val="single" w:sz="8" w:color="007CBA"/>
            </w:tcBorders>
          </w:tcPr>
          <w:p>
            <w:pPr>
              <w:spacing w:after="0"/>
              <w:rPr>
                <w:sz w:val="16"/>
                <w:szCs w:val="16"/>
                <w:color w:val="auto"/>
              </w:rPr>
            </w:pPr>
          </w:p>
        </w:tc>
        <w:tc>
          <w:tcPr>
            <w:tcW w:w="1560" w:type="dxa"/>
            <w:vAlign w:val="bottom"/>
            <w:vMerge w:val="restart"/>
          </w:tcPr>
          <w:p>
            <w:pPr>
              <w:jc w:val="center"/>
              <w:ind w:left="422"/>
              <w:spacing w:after="0"/>
              <w:rPr>
                <w:sz w:val="20"/>
                <w:szCs w:val="20"/>
                <w:color w:val="auto"/>
              </w:rPr>
            </w:pPr>
            <w:r>
              <w:rPr>
                <w:rFonts w:ascii="Arial" w:cs="Arial" w:eastAsia="Arial" w:hAnsi="Arial"/>
                <w:sz w:val="16"/>
                <w:szCs w:val="16"/>
                <w:color w:val="auto"/>
              </w:rPr>
              <w:t>Plan - &lt; $.24B</w:t>
            </w:r>
          </w:p>
        </w:tc>
        <w:tc>
          <w:tcPr>
            <w:tcW w:w="440" w:type="dxa"/>
            <w:vAlign w:val="bottom"/>
            <w:tcBorders>
              <w:right w:val="single" w:sz="8" w:color="007CBA"/>
            </w:tcBorders>
          </w:tcPr>
          <w:p>
            <w:pPr>
              <w:spacing w:after="0"/>
              <w:rPr>
                <w:sz w:val="16"/>
                <w:szCs w:val="16"/>
                <w:color w:val="auto"/>
              </w:rPr>
            </w:pPr>
          </w:p>
        </w:tc>
        <w:tc>
          <w:tcPr>
            <w:tcW w:w="2060" w:type="dxa"/>
            <w:vAlign w:val="bottom"/>
            <w:tcBorders>
              <w:right w:val="single" w:sz="8" w:color="007CBA"/>
            </w:tcBorders>
            <w:vMerge w:val="restart"/>
          </w:tcPr>
          <w:p>
            <w:pPr>
              <w:jc w:val="center"/>
              <w:spacing w:after="0"/>
              <w:rPr>
                <w:sz w:val="20"/>
                <w:szCs w:val="20"/>
                <w:color w:val="auto"/>
              </w:rPr>
            </w:pPr>
            <w:r>
              <w:rPr>
                <w:rFonts w:ascii="Arial" w:cs="Arial" w:eastAsia="Arial" w:hAnsi="Arial"/>
                <w:sz w:val="16"/>
                <w:szCs w:val="16"/>
                <w:color w:val="auto"/>
              </w:rPr>
              <w:t>0%</w:t>
            </w:r>
          </w:p>
        </w:tc>
        <w:tc>
          <w:tcPr>
            <w:tcW w:w="180" w:type="dxa"/>
            <w:vAlign w:val="bottom"/>
            <w:tcBorders>
              <w:right w:val="single" w:sz="8" w:color="007CBA"/>
            </w:tcBorders>
          </w:tcPr>
          <w:p>
            <w:pPr>
              <w:spacing w:after="0"/>
              <w:rPr>
                <w:sz w:val="16"/>
                <w:szCs w:val="16"/>
                <w:color w:val="auto"/>
              </w:rPr>
            </w:pPr>
          </w:p>
        </w:tc>
        <w:tc>
          <w:tcPr>
            <w:tcW w:w="1940" w:type="dxa"/>
            <w:vAlign w:val="bottom"/>
            <w:tcBorders>
              <w:right w:val="single" w:sz="8" w:color="007CBA"/>
            </w:tcBorders>
            <w:vMerge w:val="restart"/>
          </w:tcPr>
          <w:p>
            <w:pPr>
              <w:jc w:val="center"/>
              <w:spacing w:after="0"/>
              <w:rPr>
                <w:sz w:val="20"/>
                <w:szCs w:val="20"/>
                <w:color w:val="auto"/>
              </w:rPr>
            </w:pPr>
            <w:r>
              <w:rPr>
                <w:rFonts w:ascii="Arial" w:cs="Arial" w:eastAsia="Arial" w:hAnsi="Arial"/>
                <w:sz w:val="16"/>
                <w:szCs w:val="16"/>
                <w:color w:val="auto"/>
                <w:w w:val="99"/>
              </w:rPr>
              <w:t>Plan - &lt; 1.5%</w:t>
            </w:r>
          </w:p>
        </w:tc>
        <w:tc>
          <w:tcPr>
            <w:tcW w:w="1620" w:type="dxa"/>
            <w:vAlign w:val="bottom"/>
            <w:vMerge w:val="restart"/>
          </w:tcPr>
          <w:p>
            <w:pPr>
              <w:jc w:val="center"/>
              <w:ind w:left="2"/>
              <w:spacing w:after="0"/>
              <w:rPr>
                <w:sz w:val="20"/>
                <w:szCs w:val="20"/>
                <w:color w:val="auto"/>
              </w:rPr>
            </w:pPr>
            <w:r>
              <w:rPr>
                <w:rFonts w:ascii="Arial" w:cs="Arial" w:eastAsia="Arial" w:hAnsi="Arial"/>
                <w:sz w:val="16"/>
                <w:szCs w:val="16"/>
                <w:color w:val="auto"/>
                <w:w w:val="94"/>
              </w:rPr>
              <w:t>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060" w:type="dxa"/>
            <w:vAlign w:val="bottom"/>
            <w:tcBorders>
              <w:left w:val="single" w:sz="8" w:color="007CBA"/>
              <w:bottom w:val="single" w:sz="8" w:color="E5F1F8"/>
              <w:right w:val="single" w:sz="8" w:color="007CBA"/>
            </w:tcBorders>
            <w:shd w:val="clear" w:color="auto" w:fill="E5F1F8"/>
          </w:tcPr>
          <w:p>
            <w:pPr>
              <w:spacing w:after="0"/>
              <w:rPr>
                <w:sz w:val="6"/>
                <w:szCs w:val="6"/>
                <w:color w:val="auto"/>
              </w:rPr>
            </w:pPr>
          </w:p>
        </w:tc>
        <w:tc>
          <w:tcPr>
            <w:tcW w:w="1940" w:type="dxa"/>
            <w:vAlign w:val="bottom"/>
            <w:tcBorders>
              <w:bottom w:val="single" w:sz="8" w:color="E5F1F8"/>
              <w:right w:val="single" w:sz="8" w:color="007CBA"/>
            </w:tcBorders>
            <w:shd w:val="clear" w:color="auto" w:fill="E5F1F8"/>
          </w:tcPr>
          <w:p>
            <w:pPr>
              <w:spacing w:after="0"/>
              <w:rPr>
                <w:sz w:val="6"/>
                <w:szCs w:val="6"/>
                <w:color w:val="auto"/>
              </w:rPr>
            </w:pPr>
          </w:p>
        </w:tc>
        <w:tc>
          <w:tcPr>
            <w:tcW w:w="200" w:type="dxa"/>
            <w:vAlign w:val="bottom"/>
            <w:tcBorders>
              <w:right w:val="single" w:sz="8" w:color="007CBA"/>
            </w:tcBorders>
          </w:tcPr>
          <w:p>
            <w:pPr>
              <w:spacing w:after="0"/>
              <w:rPr>
                <w:sz w:val="6"/>
                <w:szCs w:val="6"/>
                <w:color w:val="auto"/>
              </w:rPr>
            </w:pPr>
          </w:p>
        </w:tc>
        <w:tc>
          <w:tcPr>
            <w:tcW w:w="1560" w:type="dxa"/>
            <w:vAlign w:val="bottom"/>
            <w:vMerge w:val="continue"/>
          </w:tcPr>
          <w:p>
            <w:pPr>
              <w:spacing w:after="0"/>
              <w:rPr>
                <w:sz w:val="6"/>
                <w:szCs w:val="6"/>
                <w:color w:val="auto"/>
              </w:rPr>
            </w:pPr>
          </w:p>
        </w:tc>
        <w:tc>
          <w:tcPr>
            <w:tcW w:w="440" w:type="dxa"/>
            <w:vAlign w:val="bottom"/>
            <w:tcBorders>
              <w:right w:val="single" w:sz="8" w:color="007CBA"/>
            </w:tcBorders>
          </w:tcPr>
          <w:p>
            <w:pPr>
              <w:spacing w:after="0"/>
              <w:rPr>
                <w:sz w:val="6"/>
                <w:szCs w:val="6"/>
                <w:color w:val="auto"/>
              </w:rPr>
            </w:pPr>
          </w:p>
        </w:tc>
        <w:tc>
          <w:tcPr>
            <w:tcW w:w="2060" w:type="dxa"/>
            <w:vAlign w:val="bottom"/>
            <w:tcBorders>
              <w:right w:val="single" w:sz="8" w:color="007CBA"/>
            </w:tcBorders>
            <w:vMerge w:val="continue"/>
          </w:tcPr>
          <w:p>
            <w:pPr>
              <w:spacing w:after="0"/>
              <w:rPr>
                <w:sz w:val="6"/>
                <w:szCs w:val="6"/>
                <w:color w:val="auto"/>
              </w:rPr>
            </w:pPr>
          </w:p>
        </w:tc>
        <w:tc>
          <w:tcPr>
            <w:tcW w:w="180" w:type="dxa"/>
            <w:vAlign w:val="bottom"/>
            <w:tcBorders>
              <w:right w:val="single" w:sz="8" w:color="007CBA"/>
            </w:tcBorders>
          </w:tcPr>
          <w:p>
            <w:pPr>
              <w:spacing w:after="0"/>
              <w:rPr>
                <w:sz w:val="6"/>
                <w:szCs w:val="6"/>
                <w:color w:val="auto"/>
              </w:rPr>
            </w:pPr>
          </w:p>
        </w:tc>
        <w:tc>
          <w:tcPr>
            <w:tcW w:w="1940" w:type="dxa"/>
            <w:vAlign w:val="bottom"/>
            <w:tcBorders>
              <w:right w:val="single" w:sz="8" w:color="007CBA"/>
            </w:tcBorders>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060" w:type="dxa"/>
            <w:vAlign w:val="bottom"/>
            <w:tcBorders>
              <w:left w:val="single" w:sz="8" w:color="007CBA"/>
              <w:right w:val="single" w:sz="8" w:color="007CBA"/>
            </w:tcBorders>
            <w:shd w:val="clear" w:color="auto" w:fill="007CBA"/>
          </w:tcPr>
          <w:p>
            <w:pPr>
              <w:spacing w:after="0" w:line="20" w:lineRule="exact"/>
              <w:rPr>
                <w:sz w:val="1"/>
                <w:szCs w:val="1"/>
                <w:color w:val="auto"/>
              </w:rPr>
            </w:pPr>
          </w:p>
        </w:tc>
        <w:tc>
          <w:tcPr>
            <w:tcW w:w="1940" w:type="dxa"/>
            <w:vAlign w:val="bottom"/>
            <w:tcBorders>
              <w:right w:val="single" w:sz="8" w:color="007CBA"/>
            </w:tcBorders>
            <w:shd w:val="clear" w:color="auto" w:fill="007CBA"/>
          </w:tcPr>
          <w:p>
            <w:pPr>
              <w:spacing w:after="0" w:line="20" w:lineRule="exact"/>
              <w:rPr>
                <w:sz w:val="1"/>
                <w:szCs w:val="1"/>
                <w:color w:val="auto"/>
              </w:rPr>
            </w:pPr>
          </w:p>
        </w:tc>
        <w:tc>
          <w:tcPr>
            <w:tcW w:w="200" w:type="dxa"/>
            <w:vAlign w:val="bottom"/>
            <w:tcBorders>
              <w:right w:val="single" w:sz="8" w:color="007CBA"/>
            </w:tcBorders>
            <w:shd w:val="clear" w:color="auto" w:fill="007CBA"/>
          </w:tcPr>
          <w:p>
            <w:pPr>
              <w:spacing w:after="0" w:line="20" w:lineRule="exact"/>
              <w:rPr>
                <w:sz w:val="1"/>
                <w:szCs w:val="1"/>
                <w:color w:val="auto"/>
              </w:rPr>
            </w:pPr>
          </w:p>
        </w:tc>
        <w:tc>
          <w:tcPr>
            <w:tcW w:w="1560" w:type="dxa"/>
            <w:vAlign w:val="bottom"/>
            <w:shd w:val="clear" w:color="auto" w:fill="007CBA"/>
          </w:tcPr>
          <w:p>
            <w:pPr>
              <w:spacing w:after="0" w:line="20" w:lineRule="exact"/>
              <w:rPr>
                <w:sz w:val="1"/>
                <w:szCs w:val="1"/>
                <w:color w:val="auto"/>
              </w:rPr>
            </w:pPr>
          </w:p>
        </w:tc>
        <w:tc>
          <w:tcPr>
            <w:tcW w:w="440" w:type="dxa"/>
            <w:vAlign w:val="bottom"/>
            <w:tcBorders>
              <w:right w:val="single" w:sz="8" w:color="007CBA"/>
            </w:tcBorders>
            <w:shd w:val="clear" w:color="auto" w:fill="007CBA"/>
          </w:tcPr>
          <w:p>
            <w:pPr>
              <w:spacing w:after="0" w:line="20" w:lineRule="exact"/>
              <w:rPr>
                <w:sz w:val="1"/>
                <w:szCs w:val="1"/>
                <w:color w:val="auto"/>
              </w:rPr>
            </w:pPr>
          </w:p>
        </w:tc>
        <w:tc>
          <w:tcPr>
            <w:tcW w:w="2060" w:type="dxa"/>
            <w:vAlign w:val="bottom"/>
            <w:tcBorders>
              <w:right w:val="single" w:sz="8" w:color="007CBA"/>
            </w:tcBorders>
            <w:shd w:val="clear" w:color="auto" w:fill="007CBA"/>
          </w:tcPr>
          <w:p>
            <w:pPr>
              <w:spacing w:after="0" w:line="20" w:lineRule="exact"/>
              <w:rPr>
                <w:sz w:val="1"/>
                <w:szCs w:val="1"/>
                <w:color w:val="auto"/>
              </w:rPr>
            </w:pPr>
          </w:p>
        </w:tc>
        <w:tc>
          <w:tcPr>
            <w:tcW w:w="180" w:type="dxa"/>
            <w:vAlign w:val="bottom"/>
            <w:tcBorders>
              <w:right w:val="single" w:sz="8" w:color="007CBA"/>
            </w:tcBorders>
            <w:shd w:val="clear" w:color="auto" w:fill="007CBA"/>
          </w:tcPr>
          <w:p>
            <w:pPr>
              <w:spacing w:after="0" w:line="20" w:lineRule="exact"/>
              <w:rPr>
                <w:sz w:val="1"/>
                <w:szCs w:val="1"/>
                <w:color w:val="auto"/>
              </w:rPr>
            </w:pPr>
          </w:p>
        </w:tc>
        <w:tc>
          <w:tcPr>
            <w:tcW w:w="1940" w:type="dxa"/>
            <w:vAlign w:val="bottom"/>
            <w:tcBorders>
              <w:right w:val="single" w:sz="8" w:color="007CBA"/>
            </w:tcBorders>
            <w:shd w:val="clear" w:color="auto" w:fill="007CBA"/>
          </w:tcPr>
          <w:p>
            <w:pPr>
              <w:spacing w:after="0" w:line="20" w:lineRule="exact"/>
              <w:rPr>
                <w:sz w:val="1"/>
                <w:szCs w:val="1"/>
                <w:color w:val="auto"/>
              </w:rPr>
            </w:pPr>
          </w:p>
        </w:tc>
        <w:tc>
          <w:tcPr>
            <w:tcW w:w="1620" w:type="dxa"/>
            <w:vAlign w:val="bottom"/>
            <w:shd w:val="clear" w:color="auto" w:fill="007CB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jc w:val="both"/>
        <w:ind w:left="420" w:right="20" w:hanging="210"/>
        <w:spacing w:after="0" w:line="241" w:lineRule="auto"/>
        <w:tabs>
          <w:tab w:leader="none" w:pos="387" w:val="left"/>
        </w:tabs>
        <w:numPr>
          <w:ilvl w:val="0"/>
          <w:numId w:val="106"/>
        </w:numPr>
        <w:rPr>
          <w:rFonts w:ascii="Arial" w:cs="Arial" w:eastAsia="Arial" w:hAnsi="Arial"/>
          <w:sz w:val="14"/>
          <w:szCs w:val="14"/>
          <w:color w:val="auto"/>
        </w:rPr>
      </w:pPr>
      <w:r>
        <w:rPr>
          <w:rFonts w:ascii="Arial" w:cs="Arial" w:eastAsia="Arial" w:hAnsi="Arial"/>
          <w:sz w:val="14"/>
          <w:szCs w:val="14"/>
          <w:color w:val="auto"/>
        </w:rPr>
        <w:t>TSR is calculated as (i) the average of our closing stock price over the final 20 trading days of the measurement period, minus the average of our closing stock price over the first 20 trading days of the measurement period, plus the value of reinvested dividends divided by (ii) the average of our closing stock price over the first 20 trading days of the measurement period, and is measured against each of the companies in the S&amp;P 500 index (excluding any Companies acquired during the measurement</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period.</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 Threshold and maximum are a percentage of the target.</w:t>
      </w:r>
    </w:p>
    <w:p>
      <w:pPr>
        <w:sectPr>
          <w:pgSz w:w="11900" w:h="16838" w:orient="portrait"/>
          <w:cols w:equalWidth="0" w:num="1">
            <w:col w:w="11240"/>
          </w:cols>
          <w:pgMar w:left="240" w:top="459" w:right="419" w:bottom="1440" w:gutter="0" w:footer="0" w:header="0"/>
        </w:sectPr>
      </w:pPr>
    </w:p>
    <w:p>
      <w:pPr>
        <w:spacing w:after="0" w:line="24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7CBA"/>
        </w:rPr>
        <w:t>2016-2018 PSU Award Payouts</w:t>
      </w:r>
    </w:p>
    <w:p>
      <w:pPr>
        <w:spacing w:after="0" w:line="150"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PSUs that were granted in 2016 vested on December 31, 2018, because the applicable performance criteria were satisfied. These PSUs were certified and paid out in February 2019. The PSU payouts for the three-year performance period ended December 31, 2018, were calculated by comparing actual corporate performance for each metric for the period January 1, 2016 through December 31, 2018, against a table of payment levels from 0% to 200% (with the 100% payout level being considered target) established at the beginning of the performance period.</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color w:val="auto"/>
        </w:rPr>
        <w:t>For the three-year performance period ended December 31, 2018, actual results were 75% of target. The results were above targeted level for Relative TSR (weighted 25%), which resulted in a 27% payout factor. For the same period, EBITDA (weighted 37.5%) was $3.145 billion compared to our pre-established target of $3.535 billion and generated a 27% payout factor and Return on Sales (weighted 37.5%) was 19.4% compared to our pre-established target of 23.5% and generated a 21% payout factor. The awards are calculated pursuant to the provisions provided in the award agreements. The Committee cannot make any adjustments to the final payout factor beyond the adjustments specified in the award agreements.</w:t>
      </w:r>
    </w:p>
    <w:p>
      <w:pPr>
        <w:spacing w:after="0" w:line="232" w:lineRule="exact"/>
        <w:rPr>
          <w:sz w:val="20"/>
          <w:szCs w:val="20"/>
          <w:color w:val="auto"/>
        </w:rPr>
      </w:pPr>
    </w:p>
    <w:p>
      <w:pPr>
        <w:sectPr>
          <w:pgSz w:w="11900" w:h="16838" w:orient="portrait"/>
          <w:cols w:equalWidth="0" w:num="2">
            <w:col w:w="5480" w:space="340"/>
            <w:col w:w="5420"/>
          </w:cols>
          <w:pgMar w:left="240" w:top="459" w:right="419" w:bottom="1440" w:gutter="0" w:footer="0" w:header="0"/>
          <w:type w:val="continuous"/>
        </w:sectPr>
      </w:pPr>
    </w:p>
    <w:p>
      <w:pPr>
        <w:spacing w:after="0" w:line="355" w:lineRule="exact"/>
        <w:rPr>
          <w:sz w:val="20"/>
          <w:szCs w:val="20"/>
          <w:color w:val="auto"/>
        </w:rPr>
      </w:pPr>
    </w:p>
    <w:tbl>
      <w:tblPr>
        <w:tblLayout w:type="fixed"/>
        <w:tblInd w:w="220" w:type="dxa"/>
        <w:tblCellMar>
          <w:top w:w="0" w:type="dxa"/>
          <w:left w:w="0" w:type="dxa"/>
          <w:bottom w:w="0" w:type="dxa"/>
          <w:right w:w="0" w:type="dxa"/>
        </w:tblCellMar>
      </w:tblPr>
      <w:tr>
        <w:trPr>
          <w:trHeight w:val="198"/>
        </w:trPr>
        <w:tc>
          <w:tcPr>
            <w:tcW w:w="5540" w:type="dxa"/>
            <w:vAlign w:val="bottom"/>
            <w:tcBorders>
              <w:right w:val="single" w:sz="8" w:color="007CBA"/>
            </w:tcBorders>
            <w:shd w:val="clear" w:color="auto" w:fill="007CBA"/>
          </w:tcPr>
          <w:p>
            <w:pPr>
              <w:spacing w:after="0"/>
              <w:rPr>
                <w:sz w:val="17"/>
                <w:szCs w:val="17"/>
                <w:color w:val="auto"/>
              </w:rPr>
            </w:pPr>
          </w:p>
        </w:tc>
        <w:tc>
          <w:tcPr>
            <w:tcW w:w="1520" w:type="dxa"/>
            <w:vAlign w:val="bottom"/>
            <w:tcBorders>
              <w:right w:val="single" w:sz="8" w:color="007CBA"/>
            </w:tcBorders>
            <w:gridSpan w:val="3"/>
            <w:shd w:val="clear" w:color="auto" w:fill="007CBA"/>
          </w:tcPr>
          <w:p>
            <w:pPr>
              <w:ind w:left="260"/>
              <w:spacing w:after="0"/>
              <w:rPr>
                <w:sz w:val="20"/>
                <w:szCs w:val="20"/>
                <w:color w:val="auto"/>
              </w:rPr>
            </w:pPr>
            <w:r>
              <w:rPr>
                <w:rFonts w:ascii="Arial" w:cs="Arial" w:eastAsia="Arial" w:hAnsi="Arial"/>
                <w:sz w:val="16"/>
                <w:szCs w:val="16"/>
                <w:b w:val="1"/>
                <w:bCs w:val="1"/>
                <w:color w:val="FFFFFF"/>
              </w:rPr>
              <w:t>Performance</w:t>
            </w:r>
          </w:p>
        </w:tc>
        <w:tc>
          <w:tcPr>
            <w:tcW w:w="1500" w:type="dxa"/>
            <w:vAlign w:val="bottom"/>
            <w:tcBorders>
              <w:right w:val="single" w:sz="8" w:color="007CBA"/>
            </w:tcBorders>
            <w:gridSpan w:val="3"/>
            <w:shd w:val="clear" w:color="auto" w:fill="007CBA"/>
          </w:tcPr>
          <w:p>
            <w:pPr>
              <w:ind w:left="240"/>
              <w:spacing w:after="0"/>
              <w:rPr>
                <w:sz w:val="20"/>
                <w:szCs w:val="20"/>
                <w:color w:val="auto"/>
              </w:rPr>
            </w:pPr>
            <w:r>
              <w:rPr>
                <w:rFonts w:ascii="Arial" w:cs="Arial" w:eastAsia="Arial" w:hAnsi="Arial"/>
                <w:sz w:val="16"/>
                <w:szCs w:val="16"/>
                <w:b w:val="1"/>
                <w:bCs w:val="1"/>
                <w:color w:val="FFFFFF"/>
              </w:rPr>
              <w:t>Performance</w:t>
            </w:r>
          </w:p>
        </w:tc>
        <w:tc>
          <w:tcPr>
            <w:tcW w:w="1060" w:type="dxa"/>
            <w:vAlign w:val="bottom"/>
            <w:tcBorders>
              <w:right w:val="single" w:sz="8" w:color="007CBA"/>
            </w:tcBorders>
            <w:shd w:val="clear" w:color="auto" w:fill="007CBA"/>
          </w:tcPr>
          <w:p>
            <w:pPr>
              <w:spacing w:after="0"/>
              <w:rPr>
                <w:sz w:val="17"/>
                <w:szCs w:val="17"/>
                <w:color w:val="auto"/>
              </w:rPr>
            </w:pPr>
          </w:p>
        </w:tc>
        <w:tc>
          <w:tcPr>
            <w:tcW w:w="1380" w:type="dxa"/>
            <w:vAlign w:val="bottom"/>
            <w:shd w:val="clear" w:color="auto" w:fill="007CBA"/>
          </w:tcPr>
          <w:p>
            <w:pPr>
              <w:jc w:val="center"/>
              <w:ind w:left="19"/>
              <w:spacing w:after="0"/>
              <w:rPr>
                <w:sz w:val="20"/>
                <w:szCs w:val="20"/>
                <w:color w:val="auto"/>
              </w:rPr>
            </w:pPr>
            <w:r>
              <w:rPr>
                <w:rFonts w:ascii="Arial" w:cs="Arial" w:eastAsia="Arial" w:hAnsi="Arial"/>
                <w:sz w:val="16"/>
                <w:szCs w:val="16"/>
                <w:b w:val="1"/>
                <w:bCs w:val="1"/>
                <w:color w:val="FFFFFF"/>
                <w:w w:val="99"/>
              </w:rPr>
              <w:t>Weighted</w:t>
            </w:r>
          </w:p>
        </w:tc>
        <w:tc>
          <w:tcPr>
            <w:tcW w:w="0" w:type="dxa"/>
            <w:vAlign w:val="bottom"/>
          </w:tcPr>
          <w:p>
            <w:pPr>
              <w:spacing w:after="0"/>
              <w:rPr>
                <w:sz w:val="1"/>
                <w:szCs w:val="1"/>
                <w:color w:val="auto"/>
              </w:rPr>
            </w:pPr>
          </w:p>
        </w:tc>
      </w:tr>
      <w:tr>
        <w:trPr>
          <w:trHeight w:val="241"/>
        </w:trPr>
        <w:tc>
          <w:tcPr>
            <w:tcW w:w="5540" w:type="dxa"/>
            <w:vAlign w:val="bottom"/>
            <w:tcBorders>
              <w:bottom w:val="single" w:sz="8" w:color="007CBA"/>
              <w:right w:val="single" w:sz="8" w:color="007CBA"/>
            </w:tcBorders>
            <w:shd w:val="clear" w:color="auto" w:fill="007CBA"/>
          </w:tcPr>
          <w:p>
            <w:pPr>
              <w:ind w:left="80"/>
              <w:spacing w:after="0"/>
              <w:rPr>
                <w:sz w:val="20"/>
                <w:szCs w:val="20"/>
                <w:color w:val="auto"/>
              </w:rPr>
            </w:pPr>
            <w:r>
              <w:rPr>
                <w:rFonts w:ascii="Arial" w:cs="Arial" w:eastAsia="Arial" w:hAnsi="Arial"/>
                <w:sz w:val="16"/>
                <w:szCs w:val="16"/>
                <w:b w:val="1"/>
                <w:bCs w:val="1"/>
                <w:color w:val="FFFFFF"/>
              </w:rPr>
              <w:t>Measure</w:t>
            </w:r>
          </w:p>
        </w:tc>
        <w:tc>
          <w:tcPr>
            <w:tcW w:w="300" w:type="dxa"/>
            <w:vAlign w:val="bottom"/>
            <w:tcBorders>
              <w:bottom w:val="single" w:sz="8" w:color="007CBA"/>
            </w:tcBorders>
            <w:shd w:val="clear" w:color="auto" w:fill="007CBA"/>
          </w:tcPr>
          <w:p>
            <w:pPr>
              <w:spacing w:after="0"/>
              <w:rPr>
                <w:sz w:val="20"/>
                <w:szCs w:val="20"/>
                <w:color w:val="auto"/>
              </w:rPr>
            </w:pPr>
          </w:p>
        </w:tc>
        <w:tc>
          <w:tcPr>
            <w:tcW w:w="160" w:type="dxa"/>
            <w:vAlign w:val="bottom"/>
            <w:tcBorders>
              <w:bottom w:val="single" w:sz="8" w:color="007CBA"/>
            </w:tcBorders>
            <w:shd w:val="clear" w:color="auto" w:fill="007CBA"/>
          </w:tcPr>
          <w:p>
            <w:pPr>
              <w:spacing w:after="0"/>
              <w:rPr>
                <w:sz w:val="20"/>
                <w:szCs w:val="20"/>
                <w:color w:val="auto"/>
              </w:rPr>
            </w:pPr>
          </w:p>
        </w:tc>
        <w:tc>
          <w:tcPr>
            <w:tcW w:w="1060" w:type="dxa"/>
            <w:vAlign w:val="bottom"/>
            <w:tcBorders>
              <w:bottom w:val="single" w:sz="8" w:color="007CBA"/>
              <w:right w:val="single" w:sz="8" w:color="007CBA"/>
            </w:tcBorders>
            <w:shd w:val="clear" w:color="auto" w:fill="007CBA"/>
          </w:tcPr>
          <w:p>
            <w:pPr>
              <w:ind w:left="60"/>
              <w:spacing w:after="0"/>
              <w:rPr>
                <w:sz w:val="20"/>
                <w:szCs w:val="20"/>
                <w:color w:val="auto"/>
              </w:rPr>
            </w:pPr>
            <w:r>
              <w:rPr>
                <w:rFonts w:ascii="Arial" w:cs="Arial" w:eastAsia="Arial" w:hAnsi="Arial"/>
                <w:sz w:val="16"/>
                <w:szCs w:val="16"/>
                <w:b w:val="1"/>
                <w:bCs w:val="1"/>
                <w:color w:val="FFFFFF"/>
              </w:rPr>
              <w:t>Target</w:t>
            </w:r>
          </w:p>
        </w:tc>
        <w:tc>
          <w:tcPr>
            <w:tcW w:w="260" w:type="dxa"/>
            <w:vAlign w:val="bottom"/>
            <w:tcBorders>
              <w:bottom w:val="single" w:sz="8" w:color="007CBA"/>
            </w:tcBorders>
            <w:shd w:val="clear" w:color="auto" w:fill="007CBA"/>
          </w:tcPr>
          <w:p>
            <w:pPr>
              <w:spacing w:after="0"/>
              <w:rPr>
                <w:sz w:val="20"/>
                <w:szCs w:val="20"/>
                <w:color w:val="auto"/>
              </w:rPr>
            </w:pPr>
          </w:p>
        </w:tc>
        <w:tc>
          <w:tcPr>
            <w:tcW w:w="200" w:type="dxa"/>
            <w:vAlign w:val="bottom"/>
            <w:tcBorders>
              <w:bottom w:val="single" w:sz="8" w:color="007CBA"/>
            </w:tcBorders>
            <w:shd w:val="clear" w:color="auto" w:fill="007CBA"/>
          </w:tcPr>
          <w:p>
            <w:pPr>
              <w:spacing w:after="0"/>
              <w:rPr>
                <w:sz w:val="20"/>
                <w:szCs w:val="20"/>
                <w:color w:val="auto"/>
              </w:rPr>
            </w:pPr>
          </w:p>
        </w:tc>
        <w:tc>
          <w:tcPr>
            <w:tcW w:w="1040" w:type="dxa"/>
            <w:vAlign w:val="bottom"/>
            <w:tcBorders>
              <w:bottom w:val="single" w:sz="8" w:color="007CBA"/>
              <w:right w:val="single" w:sz="8" w:color="007CBA"/>
            </w:tcBorders>
            <w:shd w:val="clear" w:color="auto" w:fill="007CBA"/>
          </w:tcPr>
          <w:p>
            <w:pPr>
              <w:jc w:val="right"/>
              <w:ind w:right="438"/>
              <w:spacing w:after="0"/>
              <w:rPr>
                <w:sz w:val="20"/>
                <w:szCs w:val="20"/>
                <w:color w:val="auto"/>
              </w:rPr>
            </w:pPr>
            <w:r>
              <w:rPr>
                <w:rFonts w:ascii="Arial" w:cs="Arial" w:eastAsia="Arial" w:hAnsi="Arial"/>
                <w:sz w:val="16"/>
                <w:szCs w:val="16"/>
                <w:b w:val="1"/>
                <w:bCs w:val="1"/>
                <w:color w:val="FFFFFF"/>
              </w:rPr>
              <w:t>Result</w:t>
            </w:r>
          </w:p>
        </w:tc>
        <w:tc>
          <w:tcPr>
            <w:tcW w:w="106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rPr>
              <w:t>Weighting</w:t>
            </w:r>
          </w:p>
        </w:tc>
        <w:tc>
          <w:tcPr>
            <w:tcW w:w="1380" w:type="dxa"/>
            <w:vAlign w:val="bottom"/>
            <w:tcBorders>
              <w:bottom w:val="single" w:sz="8" w:color="007CBA"/>
            </w:tcBorders>
            <w:shd w:val="clear" w:color="auto" w:fill="007CBA"/>
          </w:tcPr>
          <w:p>
            <w:pPr>
              <w:jc w:val="center"/>
              <w:ind w:left="19"/>
              <w:spacing w:after="0"/>
              <w:rPr>
                <w:sz w:val="20"/>
                <w:szCs w:val="20"/>
                <w:color w:val="auto"/>
              </w:rPr>
            </w:pPr>
            <w:r>
              <w:rPr>
                <w:rFonts w:ascii="Arial" w:cs="Arial" w:eastAsia="Arial" w:hAnsi="Arial"/>
                <w:sz w:val="16"/>
                <w:szCs w:val="16"/>
                <w:b w:val="1"/>
                <w:bCs w:val="1"/>
                <w:color w:val="FFFFFF"/>
              </w:rPr>
              <w:t>Payout Factor</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E5F1F8"/>
              <w:right w:val="single" w:sz="8" w:color="007CBA"/>
            </w:tcBorders>
            <w:shd w:val="clear" w:color="auto" w:fill="E5F1F8"/>
          </w:tcPr>
          <w:p>
            <w:pPr>
              <w:ind w:left="60"/>
              <w:spacing w:after="0"/>
              <w:rPr>
                <w:sz w:val="20"/>
                <w:szCs w:val="20"/>
                <w:color w:val="auto"/>
              </w:rPr>
            </w:pPr>
            <w:r>
              <w:rPr>
                <w:rFonts w:ascii="Arial" w:cs="Arial" w:eastAsia="Arial" w:hAnsi="Arial"/>
                <w:sz w:val="17"/>
                <w:szCs w:val="17"/>
                <w:color w:val="auto"/>
              </w:rPr>
              <w:t>EBITDA</w:t>
            </w:r>
          </w:p>
        </w:tc>
        <w:tc>
          <w:tcPr>
            <w:tcW w:w="300" w:type="dxa"/>
            <w:vAlign w:val="bottom"/>
            <w:tcBorders>
              <w:bottom w:val="single" w:sz="8" w:color="E5F1F8"/>
            </w:tcBorders>
            <w:shd w:val="clear" w:color="auto" w:fill="E5F1F8"/>
          </w:tcPr>
          <w:p>
            <w:pPr>
              <w:ind w:left="1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E5F1F8"/>
            </w:tcBorders>
            <w:shd w:val="clear" w:color="auto" w:fill="E5F1F8"/>
          </w:tcPr>
          <w:p>
            <w:pPr>
              <w:spacing w:after="0"/>
              <w:rPr>
                <w:sz w:val="19"/>
                <w:szCs w:val="19"/>
                <w:color w:val="auto"/>
              </w:rPr>
            </w:pPr>
          </w:p>
        </w:tc>
        <w:tc>
          <w:tcPr>
            <w:tcW w:w="1060" w:type="dxa"/>
            <w:vAlign w:val="bottom"/>
            <w:tcBorders>
              <w:bottom w:val="single" w:sz="8" w:color="E5F1F8"/>
              <w:right w:val="single" w:sz="8" w:color="007CBA"/>
            </w:tcBorders>
            <w:shd w:val="clear" w:color="auto" w:fill="E5F1F8"/>
          </w:tcPr>
          <w:p>
            <w:pPr>
              <w:ind w:left="120"/>
              <w:spacing w:after="0"/>
              <w:rPr>
                <w:sz w:val="20"/>
                <w:szCs w:val="20"/>
                <w:color w:val="auto"/>
              </w:rPr>
            </w:pPr>
            <w:r>
              <w:rPr>
                <w:rFonts w:ascii="Arial" w:cs="Arial" w:eastAsia="Arial" w:hAnsi="Arial"/>
                <w:sz w:val="17"/>
                <w:szCs w:val="17"/>
                <w:color w:val="auto"/>
              </w:rPr>
              <w:t>3.535 B</w:t>
            </w:r>
          </w:p>
        </w:tc>
        <w:tc>
          <w:tcPr>
            <w:tcW w:w="260" w:type="dxa"/>
            <w:vAlign w:val="bottom"/>
            <w:tcBorders>
              <w:bottom w:val="single" w:sz="8" w:color="E5F1F8"/>
            </w:tcBorders>
            <w:shd w:val="clear" w:color="auto" w:fill="E5F1F8"/>
          </w:tcPr>
          <w:p>
            <w:pPr>
              <w:ind w:left="8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E5F1F8"/>
            </w:tcBorders>
            <w:shd w:val="clear" w:color="auto" w:fill="E5F1F8"/>
          </w:tcPr>
          <w:p>
            <w:pPr>
              <w:spacing w:after="0"/>
              <w:rPr>
                <w:sz w:val="19"/>
                <w:szCs w:val="19"/>
                <w:color w:val="auto"/>
              </w:rPr>
            </w:pPr>
          </w:p>
        </w:tc>
        <w:tc>
          <w:tcPr>
            <w:tcW w:w="1040" w:type="dxa"/>
            <w:vAlign w:val="bottom"/>
            <w:tcBorders>
              <w:bottom w:val="single" w:sz="8" w:color="E5F1F8"/>
              <w:right w:val="single" w:sz="8" w:color="007CBA"/>
            </w:tcBorders>
            <w:shd w:val="clear" w:color="auto" w:fill="E5F1F8"/>
          </w:tcPr>
          <w:p>
            <w:pPr>
              <w:jc w:val="right"/>
              <w:ind w:right="278"/>
              <w:spacing w:after="0"/>
              <w:rPr>
                <w:sz w:val="20"/>
                <w:szCs w:val="20"/>
                <w:color w:val="auto"/>
              </w:rPr>
            </w:pPr>
            <w:r>
              <w:rPr>
                <w:rFonts w:ascii="Arial" w:cs="Arial" w:eastAsia="Arial" w:hAnsi="Arial"/>
                <w:sz w:val="17"/>
                <w:szCs w:val="17"/>
                <w:color w:val="auto"/>
              </w:rPr>
              <w:t>3.145 B</w:t>
            </w:r>
          </w:p>
        </w:tc>
        <w:tc>
          <w:tcPr>
            <w:tcW w:w="1060" w:type="dxa"/>
            <w:vAlign w:val="bottom"/>
            <w:tcBorders>
              <w:bottom w:val="single" w:sz="8" w:color="E5F1F8"/>
              <w:right w:val="single" w:sz="8" w:color="007CBA"/>
            </w:tcBorders>
            <w:shd w:val="clear" w:color="auto" w:fill="E5F1F8"/>
          </w:tcPr>
          <w:p>
            <w:pPr>
              <w:jc w:val="center"/>
              <w:spacing w:after="0"/>
              <w:rPr>
                <w:sz w:val="20"/>
                <w:szCs w:val="20"/>
                <w:color w:val="auto"/>
              </w:rPr>
            </w:pPr>
            <w:r>
              <w:rPr>
                <w:rFonts w:ascii="Arial" w:cs="Arial" w:eastAsia="Arial" w:hAnsi="Arial"/>
                <w:sz w:val="17"/>
                <w:szCs w:val="17"/>
                <w:color w:val="auto"/>
                <w:w w:val="99"/>
              </w:rPr>
              <w:t>37.5%</w:t>
            </w:r>
          </w:p>
        </w:tc>
        <w:tc>
          <w:tcPr>
            <w:tcW w:w="1380" w:type="dxa"/>
            <w:vAlign w:val="bottom"/>
            <w:tcBorders>
              <w:bottom w:val="single" w:sz="8" w:color="E5F1F8"/>
            </w:tcBorders>
            <w:shd w:val="clear" w:color="auto" w:fill="E5F1F8"/>
          </w:tcPr>
          <w:p>
            <w:pPr>
              <w:jc w:val="center"/>
              <w:ind w:left="39"/>
              <w:spacing w:after="0"/>
              <w:rPr>
                <w:sz w:val="20"/>
                <w:szCs w:val="20"/>
                <w:color w:val="auto"/>
              </w:rPr>
            </w:pPr>
            <w:r>
              <w:rPr>
                <w:rFonts w:ascii="Arial" w:cs="Arial" w:eastAsia="Arial" w:hAnsi="Arial"/>
                <w:sz w:val="17"/>
                <w:szCs w:val="17"/>
                <w:color w:val="auto"/>
                <w:w w:val="99"/>
              </w:rPr>
              <w:t>27%</w:t>
            </w:r>
          </w:p>
        </w:tc>
        <w:tc>
          <w:tcPr>
            <w:tcW w:w="0" w:type="dxa"/>
            <w:vAlign w:val="bottom"/>
          </w:tcPr>
          <w:p>
            <w:pPr>
              <w:spacing w:after="0"/>
              <w:rPr>
                <w:sz w:val="1"/>
                <w:szCs w:val="1"/>
                <w:color w:val="auto"/>
              </w:rPr>
            </w:pPr>
          </w:p>
        </w:tc>
      </w:tr>
      <w:tr>
        <w:trPr>
          <w:trHeight w:val="205"/>
        </w:trPr>
        <w:tc>
          <w:tcPr>
            <w:tcW w:w="5540" w:type="dxa"/>
            <w:vAlign w:val="bottom"/>
            <w:tcBorders>
              <w:right w:val="single" w:sz="8" w:color="007CBA"/>
            </w:tcBorders>
          </w:tcPr>
          <w:p>
            <w:pPr>
              <w:ind w:left="60"/>
              <w:spacing w:after="0"/>
              <w:rPr>
                <w:sz w:val="20"/>
                <w:szCs w:val="20"/>
                <w:color w:val="auto"/>
              </w:rPr>
            </w:pPr>
            <w:r>
              <w:rPr>
                <w:rFonts w:ascii="Arial" w:cs="Arial" w:eastAsia="Arial" w:hAnsi="Arial"/>
                <w:sz w:val="17"/>
                <w:szCs w:val="17"/>
                <w:color w:val="auto"/>
              </w:rPr>
              <w:t>Return on Sales</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Borders>
              <w:right w:val="single" w:sz="8" w:color="007CBA"/>
            </w:tcBorders>
          </w:tcPr>
          <w:p>
            <w:pPr>
              <w:jc w:val="right"/>
              <w:ind w:right="138"/>
              <w:spacing w:after="0"/>
              <w:rPr>
                <w:sz w:val="20"/>
                <w:szCs w:val="20"/>
                <w:color w:val="auto"/>
              </w:rPr>
            </w:pPr>
            <w:r>
              <w:rPr>
                <w:rFonts w:ascii="Arial" w:cs="Arial" w:eastAsia="Arial" w:hAnsi="Arial"/>
                <w:sz w:val="17"/>
                <w:szCs w:val="17"/>
                <w:color w:val="auto"/>
              </w:rPr>
              <w:t>23.5%</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Borders>
              <w:right w:val="single" w:sz="8" w:color="007CBA"/>
            </w:tcBorders>
          </w:tcPr>
          <w:p>
            <w:pPr>
              <w:jc w:val="right"/>
              <w:ind w:right="138"/>
              <w:spacing w:after="0"/>
              <w:rPr>
                <w:sz w:val="20"/>
                <w:szCs w:val="20"/>
                <w:color w:val="auto"/>
              </w:rPr>
            </w:pPr>
            <w:r>
              <w:rPr>
                <w:rFonts w:ascii="Arial" w:cs="Arial" w:eastAsia="Arial" w:hAnsi="Arial"/>
                <w:sz w:val="17"/>
                <w:szCs w:val="17"/>
                <w:color w:val="auto"/>
              </w:rPr>
              <w:t>19.4%</w:t>
            </w:r>
          </w:p>
        </w:tc>
        <w:tc>
          <w:tcPr>
            <w:tcW w:w="1060" w:type="dxa"/>
            <w:vAlign w:val="bottom"/>
            <w:tcBorders>
              <w:right w:val="single" w:sz="8" w:color="007CBA"/>
            </w:tcBorders>
          </w:tcPr>
          <w:p>
            <w:pPr>
              <w:jc w:val="center"/>
              <w:spacing w:after="0"/>
              <w:rPr>
                <w:sz w:val="20"/>
                <w:szCs w:val="20"/>
                <w:color w:val="auto"/>
              </w:rPr>
            </w:pPr>
            <w:r>
              <w:rPr>
                <w:rFonts w:ascii="Arial" w:cs="Arial" w:eastAsia="Arial" w:hAnsi="Arial"/>
                <w:sz w:val="17"/>
                <w:szCs w:val="17"/>
                <w:color w:val="auto"/>
                <w:w w:val="99"/>
              </w:rPr>
              <w:t>37.5%</w:t>
            </w:r>
          </w:p>
        </w:tc>
        <w:tc>
          <w:tcPr>
            <w:tcW w:w="1380" w:type="dxa"/>
            <w:vAlign w:val="bottom"/>
          </w:tcPr>
          <w:p>
            <w:pPr>
              <w:jc w:val="center"/>
              <w:ind w:left="39"/>
              <w:spacing w:after="0"/>
              <w:rPr>
                <w:sz w:val="20"/>
                <w:szCs w:val="20"/>
                <w:color w:val="auto"/>
              </w:rPr>
            </w:pPr>
            <w:r>
              <w:rPr>
                <w:rFonts w:ascii="Arial" w:cs="Arial" w:eastAsia="Arial" w:hAnsi="Arial"/>
                <w:sz w:val="17"/>
                <w:szCs w:val="17"/>
                <w:color w:val="auto"/>
                <w:w w:val="99"/>
              </w:rPr>
              <w:t>21%</w:t>
            </w:r>
          </w:p>
        </w:tc>
        <w:tc>
          <w:tcPr>
            <w:tcW w:w="0" w:type="dxa"/>
            <w:vAlign w:val="bottom"/>
          </w:tcPr>
          <w:p>
            <w:pPr>
              <w:spacing w:after="0"/>
              <w:rPr>
                <w:sz w:val="1"/>
                <w:szCs w:val="1"/>
                <w:color w:val="auto"/>
              </w:rPr>
            </w:pPr>
          </w:p>
        </w:tc>
      </w:tr>
      <w:tr>
        <w:trPr>
          <w:trHeight w:val="38"/>
        </w:trPr>
        <w:tc>
          <w:tcPr>
            <w:tcW w:w="5540" w:type="dxa"/>
            <w:vAlign w:val="bottom"/>
            <w:tcBorders>
              <w:right w:val="single" w:sz="8" w:color="007CBA"/>
            </w:tcBorders>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Borders>
              <w:right w:val="single" w:sz="8" w:color="007CBA"/>
            </w:tcBorders>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Borders>
              <w:right w:val="single" w:sz="8" w:color="007CBA"/>
            </w:tcBorders>
          </w:tcPr>
          <w:p>
            <w:pPr>
              <w:spacing w:after="0"/>
              <w:rPr>
                <w:sz w:val="3"/>
                <w:szCs w:val="3"/>
                <w:color w:val="auto"/>
              </w:rPr>
            </w:pPr>
          </w:p>
        </w:tc>
        <w:tc>
          <w:tcPr>
            <w:tcW w:w="1060" w:type="dxa"/>
            <w:vAlign w:val="bottom"/>
            <w:tcBorders>
              <w:right w:val="single" w:sz="8" w:color="007CBA"/>
            </w:tcBorders>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5540" w:type="dxa"/>
            <w:vAlign w:val="bottom"/>
            <w:tcBorders>
              <w:right w:val="single" w:sz="8" w:color="007CBA"/>
            </w:tcBorders>
            <w:shd w:val="clear" w:color="auto" w:fill="E5F1F8"/>
          </w:tcPr>
          <w:p>
            <w:pPr>
              <w:ind w:left="60"/>
              <w:spacing w:after="0" w:line="135" w:lineRule="exact"/>
              <w:rPr>
                <w:sz w:val="20"/>
                <w:szCs w:val="20"/>
                <w:color w:val="auto"/>
              </w:rPr>
            </w:pPr>
            <w:r>
              <w:rPr>
                <w:rFonts w:ascii="Arial" w:cs="Arial" w:eastAsia="Arial" w:hAnsi="Arial"/>
                <w:sz w:val="15"/>
                <w:szCs w:val="15"/>
                <w:color w:val="auto"/>
              </w:rPr>
              <w:t>Relative TSR</w:t>
            </w:r>
          </w:p>
        </w:tc>
        <w:tc>
          <w:tcPr>
            <w:tcW w:w="300" w:type="dxa"/>
            <w:vAlign w:val="bottom"/>
            <w:shd w:val="clear" w:color="auto" w:fill="E5F1F8"/>
          </w:tcPr>
          <w:p>
            <w:pPr>
              <w:ind w:left="100"/>
              <w:spacing w:after="0" w:line="135" w:lineRule="exact"/>
              <w:rPr>
                <w:sz w:val="20"/>
                <w:szCs w:val="20"/>
                <w:color w:val="auto"/>
              </w:rPr>
            </w:pPr>
            <w:r>
              <w:rPr>
                <w:rFonts w:ascii="Arial" w:cs="Arial" w:eastAsia="Arial" w:hAnsi="Arial"/>
                <w:sz w:val="15"/>
                <w:szCs w:val="15"/>
                <w:color w:val="auto"/>
              </w:rPr>
              <w:t>50</w:t>
            </w:r>
          </w:p>
        </w:tc>
        <w:tc>
          <w:tcPr>
            <w:tcW w:w="160" w:type="dxa"/>
            <w:vAlign w:val="bottom"/>
            <w:vMerge w:val="restart"/>
            <w:shd w:val="clear" w:color="auto" w:fill="E5F1F8"/>
          </w:tcPr>
          <w:p>
            <w:pPr>
              <w:spacing w:after="0"/>
              <w:rPr>
                <w:sz w:val="20"/>
                <w:szCs w:val="20"/>
                <w:color w:val="auto"/>
              </w:rPr>
            </w:pPr>
            <w:r>
              <w:rPr>
                <w:rFonts w:ascii="Arial" w:cs="Arial" w:eastAsia="Arial" w:hAnsi="Arial"/>
                <w:sz w:val="15"/>
                <w:szCs w:val="15"/>
                <w:color w:val="auto"/>
              </w:rPr>
              <w:t>th</w:t>
            </w:r>
          </w:p>
        </w:tc>
        <w:tc>
          <w:tcPr>
            <w:tcW w:w="1060" w:type="dxa"/>
            <w:vAlign w:val="bottom"/>
            <w:tcBorders>
              <w:right w:val="single" w:sz="8" w:color="007CBA"/>
            </w:tcBorders>
            <w:shd w:val="clear" w:color="auto" w:fill="E5F1F8"/>
          </w:tcPr>
          <w:p>
            <w:pPr>
              <w:ind w:left="40"/>
              <w:spacing w:after="0" w:line="135" w:lineRule="exact"/>
              <w:rPr>
                <w:sz w:val="20"/>
                <w:szCs w:val="20"/>
                <w:color w:val="auto"/>
              </w:rPr>
            </w:pPr>
            <w:r>
              <w:rPr>
                <w:rFonts w:ascii="Arial" w:cs="Arial" w:eastAsia="Arial" w:hAnsi="Arial"/>
                <w:sz w:val="15"/>
                <w:szCs w:val="15"/>
                <w:color w:val="auto"/>
              </w:rPr>
              <w:t>Percentile</w:t>
            </w:r>
          </w:p>
        </w:tc>
        <w:tc>
          <w:tcPr>
            <w:tcW w:w="260" w:type="dxa"/>
            <w:vAlign w:val="bottom"/>
            <w:shd w:val="clear" w:color="auto" w:fill="E5F1F8"/>
          </w:tcPr>
          <w:p>
            <w:pPr>
              <w:ind w:left="80"/>
              <w:spacing w:after="0" w:line="135" w:lineRule="exact"/>
              <w:rPr>
                <w:sz w:val="20"/>
                <w:szCs w:val="20"/>
                <w:color w:val="auto"/>
              </w:rPr>
            </w:pPr>
            <w:r>
              <w:rPr>
                <w:rFonts w:ascii="Arial" w:cs="Arial" w:eastAsia="Arial" w:hAnsi="Arial"/>
                <w:sz w:val="15"/>
                <w:szCs w:val="15"/>
                <w:color w:val="auto"/>
                <w:w w:val="95"/>
              </w:rPr>
              <w:t>52</w:t>
            </w:r>
          </w:p>
        </w:tc>
        <w:tc>
          <w:tcPr>
            <w:tcW w:w="200" w:type="dxa"/>
            <w:vAlign w:val="bottom"/>
            <w:vMerge w:val="restart"/>
            <w:shd w:val="clear" w:color="auto" w:fill="E5F1F8"/>
          </w:tcPr>
          <w:p>
            <w:pPr>
              <w:spacing w:after="0"/>
              <w:rPr>
                <w:sz w:val="20"/>
                <w:szCs w:val="20"/>
                <w:color w:val="auto"/>
              </w:rPr>
            </w:pPr>
            <w:r>
              <w:rPr>
                <w:rFonts w:ascii="Arial" w:cs="Arial" w:eastAsia="Arial" w:hAnsi="Arial"/>
                <w:sz w:val="15"/>
                <w:szCs w:val="15"/>
                <w:color w:val="auto"/>
              </w:rPr>
              <w:t>nd</w:t>
            </w:r>
          </w:p>
        </w:tc>
        <w:tc>
          <w:tcPr>
            <w:tcW w:w="1040" w:type="dxa"/>
            <w:vAlign w:val="bottom"/>
            <w:tcBorders>
              <w:right w:val="single" w:sz="8" w:color="007CBA"/>
            </w:tcBorders>
            <w:shd w:val="clear" w:color="auto" w:fill="E5F1F8"/>
          </w:tcPr>
          <w:p>
            <w:pPr>
              <w:jc w:val="right"/>
              <w:ind w:right="138"/>
              <w:spacing w:after="0" w:line="135" w:lineRule="exact"/>
              <w:rPr>
                <w:sz w:val="20"/>
                <w:szCs w:val="20"/>
                <w:color w:val="auto"/>
              </w:rPr>
            </w:pPr>
            <w:r>
              <w:rPr>
                <w:rFonts w:ascii="Arial" w:cs="Arial" w:eastAsia="Arial" w:hAnsi="Arial"/>
                <w:sz w:val="15"/>
                <w:szCs w:val="15"/>
                <w:color w:val="auto"/>
              </w:rPr>
              <w:t>Percentile</w:t>
            </w:r>
          </w:p>
        </w:tc>
        <w:tc>
          <w:tcPr>
            <w:tcW w:w="1060" w:type="dxa"/>
            <w:vAlign w:val="bottom"/>
            <w:tcBorders>
              <w:right w:val="single" w:sz="8" w:color="007CBA"/>
            </w:tcBorders>
            <w:shd w:val="clear" w:color="auto" w:fill="E5F1F8"/>
          </w:tcPr>
          <w:p>
            <w:pPr>
              <w:jc w:val="center"/>
              <w:spacing w:after="0" w:line="135" w:lineRule="exact"/>
              <w:rPr>
                <w:sz w:val="20"/>
                <w:szCs w:val="20"/>
                <w:color w:val="auto"/>
              </w:rPr>
            </w:pPr>
            <w:r>
              <w:rPr>
                <w:rFonts w:ascii="Arial" w:cs="Arial" w:eastAsia="Arial" w:hAnsi="Arial"/>
                <w:sz w:val="15"/>
                <w:szCs w:val="15"/>
                <w:color w:val="auto"/>
              </w:rPr>
              <w:t>25.0%</w:t>
            </w:r>
          </w:p>
        </w:tc>
        <w:tc>
          <w:tcPr>
            <w:tcW w:w="1380" w:type="dxa"/>
            <w:vAlign w:val="bottom"/>
            <w:shd w:val="clear" w:color="auto" w:fill="E5F1F8"/>
          </w:tcPr>
          <w:p>
            <w:pPr>
              <w:jc w:val="center"/>
              <w:ind w:left="39"/>
              <w:spacing w:after="0" w:line="135" w:lineRule="exact"/>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42"/>
        </w:trPr>
        <w:tc>
          <w:tcPr>
            <w:tcW w:w="5540" w:type="dxa"/>
            <w:vAlign w:val="bottom"/>
            <w:tcBorders>
              <w:right w:val="single" w:sz="8" w:color="007CBA"/>
            </w:tcBorders>
            <w:shd w:val="clear" w:color="auto" w:fill="E5F1F8"/>
          </w:tcPr>
          <w:p>
            <w:pPr>
              <w:spacing w:after="0"/>
              <w:rPr>
                <w:sz w:val="3"/>
                <w:szCs w:val="3"/>
                <w:color w:val="auto"/>
              </w:rPr>
            </w:pPr>
          </w:p>
        </w:tc>
        <w:tc>
          <w:tcPr>
            <w:tcW w:w="300" w:type="dxa"/>
            <w:vAlign w:val="bottom"/>
            <w:shd w:val="clear" w:color="auto" w:fill="E5F1F8"/>
          </w:tcPr>
          <w:p>
            <w:pPr>
              <w:spacing w:after="0"/>
              <w:rPr>
                <w:sz w:val="3"/>
                <w:szCs w:val="3"/>
                <w:color w:val="auto"/>
              </w:rPr>
            </w:pPr>
          </w:p>
        </w:tc>
        <w:tc>
          <w:tcPr>
            <w:tcW w:w="160" w:type="dxa"/>
            <w:vAlign w:val="bottom"/>
            <w:vMerge w:val="continue"/>
            <w:shd w:val="clear" w:color="auto" w:fill="E5F1F8"/>
          </w:tcPr>
          <w:p>
            <w:pPr>
              <w:spacing w:after="0"/>
              <w:rPr>
                <w:sz w:val="3"/>
                <w:szCs w:val="3"/>
                <w:color w:val="auto"/>
              </w:rPr>
            </w:pPr>
          </w:p>
        </w:tc>
        <w:tc>
          <w:tcPr>
            <w:tcW w:w="1060" w:type="dxa"/>
            <w:vAlign w:val="bottom"/>
            <w:tcBorders>
              <w:right w:val="single" w:sz="8" w:color="007CBA"/>
            </w:tcBorders>
            <w:shd w:val="clear" w:color="auto" w:fill="E5F1F8"/>
          </w:tcPr>
          <w:p>
            <w:pPr>
              <w:spacing w:after="0"/>
              <w:rPr>
                <w:sz w:val="3"/>
                <w:szCs w:val="3"/>
                <w:color w:val="auto"/>
              </w:rPr>
            </w:pPr>
          </w:p>
        </w:tc>
        <w:tc>
          <w:tcPr>
            <w:tcW w:w="260" w:type="dxa"/>
            <w:vAlign w:val="bottom"/>
            <w:shd w:val="clear" w:color="auto" w:fill="E5F1F8"/>
          </w:tcPr>
          <w:p>
            <w:pPr>
              <w:spacing w:after="0"/>
              <w:rPr>
                <w:sz w:val="3"/>
                <w:szCs w:val="3"/>
                <w:color w:val="auto"/>
              </w:rPr>
            </w:pPr>
          </w:p>
        </w:tc>
        <w:tc>
          <w:tcPr>
            <w:tcW w:w="200" w:type="dxa"/>
            <w:vAlign w:val="bottom"/>
            <w:vMerge w:val="continue"/>
            <w:shd w:val="clear" w:color="auto" w:fill="E5F1F8"/>
          </w:tcPr>
          <w:p>
            <w:pPr>
              <w:spacing w:after="0"/>
              <w:rPr>
                <w:sz w:val="3"/>
                <w:szCs w:val="3"/>
                <w:color w:val="auto"/>
              </w:rPr>
            </w:pPr>
          </w:p>
        </w:tc>
        <w:tc>
          <w:tcPr>
            <w:tcW w:w="1040" w:type="dxa"/>
            <w:vAlign w:val="bottom"/>
            <w:tcBorders>
              <w:right w:val="single" w:sz="8" w:color="007CBA"/>
            </w:tcBorders>
            <w:shd w:val="clear" w:color="auto" w:fill="E5F1F8"/>
          </w:tcPr>
          <w:p>
            <w:pPr>
              <w:spacing w:after="0"/>
              <w:rPr>
                <w:sz w:val="3"/>
                <w:szCs w:val="3"/>
                <w:color w:val="auto"/>
              </w:rPr>
            </w:pPr>
          </w:p>
        </w:tc>
        <w:tc>
          <w:tcPr>
            <w:tcW w:w="1060" w:type="dxa"/>
            <w:vAlign w:val="bottom"/>
            <w:tcBorders>
              <w:right w:val="single" w:sz="8" w:color="007CBA"/>
            </w:tcBorders>
            <w:shd w:val="clear" w:color="auto" w:fill="E5F1F8"/>
          </w:tcPr>
          <w:p>
            <w:pPr>
              <w:spacing w:after="0"/>
              <w:rPr>
                <w:sz w:val="3"/>
                <w:szCs w:val="3"/>
                <w:color w:val="auto"/>
              </w:rPr>
            </w:pPr>
          </w:p>
        </w:tc>
        <w:tc>
          <w:tcPr>
            <w:tcW w:w="1380" w:type="dxa"/>
            <w:vAlign w:val="bottom"/>
            <w:shd w:val="clear" w:color="auto" w:fill="E5F1F8"/>
          </w:tcPr>
          <w:p>
            <w:pPr>
              <w:spacing w:after="0"/>
              <w:rPr>
                <w:sz w:val="3"/>
                <w:szCs w:val="3"/>
                <w:color w:val="auto"/>
              </w:rPr>
            </w:pPr>
          </w:p>
        </w:tc>
        <w:tc>
          <w:tcPr>
            <w:tcW w:w="0" w:type="dxa"/>
            <w:vAlign w:val="bottom"/>
          </w:tcPr>
          <w:p>
            <w:pPr>
              <w:spacing w:after="0"/>
              <w:rPr>
                <w:sz w:val="1"/>
                <w:szCs w:val="1"/>
                <w:color w:val="auto"/>
              </w:rPr>
            </w:pPr>
          </w:p>
        </w:tc>
      </w:tr>
      <w:tr>
        <w:trPr>
          <w:trHeight w:val="66"/>
        </w:trPr>
        <w:tc>
          <w:tcPr>
            <w:tcW w:w="5540" w:type="dxa"/>
            <w:vAlign w:val="bottom"/>
            <w:tcBorders>
              <w:bottom w:val="single" w:sz="8" w:color="007CBA"/>
              <w:right w:val="single" w:sz="8" w:color="007CBA"/>
            </w:tcBorders>
            <w:shd w:val="clear" w:color="auto" w:fill="E5F1F8"/>
          </w:tcPr>
          <w:p>
            <w:pPr>
              <w:spacing w:after="0"/>
              <w:rPr>
                <w:sz w:val="5"/>
                <w:szCs w:val="5"/>
                <w:color w:val="auto"/>
              </w:rPr>
            </w:pPr>
          </w:p>
        </w:tc>
        <w:tc>
          <w:tcPr>
            <w:tcW w:w="300" w:type="dxa"/>
            <w:vAlign w:val="bottom"/>
            <w:tcBorders>
              <w:bottom w:val="single" w:sz="8" w:color="007CBA"/>
            </w:tcBorders>
            <w:shd w:val="clear" w:color="auto" w:fill="E5F1F8"/>
          </w:tcPr>
          <w:p>
            <w:pPr>
              <w:spacing w:after="0"/>
              <w:rPr>
                <w:sz w:val="5"/>
                <w:szCs w:val="5"/>
                <w:color w:val="auto"/>
              </w:rPr>
            </w:pPr>
          </w:p>
        </w:tc>
        <w:tc>
          <w:tcPr>
            <w:tcW w:w="160" w:type="dxa"/>
            <w:vAlign w:val="bottom"/>
            <w:tcBorders>
              <w:bottom w:val="single" w:sz="8" w:color="007CBA"/>
            </w:tcBorders>
            <w:shd w:val="clear" w:color="auto" w:fill="E5F1F8"/>
          </w:tcPr>
          <w:p>
            <w:pPr>
              <w:spacing w:after="0"/>
              <w:rPr>
                <w:sz w:val="5"/>
                <w:szCs w:val="5"/>
                <w:color w:val="auto"/>
              </w:rPr>
            </w:pPr>
          </w:p>
        </w:tc>
        <w:tc>
          <w:tcPr>
            <w:tcW w:w="1060" w:type="dxa"/>
            <w:vAlign w:val="bottom"/>
            <w:tcBorders>
              <w:bottom w:val="single" w:sz="8" w:color="007CBA"/>
              <w:right w:val="single" w:sz="8" w:color="007CBA"/>
            </w:tcBorders>
            <w:shd w:val="clear" w:color="auto" w:fill="E5F1F8"/>
          </w:tcPr>
          <w:p>
            <w:pPr>
              <w:spacing w:after="0"/>
              <w:rPr>
                <w:sz w:val="5"/>
                <w:szCs w:val="5"/>
                <w:color w:val="auto"/>
              </w:rPr>
            </w:pPr>
          </w:p>
        </w:tc>
        <w:tc>
          <w:tcPr>
            <w:tcW w:w="260" w:type="dxa"/>
            <w:vAlign w:val="bottom"/>
            <w:tcBorders>
              <w:bottom w:val="single" w:sz="8" w:color="007CBA"/>
            </w:tcBorders>
            <w:shd w:val="clear" w:color="auto" w:fill="E5F1F8"/>
          </w:tcPr>
          <w:p>
            <w:pPr>
              <w:spacing w:after="0"/>
              <w:rPr>
                <w:sz w:val="5"/>
                <w:szCs w:val="5"/>
                <w:color w:val="auto"/>
              </w:rPr>
            </w:pPr>
          </w:p>
        </w:tc>
        <w:tc>
          <w:tcPr>
            <w:tcW w:w="200" w:type="dxa"/>
            <w:vAlign w:val="bottom"/>
            <w:tcBorders>
              <w:bottom w:val="single" w:sz="8" w:color="007CBA"/>
            </w:tcBorders>
            <w:shd w:val="clear" w:color="auto" w:fill="E5F1F8"/>
          </w:tcPr>
          <w:p>
            <w:pPr>
              <w:spacing w:after="0"/>
              <w:rPr>
                <w:sz w:val="5"/>
                <w:szCs w:val="5"/>
                <w:color w:val="auto"/>
              </w:rPr>
            </w:pPr>
          </w:p>
        </w:tc>
        <w:tc>
          <w:tcPr>
            <w:tcW w:w="1040" w:type="dxa"/>
            <w:vAlign w:val="bottom"/>
            <w:tcBorders>
              <w:bottom w:val="single" w:sz="8" w:color="007CBA"/>
              <w:right w:val="single" w:sz="8" w:color="007CBA"/>
            </w:tcBorders>
            <w:shd w:val="clear" w:color="auto" w:fill="E5F1F8"/>
          </w:tcPr>
          <w:p>
            <w:pPr>
              <w:spacing w:after="0"/>
              <w:rPr>
                <w:sz w:val="5"/>
                <w:szCs w:val="5"/>
                <w:color w:val="auto"/>
              </w:rPr>
            </w:pPr>
          </w:p>
        </w:tc>
        <w:tc>
          <w:tcPr>
            <w:tcW w:w="1060" w:type="dxa"/>
            <w:vAlign w:val="bottom"/>
            <w:tcBorders>
              <w:bottom w:val="single" w:sz="8" w:color="007CBA"/>
              <w:right w:val="single" w:sz="8" w:color="007CBA"/>
            </w:tcBorders>
            <w:shd w:val="clear" w:color="auto" w:fill="E5F1F8"/>
          </w:tcPr>
          <w:p>
            <w:pPr>
              <w:spacing w:after="0"/>
              <w:rPr>
                <w:sz w:val="5"/>
                <w:szCs w:val="5"/>
                <w:color w:val="auto"/>
              </w:rPr>
            </w:pPr>
          </w:p>
        </w:tc>
        <w:tc>
          <w:tcPr>
            <w:tcW w:w="1380" w:type="dxa"/>
            <w:vAlign w:val="bottom"/>
            <w:tcBorders>
              <w:bottom w:val="single" w:sz="8" w:color="007CBA"/>
            </w:tcBorders>
            <w:shd w:val="clear" w:color="auto" w:fill="E5F1F8"/>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3517265</wp:posOffset>
            </wp:positionH>
            <wp:positionV relativeFrom="paragraph">
              <wp:posOffset>93980</wp:posOffset>
            </wp:positionV>
            <wp:extent cx="410845" cy="2482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163" w:lineRule="exact"/>
        <w:rPr>
          <w:sz w:val="20"/>
          <w:szCs w:val="20"/>
          <w:color w:val="auto"/>
        </w:rPr>
      </w:pPr>
    </w:p>
    <w:p>
      <w:pPr>
        <w:ind w:left="640" w:hanging="430"/>
        <w:spacing w:after="0"/>
        <w:tabs>
          <w:tab w:leader="none" w:pos="640" w:val="left"/>
        </w:tabs>
        <w:numPr>
          <w:ilvl w:val="0"/>
          <w:numId w:val="107"/>
        </w:numPr>
        <w:rPr>
          <w:rFonts w:ascii="Arial" w:cs="Arial" w:eastAsia="Arial" w:hAnsi="Arial"/>
          <w:sz w:val="13"/>
          <w:szCs w:val="13"/>
          <w:b w:val="1"/>
          <w:bCs w:val="1"/>
          <w:color w:val="auto"/>
        </w:rPr>
      </w:pPr>
      <w:r>
        <w:rPr>
          <w:rFonts w:ascii="Arial" w:cs="Arial" w:eastAsia="Arial" w:hAnsi="Arial"/>
          <w:sz w:val="13"/>
          <w:szCs w:val="13"/>
          <w:color w:val="007CBA"/>
        </w:rPr>
        <w:t>2019 PROXY STATEMENT</w:t>
      </w:r>
    </w:p>
    <w:p>
      <w:pPr>
        <w:sectPr>
          <w:pgSz w:w="11900" w:h="16838" w:orient="portrait"/>
          <w:cols w:equalWidth="0" w:num="1">
            <w:col w:w="11240"/>
          </w:cols>
          <w:pgMar w:left="240" w:top="459" w:right="41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9" w:lineRule="exact"/>
        <w:rPr>
          <w:sz w:val="20"/>
          <w:szCs w:val="20"/>
          <w:color w:val="auto"/>
        </w:rPr>
      </w:pPr>
    </w:p>
    <w:p>
      <w:pPr>
        <w:ind w:left="6560"/>
        <w:spacing w:after="0" w:line="251" w:lineRule="exact"/>
        <w:tabs>
          <w:tab w:leader="none" w:pos="8560" w:val="left"/>
        </w:tabs>
        <w:rPr>
          <w:sz w:val="20"/>
          <w:szCs w:val="20"/>
          <w:color w:val="auto"/>
        </w:rPr>
      </w:pPr>
      <w:r>
        <w:rPr>
          <w:rFonts w:ascii="Arial" w:cs="Arial" w:eastAsia="Arial" w:hAnsi="Arial"/>
          <w:sz w:val="13"/>
          <w:szCs w:val="13"/>
          <w:color w:val="auto"/>
        </w:rPr>
        <w:t>2016-2018 PSU Award Payouts</w:t>
      </w:r>
      <w:r>
        <w:rPr>
          <w:sz w:val="20"/>
          <w:szCs w:val="20"/>
          <w:color w:val="auto"/>
        </w:rPr>
        <w:tab/>
      </w:r>
      <w:r>
        <w:rPr>
          <w:rFonts w:ascii="MS PGothic" w:cs="MS PGothic" w:eastAsia="MS PGothic" w:hAnsi="MS PGothic"/>
          <w:sz w:val="25"/>
          <w:szCs w:val="25"/>
          <w:color w:val="007CBA"/>
        </w:rPr>
        <w:t xml:space="preserve">◆ </w:t>
      </w:r>
      <w:r>
        <w:rPr>
          <w:rFonts w:ascii="Arial" w:cs="Arial" w:eastAsia="Arial" w:hAnsi="Arial"/>
          <w:sz w:val="13"/>
          <w:szCs w:val="13"/>
          <w:color w:val="007CBA"/>
        </w:rPr>
        <w:t>Compensation Discussion and Analysis</w:t>
      </w:r>
    </w:p>
    <w:p>
      <w:pPr>
        <w:spacing w:after="0" w:line="200" w:lineRule="exact"/>
        <w:rPr>
          <w:sz w:val="20"/>
          <w:szCs w:val="20"/>
          <w:color w:val="auto"/>
        </w:rPr>
      </w:pPr>
    </w:p>
    <w:p>
      <w:pPr>
        <w:spacing w:after="0" w:line="25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Based on a weighted payout factor of </w:t>
      </w:r>
      <w:r>
        <w:rPr>
          <w:rFonts w:ascii="Arial" w:cs="Arial" w:eastAsia="Arial" w:hAnsi="Arial"/>
          <w:sz w:val="16"/>
          <w:szCs w:val="16"/>
          <w:b w:val="1"/>
          <w:bCs w:val="1"/>
          <w:color w:val="auto"/>
        </w:rPr>
        <w:t>75%</w:t>
      </w:r>
      <w:r>
        <w:rPr>
          <w:rFonts w:ascii="Arial" w:cs="Arial" w:eastAsia="Arial" w:hAnsi="Arial"/>
          <w:sz w:val="16"/>
          <w:szCs w:val="16"/>
          <w:color w:val="auto"/>
        </w:rPr>
        <w:t>, the following table shows the payouts under the 2016-2018 PSU made in February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168910</wp:posOffset>
            </wp:positionV>
            <wp:extent cx="633031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330315" cy="17145"/>
                    </a:xfrm>
                    <a:prstGeom prst="rect">
                      <a:avLst/>
                    </a:prstGeom>
                    <a:noFill/>
                  </pic:spPr>
                </pic:pic>
              </a:graphicData>
            </a:graphic>
          </wp:anchor>
        </w:drawing>
      </w:r>
    </w:p>
    <w:p>
      <w:pPr>
        <w:spacing w:after="0" w:line="255"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FFFFFF"/>
        </w:rPr>
        <w:t>Payment Calculation for PSUs Granted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-104775</wp:posOffset>
            </wp:positionV>
            <wp:extent cx="6989445" cy="2654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89445" cy="265430"/>
                    </a:xfrm>
                    <a:prstGeom prst="rect">
                      <a:avLst/>
                    </a:prstGeom>
                    <a:noFill/>
                  </pic:spPr>
                </pic:pic>
              </a:graphicData>
            </a:graphic>
          </wp:anchor>
        </w:drawing>
      </w:r>
    </w:p>
    <w:p>
      <w:pPr>
        <w:spacing w:after="0" w:line="5"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FFFFFF"/>
        </w:rPr>
        <w:t>Certified on February 20, 2019</w:t>
      </w:r>
    </w:p>
    <w:p>
      <w:pPr>
        <w:spacing w:after="0" w:line="30"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7880" w:type="dxa"/>
            <w:vAlign w:val="bottom"/>
            <w:tcBorders>
              <w:right w:val="single" w:sz="8" w:color="007CBA"/>
            </w:tcBorders>
            <w:shd w:val="clear" w:color="auto" w:fill="007CBA"/>
          </w:tcPr>
          <w:p>
            <w:pPr>
              <w:spacing w:after="0"/>
              <w:rPr>
                <w:sz w:val="16"/>
                <w:szCs w:val="16"/>
                <w:color w:val="auto"/>
              </w:rPr>
            </w:pPr>
          </w:p>
        </w:tc>
        <w:tc>
          <w:tcPr>
            <w:tcW w:w="1680" w:type="dxa"/>
            <w:vAlign w:val="bottom"/>
            <w:tcBorders>
              <w:right w:val="single" w:sz="8" w:color="007CBA"/>
            </w:tcBorders>
            <w:shd w:val="clear" w:color="auto" w:fill="007CBA"/>
          </w:tcPr>
          <w:p>
            <w:pPr>
              <w:jc w:val="right"/>
              <w:spacing w:after="0"/>
              <w:rPr>
                <w:sz w:val="20"/>
                <w:szCs w:val="20"/>
                <w:color w:val="auto"/>
              </w:rPr>
            </w:pPr>
            <w:r>
              <w:rPr>
                <w:rFonts w:ascii="Arial" w:cs="Arial" w:eastAsia="Arial" w:hAnsi="Arial"/>
                <w:sz w:val="16"/>
                <w:szCs w:val="16"/>
                <w:b w:val="1"/>
                <w:bCs w:val="1"/>
                <w:color w:val="FFFFFF"/>
              </w:rPr>
              <w:t>Target Units Granted</w:t>
            </w:r>
          </w:p>
        </w:tc>
        <w:tc>
          <w:tcPr>
            <w:tcW w:w="1440" w:type="dxa"/>
            <w:vAlign w:val="bottom"/>
            <w:shd w:val="clear" w:color="auto" w:fill="007CBA"/>
          </w:tcPr>
          <w:p>
            <w:pPr>
              <w:jc w:val="right"/>
              <w:ind w:right="378"/>
              <w:spacing w:after="0"/>
              <w:rPr>
                <w:sz w:val="20"/>
                <w:szCs w:val="20"/>
                <w:color w:val="auto"/>
              </w:rPr>
            </w:pPr>
            <w:r>
              <w:rPr>
                <w:rFonts w:ascii="Arial" w:cs="Arial" w:eastAsia="Arial" w:hAnsi="Arial"/>
                <w:sz w:val="16"/>
                <w:szCs w:val="16"/>
                <w:b w:val="1"/>
                <w:bCs w:val="1"/>
                <w:color w:val="FFFFFF"/>
              </w:rPr>
              <w:t>Payout</w:t>
            </w:r>
          </w:p>
        </w:tc>
        <w:tc>
          <w:tcPr>
            <w:tcW w:w="0" w:type="dxa"/>
            <w:vAlign w:val="bottom"/>
          </w:tcPr>
          <w:p>
            <w:pPr>
              <w:spacing w:after="0"/>
              <w:rPr>
                <w:sz w:val="1"/>
                <w:szCs w:val="1"/>
                <w:color w:val="auto"/>
              </w:rPr>
            </w:pPr>
          </w:p>
        </w:tc>
      </w:tr>
      <w:tr>
        <w:trPr>
          <w:trHeight w:val="241"/>
        </w:trPr>
        <w:tc>
          <w:tcPr>
            <w:tcW w:w="7880" w:type="dxa"/>
            <w:vAlign w:val="bottom"/>
            <w:tcBorders>
              <w:bottom w:val="single" w:sz="8" w:color="007CBA"/>
              <w:right w:val="single" w:sz="8" w:color="007CBA"/>
            </w:tcBorders>
            <w:shd w:val="clear" w:color="auto" w:fill="007CBA"/>
          </w:tcPr>
          <w:p>
            <w:pPr>
              <w:ind w:left="80"/>
              <w:spacing w:after="0"/>
              <w:rPr>
                <w:sz w:val="20"/>
                <w:szCs w:val="20"/>
                <w:color w:val="auto"/>
              </w:rPr>
            </w:pPr>
            <w:r>
              <w:rPr>
                <w:rFonts w:ascii="Arial" w:cs="Arial" w:eastAsia="Arial" w:hAnsi="Arial"/>
                <w:sz w:val="16"/>
                <w:szCs w:val="16"/>
                <w:b w:val="1"/>
                <w:bCs w:val="1"/>
                <w:color w:val="FFFFFF"/>
              </w:rPr>
              <w:t>NEO</w:t>
            </w:r>
          </w:p>
        </w:tc>
        <w:tc>
          <w:tcPr>
            <w:tcW w:w="1680" w:type="dxa"/>
            <w:vAlign w:val="bottom"/>
            <w:tcBorders>
              <w:bottom w:val="single" w:sz="8" w:color="007CBA"/>
              <w:right w:val="single" w:sz="8" w:color="007CBA"/>
            </w:tcBorders>
            <w:shd w:val="clear" w:color="auto" w:fill="007CBA"/>
          </w:tcPr>
          <w:p>
            <w:pPr>
              <w:jc w:val="right"/>
              <w:ind w:right="158"/>
              <w:spacing w:after="0"/>
              <w:rPr>
                <w:sz w:val="20"/>
                <w:szCs w:val="20"/>
                <w:color w:val="auto"/>
              </w:rPr>
            </w:pPr>
            <w:r>
              <w:rPr>
                <w:rFonts w:ascii="Arial" w:cs="Arial" w:eastAsia="Arial" w:hAnsi="Arial"/>
                <w:sz w:val="16"/>
                <w:szCs w:val="16"/>
                <w:b w:val="1"/>
                <w:bCs w:val="1"/>
                <w:color w:val="FFFFFF"/>
              </w:rPr>
              <w:t>in 2016 (shares)</w:t>
            </w:r>
          </w:p>
        </w:tc>
        <w:tc>
          <w:tcPr>
            <w:tcW w:w="1440" w:type="dxa"/>
            <w:vAlign w:val="bottom"/>
            <w:tcBorders>
              <w:bottom w:val="single" w:sz="8" w:color="007CBA"/>
            </w:tcBorders>
            <w:shd w:val="clear" w:color="auto" w:fill="007CBA"/>
          </w:tcPr>
          <w:p>
            <w:pPr>
              <w:jc w:val="right"/>
              <w:ind w:right="318"/>
              <w:spacing w:after="0"/>
              <w:rPr>
                <w:sz w:val="20"/>
                <w:szCs w:val="20"/>
                <w:color w:val="auto"/>
              </w:rPr>
            </w:pPr>
            <w:r>
              <w:rPr>
                <w:rFonts w:ascii="Arial" w:cs="Arial" w:eastAsia="Arial" w:hAnsi="Arial"/>
                <w:sz w:val="16"/>
                <w:szCs w:val="16"/>
                <w:b w:val="1"/>
                <w:bCs w:val="1"/>
                <w:color w:val="FFFFFF"/>
              </w:rPr>
              <w:t>(shares)</w:t>
            </w:r>
          </w:p>
        </w:tc>
        <w:tc>
          <w:tcPr>
            <w:tcW w:w="0" w:type="dxa"/>
            <w:vAlign w:val="bottom"/>
          </w:tcPr>
          <w:p>
            <w:pPr>
              <w:spacing w:after="0"/>
              <w:rPr>
                <w:sz w:val="1"/>
                <w:szCs w:val="1"/>
                <w:color w:val="auto"/>
              </w:rPr>
            </w:pPr>
          </w:p>
        </w:tc>
      </w:tr>
      <w:tr>
        <w:trPr>
          <w:trHeight w:val="263"/>
        </w:trPr>
        <w:tc>
          <w:tcPr>
            <w:tcW w:w="7880" w:type="dxa"/>
            <w:vAlign w:val="bottom"/>
            <w:tcBorders>
              <w:bottom w:val="single" w:sz="8" w:color="E5F1F8"/>
              <w:right w:val="single" w:sz="8" w:color="007CBA"/>
            </w:tcBorders>
            <w:shd w:val="clear" w:color="auto" w:fill="E5F1F8"/>
          </w:tcPr>
          <w:p>
            <w:pPr>
              <w:ind w:left="60"/>
              <w:spacing w:after="0"/>
              <w:rPr>
                <w:sz w:val="20"/>
                <w:szCs w:val="20"/>
                <w:color w:val="auto"/>
              </w:rPr>
            </w:pPr>
            <w:r>
              <w:rPr>
                <w:rFonts w:ascii="Arial" w:cs="Arial" w:eastAsia="Arial" w:hAnsi="Arial"/>
                <w:sz w:val="17"/>
                <w:szCs w:val="17"/>
                <w:color w:val="auto"/>
              </w:rPr>
              <w:t>C. Howard Nye</w:t>
            </w:r>
          </w:p>
        </w:tc>
        <w:tc>
          <w:tcPr>
            <w:tcW w:w="1680" w:type="dxa"/>
            <w:vAlign w:val="bottom"/>
            <w:tcBorders>
              <w:bottom w:val="single" w:sz="8" w:color="E5F1F8"/>
              <w:right w:val="single" w:sz="8" w:color="007CBA"/>
            </w:tcBorders>
            <w:shd w:val="clear" w:color="auto" w:fill="E5F1F8"/>
          </w:tcPr>
          <w:p>
            <w:pPr>
              <w:jc w:val="right"/>
              <w:ind w:right="478"/>
              <w:spacing w:after="0"/>
              <w:rPr>
                <w:sz w:val="20"/>
                <w:szCs w:val="20"/>
                <w:color w:val="auto"/>
              </w:rPr>
            </w:pPr>
            <w:r>
              <w:rPr>
                <w:rFonts w:ascii="Arial" w:cs="Arial" w:eastAsia="Arial" w:hAnsi="Arial"/>
                <w:sz w:val="17"/>
                <w:szCs w:val="17"/>
                <w:color w:val="auto"/>
              </w:rPr>
              <w:t>21,339</w:t>
            </w:r>
          </w:p>
        </w:tc>
        <w:tc>
          <w:tcPr>
            <w:tcW w:w="1440" w:type="dxa"/>
            <w:vAlign w:val="bottom"/>
            <w:tcBorders>
              <w:bottom w:val="single" w:sz="8" w:color="E5F1F8"/>
            </w:tcBorders>
            <w:shd w:val="clear" w:color="auto" w:fill="E5F1F8"/>
          </w:tcPr>
          <w:p>
            <w:pPr>
              <w:jc w:val="right"/>
              <w:ind w:right="458"/>
              <w:spacing w:after="0"/>
              <w:rPr>
                <w:sz w:val="20"/>
                <w:szCs w:val="20"/>
                <w:color w:val="auto"/>
              </w:rPr>
            </w:pPr>
            <w:r>
              <w:rPr>
                <w:rFonts w:ascii="Arial" w:cs="Arial" w:eastAsia="Arial" w:hAnsi="Arial"/>
                <w:sz w:val="16"/>
                <w:szCs w:val="16"/>
                <w:color w:val="auto"/>
              </w:rPr>
              <w:t>16,101</w:t>
            </w:r>
          </w:p>
        </w:tc>
        <w:tc>
          <w:tcPr>
            <w:tcW w:w="0" w:type="dxa"/>
            <w:vAlign w:val="bottom"/>
          </w:tcPr>
          <w:p>
            <w:pPr>
              <w:spacing w:after="0"/>
              <w:rPr>
                <w:sz w:val="1"/>
                <w:szCs w:val="1"/>
                <w:color w:val="auto"/>
              </w:rPr>
            </w:pPr>
          </w:p>
        </w:tc>
      </w:tr>
      <w:tr>
        <w:trPr>
          <w:trHeight w:val="283"/>
        </w:trPr>
        <w:tc>
          <w:tcPr>
            <w:tcW w:w="7880" w:type="dxa"/>
            <w:vAlign w:val="bottom"/>
            <w:tcBorders>
              <w:right w:val="single" w:sz="8" w:color="007CBA"/>
            </w:tcBorders>
          </w:tcPr>
          <w:p>
            <w:pPr>
              <w:ind w:left="60"/>
              <w:spacing w:after="0" w:line="283" w:lineRule="exact"/>
              <w:rPr>
                <w:sz w:val="20"/>
                <w:szCs w:val="20"/>
                <w:color w:val="auto"/>
              </w:rPr>
            </w:pPr>
            <w:r>
              <w:rPr>
                <w:rFonts w:ascii="Arial" w:cs="Arial" w:eastAsia="Arial" w:hAnsi="Arial"/>
                <w:sz w:val="17"/>
                <w:szCs w:val="17"/>
                <w:color w:val="auto"/>
              </w:rPr>
              <w:t>James A. J. Nickolas</w:t>
            </w:r>
            <w:r>
              <w:rPr>
                <w:rFonts w:ascii="Arial" w:cs="Arial" w:eastAsia="Arial" w:hAnsi="Arial"/>
                <w:sz w:val="29"/>
                <w:szCs w:val="29"/>
                <w:color w:val="auto"/>
                <w:vertAlign w:val="superscript"/>
              </w:rPr>
              <w:t>*</w:t>
            </w:r>
          </w:p>
        </w:tc>
        <w:tc>
          <w:tcPr>
            <w:tcW w:w="1680" w:type="dxa"/>
            <w:vAlign w:val="bottom"/>
            <w:tcBorders>
              <w:right w:val="single" w:sz="8" w:color="007CBA"/>
            </w:tcBorders>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880" w:type="dxa"/>
            <w:vAlign w:val="bottom"/>
            <w:tcBorders>
              <w:bottom w:val="single" w:sz="8" w:color="E5F1F8"/>
              <w:right w:val="single" w:sz="8" w:color="007CBA"/>
            </w:tcBorders>
            <w:shd w:val="clear" w:color="auto" w:fill="E5F1F8"/>
          </w:tcPr>
          <w:p>
            <w:pPr>
              <w:ind w:left="60"/>
              <w:spacing w:after="0"/>
              <w:rPr>
                <w:sz w:val="20"/>
                <w:szCs w:val="20"/>
                <w:color w:val="auto"/>
              </w:rPr>
            </w:pPr>
            <w:r>
              <w:rPr>
                <w:rFonts w:ascii="Arial" w:cs="Arial" w:eastAsia="Arial" w:hAnsi="Arial"/>
                <w:sz w:val="17"/>
                <w:szCs w:val="17"/>
                <w:color w:val="auto"/>
              </w:rPr>
              <w:t>Roselyn R. Bar</w:t>
            </w:r>
          </w:p>
        </w:tc>
        <w:tc>
          <w:tcPr>
            <w:tcW w:w="1680" w:type="dxa"/>
            <w:vAlign w:val="bottom"/>
            <w:tcBorders>
              <w:bottom w:val="single" w:sz="8" w:color="E5F1F8"/>
              <w:right w:val="single" w:sz="8" w:color="007CBA"/>
            </w:tcBorders>
            <w:shd w:val="clear" w:color="auto" w:fill="E5F1F8"/>
          </w:tcPr>
          <w:p>
            <w:pPr>
              <w:jc w:val="right"/>
              <w:ind w:right="458"/>
              <w:spacing w:after="0"/>
              <w:rPr>
                <w:sz w:val="20"/>
                <w:szCs w:val="20"/>
                <w:color w:val="auto"/>
              </w:rPr>
            </w:pPr>
            <w:r>
              <w:rPr>
                <w:rFonts w:ascii="Arial" w:cs="Arial" w:eastAsia="Arial" w:hAnsi="Arial"/>
                <w:sz w:val="16"/>
                <w:szCs w:val="16"/>
                <w:color w:val="auto"/>
              </w:rPr>
              <w:t>4,697</w:t>
            </w:r>
          </w:p>
        </w:tc>
        <w:tc>
          <w:tcPr>
            <w:tcW w:w="1440" w:type="dxa"/>
            <w:vAlign w:val="bottom"/>
            <w:tcBorders>
              <w:bottom w:val="single" w:sz="8" w:color="E5F1F8"/>
            </w:tcBorders>
            <w:shd w:val="clear" w:color="auto" w:fill="E5F1F8"/>
          </w:tcPr>
          <w:p>
            <w:pPr>
              <w:jc w:val="right"/>
              <w:ind w:right="458"/>
              <w:spacing w:after="0"/>
              <w:rPr>
                <w:sz w:val="20"/>
                <w:szCs w:val="20"/>
                <w:color w:val="auto"/>
              </w:rPr>
            </w:pPr>
            <w:r>
              <w:rPr>
                <w:rFonts w:ascii="Arial" w:cs="Arial" w:eastAsia="Arial" w:hAnsi="Arial"/>
                <w:sz w:val="16"/>
                <w:szCs w:val="16"/>
                <w:color w:val="auto"/>
              </w:rPr>
              <w:t>3,545</w:t>
            </w:r>
          </w:p>
        </w:tc>
        <w:tc>
          <w:tcPr>
            <w:tcW w:w="0" w:type="dxa"/>
            <w:vAlign w:val="bottom"/>
          </w:tcPr>
          <w:p>
            <w:pPr>
              <w:spacing w:after="0"/>
              <w:rPr>
                <w:sz w:val="1"/>
                <w:szCs w:val="1"/>
                <w:color w:val="auto"/>
              </w:rPr>
            </w:pPr>
          </w:p>
        </w:tc>
      </w:tr>
      <w:tr>
        <w:trPr>
          <w:trHeight w:val="239"/>
        </w:trPr>
        <w:tc>
          <w:tcPr>
            <w:tcW w:w="7880" w:type="dxa"/>
            <w:vAlign w:val="bottom"/>
            <w:tcBorders>
              <w:right w:val="single" w:sz="8" w:color="007CBA"/>
            </w:tcBorders>
          </w:tcPr>
          <w:p>
            <w:pPr>
              <w:ind w:left="60"/>
              <w:spacing w:after="0"/>
              <w:rPr>
                <w:sz w:val="20"/>
                <w:szCs w:val="20"/>
                <w:color w:val="auto"/>
              </w:rPr>
            </w:pPr>
            <w:r>
              <w:rPr>
                <w:rFonts w:ascii="Arial" w:cs="Arial" w:eastAsia="Arial" w:hAnsi="Arial"/>
                <w:sz w:val="17"/>
                <w:szCs w:val="17"/>
                <w:color w:val="auto"/>
              </w:rPr>
              <w:t>Donald A. McCunniff</w:t>
            </w:r>
          </w:p>
        </w:tc>
        <w:tc>
          <w:tcPr>
            <w:tcW w:w="1680" w:type="dxa"/>
            <w:vAlign w:val="bottom"/>
            <w:tcBorders>
              <w:right w:val="single" w:sz="8" w:color="007CBA"/>
            </w:tcBorders>
            <w:vMerge w:val="restart"/>
          </w:tcPr>
          <w:p>
            <w:pPr>
              <w:jc w:val="right"/>
              <w:ind w:right="458"/>
              <w:spacing w:after="0"/>
              <w:rPr>
                <w:sz w:val="20"/>
                <w:szCs w:val="20"/>
                <w:color w:val="auto"/>
              </w:rPr>
            </w:pPr>
            <w:r>
              <w:rPr>
                <w:rFonts w:ascii="Arial" w:cs="Arial" w:eastAsia="Arial" w:hAnsi="Arial"/>
                <w:sz w:val="16"/>
                <w:szCs w:val="16"/>
                <w:color w:val="auto"/>
              </w:rPr>
              <w:t>2,942</w:t>
            </w:r>
          </w:p>
        </w:tc>
        <w:tc>
          <w:tcPr>
            <w:tcW w:w="1440" w:type="dxa"/>
            <w:vAlign w:val="bottom"/>
            <w:vMerge w:val="restart"/>
          </w:tcPr>
          <w:p>
            <w:pPr>
              <w:jc w:val="right"/>
              <w:ind w:right="458"/>
              <w:spacing w:after="0"/>
              <w:rPr>
                <w:sz w:val="20"/>
                <w:szCs w:val="20"/>
                <w:color w:val="auto"/>
              </w:rPr>
            </w:pPr>
            <w:r>
              <w:rPr>
                <w:rFonts w:ascii="Arial" w:cs="Arial" w:eastAsia="Arial" w:hAnsi="Arial"/>
                <w:sz w:val="16"/>
                <w:szCs w:val="16"/>
                <w:color w:val="auto"/>
              </w:rPr>
              <w:t>2,220</w:t>
            </w:r>
          </w:p>
        </w:tc>
        <w:tc>
          <w:tcPr>
            <w:tcW w:w="0" w:type="dxa"/>
            <w:vAlign w:val="bottom"/>
          </w:tcPr>
          <w:p>
            <w:pPr>
              <w:spacing w:after="0"/>
              <w:rPr>
                <w:sz w:val="1"/>
                <w:szCs w:val="1"/>
                <w:color w:val="auto"/>
              </w:rPr>
            </w:pPr>
          </w:p>
        </w:tc>
      </w:tr>
      <w:tr>
        <w:trPr>
          <w:trHeight w:val="44"/>
        </w:trPr>
        <w:tc>
          <w:tcPr>
            <w:tcW w:w="7880" w:type="dxa"/>
            <w:vAlign w:val="bottom"/>
            <w:tcBorders>
              <w:right w:val="single" w:sz="8" w:color="007CBA"/>
            </w:tcBorders>
          </w:tcPr>
          <w:p>
            <w:pPr>
              <w:spacing w:after="0"/>
              <w:rPr>
                <w:sz w:val="3"/>
                <w:szCs w:val="3"/>
                <w:color w:val="auto"/>
              </w:rPr>
            </w:pPr>
          </w:p>
        </w:tc>
        <w:tc>
          <w:tcPr>
            <w:tcW w:w="1680" w:type="dxa"/>
            <w:vAlign w:val="bottom"/>
            <w:tcBorders>
              <w:right w:val="single" w:sz="8" w:color="007CBA"/>
            </w:tcBorders>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880" w:type="dxa"/>
            <w:vAlign w:val="bottom"/>
            <w:tcBorders>
              <w:bottom w:val="single" w:sz="8" w:color="E5F1F8"/>
              <w:right w:val="single" w:sz="8" w:color="007CBA"/>
            </w:tcBorders>
            <w:shd w:val="clear" w:color="auto" w:fill="E5F1F8"/>
          </w:tcPr>
          <w:p>
            <w:pPr>
              <w:ind w:left="60"/>
              <w:spacing w:after="0"/>
              <w:rPr>
                <w:sz w:val="20"/>
                <w:szCs w:val="20"/>
                <w:color w:val="auto"/>
              </w:rPr>
            </w:pPr>
            <w:r>
              <w:rPr>
                <w:rFonts w:ascii="Arial" w:cs="Arial" w:eastAsia="Arial" w:hAnsi="Arial"/>
                <w:sz w:val="17"/>
                <w:szCs w:val="17"/>
                <w:color w:val="auto"/>
              </w:rPr>
              <w:t>Daniel L. Grant</w:t>
            </w:r>
          </w:p>
        </w:tc>
        <w:tc>
          <w:tcPr>
            <w:tcW w:w="1680" w:type="dxa"/>
            <w:vAlign w:val="bottom"/>
            <w:tcBorders>
              <w:bottom w:val="single" w:sz="8" w:color="E5F1F8"/>
              <w:right w:val="single" w:sz="8" w:color="007CBA"/>
            </w:tcBorders>
            <w:shd w:val="clear" w:color="auto" w:fill="E5F1F8"/>
          </w:tcPr>
          <w:p>
            <w:pPr>
              <w:jc w:val="right"/>
              <w:ind w:right="478"/>
              <w:spacing w:after="0"/>
              <w:rPr>
                <w:sz w:val="20"/>
                <w:szCs w:val="20"/>
                <w:color w:val="auto"/>
              </w:rPr>
            </w:pPr>
            <w:r>
              <w:rPr>
                <w:rFonts w:ascii="Arial" w:cs="Arial" w:eastAsia="Arial" w:hAnsi="Arial"/>
                <w:sz w:val="17"/>
                <w:szCs w:val="17"/>
                <w:color w:val="auto"/>
              </w:rPr>
              <w:t>2,407</w:t>
            </w:r>
          </w:p>
        </w:tc>
        <w:tc>
          <w:tcPr>
            <w:tcW w:w="1440" w:type="dxa"/>
            <w:vAlign w:val="bottom"/>
            <w:tcBorders>
              <w:bottom w:val="single" w:sz="8" w:color="E5F1F8"/>
            </w:tcBorders>
            <w:shd w:val="clear" w:color="auto" w:fill="E5F1F8"/>
          </w:tcPr>
          <w:p>
            <w:pPr>
              <w:jc w:val="right"/>
              <w:ind w:right="458"/>
              <w:spacing w:after="0"/>
              <w:rPr>
                <w:sz w:val="20"/>
                <w:szCs w:val="20"/>
                <w:color w:val="auto"/>
              </w:rPr>
            </w:pPr>
            <w:r>
              <w:rPr>
                <w:rFonts w:ascii="Arial" w:cs="Arial" w:eastAsia="Arial" w:hAnsi="Arial"/>
                <w:sz w:val="17"/>
                <w:szCs w:val="17"/>
                <w:color w:val="auto"/>
              </w:rPr>
              <w:t>1,817</w:t>
            </w:r>
          </w:p>
        </w:tc>
        <w:tc>
          <w:tcPr>
            <w:tcW w:w="0" w:type="dxa"/>
            <w:vAlign w:val="bottom"/>
          </w:tcPr>
          <w:p>
            <w:pPr>
              <w:spacing w:after="0"/>
              <w:rPr>
                <w:sz w:val="1"/>
                <w:szCs w:val="1"/>
                <w:color w:val="auto"/>
              </w:rPr>
            </w:pPr>
          </w:p>
        </w:tc>
      </w:tr>
      <w:tr>
        <w:trPr>
          <w:trHeight w:val="20"/>
        </w:trPr>
        <w:tc>
          <w:tcPr>
            <w:tcW w:w="7880" w:type="dxa"/>
            <w:vAlign w:val="bottom"/>
            <w:tcBorders>
              <w:right w:val="single" w:sz="8" w:color="007CBA"/>
            </w:tcBorders>
            <w:shd w:val="clear" w:color="auto" w:fill="007CBA"/>
          </w:tcPr>
          <w:p>
            <w:pPr>
              <w:spacing w:after="0" w:line="20" w:lineRule="exact"/>
              <w:rPr>
                <w:sz w:val="1"/>
                <w:szCs w:val="1"/>
                <w:color w:val="auto"/>
              </w:rPr>
            </w:pPr>
          </w:p>
        </w:tc>
        <w:tc>
          <w:tcPr>
            <w:tcW w:w="1680" w:type="dxa"/>
            <w:vAlign w:val="bottom"/>
            <w:tcBorders>
              <w:right w:val="single" w:sz="8" w:color="007CBA"/>
            </w:tcBorders>
            <w:shd w:val="clear" w:color="auto" w:fill="007CBA"/>
          </w:tcPr>
          <w:p>
            <w:pPr>
              <w:spacing w:after="0" w:line="20" w:lineRule="exact"/>
              <w:rPr>
                <w:sz w:val="1"/>
                <w:szCs w:val="1"/>
                <w:color w:val="auto"/>
              </w:rPr>
            </w:pPr>
          </w:p>
        </w:tc>
        <w:tc>
          <w:tcPr>
            <w:tcW w:w="1440" w:type="dxa"/>
            <w:vAlign w:val="bottom"/>
            <w:shd w:val="clear" w:color="auto" w:fill="007CB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220"/>
        <w:spacing w:after="0"/>
        <w:rPr>
          <w:sz w:val="20"/>
          <w:szCs w:val="20"/>
          <w:color w:val="auto"/>
        </w:rPr>
      </w:pPr>
      <w:r>
        <w:rPr>
          <w:rFonts w:ascii="Arial" w:cs="Arial" w:eastAsia="Arial" w:hAnsi="Arial"/>
          <w:sz w:val="14"/>
          <w:szCs w:val="14"/>
          <w:color w:val="auto"/>
        </w:rPr>
        <w:t>* Mr. Nickolas commenced employment with the Company in August 2017.</w:t>
      </w:r>
    </w:p>
    <w:p>
      <w:pPr>
        <w:sectPr>
          <w:pgSz w:w="11900" w:h="16838" w:orient="portrait"/>
          <w:cols w:equalWidth="0" w:num="1">
            <w:col w:w="11220"/>
          </w:cols>
          <w:pgMar w:left="240" w:top="459" w:right="439" w:bottom="1440" w:gutter="0" w:footer="0" w:header="0"/>
        </w:sectPr>
      </w:pPr>
    </w:p>
    <w:p>
      <w:pPr>
        <w:spacing w:after="0" w:line="384"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7CBA"/>
        </w:rPr>
        <w:t>Ongoing Corporate Governance Policies</w:t>
      </w:r>
    </w:p>
    <w:p>
      <w:pPr>
        <w:spacing w:after="0" w:line="150" w:lineRule="exact"/>
        <w:rPr>
          <w:sz w:val="20"/>
          <w:szCs w:val="20"/>
          <w:color w:val="auto"/>
        </w:rPr>
      </w:pPr>
    </w:p>
    <w:p>
      <w:pPr>
        <w:jc w:val="both"/>
        <w:ind w:left="220" w:right="20"/>
        <w:spacing w:after="0" w:line="250" w:lineRule="auto"/>
        <w:rPr>
          <w:sz w:val="20"/>
          <w:szCs w:val="20"/>
          <w:color w:val="auto"/>
        </w:rPr>
      </w:pPr>
      <w:r>
        <w:rPr>
          <w:rFonts w:ascii="Arial" w:cs="Arial" w:eastAsia="Arial" w:hAnsi="Arial"/>
          <w:sz w:val="16"/>
          <w:szCs w:val="16"/>
          <w:color w:val="auto"/>
        </w:rPr>
        <w:t>We endeavor to maintain good corporate governance standards relating to our executive compensation policies and practices, including the following that were in effect during 2018 that directly impacted compensation:</w:t>
      </w:r>
    </w:p>
    <w:p>
      <w:pPr>
        <w:spacing w:after="0" w:line="70" w:lineRule="exact"/>
        <w:rPr>
          <w:sz w:val="20"/>
          <w:szCs w:val="20"/>
          <w:color w:val="auto"/>
        </w:rPr>
      </w:pPr>
    </w:p>
    <w:p>
      <w:pPr>
        <w:jc w:val="both"/>
        <w:ind w:left="580" w:right="20" w:hanging="289"/>
        <w:spacing w:after="0" w:line="253" w:lineRule="auto"/>
        <w:tabs>
          <w:tab w:leader="none" w:pos="580" w:val="left"/>
        </w:tabs>
        <w:numPr>
          <w:ilvl w:val="0"/>
          <w:numId w:val="108"/>
        </w:numPr>
        <w:rPr>
          <w:rFonts w:ascii="Arial" w:cs="Arial" w:eastAsia="Arial" w:hAnsi="Arial"/>
          <w:sz w:val="16"/>
          <w:szCs w:val="16"/>
          <w:color w:val="007CBA"/>
        </w:rPr>
      </w:pPr>
      <w:r>
        <w:rPr>
          <w:rFonts w:ascii="Arial" w:cs="Arial" w:eastAsia="Arial" w:hAnsi="Arial"/>
          <w:sz w:val="16"/>
          <w:szCs w:val="16"/>
          <w:color w:val="auto"/>
        </w:rPr>
        <w:t>The Committee is comprised solely of independent Directors who regularly schedule and meet in executive sessions without management present.</w:t>
      </w:r>
    </w:p>
    <w:p>
      <w:pPr>
        <w:spacing w:after="0" w:line="65" w:lineRule="exact"/>
        <w:rPr>
          <w:rFonts w:ascii="Arial" w:cs="Arial" w:eastAsia="Arial" w:hAnsi="Arial"/>
          <w:sz w:val="16"/>
          <w:szCs w:val="16"/>
          <w:color w:val="007CBA"/>
        </w:rPr>
      </w:pPr>
    </w:p>
    <w:p>
      <w:pPr>
        <w:ind w:left="580" w:right="20" w:hanging="289"/>
        <w:spacing w:after="0" w:line="260" w:lineRule="auto"/>
        <w:tabs>
          <w:tab w:leader="none" w:pos="580" w:val="left"/>
        </w:tabs>
        <w:numPr>
          <w:ilvl w:val="0"/>
          <w:numId w:val="108"/>
        </w:numPr>
        <w:rPr>
          <w:rFonts w:ascii="Arial" w:cs="Arial" w:eastAsia="Arial" w:hAnsi="Arial"/>
          <w:sz w:val="16"/>
          <w:szCs w:val="16"/>
          <w:color w:val="007CBA"/>
        </w:rPr>
      </w:pPr>
      <w:r>
        <w:rPr>
          <w:rFonts w:ascii="Arial" w:cs="Arial" w:eastAsia="Arial" w:hAnsi="Arial"/>
          <w:sz w:val="16"/>
          <w:szCs w:val="16"/>
          <w:color w:val="auto"/>
        </w:rPr>
        <w:t>The Committee’s independent compensation consultant is retained directly by the Committee.</w:t>
      </w:r>
    </w:p>
    <w:p>
      <w:pPr>
        <w:spacing w:after="0" w:line="60" w:lineRule="exact"/>
        <w:rPr>
          <w:rFonts w:ascii="Arial" w:cs="Arial" w:eastAsia="Arial" w:hAnsi="Arial"/>
          <w:sz w:val="16"/>
          <w:szCs w:val="16"/>
          <w:color w:val="007CBA"/>
        </w:rPr>
      </w:pPr>
    </w:p>
    <w:p>
      <w:pPr>
        <w:jc w:val="both"/>
        <w:ind w:left="580" w:right="20" w:hanging="289"/>
        <w:spacing w:after="0" w:line="249" w:lineRule="auto"/>
        <w:tabs>
          <w:tab w:leader="none" w:pos="580" w:val="left"/>
        </w:tabs>
        <w:numPr>
          <w:ilvl w:val="0"/>
          <w:numId w:val="108"/>
        </w:numPr>
        <w:rPr>
          <w:rFonts w:ascii="Arial" w:cs="Arial" w:eastAsia="Arial" w:hAnsi="Arial"/>
          <w:sz w:val="16"/>
          <w:szCs w:val="16"/>
          <w:color w:val="007CBA"/>
        </w:rPr>
      </w:pPr>
      <w:r>
        <w:rPr>
          <w:rFonts w:ascii="Arial" w:cs="Arial" w:eastAsia="Arial" w:hAnsi="Arial"/>
          <w:sz w:val="16"/>
          <w:szCs w:val="16"/>
          <w:color w:val="auto"/>
        </w:rPr>
        <w:t>The Committee conducts an annual review and approval of our compensation strategy, including a review of our compensation-related risk profile, to ensure that our compensation-related risks are not reasonably likely to have a material adverse effect on the Company.</w:t>
      </w:r>
    </w:p>
    <w:p>
      <w:pPr>
        <w:spacing w:after="0" w:line="70" w:lineRule="exact"/>
        <w:rPr>
          <w:rFonts w:ascii="Arial" w:cs="Arial" w:eastAsia="Arial" w:hAnsi="Arial"/>
          <w:sz w:val="16"/>
          <w:szCs w:val="16"/>
          <w:color w:val="007CBA"/>
        </w:rPr>
      </w:pPr>
    </w:p>
    <w:p>
      <w:pPr>
        <w:jc w:val="both"/>
        <w:ind w:left="580" w:right="20" w:hanging="289"/>
        <w:spacing w:after="0" w:line="253" w:lineRule="auto"/>
        <w:tabs>
          <w:tab w:leader="none" w:pos="580" w:val="left"/>
        </w:tabs>
        <w:numPr>
          <w:ilvl w:val="0"/>
          <w:numId w:val="108"/>
        </w:numPr>
        <w:rPr>
          <w:rFonts w:ascii="Arial" w:cs="Arial" w:eastAsia="Arial" w:hAnsi="Arial"/>
          <w:sz w:val="16"/>
          <w:szCs w:val="16"/>
          <w:color w:val="007CBA"/>
        </w:rPr>
      </w:pPr>
      <w:r>
        <w:rPr>
          <w:rFonts w:ascii="Arial" w:cs="Arial" w:eastAsia="Arial" w:hAnsi="Arial"/>
          <w:sz w:val="16"/>
          <w:szCs w:val="16"/>
          <w:color w:val="auto"/>
        </w:rPr>
        <w:t>We pay for performance, with approximately 87% of our CEO’s total target pay opportunity being performance-based “at-risk” compensation.</w:t>
      </w:r>
    </w:p>
    <w:p>
      <w:pPr>
        <w:spacing w:after="0" w:line="65" w:lineRule="exact"/>
        <w:rPr>
          <w:rFonts w:ascii="Arial" w:cs="Arial" w:eastAsia="Arial" w:hAnsi="Arial"/>
          <w:sz w:val="16"/>
          <w:szCs w:val="16"/>
          <w:color w:val="007CBA"/>
        </w:rPr>
      </w:pPr>
    </w:p>
    <w:p>
      <w:pPr>
        <w:ind w:left="580" w:right="20" w:hanging="289"/>
        <w:spacing w:after="0" w:line="260" w:lineRule="auto"/>
        <w:tabs>
          <w:tab w:leader="none" w:pos="580" w:val="left"/>
        </w:tabs>
        <w:numPr>
          <w:ilvl w:val="0"/>
          <w:numId w:val="108"/>
        </w:numPr>
        <w:rPr>
          <w:rFonts w:ascii="Arial" w:cs="Arial" w:eastAsia="Arial" w:hAnsi="Arial"/>
          <w:sz w:val="16"/>
          <w:szCs w:val="16"/>
          <w:color w:val="007CBA"/>
        </w:rPr>
      </w:pPr>
      <w:r>
        <w:rPr>
          <w:rFonts w:ascii="Arial" w:cs="Arial" w:eastAsia="Arial" w:hAnsi="Arial"/>
          <w:sz w:val="16"/>
          <w:szCs w:val="16"/>
          <w:color w:val="auto"/>
        </w:rPr>
        <w:t>We cap PSU payments at target if three-year TSR is negative, regardless of our ranking.</w:t>
      </w:r>
    </w:p>
    <w:p>
      <w:pPr>
        <w:spacing w:after="0" w:line="60" w:lineRule="exact"/>
        <w:rPr>
          <w:rFonts w:ascii="Arial" w:cs="Arial" w:eastAsia="Arial" w:hAnsi="Arial"/>
          <w:sz w:val="16"/>
          <w:szCs w:val="16"/>
          <w:color w:val="007CBA"/>
        </w:rPr>
      </w:pPr>
    </w:p>
    <w:p>
      <w:pPr>
        <w:ind w:left="580" w:hanging="289"/>
        <w:spacing w:after="0"/>
        <w:tabs>
          <w:tab w:leader="none" w:pos="580" w:val="left"/>
        </w:tabs>
        <w:numPr>
          <w:ilvl w:val="0"/>
          <w:numId w:val="108"/>
        </w:numPr>
        <w:rPr>
          <w:rFonts w:ascii="Arial" w:cs="Arial" w:eastAsia="Arial" w:hAnsi="Arial"/>
          <w:sz w:val="16"/>
          <w:szCs w:val="16"/>
          <w:color w:val="007CBA"/>
        </w:rPr>
      </w:pPr>
      <w:r>
        <w:rPr>
          <w:rFonts w:ascii="Arial" w:cs="Arial" w:eastAsia="Arial" w:hAnsi="Arial"/>
          <w:sz w:val="16"/>
          <w:szCs w:val="16"/>
          <w:color w:val="auto"/>
        </w:rPr>
        <w:t>We limit perquisites and other benefits.</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7CBA"/>
        </w:rPr>
        <w:t>Compensation Decision Process</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Role of Management and the Committee</w:t>
      </w:r>
    </w:p>
    <w:p>
      <w:pPr>
        <w:spacing w:after="0" w:line="21" w:lineRule="exact"/>
        <w:rPr>
          <w:sz w:val="20"/>
          <w:szCs w:val="20"/>
          <w:color w:val="auto"/>
        </w:rPr>
      </w:pPr>
    </w:p>
    <w:p>
      <w:pPr>
        <w:jc w:val="both"/>
        <w:ind w:left="220"/>
        <w:spacing w:after="0" w:line="247" w:lineRule="auto"/>
        <w:rPr>
          <w:sz w:val="20"/>
          <w:szCs w:val="20"/>
          <w:color w:val="auto"/>
        </w:rPr>
      </w:pPr>
      <w:r>
        <w:rPr>
          <w:rFonts w:ascii="Arial" w:cs="Arial" w:eastAsia="Arial" w:hAnsi="Arial"/>
          <w:sz w:val="16"/>
          <w:szCs w:val="16"/>
          <w:color w:val="auto"/>
        </w:rPr>
        <w:t xml:space="preserve">The Committee is responsible for carrying out the philosophy and objectives of the Board of Directors related to executive compensation in addition to its responsibilities of overseeing the development and succession of executive management of Martin Marietta. The Committee has the authority to determine compensation and benefits for Martin Marietta’s executive officers. The Committee members are each non-employee, independent Board members pursuant to the New York Stock Exchange rules, and the Committee operates pursuant to a written charter, a copy of which can be viewed on Martin Marietta’s website at </w:t>
      </w:r>
      <w:r>
        <w:rPr>
          <w:rFonts w:ascii="Arial" w:cs="Arial" w:eastAsia="Arial" w:hAnsi="Arial"/>
          <w:sz w:val="16"/>
          <w:szCs w:val="16"/>
          <w:i w:val="1"/>
          <w:iCs w:val="1"/>
          <w:color w:val="auto"/>
        </w:rPr>
        <w:t>ir.martinmarietta.com/investor-relations/corporate-governance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performance of the CEO and each other executive officer is reviewed regularly by the Committee. Based on this review, the Committee sets compensation for all executive officers. Compensation decisions with respect to the executive officers other than the CEO are based in part on recommendations by the CEO, with input from the Senior Vice President– Human Resources, with respect to salary adjustments and annual cash and equity awards. The Committee can accept, reject or modify any recommended adjustments or awards to executive officers. For the CEO, the Committee sets the levels of annual adjustments and awards based on the criteria it deems to be appropriate under the circumstances with input from the independent compensation consultant. There are no employment agreements between Martin Marietta and any executive officer of Martin Marietta, including the CEO.</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Role of the Independent Compensation Consultant</w:t>
      </w:r>
    </w:p>
    <w:p>
      <w:pPr>
        <w:spacing w:after="0" w:line="2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Committee retained Mercer, an independent compensation consultant, in accordance with the Committee’s charter. The consultant reports directly to the Committee. The Committee retains sole authority to hire or terminate the consultant, approve its compensation, determine the nature and scope of services, and evaluate performance. A representative of the compensation consultant attends Committee meetings, either in person or by telephone, as requested, and communicates with the Committee Chair between meetings. The Committee makes all final decisions.</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compensation consultant’s specific compensation consultation roles include, but are not limited to, the following:</w:t>
      </w:r>
    </w:p>
    <w:p>
      <w:pPr>
        <w:spacing w:after="0" w:line="60" w:lineRule="exact"/>
        <w:rPr>
          <w:sz w:val="20"/>
          <w:szCs w:val="20"/>
          <w:color w:val="auto"/>
        </w:rPr>
      </w:pPr>
    </w:p>
    <w:p>
      <w:pPr>
        <w:jc w:val="both"/>
        <w:ind w:left="360" w:right="20" w:hanging="275"/>
        <w:spacing w:after="0" w:line="253" w:lineRule="auto"/>
        <w:tabs>
          <w:tab w:leader="none" w:pos="360" w:val="left"/>
        </w:tabs>
        <w:numPr>
          <w:ilvl w:val="0"/>
          <w:numId w:val="109"/>
        </w:numPr>
        <w:rPr>
          <w:rFonts w:ascii="Arial" w:cs="Arial" w:eastAsia="Arial" w:hAnsi="Arial"/>
          <w:sz w:val="16"/>
          <w:szCs w:val="16"/>
          <w:color w:val="007CBA"/>
        </w:rPr>
      </w:pPr>
      <w:r>
        <w:rPr>
          <w:rFonts w:ascii="Arial" w:cs="Arial" w:eastAsia="Arial" w:hAnsi="Arial"/>
          <w:sz w:val="16"/>
          <w:szCs w:val="16"/>
          <w:color w:val="auto"/>
        </w:rPr>
        <w:t>Advise the Committee on executive compensation trends and regulatory developments and other factors affecting executive officer compensation, as well as any other areas of concern or risk.</w:t>
      </w:r>
    </w:p>
    <w:p>
      <w:pPr>
        <w:spacing w:after="0" w:line="65" w:lineRule="exact"/>
        <w:rPr>
          <w:rFonts w:ascii="Arial" w:cs="Arial" w:eastAsia="Arial" w:hAnsi="Arial"/>
          <w:sz w:val="16"/>
          <w:szCs w:val="16"/>
          <w:color w:val="007CBA"/>
        </w:rPr>
      </w:pPr>
    </w:p>
    <w:p>
      <w:pPr>
        <w:ind w:left="360" w:right="20" w:hanging="275"/>
        <w:spacing w:after="0" w:line="260" w:lineRule="auto"/>
        <w:tabs>
          <w:tab w:leader="none" w:pos="360" w:val="left"/>
        </w:tabs>
        <w:numPr>
          <w:ilvl w:val="0"/>
          <w:numId w:val="109"/>
        </w:numPr>
        <w:rPr>
          <w:rFonts w:ascii="Arial" w:cs="Arial" w:eastAsia="Arial" w:hAnsi="Arial"/>
          <w:sz w:val="16"/>
          <w:szCs w:val="16"/>
          <w:color w:val="007CBA"/>
        </w:rPr>
      </w:pPr>
      <w:r>
        <w:rPr>
          <w:rFonts w:ascii="Arial" w:cs="Arial" w:eastAsia="Arial" w:hAnsi="Arial"/>
          <w:sz w:val="16"/>
          <w:szCs w:val="16"/>
          <w:color w:val="auto"/>
        </w:rPr>
        <w:t>Provide a total compensation assessment for executives compared to peer companies and recommendations for executive pay.</w:t>
      </w:r>
    </w:p>
    <w:p>
      <w:pPr>
        <w:spacing w:after="0" w:line="60" w:lineRule="exact"/>
        <w:rPr>
          <w:rFonts w:ascii="Arial" w:cs="Arial" w:eastAsia="Arial" w:hAnsi="Arial"/>
          <w:sz w:val="16"/>
          <w:szCs w:val="16"/>
          <w:color w:val="007CBA"/>
        </w:rPr>
      </w:pPr>
    </w:p>
    <w:p>
      <w:pPr>
        <w:ind w:left="360" w:right="20" w:hanging="275"/>
        <w:spacing w:after="0" w:line="260" w:lineRule="auto"/>
        <w:tabs>
          <w:tab w:leader="none" w:pos="360" w:val="left"/>
        </w:tabs>
        <w:numPr>
          <w:ilvl w:val="0"/>
          <w:numId w:val="109"/>
        </w:numPr>
        <w:rPr>
          <w:rFonts w:ascii="Arial" w:cs="Arial" w:eastAsia="Arial" w:hAnsi="Arial"/>
          <w:sz w:val="16"/>
          <w:szCs w:val="16"/>
          <w:color w:val="007CBA"/>
        </w:rPr>
      </w:pPr>
      <w:r>
        <w:rPr>
          <w:rFonts w:ascii="Arial" w:cs="Arial" w:eastAsia="Arial" w:hAnsi="Arial"/>
          <w:sz w:val="16"/>
          <w:szCs w:val="16"/>
          <w:color w:val="auto"/>
        </w:rPr>
        <w:t>Serve as a resource to the Committee Chair for meeting agendas and supporting materials in advance of each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721995</wp:posOffset>
            </wp:positionV>
            <wp:extent cx="410845" cy="2482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1060"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95" w:lineRule="exact"/>
        <w:rPr>
          <w:sz w:val="20"/>
          <w:szCs w:val="20"/>
          <w:color w:val="auto"/>
        </w:rPr>
      </w:pPr>
    </w:p>
    <w:tbl>
      <w:tblPr>
        <w:tblLayout w:type="fixed"/>
        <w:tblInd w:w="926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2019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49</w:t>
            </w:r>
          </w:p>
        </w:tc>
      </w:tr>
    </w:tbl>
    <w:p>
      <w:pPr>
        <w:sectPr>
          <w:pgSz w:w="11900" w:h="16838" w:orient="portrait"/>
          <w:cols w:equalWidth="0" w:num="1">
            <w:col w:w="11220"/>
          </w:cols>
          <w:pgMar w:left="240" w:top="459" w:right="4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59" w:lineRule="exact"/>
        <w:rPr>
          <w:sz w:val="20"/>
          <w:szCs w:val="20"/>
          <w:color w:val="auto"/>
        </w:rPr>
      </w:pPr>
    </w:p>
    <w:p>
      <w:pPr>
        <w:ind w:left="220"/>
        <w:spacing w:after="0" w:line="288" w:lineRule="exact"/>
        <w:rPr>
          <w:sz w:val="20"/>
          <w:szCs w:val="20"/>
          <w:color w:val="auto"/>
        </w:rPr>
      </w:pPr>
      <w:r>
        <w:rPr>
          <w:rFonts w:ascii="Arial" w:cs="Arial" w:eastAsia="Arial" w:hAnsi="Arial"/>
          <w:sz w:val="13"/>
          <w:szCs w:val="13"/>
          <w:color w:val="007CBA"/>
        </w:rPr>
        <w:t xml:space="preserve">Compensation Discussion and Analysis </w:t>
      </w:r>
      <w:r>
        <w:rPr>
          <w:rFonts w:ascii="MS PGothic" w:cs="MS PGothic" w:eastAsia="MS PGothic" w:hAnsi="MS PGothic"/>
          <w:sz w:val="25"/>
          <w:szCs w:val="25"/>
          <w:color w:val="007CBA"/>
        </w:rPr>
        <w:t>◆</w:t>
      </w:r>
      <w:r>
        <w:rPr>
          <w:rFonts w:ascii="Arial" w:cs="Arial" w:eastAsia="Arial" w:hAnsi="Arial"/>
          <w:sz w:val="13"/>
          <w:szCs w:val="13"/>
          <w:color w:val="007CBA"/>
        </w:rPr>
        <w:t xml:space="preserve"> </w:t>
      </w:r>
      <w:r>
        <w:rPr>
          <w:rFonts w:ascii="Arial" w:cs="Arial" w:eastAsia="Arial" w:hAnsi="Arial"/>
          <w:sz w:val="13"/>
          <w:szCs w:val="13"/>
          <w:color w:val="000000"/>
        </w:rPr>
        <w:t>Compensation Decision Process</w:t>
      </w:r>
    </w:p>
    <w:p>
      <w:pPr>
        <w:spacing w:after="0" w:line="200" w:lineRule="exact"/>
        <w:rPr>
          <w:sz w:val="20"/>
          <w:szCs w:val="20"/>
          <w:color w:val="auto"/>
        </w:rPr>
      </w:pPr>
    </w:p>
    <w:p>
      <w:pPr>
        <w:spacing w:after="0" w:line="294" w:lineRule="exact"/>
        <w:rPr>
          <w:sz w:val="20"/>
          <w:szCs w:val="20"/>
          <w:color w:val="auto"/>
        </w:rPr>
      </w:pPr>
    </w:p>
    <w:p>
      <w:pPr>
        <w:ind w:left="580" w:right="20" w:hanging="289"/>
        <w:spacing w:after="0" w:line="260" w:lineRule="auto"/>
        <w:tabs>
          <w:tab w:leader="none" w:pos="580" w:val="left"/>
        </w:tabs>
        <w:numPr>
          <w:ilvl w:val="0"/>
          <w:numId w:val="110"/>
        </w:numPr>
        <w:rPr>
          <w:rFonts w:ascii="Arial" w:cs="Arial" w:eastAsia="Arial" w:hAnsi="Arial"/>
          <w:sz w:val="16"/>
          <w:szCs w:val="16"/>
          <w:color w:val="007CBA"/>
        </w:rPr>
      </w:pPr>
      <w:r>
        <w:rPr>
          <w:rFonts w:ascii="Arial" w:cs="Arial" w:eastAsia="Arial" w:hAnsi="Arial"/>
          <w:sz w:val="16"/>
          <w:szCs w:val="16"/>
          <w:color w:val="auto"/>
        </w:rPr>
        <w:t>Review and comment on proxy disclosure items, including this CD&amp;A.</w:t>
      </w:r>
    </w:p>
    <w:p>
      <w:pPr>
        <w:spacing w:after="0" w:line="60" w:lineRule="exact"/>
        <w:rPr>
          <w:rFonts w:ascii="Arial" w:cs="Arial" w:eastAsia="Arial" w:hAnsi="Arial"/>
          <w:sz w:val="16"/>
          <w:szCs w:val="16"/>
          <w:color w:val="007CBA"/>
        </w:rPr>
      </w:pPr>
    </w:p>
    <w:p>
      <w:pPr>
        <w:ind w:left="580" w:hanging="289"/>
        <w:spacing w:after="0"/>
        <w:tabs>
          <w:tab w:leader="none" w:pos="580" w:val="left"/>
        </w:tabs>
        <w:numPr>
          <w:ilvl w:val="0"/>
          <w:numId w:val="110"/>
        </w:numPr>
        <w:rPr>
          <w:rFonts w:ascii="Arial" w:cs="Arial" w:eastAsia="Arial" w:hAnsi="Arial"/>
          <w:sz w:val="16"/>
          <w:szCs w:val="16"/>
          <w:color w:val="007CBA"/>
        </w:rPr>
      </w:pPr>
      <w:r>
        <w:rPr>
          <w:rFonts w:ascii="Arial" w:cs="Arial" w:eastAsia="Arial" w:hAnsi="Arial"/>
          <w:sz w:val="16"/>
          <w:szCs w:val="16"/>
          <w:color w:val="auto"/>
        </w:rPr>
        <w:t>Advise the Committee on management’s pay recommendations.</w:t>
      </w:r>
    </w:p>
    <w:p>
      <w:pPr>
        <w:spacing w:after="0" w:line="194"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Based on these activities, the compensation consultant makes recommendations regarding, and proposes adjustments to, our executive officer compensation program as it deems appropriate. While the consultant works closely with the appropriate members of our executive management team in performing these activities, the consultant reports directly to and is retained by the Committee on all executive compensation matters, and speaks to the Committee and the Chair of the Committee on a regular basis without management present. The compensation consultant periodically attends Committee meetings.</w:t>
      </w:r>
    </w:p>
    <w:p>
      <w:pPr>
        <w:spacing w:after="0" w:line="136"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Role of Peer Companies and Competitive Market Data</w:t>
      </w:r>
    </w:p>
    <w:p>
      <w:pPr>
        <w:spacing w:after="0" w:line="21" w:lineRule="exact"/>
        <w:rPr>
          <w:sz w:val="20"/>
          <w:szCs w:val="20"/>
          <w:color w:val="auto"/>
        </w:rPr>
      </w:pPr>
    </w:p>
    <w:p>
      <w:pPr>
        <w:jc w:val="both"/>
        <w:ind w:left="220" w:right="20"/>
        <w:spacing w:after="0" w:line="250" w:lineRule="auto"/>
        <w:rPr>
          <w:sz w:val="20"/>
          <w:szCs w:val="20"/>
          <w:color w:val="auto"/>
        </w:rPr>
      </w:pPr>
      <w:r>
        <w:rPr>
          <w:rFonts w:ascii="Arial" w:cs="Arial" w:eastAsia="Arial" w:hAnsi="Arial"/>
          <w:sz w:val="16"/>
          <w:szCs w:val="16"/>
          <w:color w:val="auto"/>
        </w:rPr>
        <w:t xml:space="preserve">The Committee considered peer groups for two elements of the executive compensation program in 2018: the </w:t>
      </w:r>
      <w:r>
        <w:rPr>
          <w:rFonts w:ascii="Arial" w:cs="Arial" w:eastAsia="Arial" w:hAnsi="Arial"/>
          <w:sz w:val="16"/>
          <w:szCs w:val="16"/>
          <w:i w:val="1"/>
          <w:iCs w:val="1"/>
          <w:color w:val="auto"/>
        </w:rPr>
        <w:t>Compensation Peer Group</w:t>
      </w:r>
      <w:r>
        <w:rPr>
          <w:rFonts w:ascii="Arial" w:cs="Arial" w:eastAsia="Arial" w:hAnsi="Arial"/>
          <w:sz w:val="16"/>
          <w:szCs w:val="16"/>
          <w:color w:val="auto"/>
        </w:rPr>
        <w:t xml:space="preserve">, consisting of 15 companies that the Committee believes compete with us for talent, and the </w:t>
      </w:r>
      <w:r>
        <w:rPr>
          <w:rFonts w:ascii="Arial" w:cs="Arial" w:eastAsia="Arial" w:hAnsi="Arial"/>
          <w:sz w:val="16"/>
          <w:szCs w:val="16"/>
          <w:i w:val="1"/>
          <w:iCs w:val="1"/>
          <w:color w:val="auto"/>
        </w:rPr>
        <w:t>TSR Peer Group</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consisting of the S&amp;P 500, which the Committee believes compete with us for investors and is used to assess the achievement of TSR measured for the PSU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-1363980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54"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Annually, the Committee studies competitive total compensation market data provided by its independent compensation consultant. To assess competitive pay levels, the Committee reviews and approves the composition of our Compensation Peer Group. The following peer group criteria are considered:</w:t>
      </w:r>
    </w:p>
    <w:p>
      <w:pPr>
        <w:spacing w:after="0" w:line="71" w:lineRule="exact"/>
        <w:rPr>
          <w:sz w:val="20"/>
          <w:szCs w:val="20"/>
          <w:color w:val="auto"/>
        </w:rPr>
      </w:pPr>
    </w:p>
    <w:p>
      <w:pPr>
        <w:ind w:left="360" w:right="40" w:hanging="275"/>
        <w:spacing w:after="0" w:line="260" w:lineRule="auto"/>
        <w:tabs>
          <w:tab w:leader="none" w:pos="360" w:val="left"/>
        </w:tabs>
        <w:numPr>
          <w:ilvl w:val="0"/>
          <w:numId w:val="111"/>
        </w:numPr>
        <w:rPr>
          <w:rFonts w:ascii="Arial" w:cs="Arial" w:eastAsia="Arial" w:hAnsi="Arial"/>
          <w:sz w:val="16"/>
          <w:szCs w:val="16"/>
          <w:color w:val="007CBA"/>
        </w:rPr>
      </w:pPr>
      <w:r>
        <w:rPr>
          <w:rFonts w:ascii="Arial" w:cs="Arial" w:eastAsia="Arial" w:hAnsi="Arial"/>
          <w:sz w:val="16"/>
          <w:szCs w:val="16"/>
          <w:color w:val="auto"/>
        </w:rPr>
        <w:t>Company size (approximately 0.4 times to 2.5 times Martin Marietta’s annual revenues);</w:t>
      </w:r>
    </w:p>
    <w:p>
      <w:pPr>
        <w:spacing w:after="0" w:line="60" w:lineRule="exact"/>
        <w:rPr>
          <w:rFonts w:ascii="Arial" w:cs="Arial" w:eastAsia="Arial" w:hAnsi="Arial"/>
          <w:sz w:val="16"/>
          <w:szCs w:val="16"/>
          <w:color w:val="007CBA"/>
        </w:rPr>
      </w:pPr>
    </w:p>
    <w:p>
      <w:pPr>
        <w:ind w:left="360" w:hanging="275"/>
        <w:spacing w:after="0"/>
        <w:tabs>
          <w:tab w:leader="none" w:pos="360" w:val="left"/>
        </w:tabs>
        <w:numPr>
          <w:ilvl w:val="0"/>
          <w:numId w:val="111"/>
        </w:numPr>
        <w:rPr>
          <w:rFonts w:ascii="Arial" w:cs="Arial" w:eastAsia="Arial" w:hAnsi="Arial"/>
          <w:sz w:val="16"/>
          <w:szCs w:val="16"/>
          <w:color w:val="007CBA"/>
        </w:rPr>
      </w:pPr>
      <w:r>
        <w:rPr>
          <w:rFonts w:ascii="Arial" w:cs="Arial" w:eastAsia="Arial" w:hAnsi="Arial"/>
          <w:sz w:val="16"/>
          <w:szCs w:val="16"/>
          <w:color w:val="auto"/>
        </w:rPr>
        <w:t>Companies in similar industries based on GICS code classifications;</w:t>
      </w:r>
    </w:p>
    <w:p>
      <w:pPr>
        <w:spacing w:after="0" w:line="85" w:lineRule="exact"/>
        <w:rPr>
          <w:rFonts w:ascii="Arial" w:cs="Arial" w:eastAsia="Arial" w:hAnsi="Arial"/>
          <w:sz w:val="16"/>
          <w:szCs w:val="16"/>
          <w:color w:val="007CBA"/>
        </w:rPr>
      </w:pPr>
    </w:p>
    <w:p>
      <w:pPr>
        <w:ind w:left="360" w:right="40" w:hanging="275"/>
        <w:spacing w:after="0" w:line="260" w:lineRule="auto"/>
        <w:tabs>
          <w:tab w:leader="none" w:pos="360" w:val="left"/>
        </w:tabs>
        <w:numPr>
          <w:ilvl w:val="0"/>
          <w:numId w:val="111"/>
        </w:numPr>
        <w:rPr>
          <w:rFonts w:ascii="Arial" w:cs="Arial" w:eastAsia="Arial" w:hAnsi="Arial"/>
          <w:sz w:val="16"/>
          <w:szCs w:val="16"/>
          <w:color w:val="007CBA"/>
        </w:rPr>
      </w:pPr>
      <w:r>
        <w:rPr>
          <w:rFonts w:ascii="Arial" w:cs="Arial" w:eastAsia="Arial" w:hAnsi="Arial"/>
          <w:sz w:val="16"/>
          <w:szCs w:val="16"/>
          <w:color w:val="auto"/>
        </w:rPr>
        <w:t>Direct competitors for business and management talent that are publicly-traded in the United States;</w:t>
      </w:r>
    </w:p>
    <w:p>
      <w:pPr>
        <w:spacing w:after="0" w:line="60" w:lineRule="exact"/>
        <w:rPr>
          <w:rFonts w:ascii="Arial" w:cs="Arial" w:eastAsia="Arial" w:hAnsi="Arial"/>
          <w:sz w:val="16"/>
          <w:szCs w:val="16"/>
          <w:color w:val="007CBA"/>
        </w:rPr>
      </w:pPr>
    </w:p>
    <w:p>
      <w:pPr>
        <w:ind w:left="360" w:right="40" w:hanging="275"/>
        <w:spacing w:after="0" w:line="260" w:lineRule="auto"/>
        <w:tabs>
          <w:tab w:leader="none" w:pos="360" w:val="left"/>
        </w:tabs>
        <w:numPr>
          <w:ilvl w:val="0"/>
          <w:numId w:val="111"/>
        </w:numPr>
        <w:rPr>
          <w:rFonts w:ascii="Arial" w:cs="Arial" w:eastAsia="Arial" w:hAnsi="Arial"/>
          <w:sz w:val="16"/>
          <w:szCs w:val="16"/>
          <w:color w:val="007CBA"/>
        </w:rPr>
      </w:pPr>
      <w:r>
        <w:rPr>
          <w:rFonts w:ascii="Arial" w:cs="Arial" w:eastAsia="Arial" w:hAnsi="Arial"/>
          <w:sz w:val="16"/>
          <w:szCs w:val="16"/>
          <w:color w:val="auto"/>
        </w:rPr>
        <w:t>Companies covered by the investment analysts that track Martin Marietta; and</w:t>
      </w:r>
    </w:p>
    <w:p>
      <w:pPr>
        <w:spacing w:after="0" w:line="60" w:lineRule="exact"/>
        <w:rPr>
          <w:rFonts w:ascii="Arial" w:cs="Arial" w:eastAsia="Arial" w:hAnsi="Arial"/>
          <w:sz w:val="16"/>
          <w:szCs w:val="16"/>
          <w:color w:val="007CBA"/>
        </w:rPr>
      </w:pPr>
    </w:p>
    <w:p>
      <w:pPr>
        <w:ind w:left="360" w:right="40" w:hanging="275"/>
        <w:spacing w:after="0" w:line="260" w:lineRule="auto"/>
        <w:tabs>
          <w:tab w:leader="none" w:pos="360" w:val="left"/>
        </w:tabs>
        <w:numPr>
          <w:ilvl w:val="0"/>
          <w:numId w:val="111"/>
        </w:numPr>
        <w:rPr>
          <w:rFonts w:ascii="Arial" w:cs="Arial" w:eastAsia="Arial" w:hAnsi="Arial"/>
          <w:sz w:val="16"/>
          <w:szCs w:val="16"/>
          <w:color w:val="007CBA"/>
        </w:rPr>
      </w:pPr>
      <w:r>
        <w:rPr>
          <w:rFonts w:ascii="Arial" w:cs="Arial" w:eastAsia="Arial" w:hAnsi="Arial"/>
          <w:sz w:val="16"/>
          <w:szCs w:val="16"/>
          <w:color w:val="auto"/>
        </w:rPr>
        <w:t>Companies that include Martin Marietta in their compensation peer group.</w:t>
      </w:r>
    </w:p>
    <w:p>
      <w:pPr>
        <w:spacing w:after="0" w:line="200" w:lineRule="exact"/>
        <w:rPr>
          <w:sz w:val="20"/>
          <w:szCs w:val="20"/>
          <w:color w:val="auto"/>
        </w:rPr>
      </w:pPr>
    </w:p>
    <w:p>
      <w:pPr>
        <w:sectPr>
          <w:pgSz w:w="11900" w:h="16838" w:orient="portrait"/>
          <w:cols w:equalWidth="0" w:num="2">
            <w:col w:w="5500" w:space="320"/>
            <w:col w:w="5420"/>
          </w:cols>
          <w:pgMar w:left="240" w:top="459" w:right="419" w:bottom="1440" w:gutter="0" w:footer="0" w:header="0"/>
        </w:sectPr>
      </w:pPr>
    </w:p>
    <w:p>
      <w:pPr>
        <w:spacing w:after="0" w:line="13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companies comprised our Compensation Peer Group for 2018 base salary and long-term incentive pay decisions:</w:t>
      </w:r>
    </w:p>
    <w:p>
      <w:pPr>
        <w:spacing w:after="0" w:line="199" w:lineRule="exact"/>
        <w:rPr>
          <w:sz w:val="20"/>
          <w:szCs w:val="20"/>
          <w:color w:val="auto"/>
        </w:rPr>
      </w:pPr>
    </w:p>
    <w:tbl>
      <w:tblPr>
        <w:tblLayout w:type="fixed"/>
        <w:tblInd w:w="230" w:type="dxa"/>
        <w:tblCellMar>
          <w:top w:w="0" w:type="dxa"/>
          <w:left w:w="0" w:type="dxa"/>
          <w:bottom w:w="0" w:type="dxa"/>
          <w:right w:w="0" w:type="dxa"/>
        </w:tblCellMar>
      </w:tblPr>
      <w:tr>
        <w:trPr>
          <w:trHeight w:val="258"/>
        </w:trPr>
        <w:tc>
          <w:tcPr>
            <w:tcW w:w="2860" w:type="dxa"/>
            <w:vAlign w:val="bottom"/>
            <w:tcBorders>
              <w:top w:val="single" w:sz="8" w:color="007CBA"/>
              <w:left w:val="single" w:sz="8" w:color="007CBA"/>
            </w:tcBorders>
          </w:tcPr>
          <w:p>
            <w:pPr>
              <w:ind w:left="220"/>
              <w:spacing w:after="0"/>
              <w:rPr>
                <w:sz w:val="20"/>
                <w:szCs w:val="20"/>
                <w:color w:val="auto"/>
              </w:rPr>
            </w:pPr>
            <w:r>
              <w:rPr>
                <w:rFonts w:ascii="Arial" w:cs="Arial" w:eastAsia="Arial" w:hAnsi="Arial"/>
                <w:sz w:val="14"/>
                <w:szCs w:val="14"/>
                <w:color w:val="auto"/>
              </w:rPr>
              <w:t>Albermarle Corporation</w:t>
            </w:r>
          </w:p>
        </w:tc>
        <w:tc>
          <w:tcPr>
            <w:tcW w:w="2820" w:type="dxa"/>
            <w:vAlign w:val="bottom"/>
            <w:tcBorders>
              <w:top w:val="single" w:sz="8" w:color="007CBA"/>
            </w:tcBorders>
          </w:tcPr>
          <w:p>
            <w:pPr>
              <w:ind w:left="520"/>
              <w:spacing w:after="0"/>
              <w:rPr>
                <w:sz w:val="20"/>
                <w:szCs w:val="20"/>
                <w:color w:val="auto"/>
              </w:rPr>
            </w:pPr>
            <w:r>
              <w:rPr>
                <w:rFonts w:ascii="Arial" w:cs="Arial" w:eastAsia="Arial" w:hAnsi="Arial"/>
                <w:sz w:val="14"/>
                <w:szCs w:val="14"/>
                <w:color w:val="auto"/>
              </w:rPr>
              <w:t>Louisiana-Pacific Corporation</w:t>
            </w:r>
          </w:p>
        </w:tc>
        <w:tc>
          <w:tcPr>
            <w:tcW w:w="2560" w:type="dxa"/>
            <w:vAlign w:val="bottom"/>
            <w:tcBorders>
              <w:top w:val="single" w:sz="8" w:color="007CBA"/>
            </w:tcBorders>
          </w:tcPr>
          <w:p>
            <w:pPr>
              <w:ind w:left="400"/>
              <w:spacing w:after="0"/>
              <w:rPr>
                <w:sz w:val="20"/>
                <w:szCs w:val="20"/>
                <w:color w:val="auto"/>
              </w:rPr>
            </w:pPr>
            <w:r>
              <w:rPr>
                <w:rFonts w:ascii="Arial" w:cs="Arial" w:eastAsia="Arial" w:hAnsi="Arial"/>
                <w:sz w:val="14"/>
                <w:szCs w:val="14"/>
                <w:color w:val="auto"/>
              </w:rPr>
              <w:t>Owens Corning</w:t>
            </w:r>
          </w:p>
        </w:tc>
        <w:tc>
          <w:tcPr>
            <w:tcW w:w="2780" w:type="dxa"/>
            <w:vAlign w:val="bottom"/>
            <w:tcBorders>
              <w:top w:val="single" w:sz="8" w:color="007CBA"/>
              <w:right w:val="single" w:sz="8" w:color="007CBA"/>
            </w:tcBorders>
          </w:tcPr>
          <w:p>
            <w:pPr>
              <w:ind w:left="340"/>
              <w:spacing w:after="0"/>
              <w:rPr>
                <w:sz w:val="20"/>
                <w:szCs w:val="20"/>
                <w:color w:val="auto"/>
              </w:rPr>
            </w:pPr>
            <w:r>
              <w:rPr>
                <w:rFonts w:ascii="Arial" w:cs="Arial" w:eastAsia="Arial" w:hAnsi="Arial"/>
                <w:sz w:val="14"/>
                <w:szCs w:val="14"/>
                <w:color w:val="auto"/>
              </w:rPr>
              <w:t>Vulcan Materials Company</w:t>
            </w:r>
          </w:p>
        </w:tc>
      </w:tr>
      <w:tr>
        <w:trPr>
          <w:trHeight w:val="175"/>
        </w:trPr>
        <w:tc>
          <w:tcPr>
            <w:tcW w:w="2860" w:type="dxa"/>
            <w:vAlign w:val="bottom"/>
            <w:tcBorders>
              <w:left w:val="single" w:sz="8" w:color="007CBA"/>
            </w:tcBorders>
          </w:tcPr>
          <w:p>
            <w:pPr>
              <w:ind w:left="220"/>
              <w:spacing w:after="0"/>
              <w:rPr>
                <w:sz w:val="20"/>
                <w:szCs w:val="20"/>
                <w:color w:val="auto"/>
              </w:rPr>
            </w:pPr>
            <w:r>
              <w:rPr>
                <w:rFonts w:ascii="Arial" w:cs="Arial" w:eastAsia="Arial" w:hAnsi="Arial"/>
                <w:sz w:val="14"/>
                <w:szCs w:val="14"/>
                <w:color w:val="auto"/>
              </w:rPr>
              <w:t>Eagle Materials, Inc.</w:t>
            </w:r>
          </w:p>
        </w:tc>
        <w:tc>
          <w:tcPr>
            <w:tcW w:w="2820" w:type="dxa"/>
            <w:vAlign w:val="bottom"/>
          </w:tcPr>
          <w:p>
            <w:pPr>
              <w:ind w:left="520"/>
              <w:spacing w:after="0"/>
              <w:rPr>
                <w:sz w:val="20"/>
                <w:szCs w:val="20"/>
                <w:color w:val="auto"/>
              </w:rPr>
            </w:pPr>
            <w:r>
              <w:rPr>
                <w:rFonts w:ascii="Arial" w:cs="Arial" w:eastAsia="Arial" w:hAnsi="Arial"/>
                <w:sz w:val="14"/>
                <w:szCs w:val="14"/>
                <w:color w:val="auto"/>
              </w:rPr>
              <w:t>Masco Corporation</w:t>
            </w:r>
          </w:p>
        </w:tc>
        <w:tc>
          <w:tcPr>
            <w:tcW w:w="2560" w:type="dxa"/>
            <w:vAlign w:val="bottom"/>
          </w:tcPr>
          <w:p>
            <w:pPr>
              <w:ind w:left="400"/>
              <w:spacing w:after="0"/>
              <w:rPr>
                <w:sz w:val="20"/>
                <w:szCs w:val="20"/>
                <w:color w:val="auto"/>
              </w:rPr>
            </w:pPr>
            <w:r>
              <w:rPr>
                <w:rFonts w:ascii="Arial" w:cs="Arial" w:eastAsia="Arial" w:hAnsi="Arial"/>
                <w:sz w:val="14"/>
                <w:szCs w:val="14"/>
                <w:color w:val="auto"/>
              </w:rPr>
              <w:t>USG Corp.</w:t>
            </w:r>
          </w:p>
        </w:tc>
        <w:tc>
          <w:tcPr>
            <w:tcW w:w="2780" w:type="dxa"/>
            <w:vAlign w:val="bottom"/>
            <w:tcBorders>
              <w:right w:val="single" w:sz="8" w:color="007CBA"/>
            </w:tcBorders>
          </w:tcPr>
          <w:p>
            <w:pPr>
              <w:ind w:left="340"/>
              <w:spacing w:after="0"/>
              <w:rPr>
                <w:sz w:val="20"/>
                <w:szCs w:val="20"/>
                <w:color w:val="auto"/>
              </w:rPr>
            </w:pPr>
            <w:r>
              <w:rPr>
                <w:rFonts w:ascii="Arial" w:cs="Arial" w:eastAsia="Arial" w:hAnsi="Arial"/>
                <w:sz w:val="14"/>
                <w:szCs w:val="14"/>
                <w:color w:val="auto"/>
              </w:rPr>
              <w:t>Westlake Chemical Corporation</w:t>
            </w:r>
          </w:p>
        </w:tc>
      </w:tr>
      <w:tr>
        <w:trPr>
          <w:trHeight w:val="175"/>
        </w:trPr>
        <w:tc>
          <w:tcPr>
            <w:tcW w:w="2860" w:type="dxa"/>
            <w:vAlign w:val="bottom"/>
            <w:tcBorders>
              <w:left w:val="single" w:sz="8" w:color="007CBA"/>
            </w:tcBorders>
          </w:tcPr>
          <w:p>
            <w:pPr>
              <w:ind w:left="220"/>
              <w:spacing w:after="0"/>
              <w:rPr>
                <w:sz w:val="20"/>
                <w:szCs w:val="20"/>
                <w:color w:val="auto"/>
              </w:rPr>
            </w:pPr>
            <w:r>
              <w:rPr>
                <w:rFonts w:ascii="Arial" w:cs="Arial" w:eastAsia="Arial" w:hAnsi="Arial"/>
                <w:sz w:val="14"/>
                <w:szCs w:val="14"/>
                <w:color w:val="auto"/>
              </w:rPr>
              <w:t>FMC Corporation</w:t>
            </w:r>
          </w:p>
        </w:tc>
        <w:tc>
          <w:tcPr>
            <w:tcW w:w="2820" w:type="dxa"/>
            <w:vAlign w:val="bottom"/>
          </w:tcPr>
          <w:p>
            <w:pPr>
              <w:ind w:left="520"/>
              <w:spacing w:after="0"/>
              <w:rPr>
                <w:sz w:val="20"/>
                <w:szCs w:val="20"/>
                <w:color w:val="auto"/>
              </w:rPr>
            </w:pPr>
            <w:r>
              <w:rPr>
                <w:rFonts w:ascii="Arial" w:cs="Arial" w:eastAsia="Arial" w:hAnsi="Arial"/>
                <w:sz w:val="14"/>
                <w:szCs w:val="14"/>
                <w:color w:val="auto"/>
              </w:rPr>
              <w:t>Mosaic Co.</w:t>
            </w:r>
          </w:p>
        </w:tc>
        <w:tc>
          <w:tcPr>
            <w:tcW w:w="2560" w:type="dxa"/>
            <w:vAlign w:val="bottom"/>
          </w:tcPr>
          <w:p>
            <w:pPr>
              <w:ind w:left="400"/>
              <w:spacing w:after="0"/>
              <w:rPr>
                <w:sz w:val="20"/>
                <w:szCs w:val="20"/>
                <w:color w:val="auto"/>
              </w:rPr>
            </w:pPr>
            <w:r>
              <w:rPr>
                <w:rFonts w:ascii="Arial" w:cs="Arial" w:eastAsia="Arial" w:hAnsi="Arial"/>
                <w:sz w:val="14"/>
                <w:szCs w:val="14"/>
                <w:color w:val="auto"/>
              </w:rPr>
              <w:t>Stanley Black &amp; Decker, Inc.</w:t>
            </w:r>
          </w:p>
        </w:tc>
        <w:tc>
          <w:tcPr>
            <w:tcW w:w="2780" w:type="dxa"/>
            <w:vAlign w:val="bottom"/>
            <w:tcBorders>
              <w:right w:val="single" w:sz="8" w:color="007CBA"/>
            </w:tcBorders>
          </w:tcPr>
          <w:p>
            <w:pPr>
              <w:ind w:left="340"/>
              <w:spacing w:after="0"/>
              <w:rPr>
                <w:sz w:val="20"/>
                <w:szCs w:val="20"/>
                <w:color w:val="auto"/>
              </w:rPr>
            </w:pPr>
            <w:r>
              <w:rPr>
                <w:rFonts w:ascii="Arial" w:cs="Arial" w:eastAsia="Arial" w:hAnsi="Arial"/>
                <w:sz w:val="14"/>
                <w:szCs w:val="14"/>
                <w:color w:val="auto"/>
              </w:rPr>
              <w:t>Weyerhaeuser Company</w:t>
            </w:r>
          </w:p>
        </w:tc>
      </w:tr>
      <w:tr>
        <w:trPr>
          <w:trHeight w:val="175"/>
        </w:trPr>
        <w:tc>
          <w:tcPr>
            <w:tcW w:w="2860" w:type="dxa"/>
            <w:vAlign w:val="bottom"/>
            <w:tcBorders>
              <w:left w:val="single" w:sz="8" w:color="007CBA"/>
            </w:tcBorders>
          </w:tcPr>
          <w:p>
            <w:pPr>
              <w:ind w:left="220"/>
              <w:spacing w:after="0"/>
              <w:rPr>
                <w:sz w:val="20"/>
                <w:szCs w:val="20"/>
                <w:color w:val="auto"/>
              </w:rPr>
            </w:pPr>
            <w:r>
              <w:rPr>
                <w:rFonts w:ascii="Arial" w:cs="Arial" w:eastAsia="Arial" w:hAnsi="Arial"/>
                <w:sz w:val="14"/>
                <w:szCs w:val="14"/>
                <w:color w:val="auto"/>
              </w:rPr>
              <w:t>Fortune Brands Home &amp; Security</w:t>
            </w:r>
          </w:p>
        </w:tc>
        <w:tc>
          <w:tcPr>
            <w:tcW w:w="2820" w:type="dxa"/>
            <w:vAlign w:val="bottom"/>
          </w:tcPr>
          <w:p>
            <w:pPr>
              <w:ind w:left="520"/>
              <w:spacing w:after="0"/>
              <w:rPr>
                <w:sz w:val="20"/>
                <w:szCs w:val="20"/>
                <w:color w:val="auto"/>
              </w:rPr>
            </w:pPr>
            <w:r>
              <w:rPr>
                <w:rFonts w:ascii="Arial" w:cs="Arial" w:eastAsia="Arial" w:hAnsi="Arial"/>
                <w:sz w:val="14"/>
                <w:szCs w:val="14"/>
                <w:color w:val="auto"/>
              </w:rPr>
              <w:t>Nucor Corporation</w:t>
            </w:r>
          </w:p>
        </w:tc>
        <w:tc>
          <w:tcPr>
            <w:tcW w:w="2560" w:type="dxa"/>
            <w:vAlign w:val="bottom"/>
          </w:tcPr>
          <w:p>
            <w:pPr>
              <w:ind w:left="400"/>
              <w:spacing w:after="0"/>
              <w:rPr>
                <w:sz w:val="20"/>
                <w:szCs w:val="20"/>
                <w:color w:val="auto"/>
              </w:rPr>
            </w:pPr>
            <w:r>
              <w:rPr>
                <w:rFonts w:ascii="Arial" w:cs="Arial" w:eastAsia="Arial" w:hAnsi="Arial"/>
                <w:sz w:val="14"/>
                <w:szCs w:val="14"/>
                <w:color w:val="auto"/>
              </w:rPr>
              <w:t>Summit Materials, Inc.</w:t>
            </w:r>
          </w:p>
        </w:tc>
        <w:tc>
          <w:tcPr>
            <w:tcW w:w="2780" w:type="dxa"/>
            <w:vAlign w:val="bottom"/>
            <w:tcBorders>
              <w:right w:val="single" w:sz="8" w:color="007CBA"/>
            </w:tcBorders>
          </w:tcPr>
          <w:p>
            <w:pPr>
              <w:spacing w:after="0"/>
              <w:rPr>
                <w:sz w:val="15"/>
                <w:szCs w:val="15"/>
                <w:color w:val="auto"/>
              </w:rPr>
            </w:pPr>
          </w:p>
        </w:tc>
      </w:tr>
      <w:tr>
        <w:trPr>
          <w:trHeight w:val="160"/>
        </w:trPr>
        <w:tc>
          <w:tcPr>
            <w:tcW w:w="2860" w:type="dxa"/>
            <w:vAlign w:val="bottom"/>
            <w:tcBorders>
              <w:left w:val="single" w:sz="8" w:color="007CBA"/>
              <w:bottom w:val="single" w:sz="8" w:color="007CBA"/>
            </w:tcBorders>
          </w:tcPr>
          <w:p>
            <w:pPr>
              <w:spacing w:after="0"/>
              <w:rPr>
                <w:sz w:val="13"/>
                <w:szCs w:val="13"/>
                <w:color w:val="auto"/>
              </w:rPr>
            </w:pPr>
          </w:p>
        </w:tc>
        <w:tc>
          <w:tcPr>
            <w:tcW w:w="2820" w:type="dxa"/>
            <w:vAlign w:val="bottom"/>
            <w:tcBorders>
              <w:bottom w:val="single" w:sz="8" w:color="007CBA"/>
            </w:tcBorders>
          </w:tcPr>
          <w:p>
            <w:pPr>
              <w:spacing w:after="0"/>
              <w:rPr>
                <w:sz w:val="13"/>
                <w:szCs w:val="13"/>
                <w:color w:val="auto"/>
              </w:rPr>
            </w:pPr>
          </w:p>
        </w:tc>
        <w:tc>
          <w:tcPr>
            <w:tcW w:w="2560" w:type="dxa"/>
            <w:vAlign w:val="bottom"/>
            <w:tcBorders>
              <w:bottom w:val="single" w:sz="8" w:color="007CBA"/>
            </w:tcBorders>
          </w:tcPr>
          <w:p>
            <w:pPr>
              <w:spacing w:after="0"/>
              <w:rPr>
                <w:sz w:val="13"/>
                <w:szCs w:val="13"/>
                <w:color w:val="auto"/>
              </w:rPr>
            </w:pPr>
          </w:p>
        </w:tc>
        <w:tc>
          <w:tcPr>
            <w:tcW w:w="2780" w:type="dxa"/>
            <w:vAlign w:val="bottom"/>
            <w:tcBorders>
              <w:bottom w:val="single" w:sz="8" w:color="007CBA"/>
              <w:right w:val="single" w:sz="8" w:color="007CBA"/>
            </w:tcBorders>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1240"/>
          </w:cols>
          <w:pgMar w:left="240" w:top="459" w:right="419" w:bottom="1440" w:gutter="0" w:footer="0" w:header="0"/>
          <w:type w:val="continuous"/>
        </w:sectPr>
      </w:pPr>
    </w:p>
    <w:p>
      <w:pPr>
        <w:spacing w:after="0" w:line="72" w:lineRule="exact"/>
        <w:rPr>
          <w:sz w:val="20"/>
          <w:szCs w:val="20"/>
          <w:color w:val="auto"/>
        </w:rPr>
      </w:pPr>
    </w:p>
    <w:p>
      <w:pPr>
        <w:jc w:val="both"/>
        <w:ind w:left="220"/>
        <w:spacing w:after="0" w:line="247" w:lineRule="auto"/>
        <w:rPr>
          <w:sz w:val="20"/>
          <w:szCs w:val="20"/>
          <w:color w:val="auto"/>
        </w:rPr>
      </w:pPr>
      <w:r>
        <w:rPr>
          <w:rFonts w:ascii="Arial" w:cs="Arial" w:eastAsia="Arial" w:hAnsi="Arial"/>
          <w:sz w:val="16"/>
          <w:szCs w:val="16"/>
          <w:color w:val="auto"/>
        </w:rPr>
        <w:t>The Committee studies competitive total compensation data from various sources, including proxy statements of the peer group. Since proxy statements do not provide precise comparisons by position to our executive officers, the Committee also in 2018 took into consideration published independent compensation surveys of companies with revenue in the range of $2.5 billion to $8.0 billion as to median levels for each executive officer as well as private compensation survey data. Where available, size-adjusted market values were developed using regression analysis. This statistical technique accounts for revenue size differences within the peer group and develops an estimated market value for a similar-size company as Martin Marietta. The size-adjusted 50th percentile for total compensation is a key reference point for the Committee. On average, the target for our NEO total compensation opportunities is competitively positioned within a reasonable range of the size-adjusted 50th percentile.</w:t>
      </w:r>
    </w:p>
    <w:p>
      <w:pPr>
        <w:spacing w:after="0" w:line="181" w:lineRule="exact"/>
        <w:rPr>
          <w:sz w:val="20"/>
          <w:szCs w:val="20"/>
          <w:color w:val="auto"/>
        </w:rPr>
      </w:pPr>
    </w:p>
    <w:p>
      <w:pPr>
        <w:jc w:val="both"/>
        <w:ind w:left="220"/>
        <w:spacing w:after="0" w:line="247" w:lineRule="auto"/>
        <w:rPr>
          <w:sz w:val="20"/>
          <w:szCs w:val="20"/>
          <w:color w:val="auto"/>
        </w:rPr>
      </w:pPr>
      <w:r>
        <w:rPr>
          <w:rFonts w:ascii="Arial" w:cs="Arial" w:eastAsia="Arial" w:hAnsi="Arial"/>
          <w:sz w:val="16"/>
          <w:szCs w:val="16"/>
          <w:color w:val="auto"/>
        </w:rPr>
        <w:t>Although the Committee uses the size-adjusted 50th percentile as its starting point in setting compensation levels, the compensation packages for executive officers may vary materially from it based on several factors. Market data, position, tenure, individual and organization performance, retention needs and internal pay equity have been the primary factors considered in decisions to increase or decrease compensation opportunities. Specifically, the Committee typically sets compensation levels below the size-adjusted 50th percentile for executive officers with relatively less relevant experience, less responsibility, less tenure with Martin</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Marietta and/or lower performance ratings. Conversely, if an officer consistently receives favorable performance ratings, accumulates years of service and expertise in relevant areas, has more responsibility and/or has significant other achievements, his or her compensation will typically be above the size-adjusted 50th percentile.</w:t>
      </w:r>
    </w:p>
    <w:p>
      <w:pPr>
        <w:spacing w:after="0" w:line="281"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Compensation Program Risk Assessment</w:t>
      </w:r>
    </w:p>
    <w:p>
      <w:pPr>
        <w:spacing w:after="0" w:line="150"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We perform a thorough annual review of our compensation program structure and all compensation programs, which are also reviewed in detail with the Committee. We believe our executive pay is reasonable and provides appropriate incentives to our executives to achieve our financial and strategic goals without encouraging them to take excessive risks in their business decisions. Our compensation structure does not include features that are reasonably likely to have a material adverse effect on the Company. Compensation program features that mitigate against risks include the following:</w:t>
      </w:r>
    </w:p>
    <w:p>
      <w:pPr>
        <w:spacing w:after="0" w:line="70" w:lineRule="exact"/>
        <w:rPr>
          <w:sz w:val="20"/>
          <w:szCs w:val="20"/>
          <w:color w:val="auto"/>
        </w:rPr>
      </w:pPr>
    </w:p>
    <w:p>
      <w:pPr>
        <w:jc w:val="both"/>
        <w:ind w:left="360" w:right="40" w:hanging="275"/>
        <w:spacing w:after="0" w:line="253" w:lineRule="auto"/>
        <w:tabs>
          <w:tab w:leader="none" w:pos="360" w:val="left"/>
        </w:tabs>
        <w:numPr>
          <w:ilvl w:val="0"/>
          <w:numId w:val="112"/>
        </w:numPr>
        <w:rPr>
          <w:rFonts w:ascii="Arial" w:cs="Arial" w:eastAsia="Arial" w:hAnsi="Arial"/>
          <w:sz w:val="16"/>
          <w:szCs w:val="16"/>
          <w:color w:val="007CBA"/>
        </w:rPr>
      </w:pPr>
      <w:r>
        <w:rPr>
          <w:rFonts w:ascii="Arial" w:cs="Arial" w:eastAsia="Arial" w:hAnsi="Arial"/>
          <w:sz w:val="16"/>
          <w:szCs w:val="16"/>
          <w:color w:val="auto"/>
        </w:rPr>
        <w:t>Our annual incentive compensation plan does not provide payment for poor individual or corporate performance, regardless of whether the failure to achieve target was outside management’s control.</w:t>
      </w:r>
    </w:p>
    <w:p>
      <w:pPr>
        <w:spacing w:after="0" w:line="65" w:lineRule="exact"/>
        <w:rPr>
          <w:rFonts w:ascii="Arial" w:cs="Arial" w:eastAsia="Arial" w:hAnsi="Arial"/>
          <w:sz w:val="16"/>
          <w:szCs w:val="16"/>
          <w:color w:val="007CBA"/>
        </w:rPr>
      </w:pPr>
    </w:p>
    <w:p>
      <w:pPr>
        <w:ind w:left="360" w:right="40" w:hanging="275"/>
        <w:spacing w:after="0" w:line="260" w:lineRule="auto"/>
        <w:tabs>
          <w:tab w:leader="none" w:pos="360" w:val="left"/>
        </w:tabs>
        <w:numPr>
          <w:ilvl w:val="0"/>
          <w:numId w:val="112"/>
        </w:numPr>
        <w:rPr>
          <w:rFonts w:ascii="Arial" w:cs="Arial" w:eastAsia="Arial" w:hAnsi="Arial"/>
          <w:sz w:val="16"/>
          <w:szCs w:val="16"/>
          <w:color w:val="007CBA"/>
        </w:rPr>
      </w:pPr>
      <w:r>
        <w:rPr>
          <w:rFonts w:ascii="Arial" w:cs="Arial" w:eastAsia="Arial" w:hAnsi="Arial"/>
          <w:sz w:val="16"/>
          <w:szCs w:val="16"/>
          <w:color w:val="auto"/>
        </w:rPr>
        <w:t>There are caps on the long-term equity awards, even if the required performance-related criteria are exceeded.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439420</wp:posOffset>
            </wp:positionV>
            <wp:extent cx="410845" cy="2482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615" w:lineRule="exact"/>
        <w:rPr>
          <w:sz w:val="20"/>
          <w:szCs w:val="20"/>
          <w:color w:val="auto"/>
        </w:rPr>
      </w:pPr>
    </w:p>
    <w:p>
      <w:pPr>
        <w:sectPr>
          <w:pgSz w:w="11900" w:h="16838" w:orient="portrait"/>
          <w:cols w:equalWidth="0" w:num="2">
            <w:col w:w="5500" w:space="320"/>
            <w:col w:w="5420"/>
          </w:cols>
          <w:pgMar w:left="240" w:top="459" w:right="419" w:bottom="1440" w:gutter="0" w:footer="0" w:header="0"/>
          <w:type w:val="continuous"/>
        </w:sectPr>
      </w:pPr>
    </w:p>
    <w:p>
      <w:pPr>
        <w:spacing w:after="0" w:line="111" w:lineRule="exact"/>
        <w:rPr>
          <w:sz w:val="20"/>
          <w:szCs w:val="20"/>
          <w:color w:val="auto"/>
        </w:rPr>
      </w:pPr>
    </w:p>
    <w:p>
      <w:pPr>
        <w:ind w:left="640" w:hanging="430"/>
        <w:spacing w:after="0"/>
        <w:tabs>
          <w:tab w:leader="none" w:pos="640" w:val="left"/>
        </w:tabs>
        <w:numPr>
          <w:ilvl w:val="0"/>
          <w:numId w:val="113"/>
        </w:numPr>
        <w:rPr>
          <w:rFonts w:ascii="Arial" w:cs="Arial" w:eastAsia="Arial" w:hAnsi="Arial"/>
          <w:sz w:val="12"/>
          <w:szCs w:val="12"/>
          <w:b w:val="1"/>
          <w:bCs w:val="1"/>
          <w:color w:val="auto"/>
        </w:rPr>
      </w:pPr>
      <w:r>
        <w:rPr>
          <w:rFonts w:ascii="Arial" w:cs="Arial" w:eastAsia="Arial" w:hAnsi="Arial"/>
          <w:sz w:val="12"/>
          <w:szCs w:val="12"/>
          <w:color w:val="007CBA"/>
        </w:rPr>
        <w:t>2019 PROXY STATEMENT</w:t>
      </w:r>
    </w:p>
    <w:p>
      <w:pPr>
        <w:sectPr>
          <w:pgSz w:w="11900" w:h="16838" w:orient="portrait"/>
          <w:cols w:equalWidth="0" w:num="1">
            <w:col w:w="11240"/>
          </w:cols>
          <w:pgMar w:left="240" w:top="459" w:right="41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9" w:lineRule="exact"/>
        <w:rPr>
          <w:sz w:val="20"/>
          <w:szCs w:val="20"/>
          <w:color w:val="auto"/>
        </w:rPr>
      </w:pPr>
    </w:p>
    <w:p>
      <w:pPr>
        <w:jc w:val="right"/>
        <w:spacing w:after="0" w:line="288" w:lineRule="exact"/>
        <w:rPr>
          <w:sz w:val="20"/>
          <w:szCs w:val="20"/>
          <w:color w:val="auto"/>
        </w:rPr>
      </w:pPr>
      <w:r>
        <w:rPr>
          <w:rFonts w:ascii="Arial" w:cs="Arial" w:eastAsia="Arial" w:hAnsi="Arial"/>
          <w:sz w:val="13"/>
          <w:szCs w:val="13"/>
          <w:color w:val="auto"/>
        </w:rPr>
        <w:t xml:space="preserve">Compensation Program Risk Assessment </w:t>
      </w:r>
      <w:r>
        <w:rPr>
          <w:rFonts w:ascii="MS PGothic" w:cs="MS PGothic" w:eastAsia="MS PGothic" w:hAnsi="MS PGothic"/>
          <w:sz w:val="25"/>
          <w:szCs w:val="25"/>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Compensation Discussion and Analysis</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580" w:right="20" w:hanging="289"/>
        <w:spacing w:after="0" w:line="260" w:lineRule="auto"/>
        <w:tabs>
          <w:tab w:leader="none" w:pos="580" w:val="left"/>
        </w:tabs>
        <w:numPr>
          <w:ilvl w:val="0"/>
          <w:numId w:val="114"/>
        </w:numPr>
        <w:rPr>
          <w:rFonts w:ascii="Arial" w:cs="Arial" w:eastAsia="Arial" w:hAnsi="Arial"/>
          <w:sz w:val="16"/>
          <w:szCs w:val="16"/>
          <w:color w:val="007CBA"/>
        </w:rPr>
      </w:pPr>
      <w:r>
        <w:rPr>
          <w:rFonts w:ascii="Arial" w:cs="Arial" w:eastAsia="Arial" w:hAnsi="Arial"/>
          <w:sz w:val="16"/>
          <w:szCs w:val="16"/>
          <w:color w:val="auto"/>
        </w:rPr>
        <w:t>A majority of the NEOs’ compensation is long-term, with equity grants vesting over three to five years, depending on the award.</w:t>
      </w:r>
    </w:p>
    <w:p>
      <w:pPr>
        <w:spacing w:after="0" w:line="60" w:lineRule="exact"/>
        <w:rPr>
          <w:rFonts w:ascii="Arial" w:cs="Arial" w:eastAsia="Arial" w:hAnsi="Arial"/>
          <w:sz w:val="16"/>
          <w:szCs w:val="16"/>
          <w:color w:val="007CBA"/>
        </w:rPr>
      </w:pPr>
    </w:p>
    <w:p>
      <w:pPr>
        <w:jc w:val="both"/>
        <w:ind w:left="580" w:right="20" w:hanging="289"/>
        <w:spacing w:after="0" w:line="253" w:lineRule="auto"/>
        <w:tabs>
          <w:tab w:leader="none" w:pos="580" w:val="left"/>
        </w:tabs>
        <w:numPr>
          <w:ilvl w:val="0"/>
          <w:numId w:val="114"/>
        </w:numPr>
        <w:rPr>
          <w:rFonts w:ascii="Arial" w:cs="Arial" w:eastAsia="Arial" w:hAnsi="Arial"/>
          <w:sz w:val="16"/>
          <w:szCs w:val="16"/>
          <w:color w:val="007CBA"/>
        </w:rPr>
      </w:pPr>
      <w:r>
        <w:rPr>
          <w:rFonts w:ascii="Arial" w:cs="Arial" w:eastAsia="Arial" w:hAnsi="Arial"/>
          <w:sz w:val="16"/>
          <w:szCs w:val="16"/>
          <w:color w:val="auto"/>
        </w:rPr>
        <w:t>Our compensation is not based on highly-leveraged short-term incentives that encourage high risk investments at the expense of long-term value.</w:t>
      </w:r>
    </w:p>
    <w:p>
      <w:pPr>
        <w:spacing w:after="0" w:line="65" w:lineRule="exact"/>
        <w:rPr>
          <w:rFonts w:ascii="Arial" w:cs="Arial" w:eastAsia="Arial" w:hAnsi="Arial"/>
          <w:sz w:val="16"/>
          <w:szCs w:val="16"/>
          <w:color w:val="007CBA"/>
        </w:rPr>
      </w:pPr>
    </w:p>
    <w:p>
      <w:pPr>
        <w:ind w:left="580" w:right="20" w:hanging="289"/>
        <w:spacing w:after="0" w:line="260" w:lineRule="auto"/>
        <w:tabs>
          <w:tab w:leader="none" w:pos="580" w:val="left"/>
        </w:tabs>
        <w:numPr>
          <w:ilvl w:val="0"/>
          <w:numId w:val="114"/>
        </w:numPr>
        <w:rPr>
          <w:rFonts w:ascii="Arial" w:cs="Arial" w:eastAsia="Arial" w:hAnsi="Arial"/>
          <w:sz w:val="16"/>
          <w:szCs w:val="16"/>
          <w:color w:val="007CBA"/>
        </w:rPr>
      </w:pPr>
      <w:r>
        <w:rPr>
          <w:rFonts w:ascii="Arial" w:cs="Arial" w:eastAsia="Arial" w:hAnsi="Arial"/>
          <w:sz w:val="16"/>
          <w:szCs w:val="16"/>
          <w:color w:val="auto"/>
        </w:rPr>
        <w:t>Long-term compensation to executive officers is based on specific performance measures that balance long-term growth and returns.</w:t>
      </w:r>
    </w:p>
    <w:p>
      <w:pPr>
        <w:spacing w:after="0" w:line="60" w:lineRule="exact"/>
        <w:rPr>
          <w:rFonts w:ascii="Arial" w:cs="Arial" w:eastAsia="Arial" w:hAnsi="Arial"/>
          <w:sz w:val="16"/>
          <w:szCs w:val="16"/>
          <w:color w:val="007CBA"/>
        </w:rPr>
      </w:pPr>
    </w:p>
    <w:p>
      <w:pPr>
        <w:jc w:val="both"/>
        <w:ind w:left="580" w:right="20" w:hanging="289"/>
        <w:spacing w:after="0" w:line="250" w:lineRule="auto"/>
        <w:tabs>
          <w:tab w:leader="none" w:pos="580" w:val="left"/>
        </w:tabs>
        <w:numPr>
          <w:ilvl w:val="0"/>
          <w:numId w:val="114"/>
        </w:numPr>
        <w:rPr>
          <w:rFonts w:ascii="Arial" w:cs="Arial" w:eastAsia="Arial" w:hAnsi="Arial"/>
          <w:sz w:val="16"/>
          <w:szCs w:val="16"/>
          <w:color w:val="007CBA"/>
        </w:rPr>
      </w:pPr>
      <w:r>
        <w:rPr>
          <w:rFonts w:ascii="Arial" w:cs="Arial" w:eastAsia="Arial" w:hAnsi="Arial"/>
          <w:sz w:val="16"/>
          <w:szCs w:val="16"/>
          <w:color w:val="auto"/>
        </w:rPr>
        <w:t>The Committee uses benchmarking data and the advice of its independent compensation consultant to keep compensation in line with typical market practices and appropriate to Martin Marietta’s needs.</w:t>
      </w:r>
    </w:p>
    <w:p>
      <w:pPr>
        <w:spacing w:after="0" w:line="69" w:lineRule="exact"/>
        <w:rPr>
          <w:rFonts w:ascii="Arial" w:cs="Arial" w:eastAsia="Arial" w:hAnsi="Arial"/>
          <w:sz w:val="16"/>
          <w:szCs w:val="16"/>
          <w:color w:val="007CBA"/>
        </w:rPr>
      </w:pPr>
    </w:p>
    <w:p>
      <w:pPr>
        <w:ind w:left="580" w:hanging="289"/>
        <w:spacing w:after="0"/>
        <w:tabs>
          <w:tab w:leader="none" w:pos="580" w:val="left"/>
        </w:tabs>
        <w:numPr>
          <w:ilvl w:val="0"/>
          <w:numId w:val="114"/>
        </w:numPr>
        <w:rPr>
          <w:rFonts w:ascii="Arial" w:cs="Arial" w:eastAsia="Arial" w:hAnsi="Arial"/>
          <w:sz w:val="16"/>
          <w:szCs w:val="16"/>
          <w:color w:val="007CBA"/>
        </w:rPr>
      </w:pPr>
      <w:r>
        <w:rPr>
          <w:rFonts w:ascii="Arial" w:cs="Arial" w:eastAsia="Arial" w:hAnsi="Arial"/>
          <w:sz w:val="16"/>
          <w:szCs w:val="16"/>
          <w:color w:val="auto"/>
        </w:rPr>
        <w:t>We use a balanced portfolio of long-term incentive programs.</w:t>
      </w:r>
    </w:p>
    <w:p>
      <w:pPr>
        <w:spacing w:after="0" w:line="85" w:lineRule="exact"/>
        <w:rPr>
          <w:rFonts w:ascii="Arial" w:cs="Arial" w:eastAsia="Arial" w:hAnsi="Arial"/>
          <w:sz w:val="16"/>
          <w:szCs w:val="16"/>
          <w:color w:val="007CBA"/>
        </w:rPr>
      </w:pPr>
    </w:p>
    <w:p>
      <w:pPr>
        <w:ind w:left="580" w:right="20" w:hanging="289"/>
        <w:spacing w:after="0" w:line="260" w:lineRule="auto"/>
        <w:tabs>
          <w:tab w:leader="none" w:pos="580" w:val="left"/>
        </w:tabs>
        <w:numPr>
          <w:ilvl w:val="0"/>
          <w:numId w:val="114"/>
        </w:numPr>
        <w:rPr>
          <w:rFonts w:ascii="Arial" w:cs="Arial" w:eastAsia="Arial" w:hAnsi="Arial"/>
          <w:sz w:val="16"/>
          <w:szCs w:val="16"/>
          <w:color w:val="007CBA"/>
        </w:rPr>
      </w:pPr>
      <w:r>
        <w:rPr>
          <w:rFonts w:ascii="Arial" w:cs="Arial" w:eastAsia="Arial" w:hAnsi="Arial"/>
          <w:sz w:val="16"/>
          <w:szCs w:val="16"/>
          <w:color w:val="auto"/>
        </w:rPr>
        <w:t>The Committee’s governance process requires review and approval of all compensation over a certain amount.</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7CBA"/>
        </w:rPr>
        <w:t>Stock-Based Awards Generally</w:t>
      </w:r>
    </w:p>
    <w:p>
      <w:pPr>
        <w:spacing w:after="0" w:line="150"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All of Martin Marietta’s active equity-based award plans have been approved by shareholders. Our Stock-Based Award Plan requires a minimum vesting period of 12 months for restricted stock or RSUs and a minimum vesting period of 36 months for stock options or SARs. The Company has not issued SARs and has not issued options since 2015.</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7CBA"/>
        </w:rPr>
        <w:t>Stock Ownership Requirements</w:t>
      </w:r>
    </w:p>
    <w:p>
      <w:pPr>
        <w:spacing w:after="0" w:line="150"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In 2018, the Board adopted robust formal Stock Ownership Guidelines for executive officers and members of the Board of Directors. These require the following ownership levels as a multiple of base salary or annual cash retainer, as applicable:</w:t>
      </w:r>
    </w:p>
    <w:p>
      <w:pPr>
        <w:spacing w:after="0" w:line="230" w:lineRule="exact"/>
        <w:rPr>
          <w:sz w:val="20"/>
          <w:szCs w:val="20"/>
          <w:color w:val="auto"/>
        </w:rPr>
      </w:pPr>
    </w:p>
    <w:tbl>
      <w:tblPr>
        <w:tblLayout w:type="fixed"/>
        <w:tblInd w:w="220" w:type="dxa"/>
        <w:tblCellMar>
          <w:top w:w="0" w:type="dxa"/>
          <w:left w:w="0" w:type="dxa"/>
          <w:bottom w:w="0" w:type="dxa"/>
          <w:right w:w="0" w:type="dxa"/>
        </w:tblCellMar>
      </w:tblPr>
      <w:tr>
        <w:trPr>
          <w:trHeight w:val="176"/>
        </w:trPr>
        <w:tc>
          <w:tcPr>
            <w:tcW w:w="3680" w:type="dxa"/>
            <w:vAlign w:val="bottom"/>
            <w:tcBorders>
              <w:right w:val="single" w:sz="8" w:color="007CBA"/>
            </w:tcBorders>
            <w:shd w:val="clear" w:color="auto" w:fill="007CBA"/>
          </w:tcPr>
          <w:p>
            <w:pPr>
              <w:spacing w:after="0"/>
              <w:rPr>
                <w:sz w:val="15"/>
                <w:szCs w:val="15"/>
                <w:color w:val="auto"/>
              </w:rPr>
            </w:pPr>
          </w:p>
        </w:tc>
        <w:tc>
          <w:tcPr>
            <w:tcW w:w="15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Annual Base</w:t>
            </w:r>
          </w:p>
        </w:tc>
      </w:tr>
      <w:tr>
        <w:trPr>
          <w:trHeight w:val="209"/>
        </w:trPr>
        <w:tc>
          <w:tcPr>
            <w:tcW w:w="3680" w:type="dxa"/>
            <w:vAlign w:val="bottom"/>
            <w:tcBorders>
              <w:bottom w:val="single" w:sz="8" w:color="007CBA"/>
              <w:right w:val="single" w:sz="8" w:color="007CBA"/>
            </w:tcBorders>
            <w:shd w:val="clear" w:color="auto" w:fill="007CBA"/>
          </w:tcPr>
          <w:p>
            <w:pPr>
              <w:ind w:left="80"/>
              <w:spacing w:after="0"/>
              <w:rPr>
                <w:sz w:val="20"/>
                <w:szCs w:val="20"/>
                <w:color w:val="auto"/>
              </w:rPr>
            </w:pPr>
            <w:r>
              <w:rPr>
                <w:rFonts w:ascii="Arial" w:cs="Arial" w:eastAsia="Arial" w:hAnsi="Arial"/>
                <w:sz w:val="14"/>
                <w:szCs w:val="14"/>
                <w:b w:val="1"/>
                <w:bCs w:val="1"/>
                <w:color w:val="FFFFFF"/>
              </w:rPr>
              <w:t>Title</w:t>
            </w:r>
          </w:p>
        </w:tc>
        <w:tc>
          <w:tcPr>
            <w:tcW w:w="1580" w:type="dxa"/>
            <w:vAlign w:val="bottom"/>
            <w:tcBorders>
              <w:bottom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Salary Multiple</w:t>
            </w:r>
          </w:p>
        </w:tc>
      </w:tr>
      <w:tr>
        <w:trPr>
          <w:trHeight w:val="277"/>
        </w:trPr>
        <w:tc>
          <w:tcPr>
            <w:tcW w:w="3680" w:type="dxa"/>
            <w:vAlign w:val="bottom"/>
            <w:tcBorders>
              <w:bottom w:val="single" w:sz="8" w:color="E5F1F8"/>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Chairman, President and CEO</w:t>
            </w:r>
          </w:p>
        </w:tc>
        <w:tc>
          <w:tcPr>
            <w:tcW w:w="1580" w:type="dxa"/>
            <w:vAlign w:val="bottom"/>
            <w:tcBorders>
              <w:bottom w:val="single" w:sz="8" w:color="E5F1F8"/>
            </w:tcBorders>
            <w:shd w:val="clear" w:color="auto" w:fill="E5F1F8"/>
          </w:tcPr>
          <w:p>
            <w:pPr>
              <w:ind w:left="500"/>
              <w:spacing w:after="0"/>
              <w:rPr>
                <w:sz w:val="20"/>
                <w:szCs w:val="20"/>
                <w:color w:val="auto"/>
              </w:rPr>
            </w:pPr>
            <w:r>
              <w:rPr>
                <w:rFonts w:ascii="Arial" w:cs="Arial" w:eastAsia="Arial" w:hAnsi="Arial"/>
                <w:sz w:val="14"/>
                <w:szCs w:val="14"/>
                <w:color w:val="auto"/>
              </w:rPr>
              <w:t>7 times</w:t>
            </w:r>
          </w:p>
        </w:tc>
      </w:tr>
      <w:tr>
        <w:trPr>
          <w:trHeight w:val="244"/>
        </w:trPr>
        <w:tc>
          <w:tcPr>
            <w:tcW w:w="368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Other Executive Officers</w:t>
            </w:r>
          </w:p>
        </w:tc>
        <w:tc>
          <w:tcPr>
            <w:tcW w:w="1580" w:type="dxa"/>
            <w:vAlign w:val="bottom"/>
          </w:tcPr>
          <w:p>
            <w:pPr>
              <w:ind w:left="500"/>
              <w:spacing w:after="0"/>
              <w:rPr>
                <w:sz w:val="20"/>
                <w:szCs w:val="20"/>
                <w:color w:val="auto"/>
              </w:rPr>
            </w:pPr>
            <w:r>
              <w:rPr>
                <w:rFonts w:ascii="Arial" w:cs="Arial" w:eastAsia="Arial" w:hAnsi="Arial"/>
                <w:sz w:val="14"/>
                <w:szCs w:val="14"/>
                <w:color w:val="auto"/>
              </w:rPr>
              <w:t>5 times</w:t>
            </w:r>
          </w:p>
        </w:tc>
      </w:tr>
      <w:tr>
        <w:trPr>
          <w:trHeight w:val="52"/>
        </w:trPr>
        <w:tc>
          <w:tcPr>
            <w:tcW w:w="3680" w:type="dxa"/>
            <w:vAlign w:val="bottom"/>
            <w:tcBorders>
              <w:right w:val="single" w:sz="8" w:color="007CBA"/>
            </w:tcBorders>
          </w:tcPr>
          <w:p>
            <w:pPr>
              <w:spacing w:after="0"/>
              <w:rPr>
                <w:sz w:val="4"/>
                <w:szCs w:val="4"/>
                <w:color w:val="auto"/>
              </w:rPr>
            </w:pPr>
          </w:p>
        </w:tc>
        <w:tc>
          <w:tcPr>
            <w:tcW w:w="1580" w:type="dxa"/>
            <w:vAlign w:val="bottom"/>
          </w:tcPr>
          <w:p>
            <w:pPr>
              <w:spacing w:after="0"/>
              <w:rPr>
                <w:sz w:val="4"/>
                <w:szCs w:val="4"/>
                <w:color w:val="auto"/>
              </w:rPr>
            </w:pPr>
          </w:p>
        </w:tc>
      </w:tr>
      <w:tr>
        <w:trPr>
          <w:trHeight w:val="277"/>
        </w:trPr>
        <w:tc>
          <w:tcPr>
            <w:tcW w:w="3680" w:type="dxa"/>
            <w:vAlign w:val="bottom"/>
            <w:tcBorders>
              <w:bottom w:val="single" w:sz="8" w:color="E5F1F8"/>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Other Members of the Board of Directors</w:t>
            </w:r>
          </w:p>
        </w:tc>
        <w:tc>
          <w:tcPr>
            <w:tcW w:w="1580" w:type="dxa"/>
            <w:vAlign w:val="bottom"/>
            <w:tcBorders>
              <w:bottom w:val="single" w:sz="8" w:color="E5F1F8"/>
            </w:tcBorders>
            <w:shd w:val="clear" w:color="auto" w:fill="E5F1F8"/>
          </w:tcPr>
          <w:p>
            <w:pPr>
              <w:ind w:left="500"/>
              <w:spacing w:after="0"/>
              <w:rPr>
                <w:sz w:val="20"/>
                <w:szCs w:val="20"/>
                <w:color w:val="auto"/>
              </w:rPr>
            </w:pPr>
            <w:r>
              <w:rPr>
                <w:rFonts w:ascii="Arial" w:cs="Arial" w:eastAsia="Arial" w:hAnsi="Arial"/>
                <w:sz w:val="14"/>
                <w:szCs w:val="14"/>
                <w:color w:val="auto"/>
              </w:rPr>
              <w:t>5 times</w:t>
            </w:r>
          </w:p>
        </w:tc>
      </w:tr>
      <w:tr>
        <w:trPr>
          <w:trHeight w:val="20"/>
        </w:trPr>
        <w:tc>
          <w:tcPr>
            <w:tcW w:w="3680" w:type="dxa"/>
            <w:vAlign w:val="bottom"/>
            <w:tcBorders>
              <w:right w:val="single" w:sz="8" w:color="007CBA"/>
            </w:tcBorders>
            <w:shd w:val="clear" w:color="auto" w:fill="007CBA"/>
          </w:tcPr>
          <w:p>
            <w:pPr>
              <w:spacing w:after="0" w:line="20" w:lineRule="exact"/>
              <w:rPr>
                <w:sz w:val="1"/>
                <w:szCs w:val="1"/>
                <w:color w:val="auto"/>
              </w:rPr>
            </w:pPr>
          </w:p>
        </w:tc>
        <w:tc>
          <w:tcPr>
            <w:tcW w:w="1580" w:type="dxa"/>
            <w:vAlign w:val="bottom"/>
            <w:shd w:val="clear" w:color="auto" w:fill="007CBA"/>
          </w:tcPr>
          <w:p>
            <w:pPr>
              <w:spacing w:after="0" w:line="20" w:lineRule="exact"/>
              <w:rPr>
                <w:sz w:val="1"/>
                <w:szCs w:val="1"/>
                <w:color w:val="auto"/>
              </w:rPr>
            </w:pPr>
          </w:p>
        </w:tc>
      </w:tr>
    </w:tbl>
    <w:p>
      <w:pPr>
        <w:spacing w:after="0" w:line="110" w:lineRule="exact"/>
        <w:rPr>
          <w:sz w:val="20"/>
          <w:szCs w:val="20"/>
          <w:color w:val="auto"/>
        </w:rPr>
      </w:pPr>
    </w:p>
    <w:p>
      <w:pPr>
        <w:jc w:val="both"/>
        <w:ind w:left="220"/>
        <w:spacing w:after="0" w:line="260" w:lineRule="auto"/>
        <w:rPr>
          <w:sz w:val="20"/>
          <w:szCs w:val="20"/>
          <w:color w:val="auto"/>
        </w:rPr>
      </w:pPr>
      <w:r>
        <w:rPr>
          <w:rFonts w:ascii="Arial" w:cs="Arial" w:eastAsia="Arial" w:hAnsi="Arial"/>
          <w:sz w:val="16"/>
          <w:szCs w:val="16"/>
          <w:color w:val="auto"/>
        </w:rPr>
        <w:t>The following types of equity instruments count in determining stock ownership for purposes of these guidelines:</w:t>
      </w:r>
    </w:p>
    <w:p>
      <w:pPr>
        <w:spacing w:after="0" w:line="47" w:lineRule="exact"/>
        <w:rPr>
          <w:sz w:val="20"/>
          <w:szCs w:val="20"/>
          <w:color w:val="auto"/>
        </w:rPr>
      </w:pPr>
    </w:p>
    <w:p>
      <w:pPr>
        <w:jc w:val="both"/>
        <w:ind w:left="580" w:right="20" w:hanging="289"/>
        <w:spacing w:after="0" w:line="253" w:lineRule="auto"/>
        <w:tabs>
          <w:tab w:leader="none" w:pos="580" w:val="left"/>
        </w:tabs>
        <w:numPr>
          <w:ilvl w:val="0"/>
          <w:numId w:val="115"/>
        </w:numPr>
        <w:rPr>
          <w:rFonts w:ascii="Arial" w:cs="Arial" w:eastAsia="Arial" w:hAnsi="Arial"/>
          <w:sz w:val="16"/>
          <w:szCs w:val="16"/>
          <w:color w:val="007CBA"/>
        </w:rPr>
      </w:pPr>
      <w:r>
        <w:rPr>
          <w:rFonts w:ascii="Arial" w:cs="Arial" w:eastAsia="Arial" w:hAnsi="Arial"/>
          <w:sz w:val="16"/>
          <w:szCs w:val="16"/>
          <w:color w:val="auto"/>
        </w:rPr>
        <w:t>Shares owned separately by the covered person or owned either jointly with, or separately by, his or her immediate family members residing in the same household;</w:t>
      </w:r>
    </w:p>
    <w:p>
      <w:pPr>
        <w:spacing w:after="0" w:line="52" w:lineRule="exact"/>
        <w:rPr>
          <w:rFonts w:ascii="Arial" w:cs="Arial" w:eastAsia="Arial" w:hAnsi="Arial"/>
          <w:sz w:val="16"/>
          <w:szCs w:val="16"/>
          <w:color w:val="007CBA"/>
        </w:rPr>
      </w:pPr>
    </w:p>
    <w:p>
      <w:pPr>
        <w:ind w:left="580" w:right="20" w:hanging="289"/>
        <w:spacing w:after="0" w:line="260" w:lineRule="auto"/>
        <w:tabs>
          <w:tab w:leader="none" w:pos="580" w:val="left"/>
        </w:tabs>
        <w:numPr>
          <w:ilvl w:val="0"/>
          <w:numId w:val="115"/>
        </w:numPr>
        <w:rPr>
          <w:rFonts w:ascii="Arial" w:cs="Arial" w:eastAsia="Arial" w:hAnsi="Arial"/>
          <w:sz w:val="16"/>
          <w:szCs w:val="16"/>
          <w:color w:val="007CBA"/>
        </w:rPr>
      </w:pPr>
      <w:r>
        <w:rPr>
          <w:rFonts w:ascii="Arial" w:cs="Arial" w:eastAsia="Arial" w:hAnsi="Arial"/>
          <w:sz w:val="16"/>
          <w:szCs w:val="16"/>
          <w:color w:val="auto"/>
        </w:rPr>
        <w:t>Shares held in trust for the benefit of the covered person or his or her immediate family members;</w:t>
      </w:r>
    </w:p>
    <w:p>
      <w:pPr>
        <w:spacing w:after="0" w:line="46" w:lineRule="exact"/>
        <w:rPr>
          <w:rFonts w:ascii="Arial" w:cs="Arial" w:eastAsia="Arial" w:hAnsi="Arial"/>
          <w:sz w:val="16"/>
          <w:szCs w:val="16"/>
          <w:color w:val="007CBA"/>
        </w:rPr>
      </w:pPr>
    </w:p>
    <w:p>
      <w:pPr>
        <w:ind w:left="580" w:hanging="289"/>
        <w:spacing w:after="0"/>
        <w:tabs>
          <w:tab w:leader="none" w:pos="580" w:val="left"/>
        </w:tabs>
        <w:numPr>
          <w:ilvl w:val="0"/>
          <w:numId w:val="115"/>
        </w:numPr>
        <w:rPr>
          <w:rFonts w:ascii="Arial" w:cs="Arial" w:eastAsia="Arial" w:hAnsi="Arial"/>
          <w:sz w:val="16"/>
          <w:szCs w:val="16"/>
          <w:color w:val="007CBA"/>
        </w:rPr>
      </w:pPr>
      <w:r>
        <w:rPr>
          <w:rFonts w:ascii="Arial" w:cs="Arial" w:eastAsia="Arial" w:hAnsi="Arial"/>
          <w:sz w:val="16"/>
          <w:szCs w:val="16"/>
          <w:color w:val="auto"/>
        </w:rPr>
        <w:t>Shares purchased on the open market;</w:t>
      </w:r>
    </w:p>
    <w:p>
      <w:pPr>
        <w:spacing w:after="0" w:line="72" w:lineRule="exact"/>
        <w:rPr>
          <w:rFonts w:ascii="Arial" w:cs="Arial" w:eastAsia="Arial" w:hAnsi="Arial"/>
          <w:sz w:val="16"/>
          <w:szCs w:val="16"/>
          <w:color w:val="007CBA"/>
        </w:rPr>
      </w:pPr>
    </w:p>
    <w:p>
      <w:pPr>
        <w:ind w:left="580" w:right="20" w:hanging="289"/>
        <w:spacing w:after="0" w:line="260" w:lineRule="auto"/>
        <w:tabs>
          <w:tab w:leader="none" w:pos="580" w:val="left"/>
        </w:tabs>
        <w:numPr>
          <w:ilvl w:val="0"/>
          <w:numId w:val="115"/>
        </w:numPr>
        <w:rPr>
          <w:rFonts w:ascii="Arial" w:cs="Arial" w:eastAsia="Arial" w:hAnsi="Arial"/>
          <w:sz w:val="16"/>
          <w:szCs w:val="16"/>
          <w:color w:val="007CBA"/>
        </w:rPr>
      </w:pPr>
      <w:r>
        <w:rPr>
          <w:rFonts w:ascii="Arial" w:cs="Arial" w:eastAsia="Arial" w:hAnsi="Arial"/>
          <w:sz w:val="16"/>
          <w:szCs w:val="16"/>
          <w:color w:val="auto"/>
        </w:rPr>
        <w:t>Shares obtained through stock option exercise (and not thereafter sold);</w:t>
      </w:r>
    </w:p>
    <w:p>
      <w:pPr>
        <w:spacing w:after="0" w:line="46" w:lineRule="exact"/>
        <w:rPr>
          <w:rFonts w:ascii="Arial" w:cs="Arial" w:eastAsia="Arial" w:hAnsi="Arial"/>
          <w:sz w:val="16"/>
          <w:szCs w:val="16"/>
          <w:color w:val="007CBA"/>
        </w:rPr>
      </w:pPr>
    </w:p>
    <w:p>
      <w:pPr>
        <w:ind w:left="580" w:hanging="289"/>
        <w:spacing w:after="0"/>
        <w:tabs>
          <w:tab w:leader="none" w:pos="580" w:val="left"/>
        </w:tabs>
        <w:numPr>
          <w:ilvl w:val="0"/>
          <w:numId w:val="115"/>
        </w:numPr>
        <w:rPr>
          <w:rFonts w:ascii="Arial" w:cs="Arial" w:eastAsia="Arial" w:hAnsi="Arial"/>
          <w:sz w:val="16"/>
          <w:szCs w:val="16"/>
          <w:color w:val="007CBA"/>
        </w:rPr>
      </w:pPr>
      <w:r>
        <w:rPr>
          <w:rFonts w:ascii="Arial" w:cs="Arial" w:eastAsia="Arial" w:hAnsi="Arial"/>
          <w:sz w:val="16"/>
          <w:szCs w:val="16"/>
          <w:color w:val="auto"/>
        </w:rPr>
        <w:t>Vested shares of RSUs;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ind w:left="360" w:hanging="275"/>
        <w:spacing w:after="0"/>
        <w:tabs>
          <w:tab w:leader="none" w:pos="360" w:val="left"/>
        </w:tabs>
        <w:numPr>
          <w:ilvl w:val="0"/>
          <w:numId w:val="116"/>
        </w:numPr>
        <w:rPr>
          <w:rFonts w:ascii="Arial" w:cs="Arial" w:eastAsia="Arial" w:hAnsi="Arial"/>
          <w:sz w:val="16"/>
          <w:szCs w:val="16"/>
          <w:color w:val="007CBA"/>
        </w:rPr>
      </w:pPr>
      <w:r>
        <w:rPr>
          <w:rFonts w:ascii="Arial" w:cs="Arial" w:eastAsia="Arial" w:hAnsi="Arial"/>
          <w:sz w:val="16"/>
          <w:szCs w:val="16"/>
          <w:color w:val="auto"/>
        </w:rPr>
        <w:t>Unvested RSUs;</w:t>
      </w:r>
    </w:p>
    <w:p>
      <w:pPr>
        <w:spacing w:after="0" w:line="72" w:lineRule="exact"/>
        <w:rPr>
          <w:rFonts w:ascii="Arial" w:cs="Arial" w:eastAsia="Arial" w:hAnsi="Arial"/>
          <w:sz w:val="16"/>
          <w:szCs w:val="16"/>
          <w:color w:val="007CBA"/>
        </w:rPr>
      </w:pPr>
    </w:p>
    <w:p>
      <w:pPr>
        <w:ind w:left="360" w:right="20" w:hanging="275"/>
        <w:spacing w:after="0" w:line="260" w:lineRule="auto"/>
        <w:tabs>
          <w:tab w:leader="none" w:pos="360" w:val="left"/>
        </w:tabs>
        <w:numPr>
          <w:ilvl w:val="0"/>
          <w:numId w:val="116"/>
        </w:numPr>
        <w:rPr>
          <w:rFonts w:ascii="Arial" w:cs="Arial" w:eastAsia="Arial" w:hAnsi="Arial"/>
          <w:sz w:val="16"/>
          <w:szCs w:val="16"/>
          <w:color w:val="007CBA"/>
        </w:rPr>
      </w:pPr>
      <w:r>
        <w:rPr>
          <w:rFonts w:ascii="Arial" w:cs="Arial" w:eastAsia="Arial" w:hAnsi="Arial"/>
          <w:sz w:val="16"/>
          <w:szCs w:val="16"/>
          <w:color w:val="auto"/>
        </w:rPr>
        <w:t>Shares held pursuant to deferred stock unit plans for Directors or executive officers; and</w:t>
      </w:r>
    </w:p>
    <w:p>
      <w:pPr>
        <w:spacing w:after="0" w:line="46" w:lineRule="exact"/>
        <w:rPr>
          <w:rFonts w:ascii="Arial" w:cs="Arial" w:eastAsia="Arial" w:hAnsi="Arial"/>
          <w:sz w:val="16"/>
          <w:szCs w:val="16"/>
          <w:color w:val="007CBA"/>
        </w:rPr>
      </w:pPr>
    </w:p>
    <w:p>
      <w:pPr>
        <w:ind w:left="360" w:right="20" w:hanging="275"/>
        <w:spacing w:after="0" w:line="260" w:lineRule="auto"/>
        <w:tabs>
          <w:tab w:leader="none" w:pos="360" w:val="left"/>
        </w:tabs>
        <w:numPr>
          <w:ilvl w:val="0"/>
          <w:numId w:val="116"/>
        </w:numPr>
        <w:rPr>
          <w:rFonts w:ascii="Arial" w:cs="Arial" w:eastAsia="Arial" w:hAnsi="Arial"/>
          <w:sz w:val="16"/>
          <w:szCs w:val="16"/>
          <w:color w:val="007CBA"/>
        </w:rPr>
      </w:pPr>
      <w:r>
        <w:rPr>
          <w:rFonts w:ascii="Arial" w:cs="Arial" w:eastAsia="Arial" w:hAnsi="Arial"/>
          <w:sz w:val="16"/>
          <w:szCs w:val="16"/>
          <w:color w:val="auto"/>
        </w:rPr>
        <w:t>Shares acquired under the Company’s Savings and Investment Plan and similar plans or arrangements</w:t>
      </w:r>
    </w:p>
    <w:p>
      <w:pPr>
        <w:spacing w:after="0" w:line="6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Covered persons who are employees are expected to meet these requirements within five years of the later of becoming a covered person and the date of adoption of the policy. Until such time as such covered person has met these requirements, he or she is expected to retain 50% of any shares of common stock received upon vesting of RSUs, deferred stock unit awards, PSUs, the exercise of stock options, and other similar equity awards, net of amounts withheld to pay taxes and the exercise price of stock options until the applicable </w:t>
      </w:r>
      <w:r>
        <w:rPr>
          <w:rFonts w:ascii="Arial" w:cs="Arial" w:eastAsia="Arial" w:hAnsi="Arial"/>
          <w:sz w:val="16"/>
          <w:szCs w:val="16"/>
          <w:i w:val="1"/>
          <w:iCs w:val="1"/>
          <w:color w:val="auto"/>
        </w:rPr>
        <w:t>Guideline</w:t>
      </w:r>
      <w:r>
        <w:rPr>
          <w:rFonts w:ascii="Arial" w:cs="Arial" w:eastAsia="Arial" w:hAnsi="Arial"/>
          <w:sz w:val="16"/>
          <w:szCs w:val="16"/>
          <w:color w:val="auto"/>
        </w:rPr>
        <w:t xml:space="preserve"> level is met.</w:t>
      </w:r>
    </w:p>
    <w:p>
      <w:pPr>
        <w:spacing w:after="0" w:line="5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Stock ownership does not include vested or unvested stock options, unvested PSUs and vested or unvested stock appreciation rights.</w:t>
      </w:r>
    </w:p>
    <w:p>
      <w:pPr>
        <w:spacing w:after="0" w:line="4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All of the Company’s executive officers and members of the Board of Directors are in compliance with the Stock Ownership Guidelines.</w:t>
      </w:r>
    </w:p>
    <w:p>
      <w:pPr>
        <w:spacing w:after="0" w:line="8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also require a holding period of annual cash incentive compensation converted to Martin Marietta shares as described below, with vesting generally in three years. There is no additional holding period beyond the vesting date, however a significant portion of the executive compensation program is in the form of equity awards that vest over three years generally.</w:t>
      </w:r>
    </w:p>
    <w:p>
      <w:pPr>
        <w:spacing w:after="0" w:line="28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CEO must invest a minimum of 35% of each year’s cash bonus award in common stock units of Martin Marietta. Executive officers must invest a minimum of 20% of their annual bonus. Stock is purchased at a 20% discount to the price on the grant date to account for the additional risk of taking a common stock unit payment in lieu of a risk-free cash payment. In 2018, Mr. Nye deferred the maximum of 50% of his cash bonus in common stock units.</w:t>
      </w:r>
    </w:p>
    <w:p>
      <w:pPr>
        <w:spacing w:after="0" w:line="148"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Clawback Policy</w:t>
      </w:r>
    </w:p>
    <w:p>
      <w:pPr>
        <w:spacing w:after="0" w:line="15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also have a clawback policy. If the Board determines that an officer’s intentional misconduct, gross negligence or failure to report such acts by another person was a contributing factor in requiring us to restate any of our financial statements or constituted fraud, bribery or another illegal act (or contributed to another person’s fraud, bribery or other illegal act) which adversely impacted our financial position or reputation, then the Board shall take such action as it deems in the best interest of the Corporation and necessary to remedy the misconduct and prevent its recurrence. Among other actions, the Board may seek to recover or require reimbursement of any amount awarded to the officer in the form of an annual incentive bonus or LTI award. There were no events requiring Board consideration of a clawback action during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843280</wp:posOffset>
            </wp:positionV>
            <wp:extent cx="410845" cy="2482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344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2019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51</w:t>
            </w:r>
          </w:p>
        </w:tc>
      </w:tr>
    </w:tbl>
    <w:p>
      <w:pPr>
        <w:sectPr>
          <w:pgSz w:w="11900" w:h="16838" w:orient="portrait"/>
          <w:cols w:equalWidth="0" w:num="2">
            <w:col w:w="5500" w:space="320"/>
            <w:col w:w="5400"/>
          </w:cols>
          <w:pgMar w:left="240" w:top="459" w:right="4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9" w:lineRule="exact"/>
        <w:rPr>
          <w:sz w:val="20"/>
          <w:szCs w:val="20"/>
          <w:color w:val="auto"/>
        </w:rPr>
      </w:pPr>
    </w:p>
    <w:p>
      <w:pPr>
        <w:ind w:left="220"/>
        <w:spacing w:after="0" w:line="288" w:lineRule="exact"/>
        <w:rPr>
          <w:sz w:val="20"/>
          <w:szCs w:val="20"/>
          <w:color w:val="auto"/>
        </w:rPr>
      </w:pPr>
      <w:r>
        <w:rPr>
          <w:rFonts w:ascii="Arial" w:cs="Arial" w:eastAsia="Arial" w:hAnsi="Arial"/>
          <w:sz w:val="13"/>
          <w:szCs w:val="13"/>
          <w:color w:val="007CBA"/>
        </w:rPr>
        <w:t xml:space="preserve">Compensation Discussion and Analysis </w:t>
      </w:r>
      <w:r>
        <w:rPr>
          <w:rFonts w:ascii="MS PGothic" w:cs="MS PGothic" w:eastAsia="MS PGothic" w:hAnsi="MS PGothic"/>
          <w:sz w:val="25"/>
          <w:szCs w:val="25"/>
          <w:color w:val="007CBA"/>
        </w:rPr>
        <w:t>◆</w:t>
      </w:r>
      <w:r>
        <w:rPr>
          <w:rFonts w:ascii="Arial" w:cs="Arial" w:eastAsia="Arial" w:hAnsi="Arial"/>
          <w:sz w:val="13"/>
          <w:szCs w:val="13"/>
          <w:color w:val="007CBA"/>
        </w:rPr>
        <w:t xml:space="preserve"> </w:t>
      </w:r>
      <w:r>
        <w:rPr>
          <w:rFonts w:ascii="Arial" w:cs="Arial" w:eastAsia="Arial" w:hAnsi="Arial"/>
          <w:sz w:val="13"/>
          <w:szCs w:val="13"/>
          <w:color w:val="000000"/>
        </w:rPr>
        <w:t>Our Use of Independent Compensation Consultants</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ind w:left="220" w:right="620"/>
        <w:spacing w:after="0" w:line="288" w:lineRule="auto"/>
        <w:rPr>
          <w:sz w:val="20"/>
          <w:szCs w:val="20"/>
          <w:color w:val="auto"/>
        </w:rPr>
      </w:pPr>
      <w:r>
        <w:rPr>
          <w:rFonts w:ascii="Arial" w:cs="Arial" w:eastAsia="Arial" w:hAnsi="Arial"/>
          <w:sz w:val="25"/>
          <w:szCs w:val="25"/>
          <w:b w:val="1"/>
          <w:bCs w:val="1"/>
          <w:color w:val="007CBA"/>
        </w:rPr>
        <w:t>Our Use of Independent Compensation Consultants</w:t>
      </w:r>
    </w:p>
    <w:p>
      <w:pPr>
        <w:spacing w:after="0" w:line="44"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The independent compensation consultant provides important information about market practices, the types and amounts of compensation offered to executives generally and the role of corporate governance considerations in making compensation decisions. The Committee’s charter authorizes it to retain outside advisors that it believes are appropriate to assist in evaluating executive compensation.</w:t>
      </w:r>
    </w:p>
    <w:p>
      <w:pPr>
        <w:spacing w:after="0" w:line="177"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For 2018, the Committee continued to retain Mercer as an independent compensation consultant. In connection with its retention of Mercer, the Committee considered the following factors in assessing Mercer’s independence:</w:t>
      </w:r>
    </w:p>
    <w:p>
      <w:pPr>
        <w:spacing w:after="0" w:line="70" w:lineRule="exact"/>
        <w:rPr>
          <w:sz w:val="20"/>
          <w:szCs w:val="20"/>
          <w:color w:val="auto"/>
        </w:rPr>
      </w:pPr>
    </w:p>
    <w:p>
      <w:pPr>
        <w:ind w:left="580" w:right="20" w:hanging="289"/>
        <w:spacing w:after="0" w:line="260" w:lineRule="auto"/>
        <w:tabs>
          <w:tab w:leader="none" w:pos="580" w:val="left"/>
        </w:tabs>
        <w:numPr>
          <w:ilvl w:val="0"/>
          <w:numId w:val="117"/>
        </w:numPr>
        <w:rPr>
          <w:rFonts w:ascii="Arial" w:cs="Arial" w:eastAsia="Arial" w:hAnsi="Arial"/>
          <w:sz w:val="16"/>
          <w:szCs w:val="16"/>
          <w:color w:val="007CBA"/>
        </w:rPr>
      </w:pPr>
      <w:r>
        <w:rPr>
          <w:rFonts w:ascii="Arial" w:cs="Arial" w:eastAsia="Arial" w:hAnsi="Arial"/>
          <w:sz w:val="16"/>
          <w:szCs w:val="16"/>
          <w:color w:val="auto"/>
        </w:rPr>
        <w:t>The provision of services provided by Mercer to Martin Marietta in addition to compensation advisory services.</w:t>
      </w:r>
    </w:p>
    <w:p>
      <w:pPr>
        <w:spacing w:after="0" w:line="60" w:lineRule="exact"/>
        <w:rPr>
          <w:rFonts w:ascii="Arial" w:cs="Arial" w:eastAsia="Arial" w:hAnsi="Arial"/>
          <w:sz w:val="16"/>
          <w:szCs w:val="16"/>
          <w:color w:val="007CBA"/>
        </w:rPr>
      </w:pPr>
    </w:p>
    <w:p>
      <w:pPr>
        <w:ind w:left="580" w:right="20" w:hanging="289"/>
        <w:spacing w:after="0" w:line="260" w:lineRule="auto"/>
        <w:tabs>
          <w:tab w:leader="none" w:pos="580" w:val="left"/>
        </w:tabs>
        <w:numPr>
          <w:ilvl w:val="0"/>
          <w:numId w:val="117"/>
        </w:numPr>
        <w:rPr>
          <w:rFonts w:ascii="Arial" w:cs="Arial" w:eastAsia="Arial" w:hAnsi="Arial"/>
          <w:sz w:val="16"/>
          <w:szCs w:val="16"/>
          <w:color w:val="007CBA"/>
        </w:rPr>
      </w:pPr>
      <w:r>
        <w:rPr>
          <w:rFonts w:ascii="Arial" w:cs="Arial" w:eastAsia="Arial" w:hAnsi="Arial"/>
          <w:sz w:val="16"/>
          <w:szCs w:val="16"/>
          <w:color w:val="auto"/>
        </w:rPr>
        <w:t>The compensation paid to Mercer is less than 1% of Mercer’s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separate reporting relationships and compensation structures, the provision of other services to the Company by Mercer and Marsh &amp; McLennan, and the absence of any business or personal relationship between our officers and Directors and the specific Mercer consultants advising the Company (other than the consulting relationship with the Committee). The Committee also considered Mercer’s Global Business Standards intended to address potential conflict of interests with respect to their executive compensation consulting services and the other factors required to be considered by applicable SEC and stock exchange rules in approving the Committee’s engagement of Mercer for fiscal 2018. Based on this review, the Committee did not identify that Mercer had any conflicts of interest that would prevent Mercer from independently advising the Committee.</w:t>
      </w:r>
    </w:p>
    <w:p>
      <w:pPr>
        <w:spacing w:after="0" w:line="372"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The Committee has considered and assessed all relevant factors, including but not limited to those set forth in Rule 10C-1(b)(4)(i) through (vi) under the Securities Exchange Act of 1934, that could give rise to a potential conflict of interest with respect to the individual independent compensation consultants that provided services in 2018. Based on this review, there are no conflicts of interest raised by the work performed by Mercer.</w:t>
      </w:r>
    </w:p>
    <w:p>
      <w:pPr>
        <w:spacing w:after="0" w:line="2"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ind w:left="580" w:right="20" w:hanging="289"/>
        <w:spacing w:after="0" w:line="260" w:lineRule="auto"/>
        <w:tabs>
          <w:tab w:leader="none" w:pos="580" w:val="left"/>
        </w:tabs>
        <w:numPr>
          <w:ilvl w:val="0"/>
          <w:numId w:val="118"/>
        </w:numPr>
        <w:rPr>
          <w:rFonts w:ascii="Arial" w:cs="Arial" w:eastAsia="Arial" w:hAnsi="Arial"/>
          <w:sz w:val="16"/>
          <w:szCs w:val="16"/>
          <w:color w:val="007CBA"/>
        </w:rPr>
      </w:pPr>
      <w:r>
        <w:rPr>
          <w:rFonts w:ascii="Arial" w:cs="Arial" w:eastAsia="Arial" w:hAnsi="Arial"/>
          <w:sz w:val="16"/>
          <w:szCs w:val="16"/>
          <w:color w:val="auto"/>
        </w:rPr>
        <w:t>Mercer has business ethics and insider trading and stock ownership policies, which are designed to avoid conflicts of interest.</w:t>
      </w:r>
    </w:p>
    <w:p>
      <w:pPr>
        <w:spacing w:after="0" w:line="60" w:lineRule="exact"/>
        <w:rPr>
          <w:rFonts w:ascii="Arial" w:cs="Arial" w:eastAsia="Arial" w:hAnsi="Arial"/>
          <w:sz w:val="16"/>
          <w:szCs w:val="16"/>
          <w:color w:val="007CBA"/>
        </w:rPr>
      </w:pPr>
    </w:p>
    <w:p>
      <w:pPr>
        <w:ind w:left="580" w:right="20" w:hanging="289"/>
        <w:spacing w:after="0" w:line="260" w:lineRule="auto"/>
        <w:tabs>
          <w:tab w:leader="none" w:pos="580" w:val="left"/>
        </w:tabs>
        <w:numPr>
          <w:ilvl w:val="0"/>
          <w:numId w:val="118"/>
        </w:numPr>
        <w:rPr>
          <w:rFonts w:ascii="Arial" w:cs="Arial" w:eastAsia="Arial" w:hAnsi="Arial"/>
          <w:sz w:val="16"/>
          <w:szCs w:val="16"/>
          <w:color w:val="007CBA"/>
        </w:rPr>
      </w:pPr>
      <w:r>
        <w:rPr>
          <w:rFonts w:ascii="Arial" w:cs="Arial" w:eastAsia="Arial" w:hAnsi="Arial"/>
          <w:sz w:val="16"/>
          <w:szCs w:val="16"/>
          <w:color w:val="auto"/>
        </w:rPr>
        <w:t>Mercer employees supporting the engagement do not own Martin Marietta securities.</w:t>
      </w:r>
    </w:p>
    <w:p>
      <w:pPr>
        <w:spacing w:after="0" w:line="60" w:lineRule="exact"/>
        <w:rPr>
          <w:rFonts w:ascii="Arial" w:cs="Arial" w:eastAsia="Arial" w:hAnsi="Arial"/>
          <w:sz w:val="16"/>
          <w:szCs w:val="16"/>
          <w:color w:val="007CBA"/>
        </w:rPr>
      </w:pPr>
    </w:p>
    <w:p>
      <w:pPr>
        <w:jc w:val="both"/>
        <w:ind w:left="580" w:right="20" w:hanging="289"/>
        <w:spacing w:after="0" w:line="253" w:lineRule="auto"/>
        <w:tabs>
          <w:tab w:leader="none" w:pos="580" w:val="left"/>
        </w:tabs>
        <w:numPr>
          <w:ilvl w:val="0"/>
          <w:numId w:val="118"/>
        </w:numPr>
        <w:rPr>
          <w:rFonts w:ascii="Arial" w:cs="Arial" w:eastAsia="Arial" w:hAnsi="Arial"/>
          <w:sz w:val="16"/>
          <w:szCs w:val="16"/>
          <w:color w:val="007CBA"/>
        </w:rPr>
      </w:pPr>
      <w:r>
        <w:rPr>
          <w:rFonts w:ascii="Arial" w:cs="Arial" w:eastAsia="Arial" w:hAnsi="Arial"/>
          <w:sz w:val="16"/>
          <w:szCs w:val="16"/>
          <w:color w:val="auto"/>
        </w:rPr>
        <w:t>Mercer employees supporting the engagement have no business or personal relationships with members of the Compensation Committee or with any Martin Marietta executive officer.</w:t>
      </w:r>
    </w:p>
    <w:p>
      <w:pPr>
        <w:spacing w:after="0" w:line="160" w:lineRule="exact"/>
        <w:rPr>
          <w:sz w:val="20"/>
          <w:szCs w:val="20"/>
          <w:color w:val="auto"/>
        </w:rPr>
      </w:pPr>
    </w:p>
    <w:p>
      <w:pPr>
        <w:jc w:val="both"/>
        <w:ind w:left="220"/>
        <w:spacing w:after="0" w:line="253" w:lineRule="auto"/>
        <w:rPr>
          <w:sz w:val="20"/>
          <w:szCs w:val="20"/>
          <w:color w:val="auto"/>
        </w:rPr>
      </w:pPr>
      <w:r>
        <w:rPr>
          <w:rFonts w:ascii="Arial" w:cs="Arial" w:eastAsia="Arial" w:hAnsi="Arial"/>
          <w:sz w:val="16"/>
          <w:szCs w:val="16"/>
          <w:color w:val="auto"/>
        </w:rPr>
        <w:t>At its February 2018 meeting, the Committee renewed the engagement of Mercer. At that time, Mercer confirmed the continuing validity of each of the factors described above.</w:t>
      </w:r>
    </w:p>
    <w:p>
      <w:pPr>
        <w:spacing w:after="0" w:line="160" w:lineRule="exact"/>
        <w:rPr>
          <w:sz w:val="20"/>
          <w:szCs w:val="20"/>
          <w:color w:val="auto"/>
        </w:rPr>
      </w:pPr>
    </w:p>
    <w:p>
      <w:pPr>
        <w:jc w:val="both"/>
        <w:ind w:left="220"/>
        <w:spacing w:after="0" w:line="247" w:lineRule="auto"/>
        <w:rPr>
          <w:sz w:val="20"/>
          <w:szCs w:val="20"/>
          <w:color w:val="auto"/>
        </w:rPr>
      </w:pPr>
      <w:r>
        <w:rPr>
          <w:rFonts w:ascii="Arial" w:cs="Arial" w:eastAsia="Arial" w:hAnsi="Arial"/>
          <w:sz w:val="16"/>
          <w:szCs w:val="16"/>
          <w:color w:val="auto"/>
        </w:rPr>
        <w:t>The nature and scope of Mercer’s engagement was determined by the Committee and not limited in any way by management. Mercer was paid $147,501 for its compensation advisory services in 2018. During 2018, Mercer and its Marsh &amp; McLennan affiliates were also retained by management to provide services unrelated to executive compensation, including property/casualty insurance brokerage services and administration of a risk management information system. The aggregate fees paid for those other services for 2018 were $330,780. The Committee and the Board did not review or approve the other services provided to us by Mercer and its Marsh &amp; McLennan affiliates as those services are approved by management in the normal course of business.</w:t>
      </w:r>
    </w:p>
    <w:p>
      <w:pPr>
        <w:spacing w:after="0" w:line="183"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We have been advised by Mercer that the reporting relationship and compensation of the individual Mercer consultants who perform executive compensation consulting services for our Committee is separate from, and is not determined by reference to, Mercer’s or Marsh &amp; McLennan’s other lines of business or their other work for us. The Committee considered these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Practice Regarding Timing of Equity Grants</w:t>
      </w:r>
    </w:p>
    <w:p>
      <w:pPr>
        <w:spacing w:after="0" w:line="15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stock purchase awards under our Incentive Stock Plan and the PSUs and RSUs awarded under our LTI program, each as described above, were granted in 2018 at the Committee’s regularly scheduled meetings in February following the availability of financial results for the prior year. Newly hired executive officers may, subject to the discretion of the Committee, receive an award of RSUs as of the date of their hire. The number of RSUs is based on the New York Stock Exchange closing price of Martin Marietta’s common stock on the date of the grant or the first date of employment, whichever is later. The Committee’s schedule is determined several months in advance and the proximity of any awards to earnings announcements or other market events is coincidental.</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Our practice with regard to the timing of equity grants is:</w:t>
      </w:r>
    </w:p>
    <w:p>
      <w:pPr>
        <w:spacing w:after="0" w:line="86" w:lineRule="exact"/>
        <w:rPr>
          <w:sz w:val="20"/>
          <w:szCs w:val="20"/>
          <w:color w:val="auto"/>
        </w:rPr>
      </w:pPr>
    </w:p>
    <w:p>
      <w:pPr>
        <w:jc w:val="both"/>
        <w:ind w:left="360" w:right="20" w:hanging="275"/>
        <w:spacing w:after="0" w:line="253" w:lineRule="auto"/>
        <w:tabs>
          <w:tab w:leader="none" w:pos="360" w:val="left"/>
        </w:tabs>
        <w:numPr>
          <w:ilvl w:val="0"/>
          <w:numId w:val="119"/>
        </w:numPr>
        <w:rPr>
          <w:rFonts w:ascii="Arial" w:cs="Arial" w:eastAsia="Arial" w:hAnsi="Arial"/>
          <w:sz w:val="16"/>
          <w:szCs w:val="16"/>
          <w:color w:val="007CBA"/>
        </w:rPr>
      </w:pPr>
      <w:r>
        <w:rPr>
          <w:rFonts w:ascii="Arial" w:cs="Arial" w:eastAsia="Arial" w:hAnsi="Arial"/>
          <w:sz w:val="16"/>
          <w:szCs w:val="16"/>
          <w:color w:val="auto"/>
        </w:rPr>
        <w:t>No equity award may be backdated. A future date may be used if, among other reasons, the Committee’s action occurs in connection with a new employee who has not yet commenced employment.</w:t>
      </w:r>
    </w:p>
    <w:p>
      <w:pPr>
        <w:spacing w:after="0" w:line="65" w:lineRule="exact"/>
        <w:rPr>
          <w:rFonts w:ascii="Arial" w:cs="Arial" w:eastAsia="Arial" w:hAnsi="Arial"/>
          <w:sz w:val="16"/>
          <w:szCs w:val="16"/>
          <w:color w:val="007CBA"/>
        </w:rPr>
      </w:pPr>
    </w:p>
    <w:p>
      <w:pPr>
        <w:jc w:val="both"/>
        <w:ind w:left="360" w:right="20" w:hanging="275"/>
        <w:spacing w:after="0" w:line="250" w:lineRule="auto"/>
        <w:tabs>
          <w:tab w:leader="none" w:pos="360" w:val="left"/>
        </w:tabs>
        <w:numPr>
          <w:ilvl w:val="0"/>
          <w:numId w:val="119"/>
        </w:numPr>
        <w:rPr>
          <w:rFonts w:ascii="Arial" w:cs="Arial" w:eastAsia="Arial" w:hAnsi="Arial"/>
          <w:sz w:val="16"/>
          <w:szCs w:val="16"/>
          <w:color w:val="007CBA"/>
        </w:rPr>
      </w:pPr>
      <w:r>
        <w:rPr>
          <w:rFonts w:ascii="Arial" w:cs="Arial" w:eastAsia="Arial" w:hAnsi="Arial"/>
          <w:sz w:val="16"/>
          <w:szCs w:val="16"/>
          <w:color w:val="auto"/>
        </w:rPr>
        <w:t>Proposed equity awards are presented to the Committee in February of each year. Off-cycle awards may be considered in the Committee’s discretion in special circumstances, which may include hiring, retention or acquisition transactions.</w:t>
      </w:r>
    </w:p>
    <w:p>
      <w:pPr>
        <w:spacing w:after="0" w:line="16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 addition, our existing stock award plan prohibits repricing of stock options or paying cash for underwater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584835</wp:posOffset>
            </wp:positionV>
            <wp:extent cx="410845" cy="2482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852"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104" w:lineRule="exact"/>
        <w:rPr>
          <w:sz w:val="20"/>
          <w:szCs w:val="20"/>
          <w:color w:val="auto"/>
        </w:rPr>
      </w:pPr>
    </w:p>
    <w:p>
      <w:pPr>
        <w:ind w:left="640" w:hanging="430"/>
        <w:spacing w:after="0"/>
        <w:tabs>
          <w:tab w:leader="none" w:pos="640" w:val="left"/>
        </w:tabs>
        <w:numPr>
          <w:ilvl w:val="0"/>
          <w:numId w:val="120"/>
        </w:numPr>
        <w:rPr>
          <w:rFonts w:ascii="Arial" w:cs="Arial" w:eastAsia="Arial" w:hAnsi="Arial"/>
          <w:sz w:val="12"/>
          <w:szCs w:val="12"/>
          <w:b w:val="1"/>
          <w:bCs w:val="1"/>
          <w:color w:val="auto"/>
        </w:rPr>
      </w:pPr>
      <w:r>
        <w:rPr>
          <w:rFonts w:ascii="Arial" w:cs="Arial" w:eastAsia="Arial" w:hAnsi="Arial"/>
          <w:sz w:val="12"/>
          <w:szCs w:val="12"/>
          <w:color w:val="007CBA"/>
        </w:rPr>
        <w:t>2019 PROXY STATEMENT</w:t>
      </w:r>
    </w:p>
    <w:p>
      <w:pPr>
        <w:sectPr>
          <w:pgSz w:w="11900" w:h="16838" w:orient="portrait"/>
          <w:cols w:equalWidth="0" w:num="1">
            <w:col w:w="11220"/>
          </w:cols>
          <w:pgMar w:left="240" w:top="459" w:right="4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7CBA"/>
        </w:rPr>
        <w:t>Perquisites</w:t>
      </w:r>
    </w:p>
    <w:p>
      <w:pPr>
        <w:spacing w:after="0" w:line="150"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Martin Marietta provides executives with perquisites that the Committee believes are appropriate, reasonable and consistent with its overall compensation program to better enable Martin Marietta to attract and retain superior employees for key positions. The Committee periodically reviews the types and levels of perquisites provided to the NEOs. The value of each of the NEO’s perquisites is included in the annual compensation set forth in the Summary Compensation Table.</w:t>
      </w:r>
    </w:p>
    <w:p>
      <w:pPr>
        <w:spacing w:after="0" w:line="180" w:lineRule="exact"/>
        <w:rPr>
          <w:sz w:val="20"/>
          <w:szCs w:val="20"/>
          <w:color w:val="auto"/>
        </w:rPr>
      </w:pPr>
    </w:p>
    <w:p>
      <w:pPr>
        <w:jc w:val="both"/>
        <w:ind w:left="220"/>
        <w:spacing w:after="0" w:line="247" w:lineRule="auto"/>
        <w:rPr>
          <w:sz w:val="20"/>
          <w:szCs w:val="20"/>
          <w:color w:val="auto"/>
        </w:rPr>
      </w:pPr>
      <w:r>
        <w:rPr>
          <w:rFonts w:ascii="Arial" w:cs="Arial" w:eastAsia="Arial" w:hAnsi="Arial"/>
          <w:sz w:val="16"/>
          <w:szCs w:val="16"/>
          <w:color w:val="auto"/>
        </w:rPr>
        <w:t>In 2018, we provided personal use of leased automobiles to NEOs. We pay for the insurance, maintenance and fuel for such vehicles, and the value of personal mileage and use is charged to the NEO as imputed income. We make the company-owned aircraft available to the CEO and other senior executives for business travel. When the NEO is accompanied by his or her spouse on such trips, that use is included in the NEO’s taxable income for the year. Martin Marietta also provides executive officers and other employees with certain other fringe benefits such as tuition reimbursement, airline club dues, professional society dues, and food and recreational fees incidental to official company functions. We do not provide other perquisites, such as country club memberships or financial planning services, to the NEOs.</w:t>
      </w:r>
    </w:p>
    <w:p>
      <w:pPr>
        <w:spacing w:after="0" w:line="204"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7CBA"/>
        </w:rPr>
        <w:t>Retirement and Other Benefits</w:t>
      </w:r>
    </w:p>
    <w:p>
      <w:pPr>
        <w:spacing w:after="0" w:line="150" w:lineRule="exact"/>
        <w:rPr>
          <w:sz w:val="20"/>
          <w:szCs w:val="20"/>
          <w:color w:val="auto"/>
        </w:rPr>
      </w:pPr>
    </w:p>
    <w:p>
      <w:pPr>
        <w:jc w:val="both"/>
        <w:ind w:left="220"/>
        <w:spacing w:after="0" w:line="253" w:lineRule="auto"/>
        <w:rPr>
          <w:sz w:val="20"/>
          <w:szCs w:val="20"/>
          <w:color w:val="auto"/>
        </w:rPr>
      </w:pPr>
      <w:r>
        <w:rPr>
          <w:rFonts w:ascii="Arial" w:cs="Arial" w:eastAsia="Arial" w:hAnsi="Arial"/>
          <w:sz w:val="16"/>
          <w:szCs w:val="16"/>
          <w:color w:val="auto"/>
        </w:rPr>
        <w:t>In order to maintain market competitive levels of compensation, we provide retirement and other benefits to the NEOs and other employees, including:</w:t>
      </w:r>
    </w:p>
    <w:p>
      <w:pPr>
        <w:spacing w:after="0" w:line="66" w:lineRule="exact"/>
        <w:rPr>
          <w:sz w:val="20"/>
          <w:szCs w:val="20"/>
          <w:color w:val="auto"/>
        </w:rPr>
      </w:pPr>
    </w:p>
    <w:p>
      <w:pPr>
        <w:ind w:left="580" w:hanging="289"/>
        <w:spacing w:after="0"/>
        <w:tabs>
          <w:tab w:leader="none" w:pos="580" w:val="left"/>
        </w:tabs>
        <w:numPr>
          <w:ilvl w:val="0"/>
          <w:numId w:val="121"/>
        </w:numPr>
        <w:rPr>
          <w:rFonts w:ascii="Arial" w:cs="Arial" w:eastAsia="Arial" w:hAnsi="Arial"/>
          <w:sz w:val="16"/>
          <w:szCs w:val="16"/>
          <w:color w:val="007CBA"/>
        </w:rPr>
      </w:pPr>
      <w:r>
        <w:rPr>
          <w:rFonts w:ascii="Arial" w:cs="Arial" w:eastAsia="Arial" w:hAnsi="Arial"/>
          <w:sz w:val="16"/>
          <w:szCs w:val="16"/>
          <w:color w:val="auto"/>
        </w:rPr>
        <w:t>Medical and dental benefits</w:t>
      </w:r>
    </w:p>
    <w:p>
      <w:pPr>
        <w:spacing w:after="0" w:line="85" w:lineRule="exact"/>
        <w:rPr>
          <w:rFonts w:ascii="Arial" w:cs="Arial" w:eastAsia="Arial" w:hAnsi="Arial"/>
          <w:sz w:val="16"/>
          <w:szCs w:val="16"/>
          <w:color w:val="007CBA"/>
        </w:rPr>
      </w:pPr>
    </w:p>
    <w:p>
      <w:pPr>
        <w:ind w:left="580" w:hanging="289"/>
        <w:spacing w:after="0"/>
        <w:tabs>
          <w:tab w:leader="none" w:pos="580" w:val="left"/>
        </w:tabs>
        <w:numPr>
          <w:ilvl w:val="0"/>
          <w:numId w:val="121"/>
        </w:numPr>
        <w:rPr>
          <w:rFonts w:ascii="Arial" w:cs="Arial" w:eastAsia="Arial" w:hAnsi="Arial"/>
          <w:sz w:val="16"/>
          <w:szCs w:val="16"/>
          <w:color w:val="007CBA"/>
        </w:rPr>
      </w:pPr>
      <w:r>
        <w:rPr>
          <w:rFonts w:ascii="Arial" w:cs="Arial" w:eastAsia="Arial" w:hAnsi="Arial"/>
          <w:sz w:val="16"/>
          <w:szCs w:val="16"/>
          <w:color w:val="auto"/>
        </w:rPr>
        <w:t>Life, accidental death and disability insurance</w:t>
      </w:r>
    </w:p>
    <w:p>
      <w:pPr>
        <w:spacing w:after="0" w:line="85" w:lineRule="exact"/>
        <w:rPr>
          <w:rFonts w:ascii="Arial" w:cs="Arial" w:eastAsia="Arial" w:hAnsi="Arial"/>
          <w:sz w:val="16"/>
          <w:szCs w:val="16"/>
          <w:color w:val="007CBA"/>
        </w:rPr>
      </w:pPr>
    </w:p>
    <w:p>
      <w:pPr>
        <w:ind w:left="580" w:hanging="289"/>
        <w:spacing w:after="0"/>
        <w:tabs>
          <w:tab w:leader="none" w:pos="580" w:val="left"/>
        </w:tabs>
        <w:numPr>
          <w:ilvl w:val="0"/>
          <w:numId w:val="121"/>
        </w:numPr>
        <w:rPr>
          <w:rFonts w:ascii="Arial" w:cs="Arial" w:eastAsia="Arial" w:hAnsi="Arial"/>
          <w:sz w:val="16"/>
          <w:szCs w:val="16"/>
          <w:color w:val="007CBA"/>
        </w:rPr>
      </w:pPr>
      <w:r>
        <w:rPr>
          <w:rFonts w:ascii="Arial" w:cs="Arial" w:eastAsia="Arial" w:hAnsi="Arial"/>
          <w:sz w:val="16"/>
          <w:szCs w:val="16"/>
          <w:color w:val="auto"/>
        </w:rPr>
        <w:t>Pension and savings plans</w:t>
      </w:r>
    </w:p>
    <w:p>
      <w:pPr>
        <w:spacing w:after="0" w:line="194"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The benefits under the defined benefit pension plan are more valuable for employees who remain with Martin Marietta for longer periods, thereby furthering our objectives of retaining individuals with more expertise in relevant areas and who can also participate in management development for purposes of executive succession planning. All of Martin Marietta’s salaried employees in the United States are eligible to participate in our retirement and other plans, and the NEOs participate in the plans on the same terms as Martin Marietta’s other salaried employees.</w:t>
      </w:r>
    </w:p>
    <w:p>
      <w:pPr>
        <w:spacing w:after="0" w:line="165" w:lineRule="exact"/>
        <w:rPr>
          <w:sz w:val="20"/>
          <w:szCs w:val="20"/>
          <w:color w:val="auto"/>
        </w:rPr>
      </w:pPr>
    </w:p>
    <w:p>
      <w:pPr>
        <w:jc w:val="both"/>
        <w:ind w:left="220"/>
        <w:spacing w:after="0" w:line="260" w:lineRule="auto"/>
        <w:rPr>
          <w:sz w:val="20"/>
          <w:szCs w:val="20"/>
          <w:color w:val="auto"/>
        </w:rPr>
      </w:pPr>
      <w:r>
        <w:rPr>
          <w:rFonts w:ascii="Arial" w:cs="Arial" w:eastAsia="Arial" w:hAnsi="Arial"/>
          <w:sz w:val="16"/>
          <w:szCs w:val="16"/>
          <w:color w:val="auto"/>
        </w:rPr>
        <w:t>Additional information regarding these benefits is under the heading Pension Benefits Table on page 60 and the accompanying narrative.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jc w:val="right"/>
        <w:spacing w:after="0" w:line="251" w:lineRule="exact"/>
        <w:tabs>
          <w:tab w:leader="none" w:pos="2660" w:val="left"/>
        </w:tabs>
        <w:rPr>
          <w:sz w:val="20"/>
          <w:szCs w:val="20"/>
          <w:color w:val="auto"/>
        </w:rPr>
      </w:pPr>
      <w:r>
        <w:rPr>
          <w:rFonts w:ascii="Arial" w:cs="Arial" w:eastAsia="Arial" w:hAnsi="Arial"/>
          <w:sz w:val="13"/>
          <w:szCs w:val="13"/>
          <w:color w:val="auto"/>
        </w:rPr>
        <w:t>Perquisites</w:t>
      </w:r>
      <w:r>
        <w:rPr>
          <w:sz w:val="20"/>
          <w:szCs w:val="20"/>
          <w:color w:val="auto"/>
        </w:rPr>
        <w:tab/>
      </w:r>
      <w:r>
        <w:rPr>
          <w:rFonts w:ascii="MS PGothic" w:cs="MS PGothic" w:eastAsia="MS PGothic" w:hAnsi="MS PGothic"/>
          <w:sz w:val="25"/>
          <w:szCs w:val="25"/>
          <w:color w:val="007CBA"/>
        </w:rPr>
        <w:t xml:space="preserve">◆ </w:t>
      </w:r>
      <w:r>
        <w:rPr>
          <w:rFonts w:ascii="Arial" w:cs="Arial" w:eastAsia="Arial" w:hAnsi="Arial"/>
          <w:sz w:val="13"/>
          <w:szCs w:val="13"/>
          <w:color w:val="007CB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-657225</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that provides for retention and continuity in order to minimize disruptions during a pending or anticipated change of control. The agreements are triggered only by a qualifying termination of employment following a change of control. Martin Marietta’s equity-based award plans and retirement plans also provide for certain post-termination payments and benefits, as well as, for equity awards granted prior to 2019, the acceleration of time periods for purposes of vesting in, or realizing gain from, such equity award in the event of a change of control. The Committee believes these payments and benefits are also important to align the interests of the executive officers with the interests of the shareholders because the agreements will reduce or eliminate the reluctance to pursue potential change of control transactions that may ultimately lead to termination of their employment but would otherwise be in the best interests of our shareholders. The Employment Protection Agreement is described on pages 61 and 62 of this Proxy Statement.</w:t>
      </w: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Tax and Accounting Implications</w:t>
      </w:r>
    </w:p>
    <w:p>
      <w:pPr>
        <w:spacing w:after="0" w:line="15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administering the compensation program for NEOs, for awards made in 2018 the Committee considered the applicability of Section 162(m) of the Internal Revenue Code, the consequences under financial accounting standards, the tax consequences in our analysis of total compensation and the mix of compensation elements, base, bonus and long-term incentives. Prior to amendment as part of the 2017 Tax Act, Section 162(m) prohibited public companies from taking a tax deduction for compensation that is paid to any one of certain employees in excess of $1.0 million, unless the compensation is “qualified performance-based compensation” within the meaning of the Code.</w:t>
      </w:r>
    </w:p>
    <w:p>
      <w:pPr>
        <w:spacing w:after="0" w:line="17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However, the exemption from Section 162(m)’s deduction limit for performance-based compensation has generally been repealed, effective for taxable years beginning after December 31, 2017. As a result, we expect that we will no longer be able to deduct certain compensation paid to the NEOs that we have historically been able to deduct.</w:t>
      </w:r>
    </w:p>
    <w:p>
      <w:pPr>
        <w:spacing w:after="0" w:line="17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While the Committee considers the deductibility of awards as one factor in determining executive compensation, the Committee also looks at other factors in making its decisions, as noted above, and retains the flexibility to award compensation that it determines to be consistent with the goals of our executive compensation program to attract talent, promote retention, or recognize and reward desired performance even if the awards are not deductible for income tax purposes.</w:t>
      </w:r>
    </w:p>
    <w:p>
      <w:pPr>
        <w:spacing w:after="0" w:line="657" w:lineRule="exact"/>
        <w:rPr>
          <w:sz w:val="20"/>
          <w:szCs w:val="20"/>
          <w:color w:val="auto"/>
        </w:rPr>
      </w:pPr>
    </w:p>
    <w:p>
      <w:pPr>
        <w:sectPr>
          <w:pgSz w:w="11900" w:h="16838" w:orient="portrait"/>
          <w:cols w:equalWidth="0" w:num="2">
            <w:col w:w="5500" w:space="320"/>
            <w:col w:w="5400"/>
          </w:cols>
          <w:pgMar w:left="240" w:top="459" w:right="439" w:bottom="1440" w:gutter="0" w:footer="0" w:header="0"/>
        </w:sectPr>
      </w:pPr>
    </w:p>
    <w:p>
      <w:pPr>
        <w:spacing w:after="0" w:line="3"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7CBA"/>
        </w:rPr>
        <w:t>Potential Payments upon Termination or</w:t>
      </w:r>
    </w:p>
    <w:p>
      <w:pPr>
        <w:spacing w:after="0" w:line="41"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7CBA"/>
        </w:rPr>
        <w:t>Change of Control</w:t>
      </w:r>
    </w:p>
    <w:p>
      <w:pPr>
        <w:spacing w:after="0" w:line="11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do  not  have  written  employment  agreements  with  executives.</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Instead, each of our NEOs has a change of control severance agreement</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(an Employment Protection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3439795</wp:posOffset>
            </wp:positionH>
            <wp:positionV relativeFrom="paragraph">
              <wp:posOffset>181610</wp:posOffset>
            </wp:positionV>
            <wp:extent cx="410845" cy="2482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285" w:lineRule="exact"/>
        <w:rPr>
          <w:sz w:val="20"/>
          <w:szCs w:val="20"/>
          <w:color w:val="auto"/>
        </w:rPr>
      </w:pPr>
    </w:p>
    <w:tbl>
      <w:tblPr>
        <w:tblLayout w:type="fixed"/>
        <w:tblInd w:w="926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2019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53</w:t>
            </w:r>
          </w:p>
        </w:tc>
      </w:tr>
    </w:tbl>
    <w:p>
      <w:pPr>
        <w:sectPr>
          <w:pgSz w:w="11900" w:h="16838" w:orient="portrait"/>
          <w:cols w:equalWidth="0" w:num="1">
            <w:col w:w="11220"/>
          </w:cols>
          <w:pgMar w:left="240" w:top="459" w:right="43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3320"/>
        <w:spacing w:after="0"/>
        <w:rPr>
          <w:sz w:val="20"/>
          <w:szCs w:val="20"/>
          <w:color w:val="auto"/>
        </w:rPr>
      </w:pPr>
      <w:r>
        <w:rPr>
          <w:rFonts w:ascii="Arial" w:cs="Arial" w:eastAsia="Arial" w:hAnsi="Arial"/>
          <w:sz w:val="43"/>
          <w:szCs w:val="43"/>
          <w:color w:val="auto"/>
        </w:rPr>
        <w:t>Executive Compensation</w:t>
      </w:r>
    </w:p>
    <w:p>
      <w:pPr>
        <w:spacing w:after="0" w:line="29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7CBA"/>
        </w:rPr>
        <w:t>Executive Officer Compensation</w:t>
      </w:r>
    </w:p>
    <w:p>
      <w:pPr>
        <w:spacing w:after="0" w:line="150"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 xml:space="preserve">The following tables show annual and long-term compensation, for services in all capacities to Martin Marietta, earned by the Chief Executive Officer, the Chief Financial Officer, and the three other most highly compensated executive officers in 2018, which we refer to collectively in this section of this proxy statement as the “named executive officers” or “NEOs.” These tables and the accompanying narratives should be read in conjunction with the </w:t>
      </w:r>
      <w:r>
        <w:rPr>
          <w:rFonts w:ascii="Arial" w:cs="Arial" w:eastAsia="Arial" w:hAnsi="Arial"/>
          <w:sz w:val="16"/>
          <w:szCs w:val="16"/>
          <w:i w:val="1"/>
          <w:iCs w:val="1"/>
          <w:color w:val="auto"/>
        </w:rPr>
        <w:t xml:space="preserve">Compensation Discussion and Analysis </w:t>
      </w:r>
      <w:r>
        <w:rPr>
          <w:rFonts w:ascii="Arial" w:cs="Arial" w:eastAsia="Arial" w:hAnsi="Arial"/>
          <w:sz w:val="16"/>
          <w:szCs w:val="16"/>
          <w:color w:val="auto"/>
        </w:rPr>
        <w:t>section of this proxy statement, which provides a detailed overview of the methods used by Martin Marietta to</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compensate its officers, including the named executive officers.</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7CBA"/>
        </w:rPr>
        <w:t>Summary Compensation Table</w:t>
      </w:r>
    </w:p>
    <w:p>
      <w:pPr>
        <w:spacing w:after="0" w:line="150" w:lineRule="exact"/>
        <w:rPr>
          <w:sz w:val="20"/>
          <w:szCs w:val="20"/>
          <w:color w:val="auto"/>
        </w:rPr>
      </w:pPr>
    </w:p>
    <w:p>
      <w:pPr>
        <w:jc w:val="both"/>
        <w:ind w:left="220"/>
        <w:spacing w:after="0" w:line="260" w:lineRule="auto"/>
        <w:rPr>
          <w:sz w:val="20"/>
          <w:szCs w:val="20"/>
          <w:color w:val="auto"/>
        </w:rPr>
      </w:pPr>
      <w:r>
        <w:rPr>
          <w:rFonts w:ascii="Arial" w:cs="Arial" w:eastAsia="Arial" w:hAnsi="Arial"/>
          <w:sz w:val="16"/>
          <w:szCs w:val="16"/>
          <w:color w:val="auto"/>
        </w:rPr>
        <w:t>The table below summarizes the total compensation paid to or earned by each of the named executive officers for the fiscal years set forth below. Martin Marietta has not entered into any employment agreements with any of the named executive officers.</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SUMMARY COMPENSATION TABLE</w:t>
      </w:r>
    </w:p>
    <w:p>
      <w:pPr>
        <w:spacing w:after="0" w:line="262" w:lineRule="exact"/>
        <w:rPr>
          <w:sz w:val="20"/>
          <w:szCs w:val="20"/>
          <w:color w:val="auto"/>
        </w:rPr>
      </w:pPr>
    </w:p>
    <w:tbl>
      <w:tblPr>
        <w:tblLayout w:type="fixed"/>
        <w:tblInd w:w="220" w:type="dxa"/>
        <w:tblCellMar>
          <w:top w:w="0" w:type="dxa"/>
          <w:left w:w="0" w:type="dxa"/>
          <w:bottom w:w="0" w:type="dxa"/>
          <w:right w:w="0" w:type="dxa"/>
        </w:tblCellMar>
      </w:tblPr>
      <w:tr>
        <w:trPr>
          <w:trHeight w:val="176"/>
        </w:trPr>
        <w:tc>
          <w:tcPr>
            <w:tcW w:w="2640" w:type="dxa"/>
            <w:vAlign w:val="bottom"/>
            <w:tcBorders>
              <w:right w:val="single" w:sz="8" w:color="007CBA"/>
            </w:tcBorders>
            <w:shd w:val="clear" w:color="auto" w:fill="007CBA"/>
          </w:tcPr>
          <w:p>
            <w:pPr>
              <w:spacing w:after="0"/>
              <w:rPr>
                <w:sz w:val="15"/>
                <w:szCs w:val="15"/>
                <w:color w:val="auto"/>
              </w:rPr>
            </w:pPr>
          </w:p>
        </w:tc>
        <w:tc>
          <w:tcPr>
            <w:tcW w:w="120" w:type="dxa"/>
            <w:vAlign w:val="bottom"/>
            <w:shd w:val="clear" w:color="auto" w:fill="007CBA"/>
          </w:tcPr>
          <w:p>
            <w:pPr>
              <w:spacing w:after="0"/>
              <w:rPr>
                <w:sz w:val="15"/>
                <w:szCs w:val="15"/>
                <w:color w:val="auto"/>
              </w:rPr>
            </w:pPr>
          </w:p>
        </w:tc>
        <w:tc>
          <w:tcPr>
            <w:tcW w:w="440" w:type="dxa"/>
            <w:vAlign w:val="bottom"/>
            <w:tcBorders>
              <w:right w:val="single" w:sz="8" w:color="007CBA"/>
            </w:tcBorders>
            <w:shd w:val="clear" w:color="auto" w:fill="007CBA"/>
          </w:tcPr>
          <w:p>
            <w:pPr>
              <w:spacing w:after="0"/>
              <w:rPr>
                <w:sz w:val="15"/>
                <w:szCs w:val="15"/>
                <w:color w:val="auto"/>
              </w:rPr>
            </w:pPr>
          </w:p>
        </w:tc>
        <w:tc>
          <w:tcPr>
            <w:tcW w:w="880" w:type="dxa"/>
            <w:vAlign w:val="bottom"/>
            <w:tcBorders>
              <w:right w:val="single" w:sz="8" w:color="007CBA"/>
            </w:tcBorders>
            <w:shd w:val="clear" w:color="auto" w:fill="007CBA"/>
          </w:tcPr>
          <w:p>
            <w:pPr>
              <w:spacing w:after="0"/>
              <w:rPr>
                <w:sz w:val="15"/>
                <w:szCs w:val="15"/>
                <w:color w:val="auto"/>
              </w:rPr>
            </w:pPr>
          </w:p>
        </w:tc>
        <w:tc>
          <w:tcPr>
            <w:tcW w:w="860" w:type="dxa"/>
            <w:vAlign w:val="bottom"/>
            <w:tcBorders>
              <w:right w:val="single" w:sz="8" w:color="007CBA"/>
            </w:tcBorders>
            <w:shd w:val="clear" w:color="auto" w:fill="007CBA"/>
          </w:tcPr>
          <w:p>
            <w:pPr>
              <w:spacing w:after="0"/>
              <w:rPr>
                <w:sz w:val="15"/>
                <w:szCs w:val="15"/>
                <w:color w:val="auto"/>
              </w:rPr>
            </w:pPr>
          </w:p>
        </w:tc>
        <w:tc>
          <w:tcPr>
            <w:tcW w:w="880" w:type="dxa"/>
            <w:vAlign w:val="bottom"/>
            <w:tcBorders>
              <w:right w:val="single" w:sz="8" w:color="007CBA"/>
            </w:tcBorders>
            <w:shd w:val="clear" w:color="auto" w:fill="007CBA"/>
          </w:tcPr>
          <w:p>
            <w:pPr>
              <w:spacing w:after="0"/>
              <w:rPr>
                <w:sz w:val="15"/>
                <w:szCs w:val="15"/>
                <w:color w:val="auto"/>
              </w:rPr>
            </w:pPr>
          </w:p>
        </w:tc>
        <w:tc>
          <w:tcPr>
            <w:tcW w:w="720" w:type="dxa"/>
            <w:vAlign w:val="bottom"/>
            <w:tcBorders>
              <w:right w:val="single" w:sz="8" w:color="007CBA"/>
            </w:tcBorders>
            <w:shd w:val="clear" w:color="auto" w:fill="007CBA"/>
          </w:tcPr>
          <w:p>
            <w:pPr>
              <w:spacing w:after="0"/>
              <w:rPr>
                <w:sz w:val="15"/>
                <w:szCs w:val="15"/>
                <w:color w:val="auto"/>
              </w:rPr>
            </w:pPr>
          </w:p>
        </w:tc>
        <w:tc>
          <w:tcPr>
            <w:tcW w:w="1200" w:type="dxa"/>
            <w:vAlign w:val="bottom"/>
            <w:tcBorders>
              <w:right w:val="single" w:sz="8" w:color="007CBA"/>
            </w:tcBorders>
            <w:shd w:val="clear" w:color="auto" w:fill="007CBA"/>
          </w:tcPr>
          <w:p>
            <w:pPr>
              <w:spacing w:after="0"/>
              <w:rPr>
                <w:sz w:val="15"/>
                <w:szCs w:val="15"/>
                <w:color w:val="auto"/>
              </w:rPr>
            </w:pPr>
          </w:p>
        </w:tc>
        <w:tc>
          <w:tcPr>
            <w:tcW w:w="12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Change in</w:t>
            </w:r>
          </w:p>
        </w:tc>
        <w:tc>
          <w:tcPr>
            <w:tcW w:w="1200" w:type="dxa"/>
            <w:vAlign w:val="bottom"/>
            <w:tcBorders>
              <w:right w:val="single" w:sz="8" w:color="007CBA"/>
            </w:tcBorders>
            <w:shd w:val="clear" w:color="auto" w:fill="007CBA"/>
          </w:tcPr>
          <w:p>
            <w:pPr>
              <w:spacing w:after="0"/>
              <w:rPr>
                <w:sz w:val="15"/>
                <w:szCs w:val="15"/>
                <w:color w:val="auto"/>
              </w:rPr>
            </w:pPr>
          </w:p>
        </w:tc>
        <w:tc>
          <w:tcPr>
            <w:tcW w:w="860" w:type="dxa"/>
            <w:vAlign w:val="bottom"/>
            <w:shd w:val="clear" w:color="auto" w:fill="007CBA"/>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40" w:type="dxa"/>
            <w:vAlign w:val="bottom"/>
            <w:tcBorders>
              <w:right w:val="single" w:sz="8" w:color="007CBA"/>
            </w:tcBorders>
            <w:shd w:val="clear" w:color="auto" w:fill="007CBA"/>
          </w:tcPr>
          <w:p>
            <w:pPr>
              <w:spacing w:after="0"/>
              <w:rPr>
                <w:sz w:val="14"/>
                <w:szCs w:val="14"/>
                <w:color w:val="auto"/>
              </w:rPr>
            </w:pPr>
          </w:p>
        </w:tc>
        <w:tc>
          <w:tcPr>
            <w:tcW w:w="120" w:type="dxa"/>
            <w:vAlign w:val="bottom"/>
            <w:shd w:val="clear" w:color="auto" w:fill="007CBA"/>
          </w:tcPr>
          <w:p>
            <w:pPr>
              <w:spacing w:after="0"/>
              <w:rPr>
                <w:sz w:val="14"/>
                <w:szCs w:val="14"/>
                <w:color w:val="auto"/>
              </w:rPr>
            </w:pPr>
          </w:p>
        </w:tc>
        <w:tc>
          <w:tcPr>
            <w:tcW w:w="440" w:type="dxa"/>
            <w:vAlign w:val="bottom"/>
            <w:tcBorders>
              <w:right w:val="single" w:sz="8" w:color="007CBA"/>
            </w:tcBorders>
            <w:shd w:val="clear" w:color="auto" w:fill="007CBA"/>
          </w:tcPr>
          <w:p>
            <w:pPr>
              <w:spacing w:after="0"/>
              <w:rPr>
                <w:sz w:val="14"/>
                <w:szCs w:val="14"/>
                <w:color w:val="auto"/>
              </w:rPr>
            </w:pPr>
          </w:p>
        </w:tc>
        <w:tc>
          <w:tcPr>
            <w:tcW w:w="880" w:type="dxa"/>
            <w:vAlign w:val="bottom"/>
            <w:tcBorders>
              <w:right w:val="single" w:sz="8" w:color="007CBA"/>
            </w:tcBorders>
            <w:shd w:val="clear" w:color="auto" w:fill="007CBA"/>
          </w:tcPr>
          <w:p>
            <w:pPr>
              <w:spacing w:after="0"/>
              <w:rPr>
                <w:sz w:val="14"/>
                <w:szCs w:val="14"/>
                <w:color w:val="auto"/>
              </w:rPr>
            </w:pPr>
          </w:p>
        </w:tc>
        <w:tc>
          <w:tcPr>
            <w:tcW w:w="860" w:type="dxa"/>
            <w:vAlign w:val="bottom"/>
            <w:tcBorders>
              <w:right w:val="single" w:sz="8" w:color="007CBA"/>
            </w:tcBorders>
            <w:shd w:val="clear" w:color="auto" w:fill="007CBA"/>
          </w:tcPr>
          <w:p>
            <w:pPr>
              <w:spacing w:after="0"/>
              <w:rPr>
                <w:sz w:val="14"/>
                <w:szCs w:val="14"/>
                <w:color w:val="auto"/>
              </w:rPr>
            </w:pPr>
          </w:p>
        </w:tc>
        <w:tc>
          <w:tcPr>
            <w:tcW w:w="8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1200" w:type="dxa"/>
            <w:vAlign w:val="bottom"/>
            <w:tcBorders>
              <w:right w:val="single" w:sz="8" w:color="007CBA"/>
            </w:tcBorders>
            <w:shd w:val="clear" w:color="auto" w:fill="007CBA"/>
          </w:tcPr>
          <w:p>
            <w:pPr>
              <w:spacing w:after="0"/>
              <w:rPr>
                <w:sz w:val="14"/>
                <w:szCs w:val="14"/>
                <w:color w:val="auto"/>
              </w:rPr>
            </w:pPr>
          </w:p>
        </w:tc>
        <w:tc>
          <w:tcPr>
            <w:tcW w:w="12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Pension Value</w:t>
            </w:r>
          </w:p>
        </w:tc>
        <w:tc>
          <w:tcPr>
            <w:tcW w:w="1200" w:type="dxa"/>
            <w:vAlign w:val="bottom"/>
            <w:tcBorders>
              <w:right w:val="single" w:sz="8" w:color="007CBA"/>
            </w:tcBorders>
            <w:shd w:val="clear" w:color="auto" w:fill="007CBA"/>
          </w:tcPr>
          <w:p>
            <w:pPr>
              <w:spacing w:after="0"/>
              <w:rPr>
                <w:sz w:val="14"/>
                <w:szCs w:val="14"/>
                <w:color w:val="auto"/>
              </w:rPr>
            </w:pPr>
          </w:p>
        </w:tc>
        <w:tc>
          <w:tcPr>
            <w:tcW w:w="86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Borders>
              <w:right w:val="single" w:sz="8" w:color="007CBA"/>
            </w:tcBorders>
            <w:shd w:val="clear" w:color="auto" w:fill="007CBA"/>
          </w:tcPr>
          <w:p>
            <w:pPr>
              <w:spacing w:after="0"/>
              <w:rPr>
                <w:sz w:val="14"/>
                <w:szCs w:val="14"/>
                <w:color w:val="auto"/>
              </w:rPr>
            </w:pPr>
          </w:p>
        </w:tc>
        <w:tc>
          <w:tcPr>
            <w:tcW w:w="120" w:type="dxa"/>
            <w:vAlign w:val="bottom"/>
            <w:shd w:val="clear" w:color="auto" w:fill="007CBA"/>
          </w:tcPr>
          <w:p>
            <w:pPr>
              <w:spacing w:after="0"/>
              <w:rPr>
                <w:sz w:val="14"/>
                <w:szCs w:val="14"/>
                <w:color w:val="auto"/>
              </w:rPr>
            </w:pPr>
          </w:p>
        </w:tc>
        <w:tc>
          <w:tcPr>
            <w:tcW w:w="440" w:type="dxa"/>
            <w:vAlign w:val="bottom"/>
            <w:tcBorders>
              <w:right w:val="single" w:sz="8" w:color="007CBA"/>
            </w:tcBorders>
            <w:shd w:val="clear" w:color="auto" w:fill="007CBA"/>
          </w:tcPr>
          <w:p>
            <w:pPr>
              <w:spacing w:after="0"/>
              <w:rPr>
                <w:sz w:val="14"/>
                <w:szCs w:val="14"/>
                <w:color w:val="auto"/>
              </w:rPr>
            </w:pPr>
          </w:p>
        </w:tc>
        <w:tc>
          <w:tcPr>
            <w:tcW w:w="880" w:type="dxa"/>
            <w:vAlign w:val="bottom"/>
            <w:tcBorders>
              <w:right w:val="single" w:sz="8" w:color="007CBA"/>
            </w:tcBorders>
            <w:shd w:val="clear" w:color="auto" w:fill="007CBA"/>
          </w:tcPr>
          <w:p>
            <w:pPr>
              <w:spacing w:after="0"/>
              <w:rPr>
                <w:sz w:val="14"/>
                <w:szCs w:val="14"/>
                <w:color w:val="auto"/>
              </w:rPr>
            </w:pPr>
          </w:p>
        </w:tc>
        <w:tc>
          <w:tcPr>
            <w:tcW w:w="860" w:type="dxa"/>
            <w:vAlign w:val="bottom"/>
            <w:tcBorders>
              <w:right w:val="single" w:sz="8" w:color="007CBA"/>
            </w:tcBorders>
            <w:shd w:val="clear" w:color="auto" w:fill="007CBA"/>
          </w:tcPr>
          <w:p>
            <w:pPr>
              <w:spacing w:after="0"/>
              <w:rPr>
                <w:sz w:val="14"/>
                <w:szCs w:val="14"/>
                <w:color w:val="auto"/>
              </w:rPr>
            </w:pPr>
          </w:p>
        </w:tc>
        <w:tc>
          <w:tcPr>
            <w:tcW w:w="8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1200" w:type="dxa"/>
            <w:vAlign w:val="bottom"/>
            <w:tcBorders>
              <w:right w:val="single" w:sz="8" w:color="007CBA"/>
            </w:tcBorders>
            <w:shd w:val="clear" w:color="auto" w:fill="007CBA"/>
          </w:tcPr>
          <w:p>
            <w:pPr>
              <w:spacing w:after="0"/>
              <w:rPr>
                <w:sz w:val="14"/>
                <w:szCs w:val="14"/>
                <w:color w:val="auto"/>
              </w:rPr>
            </w:pPr>
          </w:p>
        </w:tc>
        <w:tc>
          <w:tcPr>
            <w:tcW w:w="12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and Non-</w:t>
            </w:r>
          </w:p>
        </w:tc>
        <w:tc>
          <w:tcPr>
            <w:tcW w:w="1200" w:type="dxa"/>
            <w:vAlign w:val="bottom"/>
            <w:tcBorders>
              <w:right w:val="single" w:sz="8" w:color="007CBA"/>
            </w:tcBorders>
            <w:shd w:val="clear" w:color="auto" w:fill="007CBA"/>
          </w:tcPr>
          <w:p>
            <w:pPr>
              <w:spacing w:after="0"/>
              <w:rPr>
                <w:sz w:val="14"/>
                <w:szCs w:val="14"/>
                <w:color w:val="auto"/>
              </w:rPr>
            </w:pPr>
          </w:p>
        </w:tc>
        <w:tc>
          <w:tcPr>
            <w:tcW w:w="86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Borders>
              <w:right w:val="single" w:sz="8" w:color="007CBA"/>
            </w:tcBorders>
            <w:shd w:val="clear" w:color="auto" w:fill="007CBA"/>
          </w:tcPr>
          <w:p>
            <w:pPr>
              <w:spacing w:after="0"/>
              <w:rPr>
                <w:sz w:val="14"/>
                <w:szCs w:val="14"/>
                <w:color w:val="auto"/>
              </w:rPr>
            </w:pPr>
          </w:p>
        </w:tc>
        <w:tc>
          <w:tcPr>
            <w:tcW w:w="120" w:type="dxa"/>
            <w:vAlign w:val="bottom"/>
            <w:shd w:val="clear" w:color="auto" w:fill="007CBA"/>
          </w:tcPr>
          <w:p>
            <w:pPr>
              <w:spacing w:after="0"/>
              <w:rPr>
                <w:sz w:val="14"/>
                <w:szCs w:val="14"/>
                <w:color w:val="auto"/>
              </w:rPr>
            </w:pPr>
          </w:p>
        </w:tc>
        <w:tc>
          <w:tcPr>
            <w:tcW w:w="440" w:type="dxa"/>
            <w:vAlign w:val="bottom"/>
            <w:tcBorders>
              <w:right w:val="single" w:sz="8" w:color="007CBA"/>
            </w:tcBorders>
            <w:shd w:val="clear" w:color="auto" w:fill="007CBA"/>
          </w:tcPr>
          <w:p>
            <w:pPr>
              <w:spacing w:after="0"/>
              <w:rPr>
                <w:sz w:val="14"/>
                <w:szCs w:val="14"/>
                <w:color w:val="auto"/>
              </w:rPr>
            </w:pPr>
          </w:p>
        </w:tc>
        <w:tc>
          <w:tcPr>
            <w:tcW w:w="880" w:type="dxa"/>
            <w:vAlign w:val="bottom"/>
            <w:tcBorders>
              <w:right w:val="single" w:sz="8" w:color="007CBA"/>
            </w:tcBorders>
            <w:shd w:val="clear" w:color="auto" w:fill="007CBA"/>
          </w:tcPr>
          <w:p>
            <w:pPr>
              <w:spacing w:after="0"/>
              <w:rPr>
                <w:sz w:val="14"/>
                <w:szCs w:val="14"/>
                <w:color w:val="auto"/>
              </w:rPr>
            </w:pPr>
          </w:p>
        </w:tc>
        <w:tc>
          <w:tcPr>
            <w:tcW w:w="860" w:type="dxa"/>
            <w:vAlign w:val="bottom"/>
            <w:tcBorders>
              <w:right w:val="single" w:sz="8" w:color="007CBA"/>
            </w:tcBorders>
            <w:shd w:val="clear" w:color="auto" w:fill="007CBA"/>
          </w:tcPr>
          <w:p>
            <w:pPr>
              <w:spacing w:after="0"/>
              <w:rPr>
                <w:sz w:val="14"/>
                <w:szCs w:val="14"/>
                <w:color w:val="auto"/>
              </w:rPr>
            </w:pPr>
          </w:p>
        </w:tc>
        <w:tc>
          <w:tcPr>
            <w:tcW w:w="8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1200" w:type="dxa"/>
            <w:vAlign w:val="bottom"/>
            <w:tcBorders>
              <w:right w:val="single" w:sz="8" w:color="007CBA"/>
            </w:tcBorders>
            <w:vMerge w:val="restart"/>
            <w:shd w:val="clear" w:color="auto" w:fill="007CBA"/>
          </w:tcPr>
          <w:p>
            <w:pPr>
              <w:jc w:val="center"/>
              <w:spacing w:after="0"/>
              <w:rPr>
                <w:sz w:val="20"/>
                <w:szCs w:val="20"/>
                <w:color w:val="auto"/>
              </w:rPr>
            </w:pPr>
            <w:r>
              <w:rPr>
                <w:rFonts w:ascii="Arial" w:cs="Arial" w:eastAsia="Arial" w:hAnsi="Arial"/>
                <w:sz w:val="14"/>
                <w:szCs w:val="14"/>
                <w:b w:val="1"/>
                <w:bCs w:val="1"/>
                <w:color w:val="FFFFFF"/>
              </w:rPr>
              <w:t>Non-Equity</w:t>
            </w:r>
          </w:p>
        </w:tc>
        <w:tc>
          <w:tcPr>
            <w:tcW w:w="12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Qualified</w:t>
            </w:r>
          </w:p>
        </w:tc>
        <w:tc>
          <w:tcPr>
            <w:tcW w:w="1200" w:type="dxa"/>
            <w:vAlign w:val="bottom"/>
            <w:tcBorders>
              <w:right w:val="single" w:sz="8" w:color="007CBA"/>
            </w:tcBorders>
            <w:shd w:val="clear" w:color="auto" w:fill="007CBA"/>
          </w:tcPr>
          <w:p>
            <w:pPr>
              <w:spacing w:after="0"/>
              <w:rPr>
                <w:sz w:val="14"/>
                <w:szCs w:val="14"/>
                <w:color w:val="auto"/>
              </w:rPr>
            </w:pPr>
          </w:p>
        </w:tc>
        <w:tc>
          <w:tcPr>
            <w:tcW w:w="86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40" w:type="dxa"/>
            <w:vAlign w:val="bottom"/>
            <w:tcBorders>
              <w:right w:val="single" w:sz="8" w:color="007CBA"/>
            </w:tcBorders>
            <w:shd w:val="clear" w:color="auto" w:fill="007CBA"/>
          </w:tcPr>
          <w:p>
            <w:pPr>
              <w:spacing w:after="0"/>
              <w:rPr>
                <w:sz w:val="12"/>
                <w:szCs w:val="12"/>
                <w:color w:val="auto"/>
              </w:rPr>
            </w:pPr>
          </w:p>
        </w:tc>
        <w:tc>
          <w:tcPr>
            <w:tcW w:w="120" w:type="dxa"/>
            <w:vAlign w:val="bottom"/>
            <w:shd w:val="clear" w:color="auto" w:fill="007CBA"/>
          </w:tcPr>
          <w:p>
            <w:pPr>
              <w:spacing w:after="0"/>
              <w:rPr>
                <w:sz w:val="12"/>
                <w:szCs w:val="12"/>
                <w:color w:val="auto"/>
              </w:rPr>
            </w:pPr>
          </w:p>
        </w:tc>
        <w:tc>
          <w:tcPr>
            <w:tcW w:w="440" w:type="dxa"/>
            <w:vAlign w:val="bottom"/>
            <w:tcBorders>
              <w:right w:val="single" w:sz="8" w:color="007CBA"/>
            </w:tcBorders>
            <w:shd w:val="clear" w:color="auto" w:fill="007CBA"/>
          </w:tcPr>
          <w:p>
            <w:pPr>
              <w:spacing w:after="0"/>
              <w:rPr>
                <w:sz w:val="12"/>
                <w:szCs w:val="12"/>
                <w:color w:val="auto"/>
              </w:rPr>
            </w:pPr>
          </w:p>
        </w:tc>
        <w:tc>
          <w:tcPr>
            <w:tcW w:w="880" w:type="dxa"/>
            <w:vAlign w:val="bottom"/>
            <w:tcBorders>
              <w:right w:val="single" w:sz="8" w:color="007CBA"/>
            </w:tcBorders>
            <w:shd w:val="clear" w:color="auto" w:fill="007CBA"/>
          </w:tcPr>
          <w:p>
            <w:pPr>
              <w:spacing w:after="0"/>
              <w:rPr>
                <w:sz w:val="12"/>
                <w:szCs w:val="12"/>
                <w:color w:val="auto"/>
              </w:rPr>
            </w:pPr>
          </w:p>
        </w:tc>
        <w:tc>
          <w:tcPr>
            <w:tcW w:w="860" w:type="dxa"/>
            <w:vAlign w:val="bottom"/>
            <w:tcBorders>
              <w:right w:val="single" w:sz="8" w:color="007CBA"/>
            </w:tcBorders>
            <w:shd w:val="clear" w:color="auto" w:fill="007CBA"/>
          </w:tcPr>
          <w:p>
            <w:pPr>
              <w:spacing w:after="0"/>
              <w:rPr>
                <w:sz w:val="12"/>
                <w:szCs w:val="12"/>
                <w:color w:val="auto"/>
              </w:rPr>
            </w:pPr>
          </w:p>
        </w:tc>
        <w:tc>
          <w:tcPr>
            <w:tcW w:w="880" w:type="dxa"/>
            <w:vAlign w:val="bottom"/>
            <w:tcBorders>
              <w:right w:val="single" w:sz="8" w:color="007CBA"/>
            </w:tcBorders>
            <w:shd w:val="clear" w:color="auto" w:fill="007CBA"/>
          </w:tcPr>
          <w:p>
            <w:pPr>
              <w:spacing w:after="0"/>
              <w:rPr>
                <w:sz w:val="12"/>
                <w:szCs w:val="12"/>
                <w:color w:val="auto"/>
              </w:rPr>
            </w:pPr>
          </w:p>
        </w:tc>
        <w:tc>
          <w:tcPr>
            <w:tcW w:w="720" w:type="dxa"/>
            <w:vAlign w:val="bottom"/>
            <w:tcBorders>
              <w:right w:val="single" w:sz="8" w:color="007CBA"/>
            </w:tcBorders>
            <w:shd w:val="clear" w:color="auto" w:fill="007CBA"/>
          </w:tcPr>
          <w:p>
            <w:pPr>
              <w:spacing w:after="0"/>
              <w:rPr>
                <w:sz w:val="12"/>
                <w:szCs w:val="12"/>
                <w:color w:val="auto"/>
              </w:rPr>
            </w:pPr>
          </w:p>
        </w:tc>
        <w:tc>
          <w:tcPr>
            <w:tcW w:w="1200" w:type="dxa"/>
            <w:vAlign w:val="bottom"/>
            <w:tcBorders>
              <w:right w:val="single" w:sz="8" w:color="007CBA"/>
            </w:tcBorders>
            <w:vMerge w:val="continue"/>
            <w:shd w:val="clear" w:color="auto" w:fill="007CBA"/>
          </w:tcPr>
          <w:p>
            <w:pPr>
              <w:spacing w:after="0"/>
              <w:rPr>
                <w:sz w:val="12"/>
                <w:szCs w:val="12"/>
                <w:color w:val="auto"/>
              </w:rPr>
            </w:pPr>
          </w:p>
        </w:tc>
        <w:tc>
          <w:tcPr>
            <w:tcW w:w="120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rPr>
              <w:t>Deferred</w:t>
            </w:r>
          </w:p>
        </w:tc>
        <w:tc>
          <w:tcPr>
            <w:tcW w:w="1200" w:type="dxa"/>
            <w:vAlign w:val="bottom"/>
            <w:tcBorders>
              <w:right w:val="single" w:sz="8" w:color="007CBA"/>
            </w:tcBorders>
            <w:shd w:val="clear" w:color="auto" w:fill="007CBA"/>
          </w:tcPr>
          <w:p>
            <w:pPr>
              <w:spacing w:after="0"/>
              <w:rPr>
                <w:sz w:val="12"/>
                <w:szCs w:val="12"/>
                <w:color w:val="auto"/>
              </w:rPr>
            </w:pPr>
          </w:p>
        </w:tc>
        <w:tc>
          <w:tcPr>
            <w:tcW w:w="86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40" w:type="dxa"/>
            <w:vAlign w:val="bottom"/>
            <w:tcBorders>
              <w:right w:val="single" w:sz="8" w:color="007CBA"/>
            </w:tcBorders>
            <w:shd w:val="clear" w:color="auto" w:fill="007CBA"/>
          </w:tcPr>
          <w:p>
            <w:pPr>
              <w:spacing w:after="0"/>
              <w:rPr>
                <w:sz w:val="14"/>
                <w:szCs w:val="14"/>
                <w:color w:val="auto"/>
              </w:rPr>
            </w:pPr>
          </w:p>
        </w:tc>
        <w:tc>
          <w:tcPr>
            <w:tcW w:w="120" w:type="dxa"/>
            <w:vAlign w:val="bottom"/>
            <w:shd w:val="clear" w:color="auto" w:fill="007CBA"/>
          </w:tcPr>
          <w:p>
            <w:pPr>
              <w:spacing w:after="0"/>
              <w:rPr>
                <w:sz w:val="14"/>
                <w:szCs w:val="14"/>
                <w:color w:val="auto"/>
              </w:rPr>
            </w:pPr>
          </w:p>
        </w:tc>
        <w:tc>
          <w:tcPr>
            <w:tcW w:w="440" w:type="dxa"/>
            <w:vAlign w:val="bottom"/>
            <w:tcBorders>
              <w:right w:val="single" w:sz="8" w:color="007CBA"/>
            </w:tcBorders>
            <w:shd w:val="clear" w:color="auto" w:fill="007CBA"/>
          </w:tcPr>
          <w:p>
            <w:pPr>
              <w:spacing w:after="0"/>
              <w:rPr>
                <w:sz w:val="14"/>
                <w:szCs w:val="14"/>
                <w:color w:val="auto"/>
              </w:rPr>
            </w:pPr>
          </w:p>
        </w:tc>
        <w:tc>
          <w:tcPr>
            <w:tcW w:w="880" w:type="dxa"/>
            <w:vAlign w:val="bottom"/>
            <w:tcBorders>
              <w:right w:val="single" w:sz="8" w:color="007CBA"/>
            </w:tcBorders>
            <w:shd w:val="clear" w:color="auto" w:fill="007CBA"/>
          </w:tcPr>
          <w:p>
            <w:pPr>
              <w:spacing w:after="0"/>
              <w:rPr>
                <w:sz w:val="14"/>
                <w:szCs w:val="14"/>
                <w:color w:val="auto"/>
              </w:rPr>
            </w:pPr>
          </w:p>
        </w:tc>
        <w:tc>
          <w:tcPr>
            <w:tcW w:w="860" w:type="dxa"/>
            <w:vAlign w:val="bottom"/>
            <w:tcBorders>
              <w:right w:val="single" w:sz="8" w:color="007CBA"/>
            </w:tcBorders>
            <w:shd w:val="clear" w:color="auto" w:fill="007CBA"/>
          </w:tcPr>
          <w:p>
            <w:pPr>
              <w:spacing w:after="0"/>
              <w:rPr>
                <w:sz w:val="14"/>
                <w:szCs w:val="14"/>
                <w:color w:val="auto"/>
              </w:rPr>
            </w:pPr>
          </w:p>
        </w:tc>
        <w:tc>
          <w:tcPr>
            <w:tcW w:w="8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9"/>
              </w:rPr>
              <w:t>Stock</w:t>
            </w:r>
          </w:p>
        </w:tc>
        <w:tc>
          <w:tcPr>
            <w:tcW w:w="7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Option</w:t>
            </w:r>
          </w:p>
        </w:tc>
        <w:tc>
          <w:tcPr>
            <w:tcW w:w="12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Incentive Plan</w:t>
            </w:r>
          </w:p>
        </w:tc>
        <w:tc>
          <w:tcPr>
            <w:tcW w:w="12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Compensation</w:t>
            </w:r>
          </w:p>
        </w:tc>
        <w:tc>
          <w:tcPr>
            <w:tcW w:w="12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All Other</w:t>
            </w:r>
          </w:p>
        </w:tc>
        <w:tc>
          <w:tcPr>
            <w:tcW w:w="86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Name and</w:t>
            </w:r>
          </w:p>
        </w:tc>
        <w:tc>
          <w:tcPr>
            <w:tcW w:w="120" w:type="dxa"/>
            <w:vAlign w:val="bottom"/>
            <w:shd w:val="clear" w:color="auto" w:fill="007CBA"/>
          </w:tcPr>
          <w:p>
            <w:pPr>
              <w:spacing w:after="0"/>
              <w:rPr>
                <w:sz w:val="14"/>
                <w:szCs w:val="14"/>
                <w:color w:val="auto"/>
              </w:rPr>
            </w:pPr>
          </w:p>
        </w:tc>
        <w:tc>
          <w:tcPr>
            <w:tcW w:w="440" w:type="dxa"/>
            <w:vAlign w:val="bottom"/>
            <w:tcBorders>
              <w:right w:val="single" w:sz="8" w:color="007CBA"/>
            </w:tcBorders>
            <w:shd w:val="clear" w:color="auto" w:fill="007CBA"/>
          </w:tcPr>
          <w:p>
            <w:pPr>
              <w:spacing w:after="0"/>
              <w:rPr>
                <w:sz w:val="14"/>
                <w:szCs w:val="14"/>
                <w:color w:val="auto"/>
              </w:rPr>
            </w:pPr>
          </w:p>
        </w:tc>
        <w:tc>
          <w:tcPr>
            <w:tcW w:w="8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9"/>
              </w:rPr>
              <w:t>Salary</w:t>
            </w:r>
          </w:p>
        </w:tc>
        <w:tc>
          <w:tcPr>
            <w:tcW w:w="8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Bonus</w:t>
            </w:r>
          </w:p>
        </w:tc>
        <w:tc>
          <w:tcPr>
            <w:tcW w:w="8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Awards</w:t>
            </w:r>
          </w:p>
        </w:tc>
        <w:tc>
          <w:tcPr>
            <w:tcW w:w="7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Awards</w:t>
            </w:r>
          </w:p>
        </w:tc>
        <w:tc>
          <w:tcPr>
            <w:tcW w:w="12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Compensation</w:t>
            </w:r>
          </w:p>
        </w:tc>
        <w:tc>
          <w:tcPr>
            <w:tcW w:w="12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Earnings</w:t>
            </w:r>
          </w:p>
        </w:tc>
        <w:tc>
          <w:tcPr>
            <w:tcW w:w="12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Compensation</w:t>
            </w:r>
          </w:p>
        </w:tc>
        <w:tc>
          <w:tcPr>
            <w:tcW w:w="86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w w:val="95"/>
              </w:rPr>
              <w:t>Total</w:t>
            </w:r>
          </w:p>
        </w:tc>
        <w:tc>
          <w:tcPr>
            <w:tcW w:w="0" w:type="dxa"/>
            <w:vAlign w:val="bottom"/>
          </w:tcPr>
          <w:p>
            <w:pPr>
              <w:spacing w:after="0"/>
              <w:rPr>
                <w:sz w:val="1"/>
                <w:szCs w:val="1"/>
                <w:color w:val="auto"/>
              </w:rPr>
            </w:pPr>
          </w:p>
        </w:tc>
      </w:tr>
      <w:tr>
        <w:trPr>
          <w:trHeight w:val="162"/>
        </w:trPr>
        <w:tc>
          <w:tcPr>
            <w:tcW w:w="26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Principal Position</w:t>
            </w:r>
          </w:p>
        </w:tc>
        <w:tc>
          <w:tcPr>
            <w:tcW w:w="560" w:type="dxa"/>
            <w:vAlign w:val="bottom"/>
            <w:tcBorders>
              <w:right w:val="single" w:sz="8" w:color="007CBA"/>
            </w:tcBorders>
            <w:gridSpan w:val="2"/>
            <w:shd w:val="clear" w:color="auto" w:fill="007CBA"/>
          </w:tcPr>
          <w:p>
            <w:pPr>
              <w:ind w:left="100"/>
              <w:spacing w:after="0"/>
              <w:rPr>
                <w:sz w:val="20"/>
                <w:szCs w:val="20"/>
                <w:color w:val="auto"/>
              </w:rPr>
            </w:pPr>
            <w:r>
              <w:rPr>
                <w:rFonts w:ascii="Arial" w:cs="Arial" w:eastAsia="Arial" w:hAnsi="Arial"/>
                <w:sz w:val="14"/>
                <w:szCs w:val="14"/>
                <w:b w:val="1"/>
                <w:bCs w:val="1"/>
                <w:color w:val="FFFFFF"/>
              </w:rPr>
              <w:t>Year</w:t>
            </w:r>
          </w:p>
        </w:tc>
        <w:tc>
          <w:tcPr>
            <w:tcW w:w="880" w:type="dxa"/>
            <w:vAlign w:val="bottom"/>
            <w:tcBorders>
              <w:right w:val="single" w:sz="8" w:color="007CBA"/>
            </w:tcBorders>
            <w:shd w:val="clear" w:color="auto" w:fill="007CBA"/>
          </w:tcPr>
          <w:p>
            <w:pPr>
              <w:jc w:val="center"/>
              <w:spacing w:after="0" w:line="162" w:lineRule="exact"/>
              <w:rPr>
                <w:sz w:val="20"/>
                <w:szCs w:val="20"/>
                <w:color w:val="auto"/>
              </w:rPr>
            </w:pPr>
            <w:r>
              <w:rPr>
                <w:rFonts w:ascii="Arial" w:cs="Arial" w:eastAsia="Arial" w:hAnsi="Arial"/>
                <w:sz w:val="11"/>
                <w:szCs w:val="11"/>
                <w:b w:val="1"/>
                <w:bCs w:val="1"/>
                <w:color w:val="FFFFFF"/>
              </w:rPr>
              <w:t>($)</w:t>
            </w:r>
            <w:r>
              <w:rPr>
                <w:rFonts w:ascii="Arial" w:cs="Arial" w:eastAsia="Arial" w:hAnsi="Arial"/>
                <w:sz w:val="18"/>
                <w:szCs w:val="18"/>
                <w:b w:val="1"/>
                <w:bCs w:val="1"/>
                <w:color w:val="FFFFFF"/>
                <w:vertAlign w:val="superscript"/>
              </w:rPr>
              <w:t>1</w:t>
            </w:r>
          </w:p>
        </w:tc>
        <w:tc>
          <w:tcPr>
            <w:tcW w:w="860" w:type="dxa"/>
            <w:vAlign w:val="bottom"/>
            <w:tcBorders>
              <w:right w:val="single" w:sz="8" w:color="007CBA"/>
            </w:tcBorders>
            <w:shd w:val="clear" w:color="auto" w:fill="007CBA"/>
          </w:tcPr>
          <w:p>
            <w:pPr>
              <w:jc w:val="center"/>
              <w:spacing w:after="0" w:line="162" w:lineRule="exact"/>
              <w:rPr>
                <w:sz w:val="20"/>
                <w:szCs w:val="20"/>
                <w:color w:val="auto"/>
              </w:rPr>
            </w:pPr>
            <w:r>
              <w:rPr>
                <w:rFonts w:ascii="Arial" w:cs="Arial" w:eastAsia="Arial" w:hAnsi="Arial"/>
                <w:sz w:val="11"/>
                <w:szCs w:val="11"/>
                <w:b w:val="1"/>
                <w:bCs w:val="1"/>
                <w:color w:val="FFFFFF"/>
              </w:rPr>
              <w:t>($)</w:t>
            </w:r>
            <w:r>
              <w:rPr>
                <w:rFonts w:ascii="Arial" w:cs="Arial" w:eastAsia="Arial" w:hAnsi="Arial"/>
                <w:sz w:val="18"/>
                <w:szCs w:val="18"/>
                <w:b w:val="1"/>
                <w:bCs w:val="1"/>
                <w:color w:val="FFFFFF"/>
                <w:vertAlign w:val="superscript"/>
              </w:rPr>
              <w:t>2</w:t>
            </w:r>
          </w:p>
        </w:tc>
        <w:tc>
          <w:tcPr>
            <w:tcW w:w="880" w:type="dxa"/>
            <w:vAlign w:val="bottom"/>
            <w:tcBorders>
              <w:right w:val="single" w:sz="8" w:color="007CBA"/>
            </w:tcBorders>
            <w:shd w:val="clear" w:color="auto" w:fill="007CBA"/>
          </w:tcPr>
          <w:p>
            <w:pPr>
              <w:jc w:val="center"/>
              <w:spacing w:after="0" w:line="162" w:lineRule="exact"/>
              <w:rPr>
                <w:sz w:val="20"/>
                <w:szCs w:val="20"/>
                <w:color w:val="auto"/>
              </w:rPr>
            </w:pPr>
            <w:r>
              <w:rPr>
                <w:rFonts w:ascii="Arial" w:cs="Arial" w:eastAsia="Arial" w:hAnsi="Arial"/>
                <w:sz w:val="11"/>
                <w:szCs w:val="11"/>
                <w:b w:val="1"/>
                <w:bCs w:val="1"/>
                <w:color w:val="FFFFFF"/>
              </w:rPr>
              <w:t>($)</w:t>
            </w:r>
            <w:r>
              <w:rPr>
                <w:rFonts w:ascii="Arial" w:cs="Arial" w:eastAsia="Arial" w:hAnsi="Arial"/>
                <w:sz w:val="18"/>
                <w:szCs w:val="18"/>
                <w:b w:val="1"/>
                <w:bCs w:val="1"/>
                <w:color w:val="FFFFFF"/>
                <w:vertAlign w:val="superscript"/>
              </w:rPr>
              <w:t>3</w:t>
            </w:r>
          </w:p>
        </w:tc>
        <w:tc>
          <w:tcPr>
            <w:tcW w:w="720" w:type="dxa"/>
            <w:vAlign w:val="bottom"/>
            <w:tcBorders>
              <w:right w:val="single" w:sz="8" w:color="007CBA"/>
            </w:tcBorders>
            <w:shd w:val="clear" w:color="auto" w:fill="007CBA"/>
          </w:tcPr>
          <w:p>
            <w:pPr>
              <w:jc w:val="center"/>
              <w:spacing w:after="0" w:line="162" w:lineRule="exact"/>
              <w:rPr>
                <w:sz w:val="20"/>
                <w:szCs w:val="20"/>
                <w:color w:val="auto"/>
              </w:rPr>
            </w:pPr>
            <w:r>
              <w:rPr>
                <w:rFonts w:ascii="Arial" w:cs="Arial" w:eastAsia="Arial" w:hAnsi="Arial"/>
                <w:sz w:val="11"/>
                <w:szCs w:val="11"/>
                <w:b w:val="1"/>
                <w:bCs w:val="1"/>
                <w:color w:val="FFFFFF"/>
              </w:rPr>
              <w:t>($)</w:t>
            </w:r>
            <w:r>
              <w:rPr>
                <w:rFonts w:ascii="Arial" w:cs="Arial" w:eastAsia="Arial" w:hAnsi="Arial"/>
                <w:sz w:val="18"/>
                <w:szCs w:val="18"/>
                <w:b w:val="1"/>
                <w:bCs w:val="1"/>
                <w:color w:val="FFFFFF"/>
                <w:vertAlign w:val="superscript"/>
              </w:rPr>
              <w:t>4</w:t>
            </w:r>
          </w:p>
        </w:tc>
        <w:tc>
          <w:tcPr>
            <w:tcW w:w="1200" w:type="dxa"/>
            <w:vAlign w:val="bottom"/>
            <w:tcBorders>
              <w:right w:val="single" w:sz="8" w:color="007CBA"/>
            </w:tcBorders>
            <w:shd w:val="clear" w:color="auto" w:fill="007CBA"/>
          </w:tcPr>
          <w:p>
            <w:pPr>
              <w:jc w:val="center"/>
              <w:spacing w:after="0" w:line="162" w:lineRule="exact"/>
              <w:rPr>
                <w:sz w:val="20"/>
                <w:szCs w:val="20"/>
                <w:color w:val="auto"/>
              </w:rPr>
            </w:pPr>
            <w:r>
              <w:rPr>
                <w:rFonts w:ascii="Arial" w:cs="Arial" w:eastAsia="Arial" w:hAnsi="Arial"/>
                <w:sz w:val="11"/>
                <w:szCs w:val="11"/>
                <w:b w:val="1"/>
                <w:bCs w:val="1"/>
                <w:color w:val="FFFFFF"/>
              </w:rPr>
              <w:t>($)</w:t>
            </w:r>
            <w:r>
              <w:rPr>
                <w:rFonts w:ascii="Arial" w:cs="Arial" w:eastAsia="Arial" w:hAnsi="Arial"/>
                <w:sz w:val="18"/>
                <w:szCs w:val="18"/>
                <w:b w:val="1"/>
                <w:bCs w:val="1"/>
                <w:color w:val="FFFFFF"/>
                <w:vertAlign w:val="superscript"/>
              </w:rPr>
              <w:t>5</w:t>
            </w:r>
          </w:p>
        </w:tc>
        <w:tc>
          <w:tcPr>
            <w:tcW w:w="1200" w:type="dxa"/>
            <w:vAlign w:val="bottom"/>
            <w:tcBorders>
              <w:right w:val="single" w:sz="8" w:color="007CBA"/>
            </w:tcBorders>
            <w:shd w:val="clear" w:color="auto" w:fill="007CBA"/>
          </w:tcPr>
          <w:p>
            <w:pPr>
              <w:jc w:val="center"/>
              <w:spacing w:after="0" w:line="162" w:lineRule="exact"/>
              <w:rPr>
                <w:sz w:val="20"/>
                <w:szCs w:val="20"/>
                <w:color w:val="auto"/>
              </w:rPr>
            </w:pPr>
            <w:r>
              <w:rPr>
                <w:rFonts w:ascii="Arial" w:cs="Arial" w:eastAsia="Arial" w:hAnsi="Arial"/>
                <w:sz w:val="11"/>
                <w:szCs w:val="11"/>
                <w:b w:val="1"/>
                <w:bCs w:val="1"/>
                <w:color w:val="FFFFFF"/>
              </w:rPr>
              <w:t>($)</w:t>
            </w:r>
            <w:r>
              <w:rPr>
                <w:rFonts w:ascii="Arial" w:cs="Arial" w:eastAsia="Arial" w:hAnsi="Arial"/>
                <w:sz w:val="18"/>
                <w:szCs w:val="18"/>
                <w:b w:val="1"/>
                <w:bCs w:val="1"/>
                <w:color w:val="FFFFFF"/>
                <w:vertAlign w:val="superscript"/>
              </w:rPr>
              <w:t>6</w:t>
            </w:r>
          </w:p>
        </w:tc>
        <w:tc>
          <w:tcPr>
            <w:tcW w:w="1200" w:type="dxa"/>
            <w:vAlign w:val="bottom"/>
            <w:tcBorders>
              <w:right w:val="single" w:sz="8" w:color="007CBA"/>
            </w:tcBorders>
            <w:shd w:val="clear" w:color="auto" w:fill="007CBA"/>
          </w:tcPr>
          <w:p>
            <w:pPr>
              <w:jc w:val="center"/>
              <w:spacing w:after="0" w:line="162" w:lineRule="exact"/>
              <w:rPr>
                <w:sz w:val="20"/>
                <w:szCs w:val="20"/>
                <w:color w:val="auto"/>
              </w:rPr>
            </w:pPr>
            <w:r>
              <w:rPr>
                <w:rFonts w:ascii="Arial" w:cs="Arial" w:eastAsia="Arial" w:hAnsi="Arial"/>
                <w:sz w:val="11"/>
                <w:szCs w:val="11"/>
                <w:b w:val="1"/>
                <w:bCs w:val="1"/>
                <w:color w:val="FFFFFF"/>
              </w:rPr>
              <w:t>($)</w:t>
            </w:r>
            <w:r>
              <w:rPr>
                <w:rFonts w:ascii="Arial" w:cs="Arial" w:eastAsia="Arial" w:hAnsi="Arial"/>
                <w:sz w:val="18"/>
                <w:szCs w:val="18"/>
                <w:b w:val="1"/>
                <w:bCs w:val="1"/>
                <w:color w:val="FFFFFF"/>
                <w:vertAlign w:val="superscript"/>
              </w:rPr>
              <w:t>7</w:t>
            </w:r>
          </w:p>
        </w:tc>
        <w:tc>
          <w:tcPr>
            <w:tcW w:w="86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w w:val="93"/>
              </w:rPr>
              <w:t>($)</w:t>
            </w:r>
          </w:p>
        </w:tc>
        <w:tc>
          <w:tcPr>
            <w:tcW w:w="0" w:type="dxa"/>
            <w:vAlign w:val="bottom"/>
          </w:tcPr>
          <w:p>
            <w:pPr>
              <w:spacing w:after="0"/>
              <w:rPr>
                <w:sz w:val="1"/>
                <w:szCs w:val="1"/>
                <w:color w:val="auto"/>
              </w:rPr>
            </w:pPr>
          </w:p>
        </w:tc>
      </w:tr>
      <w:tr>
        <w:trPr>
          <w:trHeight w:val="223"/>
        </w:trPr>
        <w:tc>
          <w:tcPr>
            <w:tcW w:w="264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w:t>
            </w:r>
          </w:p>
        </w:tc>
        <w:tc>
          <w:tcPr>
            <w:tcW w:w="120" w:type="dxa"/>
            <w:vAlign w:val="bottom"/>
            <w:tcBorders>
              <w:bottom w:val="single" w:sz="8" w:color="007CBA"/>
            </w:tcBorders>
            <w:shd w:val="clear" w:color="auto" w:fill="007CBA"/>
          </w:tcPr>
          <w:p>
            <w:pPr>
              <w:spacing w:after="0"/>
              <w:rPr>
                <w:sz w:val="19"/>
                <w:szCs w:val="19"/>
                <w:color w:val="auto"/>
              </w:rPr>
            </w:pPr>
          </w:p>
        </w:tc>
        <w:tc>
          <w:tcPr>
            <w:tcW w:w="440" w:type="dxa"/>
            <w:vAlign w:val="bottom"/>
            <w:tcBorders>
              <w:bottom w:val="single" w:sz="8" w:color="007CBA"/>
              <w:right w:val="single" w:sz="8" w:color="007CBA"/>
            </w:tcBorders>
            <w:shd w:val="clear" w:color="auto" w:fill="007CBA"/>
          </w:tcPr>
          <w:p>
            <w:pPr>
              <w:ind w:left="40"/>
              <w:spacing w:after="0"/>
              <w:rPr>
                <w:sz w:val="20"/>
                <w:szCs w:val="20"/>
                <w:color w:val="auto"/>
              </w:rPr>
            </w:pPr>
            <w:r>
              <w:rPr>
                <w:rFonts w:ascii="Arial" w:cs="Arial" w:eastAsia="Arial" w:hAnsi="Arial"/>
                <w:sz w:val="14"/>
                <w:szCs w:val="14"/>
                <w:b w:val="1"/>
                <w:bCs w:val="1"/>
                <w:color w:val="FFFFFF"/>
              </w:rPr>
              <w:t>(b)</w:t>
            </w:r>
          </w:p>
        </w:tc>
        <w:tc>
          <w:tcPr>
            <w:tcW w:w="88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(c)</w:t>
            </w:r>
          </w:p>
        </w:tc>
        <w:tc>
          <w:tcPr>
            <w:tcW w:w="86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(d)</w:t>
            </w:r>
          </w:p>
        </w:tc>
        <w:tc>
          <w:tcPr>
            <w:tcW w:w="88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(e)</w:t>
            </w:r>
          </w:p>
        </w:tc>
        <w:tc>
          <w:tcPr>
            <w:tcW w:w="72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(f)</w:t>
            </w:r>
          </w:p>
        </w:tc>
        <w:tc>
          <w:tcPr>
            <w:tcW w:w="120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(g)</w:t>
            </w:r>
          </w:p>
        </w:tc>
        <w:tc>
          <w:tcPr>
            <w:tcW w:w="120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(h)</w:t>
            </w:r>
          </w:p>
        </w:tc>
        <w:tc>
          <w:tcPr>
            <w:tcW w:w="120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0"/>
              </w:rPr>
              <w:t>(i)</w:t>
            </w:r>
          </w:p>
        </w:tc>
        <w:tc>
          <w:tcPr>
            <w:tcW w:w="860" w:type="dxa"/>
            <w:vAlign w:val="bottom"/>
            <w:tcBorders>
              <w:bottom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0"/>
              </w:rPr>
              <w:t>(j)</w:t>
            </w:r>
          </w:p>
        </w:tc>
        <w:tc>
          <w:tcPr>
            <w:tcW w:w="0" w:type="dxa"/>
            <w:vAlign w:val="bottom"/>
          </w:tcPr>
          <w:p>
            <w:pPr>
              <w:spacing w:after="0"/>
              <w:rPr>
                <w:sz w:val="1"/>
                <w:szCs w:val="1"/>
                <w:color w:val="auto"/>
              </w:rPr>
            </w:pPr>
          </w:p>
        </w:tc>
      </w:tr>
      <w:tr>
        <w:trPr>
          <w:trHeight w:val="207"/>
        </w:trPr>
        <w:tc>
          <w:tcPr>
            <w:tcW w:w="264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b w:val="1"/>
                <w:bCs w:val="1"/>
                <w:color w:val="auto"/>
              </w:rPr>
              <w:t>C. Howard Nye</w:t>
            </w:r>
          </w:p>
        </w:tc>
        <w:tc>
          <w:tcPr>
            <w:tcW w:w="560" w:type="dxa"/>
            <w:vAlign w:val="bottom"/>
            <w:tcBorders>
              <w:right w:val="single" w:sz="8" w:color="007CBA"/>
            </w:tcBorders>
            <w:gridSpan w:val="2"/>
            <w:shd w:val="clear" w:color="auto" w:fill="E5F1F8"/>
          </w:tcPr>
          <w:p>
            <w:pPr>
              <w:ind w:left="120"/>
              <w:spacing w:after="0"/>
              <w:rPr>
                <w:sz w:val="20"/>
                <w:szCs w:val="20"/>
                <w:color w:val="auto"/>
              </w:rPr>
            </w:pPr>
            <w:r>
              <w:rPr>
                <w:rFonts w:ascii="Arial" w:cs="Arial" w:eastAsia="Arial" w:hAnsi="Arial"/>
                <w:sz w:val="14"/>
                <w:szCs w:val="14"/>
                <w:color w:val="auto"/>
              </w:rPr>
              <w:t>2018</w:t>
            </w:r>
          </w:p>
        </w:tc>
        <w:tc>
          <w:tcPr>
            <w:tcW w:w="88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1,090,833</w:t>
            </w:r>
          </w:p>
        </w:tc>
        <w:tc>
          <w:tcPr>
            <w:tcW w:w="860" w:type="dxa"/>
            <w:vAlign w:val="bottom"/>
            <w:tcBorders>
              <w:right w:val="single" w:sz="8" w:color="007CBA"/>
            </w:tcBorders>
            <w:shd w:val="clear" w:color="auto" w:fill="E5F1F8"/>
          </w:tcPr>
          <w:p>
            <w:pPr>
              <w:spacing w:after="0"/>
              <w:rPr>
                <w:sz w:val="18"/>
                <w:szCs w:val="18"/>
                <w:color w:val="auto"/>
              </w:rPr>
            </w:pPr>
          </w:p>
        </w:tc>
        <w:tc>
          <w:tcPr>
            <w:tcW w:w="88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5,046,900</w:t>
            </w:r>
          </w:p>
        </w:tc>
        <w:tc>
          <w:tcPr>
            <w:tcW w:w="720" w:type="dxa"/>
            <w:vAlign w:val="bottom"/>
            <w:tcBorders>
              <w:right w:val="single" w:sz="8" w:color="007CBA"/>
            </w:tcBorders>
            <w:shd w:val="clear" w:color="auto" w:fill="E5F1F8"/>
          </w:tcPr>
          <w:p>
            <w:pPr>
              <w:spacing w:after="0"/>
              <w:rPr>
                <w:sz w:val="18"/>
                <w:szCs w:val="18"/>
                <w:color w:val="auto"/>
              </w:rPr>
            </w:pPr>
          </w:p>
        </w:tc>
        <w:tc>
          <w:tcPr>
            <w:tcW w:w="1200" w:type="dxa"/>
            <w:vAlign w:val="bottom"/>
            <w:tcBorders>
              <w:right w:val="single" w:sz="8" w:color="007CBA"/>
            </w:tcBorders>
            <w:shd w:val="clear" w:color="auto" w:fill="E5F1F8"/>
          </w:tcPr>
          <w:p>
            <w:pPr>
              <w:jc w:val="right"/>
              <w:ind w:right="249"/>
              <w:spacing w:after="0"/>
              <w:rPr>
                <w:sz w:val="20"/>
                <w:szCs w:val="20"/>
                <w:color w:val="auto"/>
              </w:rPr>
            </w:pPr>
            <w:r>
              <w:rPr>
                <w:rFonts w:ascii="Arial" w:cs="Arial" w:eastAsia="Arial" w:hAnsi="Arial"/>
                <w:sz w:val="14"/>
                <w:szCs w:val="14"/>
                <w:color w:val="auto"/>
              </w:rPr>
              <w:t>1,050,000</w:t>
            </w:r>
          </w:p>
        </w:tc>
        <w:tc>
          <w:tcPr>
            <w:tcW w:w="1200" w:type="dxa"/>
            <w:vAlign w:val="bottom"/>
            <w:tcBorders>
              <w:right w:val="single" w:sz="8" w:color="007CBA"/>
            </w:tcBorders>
            <w:shd w:val="clear" w:color="auto" w:fill="E5F1F8"/>
          </w:tcPr>
          <w:p>
            <w:pPr>
              <w:jc w:val="right"/>
              <w:ind w:right="249"/>
              <w:spacing w:after="0"/>
              <w:rPr>
                <w:sz w:val="20"/>
                <w:szCs w:val="20"/>
                <w:color w:val="auto"/>
              </w:rPr>
            </w:pPr>
            <w:r>
              <w:rPr>
                <w:rFonts w:ascii="Arial" w:cs="Arial" w:eastAsia="Arial" w:hAnsi="Arial"/>
                <w:sz w:val="14"/>
                <w:szCs w:val="14"/>
                <w:color w:val="auto"/>
              </w:rPr>
              <w:t>1,235,634</w:t>
            </w:r>
          </w:p>
        </w:tc>
        <w:tc>
          <w:tcPr>
            <w:tcW w:w="1200" w:type="dxa"/>
            <w:vAlign w:val="bottom"/>
            <w:tcBorders>
              <w:right w:val="single" w:sz="8" w:color="007CBA"/>
            </w:tcBorders>
            <w:shd w:val="clear" w:color="auto" w:fill="E5F1F8"/>
          </w:tcPr>
          <w:p>
            <w:pPr>
              <w:jc w:val="right"/>
              <w:ind w:right="249"/>
              <w:spacing w:after="0"/>
              <w:rPr>
                <w:sz w:val="20"/>
                <w:szCs w:val="20"/>
                <w:color w:val="auto"/>
              </w:rPr>
            </w:pPr>
            <w:r>
              <w:rPr>
                <w:rFonts w:ascii="Arial" w:cs="Arial" w:eastAsia="Arial" w:hAnsi="Arial"/>
                <w:sz w:val="14"/>
                <w:szCs w:val="14"/>
                <w:color w:val="auto"/>
              </w:rPr>
              <w:t>110,091</w:t>
            </w:r>
          </w:p>
        </w:tc>
        <w:tc>
          <w:tcPr>
            <w:tcW w:w="860" w:type="dxa"/>
            <w:vAlign w:val="bottom"/>
            <w:shd w:val="clear" w:color="auto" w:fill="E5F1F8"/>
          </w:tcPr>
          <w:p>
            <w:pPr>
              <w:jc w:val="right"/>
              <w:ind w:right="28"/>
              <w:spacing w:after="0"/>
              <w:rPr>
                <w:sz w:val="20"/>
                <w:szCs w:val="20"/>
                <w:color w:val="auto"/>
              </w:rPr>
            </w:pPr>
            <w:r>
              <w:rPr>
                <w:rFonts w:ascii="Arial" w:cs="Arial" w:eastAsia="Arial" w:hAnsi="Arial"/>
                <w:sz w:val="14"/>
                <w:szCs w:val="14"/>
                <w:color w:val="auto"/>
              </w:rPr>
              <w:t>8,533,458</w:t>
            </w:r>
          </w:p>
        </w:tc>
        <w:tc>
          <w:tcPr>
            <w:tcW w:w="0" w:type="dxa"/>
            <w:vAlign w:val="bottom"/>
          </w:tcPr>
          <w:p>
            <w:pPr>
              <w:spacing w:after="0"/>
              <w:rPr>
                <w:sz w:val="1"/>
                <w:szCs w:val="1"/>
                <w:color w:val="auto"/>
              </w:rPr>
            </w:pPr>
          </w:p>
        </w:tc>
      </w:tr>
      <w:tr>
        <w:trPr>
          <w:trHeight w:val="162"/>
        </w:trPr>
        <w:tc>
          <w:tcPr>
            <w:tcW w:w="264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Chairman, President</w:t>
            </w:r>
          </w:p>
        </w:tc>
        <w:tc>
          <w:tcPr>
            <w:tcW w:w="120" w:type="dxa"/>
            <w:vAlign w:val="bottom"/>
            <w:shd w:val="clear" w:color="auto" w:fill="E5F1F8"/>
          </w:tcPr>
          <w:p>
            <w:pPr>
              <w:spacing w:after="0"/>
              <w:rPr>
                <w:sz w:val="14"/>
                <w:szCs w:val="14"/>
                <w:color w:val="auto"/>
              </w:rPr>
            </w:pPr>
          </w:p>
        </w:tc>
        <w:tc>
          <w:tcPr>
            <w:tcW w:w="440" w:type="dxa"/>
            <w:vAlign w:val="bottom"/>
            <w:tcBorders>
              <w:right w:val="single" w:sz="8" w:color="007CBA"/>
            </w:tcBorders>
            <w:vMerge w:val="restart"/>
            <w:shd w:val="clear" w:color="auto" w:fill="E5F1F8"/>
          </w:tcPr>
          <w:p>
            <w:pPr>
              <w:spacing w:after="0"/>
              <w:rPr>
                <w:sz w:val="20"/>
                <w:szCs w:val="20"/>
                <w:color w:val="auto"/>
              </w:rPr>
            </w:pPr>
            <w:r>
              <w:rPr>
                <w:rFonts w:ascii="Arial" w:cs="Arial" w:eastAsia="Arial" w:hAnsi="Arial"/>
                <w:sz w:val="14"/>
                <w:szCs w:val="14"/>
                <w:color w:val="auto"/>
              </w:rPr>
              <w:t>2017</w:t>
            </w:r>
          </w:p>
        </w:tc>
        <w:tc>
          <w:tcPr>
            <w:tcW w:w="880" w:type="dxa"/>
            <w:vAlign w:val="bottom"/>
            <w:tcBorders>
              <w:right w:val="single" w:sz="8" w:color="007CBA"/>
            </w:tcBorders>
            <w:vMerge w:val="restart"/>
            <w:shd w:val="clear" w:color="auto" w:fill="E5F1F8"/>
          </w:tcPr>
          <w:p>
            <w:pPr>
              <w:jc w:val="right"/>
              <w:ind w:right="49"/>
              <w:spacing w:after="0"/>
              <w:rPr>
                <w:sz w:val="20"/>
                <w:szCs w:val="20"/>
                <w:color w:val="auto"/>
              </w:rPr>
            </w:pPr>
            <w:r>
              <w:rPr>
                <w:rFonts w:ascii="Arial" w:cs="Arial" w:eastAsia="Arial" w:hAnsi="Arial"/>
                <w:sz w:val="14"/>
                <w:szCs w:val="14"/>
                <w:color w:val="auto"/>
              </w:rPr>
              <w:t>1,039,167</w:t>
            </w:r>
          </w:p>
        </w:tc>
        <w:tc>
          <w:tcPr>
            <w:tcW w:w="860" w:type="dxa"/>
            <w:vAlign w:val="bottom"/>
            <w:tcBorders>
              <w:right w:val="single" w:sz="8" w:color="007CBA"/>
            </w:tcBorders>
            <w:shd w:val="clear" w:color="auto" w:fill="E5F1F8"/>
          </w:tcPr>
          <w:p>
            <w:pPr>
              <w:spacing w:after="0"/>
              <w:rPr>
                <w:sz w:val="14"/>
                <w:szCs w:val="14"/>
                <w:color w:val="auto"/>
              </w:rPr>
            </w:pPr>
          </w:p>
        </w:tc>
        <w:tc>
          <w:tcPr>
            <w:tcW w:w="880" w:type="dxa"/>
            <w:vAlign w:val="bottom"/>
            <w:tcBorders>
              <w:right w:val="single" w:sz="8" w:color="007CBA"/>
            </w:tcBorders>
            <w:vMerge w:val="restart"/>
            <w:shd w:val="clear" w:color="auto" w:fill="E5F1F8"/>
          </w:tcPr>
          <w:p>
            <w:pPr>
              <w:jc w:val="right"/>
              <w:ind w:right="49"/>
              <w:spacing w:after="0"/>
              <w:rPr>
                <w:sz w:val="20"/>
                <w:szCs w:val="20"/>
                <w:color w:val="auto"/>
              </w:rPr>
            </w:pPr>
            <w:r>
              <w:rPr>
                <w:rFonts w:ascii="Arial" w:cs="Arial" w:eastAsia="Arial" w:hAnsi="Arial"/>
                <w:sz w:val="14"/>
                <w:szCs w:val="14"/>
                <w:color w:val="auto"/>
              </w:rPr>
              <w:t>5,431,412</w:t>
            </w:r>
          </w:p>
        </w:tc>
        <w:tc>
          <w:tcPr>
            <w:tcW w:w="720" w:type="dxa"/>
            <w:vAlign w:val="bottom"/>
            <w:tcBorders>
              <w:right w:val="single" w:sz="8" w:color="007CBA"/>
            </w:tcBorders>
            <w:shd w:val="clear" w:color="auto" w:fill="E5F1F8"/>
          </w:tcPr>
          <w:p>
            <w:pPr>
              <w:spacing w:after="0"/>
              <w:rPr>
                <w:sz w:val="14"/>
                <w:szCs w:val="14"/>
                <w:color w:val="auto"/>
              </w:rPr>
            </w:pPr>
          </w:p>
        </w:tc>
        <w:tc>
          <w:tcPr>
            <w:tcW w:w="1200" w:type="dxa"/>
            <w:vAlign w:val="bottom"/>
            <w:tcBorders>
              <w:right w:val="single" w:sz="8" w:color="007CBA"/>
            </w:tcBorders>
            <w:vMerge w:val="restart"/>
            <w:shd w:val="clear" w:color="auto" w:fill="E5F1F8"/>
          </w:tcPr>
          <w:p>
            <w:pPr>
              <w:jc w:val="right"/>
              <w:ind w:right="249"/>
              <w:spacing w:after="0"/>
              <w:rPr>
                <w:sz w:val="20"/>
                <w:szCs w:val="20"/>
                <w:color w:val="auto"/>
              </w:rPr>
            </w:pPr>
            <w:r>
              <w:rPr>
                <w:rFonts w:ascii="Arial" w:cs="Arial" w:eastAsia="Arial" w:hAnsi="Arial"/>
                <w:sz w:val="14"/>
                <w:szCs w:val="14"/>
                <w:color w:val="auto"/>
              </w:rPr>
              <w:t>1,000,000</w:t>
            </w:r>
          </w:p>
        </w:tc>
        <w:tc>
          <w:tcPr>
            <w:tcW w:w="1200" w:type="dxa"/>
            <w:vAlign w:val="bottom"/>
            <w:tcBorders>
              <w:right w:val="single" w:sz="8" w:color="007CBA"/>
            </w:tcBorders>
            <w:vMerge w:val="restart"/>
            <w:shd w:val="clear" w:color="auto" w:fill="E5F1F8"/>
          </w:tcPr>
          <w:p>
            <w:pPr>
              <w:jc w:val="right"/>
              <w:ind w:right="249"/>
              <w:spacing w:after="0"/>
              <w:rPr>
                <w:sz w:val="20"/>
                <w:szCs w:val="20"/>
                <w:color w:val="auto"/>
              </w:rPr>
            </w:pPr>
            <w:r>
              <w:rPr>
                <w:rFonts w:ascii="Arial" w:cs="Arial" w:eastAsia="Arial" w:hAnsi="Arial"/>
                <w:sz w:val="14"/>
                <w:szCs w:val="14"/>
                <w:color w:val="auto"/>
              </w:rPr>
              <w:t>1,414,782</w:t>
            </w:r>
          </w:p>
        </w:tc>
        <w:tc>
          <w:tcPr>
            <w:tcW w:w="1200" w:type="dxa"/>
            <w:vAlign w:val="bottom"/>
            <w:tcBorders>
              <w:right w:val="single" w:sz="8" w:color="007CBA"/>
            </w:tcBorders>
            <w:vMerge w:val="restart"/>
            <w:shd w:val="clear" w:color="auto" w:fill="E5F1F8"/>
          </w:tcPr>
          <w:p>
            <w:pPr>
              <w:jc w:val="right"/>
              <w:ind w:right="249"/>
              <w:spacing w:after="0"/>
              <w:rPr>
                <w:sz w:val="20"/>
                <w:szCs w:val="20"/>
                <w:color w:val="auto"/>
              </w:rPr>
            </w:pPr>
            <w:r>
              <w:rPr>
                <w:rFonts w:ascii="Arial" w:cs="Arial" w:eastAsia="Arial" w:hAnsi="Arial"/>
                <w:sz w:val="14"/>
                <w:szCs w:val="14"/>
                <w:color w:val="auto"/>
              </w:rPr>
              <w:t>103,804</w:t>
            </w:r>
          </w:p>
        </w:tc>
        <w:tc>
          <w:tcPr>
            <w:tcW w:w="860" w:type="dxa"/>
            <w:vAlign w:val="bottom"/>
            <w:vMerge w:val="restart"/>
            <w:shd w:val="clear" w:color="auto" w:fill="E5F1F8"/>
          </w:tcPr>
          <w:p>
            <w:pPr>
              <w:jc w:val="right"/>
              <w:ind w:right="28"/>
              <w:spacing w:after="0"/>
              <w:rPr>
                <w:sz w:val="20"/>
                <w:szCs w:val="20"/>
                <w:color w:val="auto"/>
              </w:rPr>
            </w:pPr>
            <w:r>
              <w:rPr>
                <w:rFonts w:ascii="Arial" w:cs="Arial" w:eastAsia="Arial" w:hAnsi="Arial"/>
                <w:sz w:val="14"/>
                <w:szCs w:val="14"/>
                <w:color w:val="auto"/>
              </w:rPr>
              <w:t>8,989,165</w:t>
            </w:r>
          </w:p>
        </w:tc>
        <w:tc>
          <w:tcPr>
            <w:tcW w:w="0" w:type="dxa"/>
            <w:vAlign w:val="bottom"/>
          </w:tcPr>
          <w:p>
            <w:pPr>
              <w:spacing w:after="0"/>
              <w:rPr>
                <w:sz w:val="1"/>
                <w:szCs w:val="1"/>
                <w:color w:val="auto"/>
              </w:rPr>
            </w:pPr>
          </w:p>
        </w:tc>
      </w:tr>
      <w:tr>
        <w:trPr>
          <w:trHeight w:val="105"/>
        </w:trPr>
        <w:tc>
          <w:tcPr>
            <w:tcW w:w="2640" w:type="dxa"/>
            <w:vAlign w:val="bottom"/>
            <w:tcBorders>
              <w:right w:val="single" w:sz="8" w:color="007CBA"/>
            </w:tcBorders>
            <w:vMerge w:val="restart"/>
            <w:shd w:val="clear" w:color="auto" w:fill="E5F1F8"/>
          </w:tcPr>
          <w:p>
            <w:pPr>
              <w:ind w:left="60"/>
              <w:spacing w:after="0" w:line="144" w:lineRule="exact"/>
              <w:rPr>
                <w:sz w:val="20"/>
                <w:szCs w:val="20"/>
                <w:color w:val="auto"/>
              </w:rPr>
            </w:pPr>
            <w:r>
              <w:rPr>
                <w:rFonts w:ascii="Arial" w:cs="Arial" w:eastAsia="Arial" w:hAnsi="Arial"/>
                <w:sz w:val="14"/>
                <w:szCs w:val="14"/>
                <w:color w:val="auto"/>
              </w:rPr>
              <w:t>and CEO</w:t>
            </w:r>
          </w:p>
        </w:tc>
        <w:tc>
          <w:tcPr>
            <w:tcW w:w="120" w:type="dxa"/>
            <w:vAlign w:val="bottom"/>
            <w:shd w:val="clear" w:color="auto" w:fill="E5F1F8"/>
          </w:tcPr>
          <w:p>
            <w:pPr>
              <w:spacing w:after="0"/>
              <w:rPr>
                <w:sz w:val="9"/>
                <w:szCs w:val="9"/>
                <w:color w:val="auto"/>
              </w:rPr>
            </w:pPr>
          </w:p>
        </w:tc>
        <w:tc>
          <w:tcPr>
            <w:tcW w:w="440" w:type="dxa"/>
            <w:vAlign w:val="bottom"/>
            <w:tcBorders>
              <w:right w:val="single" w:sz="8" w:color="007CBA"/>
            </w:tcBorders>
            <w:vMerge w:val="continue"/>
            <w:shd w:val="clear" w:color="auto" w:fill="E5F1F8"/>
          </w:tcPr>
          <w:p>
            <w:pPr>
              <w:spacing w:after="0"/>
              <w:rPr>
                <w:sz w:val="9"/>
                <w:szCs w:val="9"/>
                <w:color w:val="auto"/>
              </w:rPr>
            </w:pPr>
          </w:p>
        </w:tc>
        <w:tc>
          <w:tcPr>
            <w:tcW w:w="880" w:type="dxa"/>
            <w:vAlign w:val="bottom"/>
            <w:tcBorders>
              <w:right w:val="single" w:sz="8" w:color="007CBA"/>
            </w:tcBorders>
            <w:vMerge w:val="continue"/>
            <w:shd w:val="clear" w:color="auto" w:fill="E5F1F8"/>
          </w:tcPr>
          <w:p>
            <w:pPr>
              <w:spacing w:after="0"/>
              <w:rPr>
                <w:sz w:val="9"/>
                <w:szCs w:val="9"/>
                <w:color w:val="auto"/>
              </w:rPr>
            </w:pPr>
          </w:p>
        </w:tc>
        <w:tc>
          <w:tcPr>
            <w:tcW w:w="860" w:type="dxa"/>
            <w:vAlign w:val="bottom"/>
            <w:tcBorders>
              <w:right w:val="single" w:sz="8" w:color="007CBA"/>
            </w:tcBorders>
            <w:shd w:val="clear" w:color="auto" w:fill="E5F1F8"/>
          </w:tcPr>
          <w:p>
            <w:pPr>
              <w:spacing w:after="0"/>
              <w:rPr>
                <w:sz w:val="9"/>
                <w:szCs w:val="9"/>
                <w:color w:val="auto"/>
              </w:rPr>
            </w:pPr>
          </w:p>
        </w:tc>
        <w:tc>
          <w:tcPr>
            <w:tcW w:w="880" w:type="dxa"/>
            <w:vAlign w:val="bottom"/>
            <w:tcBorders>
              <w:right w:val="single" w:sz="8" w:color="007CBA"/>
            </w:tcBorders>
            <w:vMerge w:val="continue"/>
            <w:shd w:val="clear" w:color="auto" w:fill="E5F1F8"/>
          </w:tcPr>
          <w:p>
            <w:pPr>
              <w:spacing w:after="0"/>
              <w:rPr>
                <w:sz w:val="9"/>
                <w:szCs w:val="9"/>
                <w:color w:val="auto"/>
              </w:rPr>
            </w:pPr>
          </w:p>
        </w:tc>
        <w:tc>
          <w:tcPr>
            <w:tcW w:w="720" w:type="dxa"/>
            <w:vAlign w:val="bottom"/>
            <w:tcBorders>
              <w:right w:val="single" w:sz="8" w:color="007CBA"/>
            </w:tcBorders>
            <w:shd w:val="clear" w:color="auto" w:fill="E5F1F8"/>
          </w:tcPr>
          <w:p>
            <w:pPr>
              <w:spacing w:after="0"/>
              <w:rPr>
                <w:sz w:val="9"/>
                <w:szCs w:val="9"/>
                <w:color w:val="auto"/>
              </w:rPr>
            </w:pPr>
          </w:p>
        </w:tc>
        <w:tc>
          <w:tcPr>
            <w:tcW w:w="1200" w:type="dxa"/>
            <w:vAlign w:val="bottom"/>
            <w:tcBorders>
              <w:right w:val="single" w:sz="8" w:color="007CBA"/>
            </w:tcBorders>
            <w:vMerge w:val="continue"/>
            <w:shd w:val="clear" w:color="auto" w:fill="E5F1F8"/>
          </w:tcPr>
          <w:p>
            <w:pPr>
              <w:spacing w:after="0"/>
              <w:rPr>
                <w:sz w:val="9"/>
                <w:szCs w:val="9"/>
                <w:color w:val="auto"/>
              </w:rPr>
            </w:pPr>
          </w:p>
        </w:tc>
        <w:tc>
          <w:tcPr>
            <w:tcW w:w="1200" w:type="dxa"/>
            <w:vAlign w:val="bottom"/>
            <w:tcBorders>
              <w:right w:val="single" w:sz="8" w:color="007CBA"/>
            </w:tcBorders>
            <w:vMerge w:val="continue"/>
            <w:shd w:val="clear" w:color="auto" w:fill="E5F1F8"/>
          </w:tcPr>
          <w:p>
            <w:pPr>
              <w:spacing w:after="0"/>
              <w:rPr>
                <w:sz w:val="9"/>
                <w:szCs w:val="9"/>
                <w:color w:val="auto"/>
              </w:rPr>
            </w:pPr>
          </w:p>
        </w:tc>
        <w:tc>
          <w:tcPr>
            <w:tcW w:w="1200" w:type="dxa"/>
            <w:vAlign w:val="bottom"/>
            <w:tcBorders>
              <w:right w:val="single" w:sz="8" w:color="007CBA"/>
            </w:tcBorders>
            <w:vMerge w:val="continue"/>
            <w:shd w:val="clear" w:color="auto" w:fill="E5F1F8"/>
          </w:tcPr>
          <w:p>
            <w:pPr>
              <w:spacing w:after="0"/>
              <w:rPr>
                <w:sz w:val="9"/>
                <w:szCs w:val="9"/>
                <w:color w:val="auto"/>
              </w:rPr>
            </w:pPr>
          </w:p>
        </w:tc>
        <w:tc>
          <w:tcPr>
            <w:tcW w:w="860" w:type="dxa"/>
            <w:vAlign w:val="bottom"/>
            <w:vMerge w:val="continue"/>
            <w:shd w:val="clear" w:color="auto" w:fill="E5F1F8"/>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640" w:type="dxa"/>
            <w:vAlign w:val="bottom"/>
            <w:tcBorders>
              <w:right w:val="single" w:sz="8" w:color="007CBA"/>
            </w:tcBorders>
            <w:vMerge w:val="continue"/>
            <w:shd w:val="clear" w:color="auto" w:fill="E5F1F8"/>
          </w:tcPr>
          <w:p>
            <w:pPr>
              <w:spacing w:after="0"/>
              <w:rPr>
                <w:sz w:val="3"/>
                <w:szCs w:val="3"/>
                <w:color w:val="auto"/>
              </w:rPr>
            </w:pPr>
          </w:p>
        </w:tc>
        <w:tc>
          <w:tcPr>
            <w:tcW w:w="120" w:type="dxa"/>
            <w:vAlign w:val="bottom"/>
            <w:shd w:val="clear" w:color="auto" w:fill="E5F1F8"/>
          </w:tcPr>
          <w:p>
            <w:pPr>
              <w:spacing w:after="0"/>
              <w:rPr>
                <w:sz w:val="3"/>
                <w:szCs w:val="3"/>
                <w:color w:val="auto"/>
              </w:rPr>
            </w:pPr>
          </w:p>
        </w:tc>
        <w:tc>
          <w:tcPr>
            <w:tcW w:w="440" w:type="dxa"/>
            <w:vAlign w:val="bottom"/>
            <w:tcBorders>
              <w:right w:val="single" w:sz="8" w:color="007CBA"/>
            </w:tcBorders>
            <w:shd w:val="clear" w:color="auto" w:fill="E5F1F8"/>
          </w:tcPr>
          <w:p>
            <w:pPr>
              <w:spacing w:after="0"/>
              <w:rPr>
                <w:sz w:val="3"/>
                <w:szCs w:val="3"/>
                <w:color w:val="auto"/>
              </w:rPr>
            </w:pPr>
          </w:p>
        </w:tc>
        <w:tc>
          <w:tcPr>
            <w:tcW w:w="880" w:type="dxa"/>
            <w:vAlign w:val="bottom"/>
            <w:tcBorders>
              <w:right w:val="single" w:sz="8" w:color="007CBA"/>
            </w:tcBorders>
            <w:shd w:val="clear" w:color="auto" w:fill="E5F1F8"/>
          </w:tcPr>
          <w:p>
            <w:pPr>
              <w:spacing w:after="0"/>
              <w:rPr>
                <w:sz w:val="3"/>
                <w:szCs w:val="3"/>
                <w:color w:val="auto"/>
              </w:rPr>
            </w:pPr>
          </w:p>
        </w:tc>
        <w:tc>
          <w:tcPr>
            <w:tcW w:w="860" w:type="dxa"/>
            <w:vAlign w:val="bottom"/>
            <w:tcBorders>
              <w:right w:val="single" w:sz="8" w:color="007CBA"/>
            </w:tcBorders>
            <w:shd w:val="clear" w:color="auto" w:fill="E5F1F8"/>
          </w:tcPr>
          <w:p>
            <w:pPr>
              <w:spacing w:after="0"/>
              <w:rPr>
                <w:sz w:val="3"/>
                <w:szCs w:val="3"/>
                <w:color w:val="auto"/>
              </w:rPr>
            </w:pPr>
          </w:p>
        </w:tc>
        <w:tc>
          <w:tcPr>
            <w:tcW w:w="880" w:type="dxa"/>
            <w:vAlign w:val="bottom"/>
            <w:tcBorders>
              <w:right w:val="single" w:sz="8" w:color="007CBA"/>
            </w:tcBorders>
            <w:shd w:val="clear" w:color="auto" w:fill="E5F1F8"/>
          </w:tcPr>
          <w:p>
            <w:pPr>
              <w:spacing w:after="0"/>
              <w:rPr>
                <w:sz w:val="3"/>
                <w:szCs w:val="3"/>
                <w:color w:val="auto"/>
              </w:rPr>
            </w:pPr>
          </w:p>
        </w:tc>
        <w:tc>
          <w:tcPr>
            <w:tcW w:w="720" w:type="dxa"/>
            <w:vAlign w:val="bottom"/>
            <w:tcBorders>
              <w:right w:val="single" w:sz="8" w:color="007CBA"/>
            </w:tcBorders>
            <w:shd w:val="clear" w:color="auto" w:fill="E5F1F8"/>
          </w:tcPr>
          <w:p>
            <w:pPr>
              <w:spacing w:after="0"/>
              <w:rPr>
                <w:sz w:val="3"/>
                <w:szCs w:val="3"/>
                <w:color w:val="auto"/>
              </w:rPr>
            </w:pPr>
          </w:p>
        </w:tc>
        <w:tc>
          <w:tcPr>
            <w:tcW w:w="1200" w:type="dxa"/>
            <w:vAlign w:val="bottom"/>
            <w:tcBorders>
              <w:right w:val="single" w:sz="8" w:color="007CBA"/>
            </w:tcBorders>
            <w:shd w:val="clear" w:color="auto" w:fill="E5F1F8"/>
          </w:tcPr>
          <w:p>
            <w:pPr>
              <w:spacing w:after="0"/>
              <w:rPr>
                <w:sz w:val="3"/>
                <w:szCs w:val="3"/>
                <w:color w:val="auto"/>
              </w:rPr>
            </w:pPr>
          </w:p>
        </w:tc>
        <w:tc>
          <w:tcPr>
            <w:tcW w:w="1200" w:type="dxa"/>
            <w:vAlign w:val="bottom"/>
            <w:tcBorders>
              <w:right w:val="single" w:sz="8" w:color="007CBA"/>
            </w:tcBorders>
            <w:shd w:val="clear" w:color="auto" w:fill="E5F1F8"/>
          </w:tcPr>
          <w:p>
            <w:pPr>
              <w:spacing w:after="0"/>
              <w:rPr>
                <w:sz w:val="3"/>
                <w:szCs w:val="3"/>
                <w:color w:val="auto"/>
              </w:rPr>
            </w:pPr>
          </w:p>
        </w:tc>
        <w:tc>
          <w:tcPr>
            <w:tcW w:w="1200" w:type="dxa"/>
            <w:vAlign w:val="bottom"/>
            <w:tcBorders>
              <w:right w:val="single" w:sz="8" w:color="007CBA"/>
            </w:tcBorders>
            <w:shd w:val="clear" w:color="auto" w:fill="E5F1F8"/>
          </w:tcPr>
          <w:p>
            <w:pPr>
              <w:spacing w:after="0"/>
              <w:rPr>
                <w:sz w:val="3"/>
                <w:szCs w:val="3"/>
                <w:color w:val="auto"/>
              </w:rPr>
            </w:pPr>
          </w:p>
        </w:tc>
        <w:tc>
          <w:tcPr>
            <w:tcW w:w="860" w:type="dxa"/>
            <w:vAlign w:val="bottom"/>
            <w:shd w:val="clear" w:color="auto" w:fill="E5F1F8"/>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6"/>
        </w:trPr>
        <w:tc>
          <w:tcPr>
            <w:tcW w:w="2640" w:type="dxa"/>
            <w:vAlign w:val="bottom"/>
            <w:tcBorders>
              <w:bottom w:val="single" w:sz="8" w:color="E5F1F8"/>
              <w:right w:val="single" w:sz="8" w:color="007CBA"/>
            </w:tcBorders>
            <w:shd w:val="clear" w:color="auto" w:fill="E5F1F8"/>
          </w:tcPr>
          <w:p>
            <w:pPr>
              <w:spacing w:after="0"/>
              <w:rPr>
                <w:sz w:val="20"/>
                <w:szCs w:val="20"/>
                <w:color w:val="auto"/>
              </w:rPr>
            </w:pPr>
          </w:p>
        </w:tc>
        <w:tc>
          <w:tcPr>
            <w:tcW w:w="120" w:type="dxa"/>
            <w:vAlign w:val="bottom"/>
            <w:tcBorders>
              <w:bottom w:val="single" w:sz="8" w:color="E5F1F8"/>
            </w:tcBorders>
            <w:shd w:val="clear" w:color="auto" w:fill="E5F1F8"/>
          </w:tcPr>
          <w:p>
            <w:pPr>
              <w:spacing w:after="0"/>
              <w:rPr>
                <w:sz w:val="20"/>
                <w:szCs w:val="20"/>
                <w:color w:val="auto"/>
              </w:rPr>
            </w:pPr>
          </w:p>
        </w:tc>
        <w:tc>
          <w:tcPr>
            <w:tcW w:w="440" w:type="dxa"/>
            <w:vAlign w:val="bottom"/>
            <w:tcBorders>
              <w:bottom w:val="single" w:sz="8" w:color="E5F1F8"/>
              <w:right w:val="single" w:sz="8" w:color="007CBA"/>
            </w:tcBorders>
            <w:shd w:val="clear" w:color="auto" w:fill="E5F1F8"/>
          </w:tcPr>
          <w:p>
            <w:pPr>
              <w:spacing w:after="0"/>
              <w:rPr>
                <w:sz w:val="20"/>
                <w:szCs w:val="20"/>
                <w:color w:val="auto"/>
              </w:rPr>
            </w:pPr>
            <w:r>
              <w:rPr>
                <w:rFonts w:ascii="Arial" w:cs="Arial" w:eastAsia="Arial" w:hAnsi="Arial"/>
                <w:sz w:val="14"/>
                <w:szCs w:val="14"/>
                <w:color w:val="auto"/>
              </w:rPr>
              <w:t>2016</w:t>
            </w:r>
          </w:p>
        </w:tc>
        <w:tc>
          <w:tcPr>
            <w:tcW w:w="880" w:type="dxa"/>
            <w:vAlign w:val="bottom"/>
            <w:tcBorders>
              <w:bottom w:val="single" w:sz="8" w:color="E5F1F8"/>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1,005,000</w:t>
            </w:r>
          </w:p>
        </w:tc>
        <w:tc>
          <w:tcPr>
            <w:tcW w:w="860" w:type="dxa"/>
            <w:vAlign w:val="bottom"/>
            <w:tcBorders>
              <w:bottom w:val="single" w:sz="8" w:color="E5F1F8"/>
              <w:right w:val="single" w:sz="8" w:color="007CBA"/>
            </w:tcBorders>
            <w:shd w:val="clear" w:color="auto" w:fill="E5F1F8"/>
          </w:tcPr>
          <w:p>
            <w:pPr>
              <w:jc w:val="right"/>
              <w:ind w:right="30"/>
              <w:spacing w:after="0"/>
              <w:rPr>
                <w:sz w:val="20"/>
                <w:szCs w:val="20"/>
                <w:color w:val="auto"/>
              </w:rPr>
            </w:pPr>
            <w:r>
              <w:rPr>
                <w:rFonts w:ascii="Arial" w:cs="Arial" w:eastAsia="Arial" w:hAnsi="Arial"/>
                <w:sz w:val="14"/>
                <w:szCs w:val="14"/>
                <w:color w:val="auto"/>
              </w:rPr>
              <w:t>1,300,000</w:t>
            </w:r>
          </w:p>
        </w:tc>
        <w:tc>
          <w:tcPr>
            <w:tcW w:w="880" w:type="dxa"/>
            <w:vAlign w:val="bottom"/>
            <w:tcBorders>
              <w:bottom w:val="single" w:sz="8" w:color="E5F1F8"/>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4,682,240</w:t>
            </w:r>
          </w:p>
        </w:tc>
        <w:tc>
          <w:tcPr>
            <w:tcW w:w="720" w:type="dxa"/>
            <w:vAlign w:val="bottom"/>
            <w:tcBorders>
              <w:bottom w:val="single" w:sz="8" w:color="E5F1F8"/>
              <w:right w:val="single" w:sz="8" w:color="007CBA"/>
            </w:tcBorders>
            <w:shd w:val="clear" w:color="auto" w:fill="E5F1F8"/>
          </w:tcPr>
          <w:p>
            <w:pPr>
              <w:spacing w:after="0"/>
              <w:rPr>
                <w:sz w:val="20"/>
                <w:szCs w:val="20"/>
                <w:color w:val="auto"/>
              </w:rPr>
            </w:pPr>
          </w:p>
        </w:tc>
        <w:tc>
          <w:tcPr>
            <w:tcW w:w="1200" w:type="dxa"/>
            <w:vAlign w:val="bottom"/>
            <w:tcBorders>
              <w:bottom w:val="single" w:sz="8" w:color="E5F1F8"/>
              <w:right w:val="single" w:sz="8" w:color="007CBA"/>
            </w:tcBorders>
            <w:shd w:val="clear" w:color="auto" w:fill="E5F1F8"/>
          </w:tcPr>
          <w:p>
            <w:pPr>
              <w:spacing w:after="0"/>
              <w:rPr>
                <w:sz w:val="20"/>
                <w:szCs w:val="20"/>
                <w:color w:val="auto"/>
              </w:rPr>
            </w:pPr>
          </w:p>
        </w:tc>
        <w:tc>
          <w:tcPr>
            <w:tcW w:w="1200" w:type="dxa"/>
            <w:vAlign w:val="bottom"/>
            <w:tcBorders>
              <w:bottom w:val="single" w:sz="8" w:color="E5F1F8"/>
              <w:right w:val="single" w:sz="8" w:color="007CBA"/>
            </w:tcBorders>
            <w:shd w:val="clear" w:color="auto" w:fill="E5F1F8"/>
          </w:tcPr>
          <w:p>
            <w:pPr>
              <w:jc w:val="right"/>
              <w:ind w:right="249"/>
              <w:spacing w:after="0"/>
              <w:rPr>
                <w:sz w:val="20"/>
                <w:szCs w:val="20"/>
                <w:color w:val="auto"/>
              </w:rPr>
            </w:pPr>
            <w:r>
              <w:rPr>
                <w:rFonts w:ascii="Arial" w:cs="Arial" w:eastAsia="Arial" w:hAnsi="Arial"/>
                <w:sz w:val="14"/>
                <w:szCs w:val="14"/>
                <w:color w:val="auto"/>
              </w:rPr>
              <w:t>687,864</w:t>
            </w:r>
          </w:p>
        </w:tc>
        <w:tc>
          <w:tcPr>
            <w:tcW w:w="1200" w:type="dxa"/>
            <w:vAlign w:val="bottom"/>
            <w:tcBorders>
              <w:bottom w:val="single" w:sz="8" w:color="E5F1F8"/>
              <w:right w:val="single" w:sz="8" w:color="007CBA"/>
            </w:tcBorders>
            <w:shd w:val="clear" w:color="auto" w:fill="E5F1F8"/>
          </w:tcPr>
          <w:p>
            <w:pPr>
              <w:jc w:val="right"/>
              <w:ind w:right="249"/>
              <w:spacing w:after="0"/>
              <w:rPr>
                <w:sz w:val="20"/>
                <w:szCs w:val="20"/>
                <w:color w:val="auto"/>
              </w:rPr>
            </w:pPr>
            <w:r>
              <w:rPr>
                <w:rFonts w:ascii="Arial" w:cs="Arial" w:eastAsia="Arial" w:hAnsi="Arial"/>
                <w:sz w:val="14"/>
                <w:szCs w:val="14"/>
                <w:color w:val="auto"/>
              </w:rPr>
              <w:t>364,227</w:t>
            </w:r>
          </w:p>
        </w:tc>
        <w:tc>
          <w:tcPr>
            <w:tcW w:w="860" w:type="dxa"/>
            <w:vAlign w:val="bottom"/>
            <w:tcBorders>
              <w:bottom w:val="single" w:sz="8" w:color="E5F1F8"/>
            </w:tcBorders>
            <w:shd w:val="clear" w:color="auto" w:fill="E5F1F8"/>
          </w:tcPr>
          <w:p>
            <w:pPr>
              <w:jc w:val="right"/>
              <w:ind w:right="28"/>
              <w:spacing w:after="0"/>
              <w:rPr>
                <w:sz w:val="20"/>
                <w:szCs w:val="20"/>
                <w:color w:val="auto"/>
              </w:rPr>
            </w:pPr>
            <w:r>
              <w:rPr>
                <w:rFonts w:ascii="Arial" w:cs="Arial" w:eastAsia="Arial" w:hAnsi="Arial"/>
                <w:sz w:val="14"/>
                <w:szCs w:val="14"/>
                <w:color w:val="auto"/>
              </w:rPr>
              <w:t>8,039,331</w:t>
            </w:r>
          </w:p>
        </w:tc>
        <w:tc>
          <w:tcPr>
            <w:tcW w:w="0" w:type="dxa"/>
            <w:vAlign w:val="bottom"/>
          </w:tcPr>
          <w:p>
            <w:pPr>
              <w:spacing w:after="0"/>
              <w:rPr>
                <w:sz w:val="1"/>
                <w:szCs w:val="1"/>
                <w:color w:val="auto"/>
              </w:rPr>
            </w:pPr>
          </w:p>
        </w:tc>
      </w:tr>
      <w:tr>
        <w:trPr>
          <w:trHeight w:val="207"/>
        </w:trPr>
        <w:tc>
          <w:tcPr>
            <w:tcW w:w="2640" w:type="dxa"/>
            <w:vAlign w:val="bottom"/>
            <w:tcBorders>
              <w:right w:val="single" w:sz="8" w:color="007CBA"/>
            </w:tcBorders>
          </w:tcPr>
          <w:p>
            <w:pPr>
              <w:ind w:left="60"/>
              <w:spacing w:after="0"/>
              <w:rPr>
                <w:sz w:val="20"/>
                <w:szCs w:val="20"/>
                <w:color w:val="auto"/>
              </w:rPr>
            </w:pPr>
            <w:r>
              <w:rPr>
                <w:rFonts w:ascii="Arial" w:cs="Arial" w:eastAsia="Arial" w:hAnsi="Arial"/>
                <w:sz w:val="14"/>
                <w:szCs w:val="14"/>
                <w:b w:val="1"/>
                <w:bCs w:val="1"/>
                <w:color w:val="auto"/>
              </w:rPr>
              <w:t>James A. J. Nickolas</w:t>
            </w:r>
          </w:p>
        </w:tc>
        <w:tc>
          <w:tcPr>
            <w:tcW w:w="560" w:type="dxa"/>
            <w:vAlign w:val="bottom"/>
            <w:tcBorders>
              <w:right w:val="single" w:sz="8" w:color="007CBA"/>
            </w:tcBorders>
            <w:gridSpan w:val="2"/>
          </w:tcPr>
          <w:p>
            <w:pPr>
              <w:ind w:left="120"/>
              <w:spacing w:after="0"/>
              <w:rPr>
                <w:sz w:val="20"/>
                <w:szCs w:val="20"/>
                <w:color w:val="auto"/>
              </w:rPr>
            </w:pPr>
            <w:r>
              <w:rPr>
                <w:rFonts w:ascii="Arial" w:cs="Arial" w:eastAsia="Arial" w:hAnsi="Arial"/>
                <w:sz w:val="14"/>
                <w:szCs w:val="14"/>
                <w:color w:val="auto"/>
              </w:rPr>
              <w:t>2018</w:t>
            </w:r>
          </w:p>
        </w:tc>
        <w:tc>
          <w:tcPr>
            <w:tcW w:w="88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485,667</w:t>
            </w:r>
          </w:p>
        </w:tc>
        <w:tc>
          <w:tcPr>
            <w:tcW w:w="860" w:type="dxa"/>
            <w:vAlign w:val="bottom"/>
            <w:tcBorders>
              <w:right w:val="single" w:sz="8" w:color="007CBA"/>
            </w:tcBorders>
          </w:tcPr>
          <w:p>
            <w:pPr>
              <w:spacing w:after="0"/>
              <w:rPr>
                <w:sz w:val="18"/>
                <w:szCs w:val="18"/>
                <w:color w:val="auto"/>
              </w:rPr>
            </w:pPr>
          </w:p>
        </w:tc>
        <w:tc>
          <w:tcPr>
            <w:tcW w:w="88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899,577</w:t>
            </w:r>
          </w:p>
        </w:tc>
        <w:tc>
          <w:tcPr>
            <w:tcW w:w="720" w:type="dxa"/>
            <w:vAlign w:val="bottom"/>
            <w:tcBorders>
              <w:right w:val="single" w:sz="8" w:color="007CBA"/>
            </w:tcBorders>
          </w:tcPr>
          <w:p>
            <w:pPr>
              <w:spacing w:after="0"/>
              <w:rPr>
                <w:sz w:val="18"/>
                <w:szCs w:val="18"/>
                <w:color w:val="auto"/>
              </w:rPr>
            </w:pPr>
          </w:p>
        </w:tc>
        <w:tc>
          <w:tcPr>
            <w:tcW w:w="1200" w:type="dxa"/>
            <w:vAlign w:val="bottom"/>
            <w:tcBorders>
              <w:right w:val="single" w:sz="8" w:color="007CBA"/>
            </w:tcBorders>
          </w:tcPr>
          <w:p>
            <w:pPr>
              <w:jc w:val="right"/>
              <w:ind w:right="249"/>
              <w:spacing w:after="0"/>
              <w:rPr>
                <w:sz w:val="20"/>
                <w:szCs w:val="20"/>
                <w:color w:val="auto"/>
              </w:rPr>
            </w:pPr>
            <w:r>
              <w:rPr>
                <w:rFonts w:ascii="Arial" w:cs="Arial" w:eastAsia="Arial" w:hAnsi="Arial"/>
                <w:sz w:val="14"/>
                <w:szCs w:val="14"/>
                <w:color w:val="auto"/>
              </w:rPr>
              <w:t>451,670</w:t>
            </w:r>
          </w:p>
        </w:tc>
        <w:tc>
          <w:tcPr>
            <w:tcW w:w="1200" w:type="dxa"/>
            <w:vAlign w:val="bottom"/>
            <w:tcBorders>
              <w:right w:val="single" w:sz="8" w:color="007CBA"/>
            </w:tcBorders>
          </w:tcPr>
          <w:p>
            <w:pPr>
              <w:jc w:val="right"/>
              <w:ind w:right="249"/>
              <w:spacing w:after="0"/>
              <w:rPr>
                <w:sz w:val="20"/>
                <w:szCs w:val="20"/>
                <w:color w:val="auto"/>
              </w:rPr>
            </w:pPr>
            <w:r>
              <w:rPr>
                <w:rFonts w:ascii="Arial" w:cs="Arial" w:eastAsia="Arial" w:hAnsi="Arial"/>
                <w:sz w:val="14"/>
                <w:szCs w:val="14"/>
                <w:color w:val="auto"/>
              </w:rPr>
              <w:t>91,960</w:t>
            </w:r>
          </w:p>
        </w:tc>
        <w:tc>
          <w:tcPr>
            <w:tcW w:w="1200" w:type="dxa"/>
            <w:vAlign w:val="bottom"/>
            <w:tcBorders>
              <w:right w:val="single" w:sz="8" w:color="007CBA"/>
            </w:tcBorders>
          </w:tcPr>
          <w:p>
            <w:pPr>
              <w:jc w:val="right"/>
              <w:ind w:right="249"/>
              <w:spacing w:after="0"/>
              <w:rPr>
                <w:sz w:val="20"/>
                <w:szCs w:val="20"/>
                <w:color w:val="auto"/>
              </w:rPr>
            </w:pPr>
            <w:r>
              <w:rPr>
                <w:rFonts w:ascii="Arial" w:cs="Arial" w:eastAsia="Arial" w:hAnsi="Arial"/>
                <w:sz w:val="14"/>
                <w:szCs w:val="14"/>
                <w:color w:val="auto"/>
              </w:rPr>
              <w:t>84,393</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2,013,267</w:t>
            </w:r>
          </w:p>
        </w:tc>
        <w:tc>
          <w:tcPr>
            <w:tcW w:w="0" w:type="dxa"/>
            <w:vAlign w:val="bottom"/>
          </w:tcPr>
          <w:p>
            <w:pPr>
              <w:spacing w:after="0"/>
              <w:rPr>
                <w:sz w:val="1"/>
                <w:szCs w:val="1"/>
                <w:color w:val="auto"/>
              </w:rPr>
            </w:pPr>
          </w:p>
        </w:tc>
      </w:tr>
      <w:tr>
        <w:trPr>
          <w:trHeight w:val="162"/>
        </w:trPr>
        <w:tc>
          <w:tcPr>
            <w:tcW w:w="264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Senior Vice</w:t>
            </w:r>
          </w:p>
        </w:tc>
        <w:tc>
          <w:tcPr>
            <w:tcW w:w="560" w:type="dxa"/>
            <w:vAlign w:val="bottom"/>
            <w:tcBorders>
              <w:right w:val="single" w:sz="8" w:color="007CBA"/>
            </w:tcBorders>
            <w:gridSpan w:val="2"/>
            <w:vMerge w:val="restart"/>
          </w:tcPr>
          <w:p>
            <w:pPr>
              <w:ind w:left="120"/>
              <w:spacing w:after="0"/>
              <w:rPr>
                <w:sz w:val="20"/>
                <w:szCs w:val="20"/>
                <w:color w:val="auto"/>
              </w:rPr>
            </w:pPr>
            <w:r>
              <w:rPr>
                <w:rFonts w:ascii="Arial" w:cs="Arial" w:eastAsia="Arial" w:hAnsi="Arial"/>
                <w:sz w:val="14"/>
                <w:szCs w:val="14"/>
                <w:color w:val="auto"/>
              </w:rPr>
              <w:t>2017</w:t>
            </w:r>
          </w:p>
        </w:tc>
        <w:tc>
          <w:tcPr>
            <w:tcW w:w="880" w:type="dxa"/>
            <w:vAlign w:val="bottom"/>
            <w:tcBorders>
              <w:right w:val="single" w:sz="8" w:color="007CBA"/>
            </w:tcBorders>
            <w:vMerge w:val="restart"/>
          </w:tcPr>
          <w:p>
            <w:pPr>
              <w:jc w:val="right"/>
              <w:ind w:right="49"/>
              <w:spacing w:after="0"/>
              <w:rPr>
                <w:sz w:val="20"/>
                <w:szCs w:val="20"/>
                <w:color w:val="auto"/>
              </w:rPr>
            </w:pPr>
            <w:r>
              <w:rPr>
                <w:rFonts w:ascii="Arial" w:cs="Arial" w:eastAsia="Arial" w:hAnsi="Arial"/>
                <w:sz w:val="14"/>
                <w:szCs w:val="14"/>
                <w:color w:val="auto"/>
              </w:rPr>
              <w:t>172,936</w:t>
            </w:r>
          </w:p>
        </w:tc>
        <w:tc>
          <w:tcPr>
            <w:tcW w:w="860" w:type="dxa"/>
            <w:vAlign w:val="bottom"/>
            <w:tcBorders>
              <w:right w:val="single" w:sz="8" w:color="007CBA"/>
            </w:tcBorders>
          </w:tcPr>
          <w:p>
            <w:pPr>
              <w:spacing w:after="0"/>
              <w:rPr>
                <w:sz w:val="14"/>
                <w:szCs w:val="14"/>
                <w:color w:val="auto"/>
              </w:rPr>
            </w:pPr>
          </w:p>
        </w:tc>
        <w:tc>
          <w:tcPr>
            <w:tcW w:w="880" w:type="dxa"/>
            <w:vAlign w:val="bottom"/>
            <w:tcBorders>
              <w:right w:val="single" w:sz="8" w:color="007CBA"/>
            </w:tcBorders>
            <w:vMerge w:val="restart"/>
          </w:tcPr>
          <w:p>
            <w:pPr>
              <w:jc w:val="right"/>
              <w:ind w:right="49"/>
              <w:spacing w:after="0"/>
              <w:rPr>
                <w:sz w:val="20"/>
                <w:szCs w:val="20"/>
                <w:color w:val="auto"/>
              </w:rPr>
            </w:pPr>
            <w:r>
              <w:rPr>
                <w:rFonts w:ascii="Arial" w:cs="Arial" w:eastAsia="Arial" w:hAnsi="Arial"/>
                <w:sz w:val="14"/>
                <w:szCs w:val="14"/>
                <w:color w:val="auto"/>
              </w:rPr>
              <w:t>1,320,232</w:t>
            </w:r>
          </w:p>
        </w:tc>
        <w:tc>
          <w:tcPr>
            <w:tcW w:w="720" w:type="dxa"/>
            <w:vAlign w:val="bottom"/>
            <w:tcBorders>
              <w:right w:val="single" w:sz="8" w:color="007CBA"/>
            </w:tcBorders>
          </w:tcPr>
          <w:p>
            <w:pPr>
              <w:spacing w:after="0"/>
              <w:rPr>
                <w:sz w:val="14"/>
                <w:szCs w:val="14"/>
                <w:color w:val="auto"/>
              </w:rPr>
            </w:pPr>
          </w:p>
        </w:tc>
        <w:tc>
          <w:tcPr>
            <w:tcW w:w="1200" w:type="dxa"/>
            <w:vAlign w:val="bottom"/>
            <w:tcBorders>
              <w:right w:val="single" w:sz="8" w:color="007CBA"/>
            </w:tcBorders>
            <w:vMerge w:val="restart"/>
          </w:tcPr>
          <w:p>
            <w:pPr>
              <w:jc w:val="right"/>
              <w:ind w:right="249"/>
              <w:spacing w:after="0"/>
              <w:rPr>
                <w:sz w:val="20"/>
                <w:szCs w:val="20"/>
                <w:color w:val="auto"/>
              </w:rPr>
            </w:pPr>
            <w:r>
              <w:rPr>
                <w:rFonts w:ascii="Arial" w:cs="Arial" w:eastAsia="Arial" w:hAnsi="Arial"/>
                <w:sz w:val="14"/>
                <w:szCs w:val="14"/>
                <w:color w:val="auto"/>
              </w:rPr>
              <w:t>162,127</w:t>
            </w:r>
          </w:p>
        </w:tc>
        <w:tc>
          <w:tcPr>
            <w:tcW w:w="1200" w:type="dxa"/>
            <w:vAlign w:val="bottom"/>
            <w:tcBorders>
              <w:right w:val="single" w:sz="8" w:color="007CBA"/>
            </w:tcBorders>
            <w:vMerge w:val="restart"/>
          </w:tcPr>
          <w:p>
            <w:pPr>
              <w:jc w:val="right"/>
              <w:ind w:right="249"/>
              <w:spacing w:after="0"/>
              <w:rPr>
                <w:sz w:val="20"/>
                <w:szCs w:val="20"/>
                <w:color w:val="auto"/>
              </w:rPr>
            </w:pPr>
            <w:r>
              <w:rPr>
                <w:rFonts w:ascii="Arial" w:cs="Arial" w:eastAsia="Arial" w:hAnsi="Arial"/>
                <w:sz w:val="14"/>
                <w:szCs w:val="14"/>
                <w:color w:val="auto"/>
              </w:rPr>
              <w:t>25,995</w:t>
            </w:r>
          </w:p>
        </w:tc>
        <w:tc>
          <w:tcPr>
            <w:tcW w:w="1200" w:type="dxa"/>
            <w:vAlign w:val="bottom"/>
            <w:tcBorders>
              <w:right w:val="single" w:sz="8" w:color="007CBA"/>
            </w:tcBorders>
            <w:vMerge w:val="restart"/>
          </w:tcPr>
          <w:p>
            <w:pPr>
              <w:jc w:val="right"/>
              <w:ind w:right="249"/>
              <w:spacing w:after="0"/>
              <w:rPr>
                <w:sz w:val="20"/>
                <w:szCs w:val="20"/>
                <w:color w:val="auto"/>
              </w:rPr>
            </w:pPr>
            <w:r>
              <w:rPr>
                <w:rFonts w:ascii="Arial" w:cs="Arial" w:eastAsia="Arial" w:hAnsi="Arial"/>
                <w:sz w:val="14"/>
                <w:szCs w:val="14"/>
                <w:color w:val="auto"/>
              </w:rPr>
              <w:t>8,534</w:t>
            </w: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1,689,824</w:t>
            </w:r>
          </w:p>
        </w:tc>
        <w:tc>
          <w:tcPr>
            <w:tcW w:w="0" w:type="dxa"/>
            <w:vAlign w:val="bottom"/>
          </w:tcPr>
          <w:p>
            <w:pPr>
              <w:spacing w:after="0"/>
              <w:rPr>
                <w:sz w:val="1"/>
                <w:szCs w:val="1"/>
                <w:color w:val="auto"/>
              </w:rPr>
            </w:pPr>
          </w:p>
        </w:tc>
      </w:tr>
      <w:tr>
        <w:trPr>
          <w:trHeight w:val="105"/>
        </w:trPr>
        <w:tc>
          <w:tcPr>
            <w:tcW w:w="2640" w:type="dxa"/>
            <w:vAlign w:val="bottom"/>
            <w:tcBorders>
              <w:right w:val="single" w:sz="8" w:color="007CBA"/>
            </w:tcBorders>
            <w:vMerge w:val="restart"/>
          </w:tcPr>
          <w:p>
            <w:pPr>
              <w:ind w:left="60"/>
              <w:spacing w:after="0"/>
              <w:rPr>
                <w:sz w:val="20"/>
                <w:szCs w:val="20"/>
                <w:color w:val="auto"/>
              </w:rPr>
            </w:pPr>
            <w:r>
              <w:rPr>
                <w:rFonts w:ascii="Arial" w:cs="Arial" w:eastAsia="Arial" w:hAnsi="Arial"/>
                <w:sz w:val="14"/>
                <w:szCs w:val="14"/>
                <w:color w:val="auto"/>
              </w:rPr>
              <w:t>President and CFO</w:t>
            </w:r>
          </w:p>
        </w:tc>
        <w:tc>
          <w:tcPr>
            <w:tcW w:w="560" w:type="dxa"/>
            <w:vAlign w:val="bottom"/>
            <w:tcBorders>
              <w:right w:val="single" w:sz="8" w:color="007CBA"/>
            </w:tcBorders>
            <w:gridSpan w:val="2"/>
            <w:vMerge w:val="continue"/>
          </w:tcPr>
          <w:p>
            <w:pPr>
              <w:spacing w:after="0"/>
              <w:rPr>
                <w:sz w:val="9"/>
                <w:szCs w:val="9"/>
                <w:color w:val="auto"/>
              </w:rPr>
            </w:pPr>
          </w:p>
        </w:tc>
        <w:tc>
          <w:tcPr>
            <w:tcW w:w="880" w:type="dxa"/>
            <w:vAlign w:val="bottom"/>
            <w:tcBorders>
              <w:right w:val="single" w:sz="8" w:color="007CBA"/>
            </w:tcBorders>
            <w:vMerge w:val="continue"/>
          </w:tcPr>
          <w:p>
            <w:pPr>
              <w:spacing w:after="0"/>
              <w:rPr>
                <w:sz w:val="9"/>
                <w:szCs w:val="9"/>
                <w:color w:val="auto"/>
              </w:rPr>
            </w:pPr>
          </w:p>
        </w:tc>
        <w:tc>
          <w:tcPr>
            <w:tcW w:w="860" w:type="dxa"/>
            <w:vAlign w:val="bottom"/>
            <w:tcBorders>
              <w:right w:val="single" w:sz="8" w:color="007CBA"/>
            </w:tcBorders>
          </w:tcPr>
          <w:p>
            <w:pPr>
              <w:spacing w:after="0"/>
              <w:rPr>
                <w:sz w:val="9"/>
                <w:szCs w:val="9"/>
                <w:color w:val="auto"/>
              </w:rPr>
            </w:pPr>
          </w:p>
        </w:tc>
        <w:tc>
          <w:tcPr>
            <w:tcW w:w="880" w:type="dxa"/>
            <w:vAlign w:val="bottom"/>
            <w:tcBorders>
              <w:right w:val="single" w:sz="8" w:color="007CBA"/>
            </w:tcBorders>
            <w:vMerge w:val="continue"/>
          </w:tcPr>
          <w:p>
            <w:pPr>
              <w:spacing w:after="0"/>
              <w:rPr>
                <w:sz w:val="9"/>
                <w:szCs w:val="9"/>
                <w:color w:val="auto"/>
              </w:rPr>
            </w:pPr>
          </w:p>
        </w:tc>
        <w:tc>
          <w:tcPr>
            <w:tcW w:w="720" w:type="dxa"/>
            <w:vAlign w:val="bottom"/>
            <w:tcBorders>
              <w:right w:val="single" w:sz="8" w:color="007CBA"/>
            </w:tcBorders>
          </w:tcPr>
          <w:p>
            <w:pPr>
              <w:spacing w:after="0"/>
              <w:rPr>
                <w:sz w:val="9"/>
                <w:szCs w:val="9"/>
                <w:color w:val="auto"/>
              </w:rPr>
            </w:pPr>
          </w:p>
        </w:tc>
        <w:tc>
          <w:tcPr>
            <w:tcW w:w="1200" w:type="dxa"/>
            <w:vAlign w:val="bottom"/>
            <w:tcBorders>
              <w:right w:val="single" w:sz="8" w:color="007CBA"/>
            </w:tcBorders>
            <w:vMerge w:val="continue"/>
          </w:tcPr>
          <w:p>
            <w:pPr>
              <w:spacing w:after="0"/>
              <w:rPr>
                <w:sz w:val="9"/>
                <w:szCs w:val="9"/>
                <w:color w:val="auto"/>
              </w:rPr>
            </w:pPr>
          </w:p>
        </w:tc>
        <w:tc>
          <w:tcPr>
            <w:tcW w:w="1200" w:type="dxa"/>
            <w:vAlign w:val="bottom"/>
            <w:tcBorders>
              <w:right w:val="single" w:sz="8" w:color="007CBA"/>
            </w:tcBorders>
            <w:vMerge w:val="continue"/>
          </w:tcPr>
          <w:p>
            <w:pPr>
              <w:spacing w:after="0"/>
              <w:rPr>
                <w:sz w:val="9"/>
                <w:szCs w:val="9"/>
                <w:color w:val="auto"/>
              </w:rPr>
            </w:pPr>
          </w:p>
        </w:tc>
        <w:tc>
          <w:tcPr>
            <w:tcW w:w="1200" w:type="dxa"/>
            <w:vAlign w:val="bottom"/>
            <w:tcBorders>
              <w:right w:val="single" w:sz="8" w:color="007CBA"/>
            </w:tcBorders>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640" w:type="dxa"/>
            <w:vAlign w:val="bottom"/>
            <w:tcBorders>
              <w:right w:val="single" w:sz="8" w:color="007CBA"/>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Borders>
              <w:right w:val="single" w:sz="8" w:color="007CBA"/>
            </w:tcBorders>
          </w:tcPr>
          <w:p>
            <w:pPr>
              <w:spacing w:after="0"/>
              <w:rPr>
                <w:sz w:val="5"/>
                <w:szCs w:val="5"/>
                <w:color w:val="auto"/>
              </w:rPr>
            </w:pPr>
          </w:p>
        </w:tc>
        <w:tc>
          <w:tcPr>
            <w:tcW w:w="880" w:type="dxa"/>
            <w:vAlign w:val="bottom"/>
            <w:tcBorders>
              <w:right w:val="single" w:sz="8" w:color="007CBA"/>
            </w:tcBorders>
          </w:tcPr>
          <w:p>
            <w:pPr>
              <w:spacing w:after="0"/>
              <w:rPr>
                <w:sz w:val="5"/>
                <w:szCs w:val="5"/>
                <w:color w:val="auto"/>
              </w:rPr>
            </w:pPr>
          </w:p>
        </w:tc>
        <w:tc>
          <w:tcPr>
            <w:tcW w:w="860" w:type="dxa"/>
            <w:vAlign w:val="bottom"/>
            <w:tcBorders>
              <w:right w:val="single" w:sz="8" w:color="007CBA"/>
            </w:tcBorders>
          </w:tcPr>
          <w:p>
            <w:pPr>
              <w:spacing w:after="0"/>
              <w:rPr>
                <w:sz w:val="5"/>
                <w:szCs w:val="5"/>
                <w:color w:val="auto"/>
              </w:rPr>
            </w:pPr>
          </w:p>
        </w:tc>
        <w:tc>
          <w:tcPr>
            <w:tcW w:w="880" w:type="dxa"/>
            <w:vAlign w:val="bottom"/>
            <w:tcBorders>
              <w:right w:val="single" w:sz="8" w:color="007CBA"/>
            </w:tcBorders>
          </w:tcPr>
          <w:p>
            <w:pPr>
              <w:spacing w:after="0"/>
              <w:rPr>
                <w:sz w:val="5"/>
                <w:szCs w:val="5"/>
                <w:color w:val="auto"/>
              </w:rPr>
            </w:pPr>
          </w:p>
        </w:tc>
        <w:tc>
          <w:tcPr>
            <w:tcW w:w="720" w:type="dxa"/>
            <w:vAlign w:val="bottom"/>
            <w:tcBorders>
              <w:right w:val="single" w:sz="8" w:color="007CBA"/>
            </w:tcBorders>
          </w:tcPr>
          <w:p>
            <w:pPr>
              <w:spacing w:after="0"/>
              <w:rPr>
                <w:sz w:val="5"/>
                <w:szCs w:val="5"/>
                <w:color w:val="auto"/>
              </w:rPr>
            </w:pPr>
          </w:p>
        </w:tc>
        <w:tc>
          <w:tcPr>
            <w:tcW w:w="1200" w:type="dxa"/>
            <w:vAlign w:val="bottom"/>
            <w:tcBorders>
              <w:right w:val="single" w:sz="8" w:color="007CBA"/>
            </w:tcBorders>
          </w:tcPr>
          <w:p>
            <w:pPr>
              <w:spacing w:after="0"/>
              <w:rPr>
                <w:sz w:val="5"/>
                <w:szCs w:val="5"/>
                <w:color w:val="auto"/>
              </w:rPr>
            </w:pPr>
          </w:p>
        </w:tc>
        <w:tc>
          <w:tcPr>
            <w:tcW w:w="1200" w:type="dxa"/>
            <w:vAlign w:val="bottom"/>
            <w:tcBorders>
              <w:right w:val="single" w:sz="8" w:color="007CBA"/>
            </w:tcBorders>
          </w:tcPr>
          <w:p>
            <w:pPr>
              <w:spacing w:after="0"/>
              <w:rPr>
                <w:sz w:val="5"/>
                <w:szCs w:val="5"/>
                <w:color w:val="auto"/>
              </w:rPr>
            </w:pPr>
          </w:p>
        </w:tc>
        <w:tc>
          <w:tcPr>
            <w:tcW w:w="1200" w:type="dxa"/>
            <w:vAlign w:val="bottom"/>
            <w:tcBorders>
              <w:right w:val="single" w:sz="8" w:color="007CBA"/>
            </w:tcBorders>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640" w:type="dxa"/>
            <w:vAlign w:val="bottom"/>
            <w:tcBorders>
              <w:right w:val="single" w:sz="8" w:color="007CBA"/>
            </w:tcBorders>
          </w:tcPr>
          <w:p>
            <w:pPr>
              <w:spacing w:after="0"/>
              <w:rPr>
                <w:sz w:val="3"/>
                <w:szCs w:val="3"/>
                <w:color w:val="auto"/>
              </w:rPr>
            </w:pPr>
          </w:p>
        </w:tc>
        <w:tc>
          <w:tcPr>
            <w:tcW w:w="560" w:type="dxa"/>
            <w:vAlign w:val="bottom"/>
            <w:tcBorders>
              <w:right w:val="single" w:sz="8" w:color="007CBA"/>
            </w:tcBorders>
            <w:gridSpan w:val="2"/>
          </w:tcPr>
          <w:p>
            <w:pPr>
              <w:spacing w:after="0"/>
              <w:rPr>
                <w:sz w:val="3"/>
                <w:szCs w:val="3"/>
                <w:color w:val="auto"/>
              </w:rPr>
            </w:pPr>
          </w:p>
        </w:tc>
        <w:tc>
          <w:tcPr>
            <w:tcW w:w="880" w:type="dxa"/>
            <w:vAlign w:val="bottom"/>
            <w:tcBorders>
              <w:right w:val="single" w:sz="8" w:color="007CBA"/>
            </w:tcBorders>
          </w:tcPr>
          <w:p>
            <w:pPr>
              <w:spacing w:after="0"/>
              <w:rPr>
                <w:sz w:val="3"/>
                <w:szCs w:val="3"/>
                <w:color w:val="auto"/>
              </w:rPr>
            </w:pPr>
          </w:p>
        </w:tc>
        <w:tc>
          <w:tcPr>
            <w:tcW w:w="860" w:type="dxa"/>
            <w:vAlign w:val="bottom"/>
            <w:tcBorders>
              <w:right w:val="single" w:sz="8" w:color="007CBA"/>
            </w:tcBorders>
          </w:tcPr>
          <w:p>
            <w:pPr>
              <w:spacing w:after="0"/>
              <w:rPr>
                <w:sz w:val="3"/>
                <w:szCs w:val="3"/>
                <w:color w:val="auto"/>
              </w:rPr>
            </w:pPr>
          </w:p>
        </w:tc>
        <w:tc>
          <w:tcPr>
            <w:tcW w:w="880" w:type="dxa"/>
            <w:vAlign w:val="bottom"/>
            <w:tcBorders>
              <w:right w:val="single" w:sz="8" w:color="007CBA"/>
            </w:tcBorders>
          </w:tcPr>
          <w:p>
            <w:pPr>
              <w:spacing w:after="0"/>
              <w:rPr>
                <w:sz w:val="3"/>
                <w:szCs w:val="3"/>
                <w:color w:val="auto"/>
              </w:rPr>
            </w:pPr>
          </w:p>
        </w:tc>
        <w:tc>
          <w:tcPr>
            <w:tcW w:w="720" w:type="dxa"/>
            <w:vAlign w:val="bottom"/>
            <w:tcBorders>
              <w:right w:val="single" w:sz="8" w:color="007CBA"/>
            </w:tcBorders>
          </w:tcPr>
          <w:p>
            <w:pPr>
              <w:spacing w:after="0"/>
              <w:rPr>
                <w:sz w:val="3"/>
                <w:szCs w:val="3"/>
                <w:color w:val="auto"/>
              </w:rPr>
            </w:pPr>
          </w:p>
        </w:tc>
        <w:tc>
          <w:tcPr>
            <w:tcW w:w="1200" w:type="dxa"/>
            <w:vAlign w:val="bottom"/>
            <w:tcBorders>
              <w:right w:val="single" w:sz="8" w:color="007CBA"/>
            </w:tcBorders>
          </w:tcPr>
          <w:p>
            <w:pPr>
              <w:spacing w:after="0"/>
              <w:rPr>
                <w:sz w:val="3"/>
                <w:szCs w:val="3"/>
                <w:color w:val="auto"/>
              </w:rPr>
            </w:pPr>
          </w:p>
        </w:tc>
        <w:tc>
          <w:tcPr>
            <w:tcW w:w="1200" w:type="dxa"/>
            <w:vAlign w:val="bottom"/>
            <w:tcBorders>
              <w:right w:val="single" w:sz="8" w:color="007CBA"/>
            </w:tcBorders>
          </w:tcPr>
          <w:p>
            <w:pPr>
              <w:spacing w:after="0"/>
              <w:rPr>
                <w:sz w:val="3"/>
                <w:szCs w:val="3"/>
                <w:color w:val="auto"/>
              </w:rPr>
            </w:pPr>
          </w:p>
        </w:tc>
        <w:tc>
          <w:tcPr>
            <w:tcW w:w="1200" w:type="dxa"/>
            <w:vAlign w:val="bottom"/>
            <w:tcBorders>
              <w:right w:val="single" w:sz="8" w:color="007CBA"/>
            </w:tcBorders>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264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b w:val="1"/>
                <w:bCs w:val="1"/>
                <w:color w:val="auto"/>
              </w:rPr>
              <w:t>Roselyn R. Bar</w:t>
            </w:r>
          </w:p>
        </w:tc>
        <w:tc>
          <w:tcPr>
            <w:tcW w:w="560" w:type="dxa"/>
            <w:vAlign w:val="bottom"/>
            <w:tcBorders>
              <w:right w:val="single" w:sz="8" w:color="007CBA"/>
            </w:tcBorders>
            <w:gridSpan w:val="2"/>
            <w:shd w:val="clear" w:color="auto" w:fill="E5F1F8"/>
          </w:tcPr>
          <w:p>
            <w:pPr>
              <w:ind w:left="120"/>
              <w:spacing w:after="0"/>
              <w:rPr>
                <w:sz w:val="20"/>
                <w:szCs w:val="20"/>
                <w:color w:val="auto"/>
              </w:rPr>
            </w:pPr>
            <w:r>
              <w:rPr>
                <w:rFonts w:ascii="Arial" w:cs="Arial" w:eastAsia="Arial" w:hAnsi="Arial"/>
                <w:sz w:val="14"/>
                <w:szCs w:val="14"/>
                <w:color w:val="auto"/>
              </w:rPr>
              <w:t>2018</w:t>
            </w:r>
          </w:p>
        </w:tc>
        <w:tc>
          <w:tcPr>
            <w:tcW w:w="88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537,783</w:t>
            </w:r>
          </w:p>
        </w:tc>
        <w:tc>
          <w:tcPr>
            <w:tcW w:w="860" w:type="dxa"/>
            <w:vAlign w:val="bottom"/>
            <w:tcBorders>
              <w:right w:val="single" w:sz="8" w:color="007CBA"/>
            </w:tcBorders>
            <w:shd w:val="clear" w:color="auto" w:fill="E5F1F8"/>
          </w:tcPr>
          <w:p>
            <w:pPr>
              <w:spacing w:after="0"/>
              <w:rPr>
                <w:sz w:val="18"/>
                <w:szCs w:val="18"/>
                <w:color w:val="auto"/>
              </w:rPr>
            </w:pPr>
          </w:p>
        </w:tc>
        <w:tc>
          <w:tcPr>
            <w:tcW w:w="88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1,073,594</w:t>
            </w:r>
          </w:p>
        </w:tc>
        <w:tc>
          <w:tcPr>
            <w:tcW w:w="720" w:type="dxa"/>
            <w:vAlign w:val="bottom"/>
            <w:tcBorders>
              <w:right w:val="single" w:sz="8" w:color="007CBA"/>
            </w:tcBorders>
            <w:shd w:val="clear" w:color="auto" w:fill="E5F1F8"/>
          </w:tcPr>
          <w:p>
            <w:pPr>
              <w:spacing w:after="0"/>
              <w:rPr>
                <w:sz w:val="18"/>
                <w:szCs w:val="18"/>
                <w:color w:val="auto"/>
              </w:rPr>
            </w:pPr>
          </w:p>
        </w:tc>
        <w:tc>
          <w:tcPr>
            <w:tcW w:w="1200" w:type="dxa"/>
            <w:vAlign w:val="bottom"/>
            <w:tcBorders>
              <w:right w:val="single" w:sz="8" w:color="007CBA"/>
            </w:tcBorders>
            <w:shd w:val="clear" w:color="auto" w:fill="E5F1F8"/>
          </w:tcPr>
          <w:p>
            <w:pPr>
              <w:jc w:val="right"/>
              <w:ind w:right="249"/>
              <w:spacing w:after="0"/>
              <w:rPr>
                <w:sz w:val="20"/>
                <w:szCs w:val="20"/>
                <w:color w:val="auto"/>
              </w:rPr>
            </w:pPr>
            <w:r>
              <w:rPr>
                <w:rFonts w:ascii="Arial" w:cs="Arial" w:eastAsia="Arial" w:hAnsi="Arial"/>
                <w:sz w:val="14"/>
                <w:szCs w:val="14"/>
                <w:color w:val="auto"/>
              </w:rPr>
              <w:t>496,912</w:t>
            </w:r>
          </w:p>
        </w:tc>
        <w:tc>
          <w:tcPr>
            <w:tcW w:w="1200" w:type="dxa"/>
            <w:vAlign w:val="bottom"/>
            <w:tcBorders>
              <w:right w:val="single" w:sz="8" w:color="007CBA"/>
            </w:tcBorders>
            <w:shd w:val="clear" w:color="auto" w:fill="E5F1F8"/>
          </w:tcPr>
          <w:p>
            <w:pPr>
              <w:jc w:val="right"/>
              <w:ind w:right="249"/>
              <w:spacing w:after="0"/>
              <w:rPr>
                <w:sz w:val="20"/>
                <w:szCs w:val="20"/>
                <w:color w:val="auto"/>
              </w:rPr>
            </w:pPr>
            <w:r>
              <w:rPr>
                <w:rFonts w:ascii="Arial" w:cs="Arial" w:eastAsia="Arial" w:hAnsi="Arial"/>
                <w:sz w:val="14"/>
                <w:szCs w:val="14"/>
                <w:color w:val="auto"/>
              </w:rPr>
              <w:t>940,466</w:t>
            </w:r>
          </w:p>
        </w:tc>
        <w:tc>
          <w:tcPr>
            <w:tcW w:w="1200" w:type="dxa"/>
            <w:vAlign w:val="bottom"/>
            <w:tcBorders>
              <w:right w:val="single" w:sz="8" w:color="007CBA"/>
            </w:tcBorders>
            <w:shd w:val="clear" w:color="auto" w:fill="E5F1F8"/>
          </w:tcPr>
          <w:p>
            <w:pPr>
              <w:jc w:val="right"/>
              <w:ind w:right="249"/>
              <w:spacing w:after="0"/>
              <w:rPr>
                <w:sz w:val="20"/>
                <w:szCs w:val="20"/>
                <w:color w:val="auto"/>
              </w:rPr>
            </w:pPr>
            <w:r>
              <w:rPr>
                <w:rFonts w:ascii="Arial" w:cs="Arial" w:eastAsia="Arial" w:hAnsi="Arial"/>
                <w:sz w:val="14"/>
                <w:szCs w:val="14"/>
                <w:color w:val="auto"/>
              </w:rPr>
              <w:t>52,958</w:t>
            </w:r>
          </w:p>
        </w:tc>
        <w:tc>
          <w:tcPr>
            <w:tcW w:w="860" w:type="dxa"/>
            <w:vAlign w:val="bottom"/>
            <w:shd w:val="clear" w:color="auto" w:fill="E5F1F8"/>
          </w:tcPr>
          <w:p>
            <w:pPr>
              <w:jc w:val="right"/>
              <w:ind w:right="28"/>
              <w:spacing w:after="0"/>
              <w:rPr>
                <w:sz w:val="20"/>
                <w:szCs w:val="20"/>
                <w:color w:val="auto"/>
              </w:rPr>
            </w:pPr>
            <w:r>
              <w:rPr>
                <w:rFonts w:ascii="Arial" w:cs="Arial" w:eastAsia="Arial" w:hAnsi="Arial"/>
                <w:sz w:val="14"/>
                <w:szCs w:val="14"/>
                <w:color w:val="auto"/>
              </w:rPr>
              <w:t>3,101,713</w:t>
            </w:r>
          </w:p>
        </w:tc>
        <w:tc>
          <w:tcPr>
            <w:tcW w:w="0" w:type="dxa"/>
            <w:vAlign w:val="bottom"/>
          </w:tcPr>
          <w:p>
            <w:pPr>
              <w:spacing w:after="0"/>
              <w:rPr>
                <w:sz w:val="1"/>
                <w:szCs w:val="1"/>
                <w:color w:val="auto"/>
              </w:rPr>
            </w:pPr>
          </w:p>
        </w:tc>
      </w:tr>
      <w:tr>
        <w:trPr>
          <w:trHeight w:val="162"/>
        </w:trPr>
        <w:tc>
          <w:tcPr>
            <w:tcW w:w="264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Executive Vice President,</w:t>
            </w:r>
          </w:p>
        </w:tc>
        <w:tc>
          <w:tcPr>
            <w:tcW w:w="120" w:type="dxa"/>
            <w:vAlign w:val="bottom"/>
            <w:shd w:val="clear" w:color="auto" w:fill="E5F1F8"/>
          </w:tcPr>
          <w:p>
            <w:pPr>
              <w:spacing w:after="0"/>
              <w:rPr>
                <w:sz w:val="14"/>
                <w:szCs w:val="14"/>
                <w:color w:val="auto"/>
              </w:rPr>
            </w:pPr>
          </w:p>
        </w:tc>
        <w:tc>
          <w:tcPr>
            <w:tcW w:w="440" w:type="dxa"/>
            <w:vAlign w:val="bottom"/>
            <w:tcBorders>
              <w:right w:val="single" w:sz="8" w:color="007CBA"/>
            </w:tcBorders>
            <w:vMerge w:val="restart"/>
            <w:shd w:val="clear" w:color="auto" w:fill="E5F1F8"/>
          </w:tcPr>
          <w:p>
            <w:pPr>
              <w:spacing w:after="0"/>
              <w:rPr>
                <w:sz w:val="20"/>
                <w:szCs w:val="20"/>
                <w:color w:val="auto"/>
              </w:rPr>
            </w:pPr>
            <w:r>
              <w:rPr>
                <w:rFonts w:ascii="Arial" w:cs="Arial" w:eastAsia="Arial" w:hAnsi="Arial"/>
                <w:sz w:val="14"/>
                <w:szCs w:val="14"/>
                <w:color w:val="auto"/>
              </w:rPr>
              <w:t>2017</w:t>
            </w:r>
          </w:p>
        </w:tc>
        <w:tc>
          <w:tcPr>
            <w:tcW w:w="880" w:type="dxa"/>
            <w:vAlign w:val="bottom"/>
            <w:tcBorders>
              <w:right w:val="single" w:sz="8" w:color="007CBA"/>
            </w:tcBorders>
            <w:vMerge w:val="restart"/>
            <w:shd w:val="clear" w:color="auto" w:fill="E5F1F8"/>
          </w:tcPr>
          <w:p>
            <w:pPr>
              <w:jc w:val="right"/>
              <w:ind w:right="49"/>
              <w:spacing w:after="0"/>
              <w:rPr>
                <w:sz w:val="20"/>
                <w:szCs w:val="20"/>
                <w:color w:val="auto"/>
              </w:rPr>
            </w:pPr>
            <w:r>
              <w:rPr>
                <w:rFonts w:ascii="Arial" w:cs="Arial" w:eastAsia="Arial" w:hAnsi="Arial"/>
                <w:sz w:val="14"/>
                <w:szCs w:val="14"/>
                <w:color w:val="auto"/>
              </w:rPr>
              <w:t>511,383</w:t>
            </w:r>
          </w:p>
        </w:tc>
        <w:tc>
          <w:tcPr>
            <w:tcW w:w="860" w:type="dxa"/>
            <w:vAlign w:val="bottom"/>
            <w:tcBorders>
              <w:right w:val="single" w:sz="8" w:color="007CBA"/>
            </w:tcBorders>
            <w:shd w:val="clear" w:color="auto" w:fill="E5F1F8"/>
          </w:tcPr>
          <w:p>
            <w:pPr>
              <w:spacing w:after="0"/>
              <w:rPr>
                <w:sz w:val="14"/>
                <w:szCs w:val="14"/>
                <w:color w:val="auto"/>
              </w:rPr>
            </w:pPr>
          </w:p>
        </w:tc>
        <w:tc>
          <w:tcPr>
            <w:tcW w:w="880" w:type="dxa"/>
            <w:vAlign w:val="bottom"/>
            <w:tcBorders>
              <w:right w:val="single" w:sz="8" w:color="007CBA"/>
            </w:tcBorders>
            <w:vMerge w:val="restart"/>
            <w:shd w:val="clear" w:color="auto" w:fill="E5F1F8"/>
          </w:tcPr>
          <w:p>
            <w:pPr>
              <w:jc w:val="right"/>
              <w:ind w:right="49"/>
              <w:spacing w:after="0"/>
              <w:rPr>
                <w:sz w:val="20"/>
                <w:szCs w:val="20"/>
                <w:color w:val="auto"/>
              </w:rPr>
            </w:pPr>
            <w:r>
              <w:rPr>
                <w:rFonts w:ascii="Arial" w:cs="Arial" w:eastAsia="Arial" w:hAnsi="Arial"/>
                <w:sz w:val="14"/>
                <w:szCs w:val="14"/>
                <w:color w:val="auto"/>
              </w:rPr>
              <w:t>1,433,583</w:t>
            </w:r>
          </w:p>
        </w:tc>
        <w:tc>
          <w:tcPr>
            <w:tcW w:w="720" w:type="dxa"/>
            <w:vAlign w:val="bottom"/>
            <w:tcBorders>
              <w:right w:val="single" w:sz="8" w:color="007CBA"/>
            </w:tcBorders>
            <w:shd w:val="clear" w:color="auto" w:fill="E5F1F8"/>
          </w:tcPr>
          <w:p>
            <w:pPr>
              <w:spacing w:after="0"/>
              <w:rPr>
                <w:sz w:val="14"/>
                <w:szCs w:val="14"/>
                <w:color w:val="auto"/>
              </w:rPr>
            </w:pPr>
          </w:p>
        </w:tc>
        <w:tc>
          <w:tcPr>
            <w:tcW w:w="1200" w:type="dxa"/>
            <w:vAlign w:val="bottom"/>
            <w:tcBorders>
              <w:right w:val="single" w:sz="8" w:color="007CBA"/>
            </w:tcBorders>
            <w:vMerge w:val="restart"/>
            <w:shd w:val="clear" w:color="auto" w:fill="E5F1F8"/>
          </w:tcPr>
          <w:p>
            <w:pPr>
              <w:jc w:val="right"/>
              <w:ind w:right="249"/>
              <w:spacing w:after="0"/>
              <w:rPr>
                <w:sz w:val="20"/>
                <w:szCs w:val="20"/>
                <w:color w:val="auto"/>
              </w:rPr>
            </w:pPr>
            <w:r>
              <w:rPr>
                <w:rFonts w:ascii="Arial" w:cs="Arial" w:eastAsia="Arial" w:hAnsi="Arial"/>
                <w:sz w:val="14"/>
                <w:szCs w:val="14"/>
                <w:color w:val="auto"/>
              </w:rPr>
              <w:t>475,586</w:t>
            </w:r>
          </w:p>
        </w:tc>
        <w:tc>
          <w:tcPr>
            <w:tcW w:w="1200" w:type="dxa"/>
            <w:vAlign w:val="bottom"/>
            <w:tcBorders>
              <w:right w:val="single" w:sz="8" w:color="007CBA"/>
            </w:tcBorders>
            <w:vMerge w:val="restart"/>
            <w:shd w:val="clear" w:color="auto" w:fill="E5F1F8"/>
          </w:tcPr>
          <w:p>
            <w:pPr>
              <w:jc w:val="right"/>
              <w:ind w:right="249"/>
              <w:spacing w:after="0"/>
              <w:rPr>
                <w:sz w:val="20"/>
                <w:szCs w:val="20"/>
                <w:color w:val="auto"/>
              </w:rPr>
            </w:pPr>
            <w:r>
              <w:rPr>
                <w:rFonts w:ascii="Arial" w:cs="Arial" w:eastAsia="Arial" w:hAnsi="Arial"/>
                <w:sz w:val="14"/>
                <w:szCs w:val="14"/>
                <w:color w:val="auto"/>
              </w:rPr>
              <w:t>1,039,249</w:t>
            </w:r>
          </w:p>
        </w:tc>
        <w:tc>
          <w:tcPr>
            <w:tcW w:w="1200" w:type="dxa"/>
            <w:vAlign w:val="bottom"/>
            <w:tcBorders>
              <w:right w:val="single" w:sz="8" w:color="007CBA"/>
            </w:tcBorders>
            <w:vMerge w:val="restart"/>
            <w:shd w:val="clear" w:color="auto" w:fill="E5F1F8"/>
          </w:tcPr>
          <w:p>
            <w:pPr>
              <w:jc w:val="right"/>
              <w:ind w:right="249"/>
              <w:spacing w:after="0"/>
              <w:rPr>
                <w:sz w:val="20"/>
                <w:szCs w:val="20"/>
                <w:color w:val="auto"/>
              </w:rPr>
            </w:pPr>
            <w:r>
              <w:rPr>
                <w:rFonts w:ascii="Arial" w:cs="Arial" w:eastAsia="Arial" w:hAnsi="Arial"/>
                <w:sz w:val="14"/>
                <w:szCs w:val="14"/>
                <w:color w:val="auto"/>
              </w:rPr>
              <w:t>52,062</w:t>
            </w:r>
          </w:p>
        </w:tc>
        <w:tc>
          <w:tcPr>
            <w:tcW w:w="860" w:type="dxa"/>
            <w:vAlign w:val="bottom"/>
            <w:vMerge w:val="restart"/>
            <w:shd w:val="clear" w:color="auto" w:fill="E5F1F8"/>
          </w:tcPr>
          <w:p>
            <w:pPr>
              <w:jc w:val="right"/>
              <w:ind w:right="28"/>
              <w:spacing w:after="0"/>
              <w:rPr>
                <w:sz w:val="20"/>
                <w:szCs w:val="20"/>
                <w:color w:val="auto"/>
              </w:rPr>
            </w:pPr>
            <w:r>
              <w:rPr>
                <w:rFonts w:ascii="Arial" w:cs="Arial" w:eastAsia="Arial" w:hAnsi="Arial"/>
                <w:sz w:val="14"/>
                <w:szCs w:val="14"/>
                <w:color w:val="auto"/>
              </w:rPr>
              <w:t>3,511,863</w:t>
            </w:r>
          </w:p>
        </w:tc>
        <w:tc>
          <w:tcPr>
            <w:tcW w:w="0" w:type="dxa"/>
            <w:vAlign w:val="bottom"/>
          </w:tcPr>
          <w:p>
            <w:pPr>
              <w:spacing w:after="0"/>
              <w:rPr>
                <w:sz w:val="1"/>
                <w:szCs w:val="1"/>
                <w:color w:val="auto"/>
              </w:rPr>
            </w:pPr>
          </w:p>
        </w:tc>
      </w:tr>
      <w:tr>
        <w:trPr>
          <w:trHeight w:val="105"/>
        </w:trPr>
        <w:tc>
          <w:tcPr>
            <w:tcW w:w="2640" w:type="dxa"/>
            <w:vAlign w:val="bottom"/>
            <w:tcBorders>
              <w:right w:val="single" w:sz="8" w:color="007CBA"/>
            </w:tcBorders>
            <w:vMerge w:val="restart"/>
            <w:shd w:val="clear" w:color="auto" w:fill="E5F1F8"/>
          </w:tcPr>
          <w:p>
            <w:pPr>
              <w:ind w:left="60"/>
              <w:spacing w:after="0" w:line="144" w:lineRule="exact"/>
              <w:rPr>
                <w:sz w:val="20"/>
                <w:szCs w:val="20"/>
                <w:color w:val="auto"/>
              </w:rPr>
            </w:pPr>
            <w:r>
              <w:rPr>
                <w:rFonts w:ascii="Arial" w:cs="Arial" w:eastAsia="Arial" w:hAnsi="Arial"/>
                <w:sz w:val="14"/>
                <w:szCs w:val="14"/>
                <w:color w:val="auto"/>
              </w:rPr>
              <w:t>General Counsel and</w:t>
            </w:r>
          </w:p>
        </w:tc>
        <w:tc>
          <w:tcPr>
            <w:tcW w:w="120" w:type="dxa"/>
            <w:vAlign w:val="bottom"/>
            <w:shd w:val="clear" w:color="auto" w:fill="E5F1F8"/>
          </w:tcPr>
          <w:p>
            <w:pPr>
              <w:spacing w:after="0"/>
              <w:rPr>
                <w:sz w:val="9"/>
                <w:szCs w:val="9"/>
                <w:color w:val="auto"/>
              </w:rPr>
            </w:pPr>
          </w:p>
        </w:tc>
        <w:tc>
          <w:tcPr>
            <w:tcW w:w="440" w:type="dxa"/>
            <w:vAlign w:val="bottom"/>
            <w:tcBorders>
              <w:right w:val="single" w:sz="8" w:color="007CBA"/>
            </w:tcBorders>
            <w:vMerge w:val="continue"/>
            <w:shd w:val="clear" w:color="auto" w:fill="E5F1F8"/>
          </w:tcPr>
          <w:p>
            <w:pPr>
              <w:spacing w:after="0"/>
              <w:rPr>
                <w:sz w:val="9"/>
                <w:szCs w:val="9"/>
                <w:color w:val="auto"/>
              </w:rPr>
            </w:pPr>
          </w:p>
        </w:tc>
        <w:tc>
          <w:tcPr>
            <w:tcW w:w="880" w:type="dxa"/>
            <w:vAlign w:val="bottom"/>
            <w:tcBorders>
              <w:right w:val="single" w:sz="8" w:color="007CBA"/>
            </w:tcBorders>
            <w:vMerge w:val="continue"/>
            <w:shd w:val="clear" w:color="auto" w:fill="E5F1F8"/>
          </w:tcPr>
          <w:p>
            <w:pPr>
              <w:spacing w:after="0"/>
              <w:rPr>
                <w:sz w:val="9"/>
                <w:szCs w:val="9"/>
                <w:color w:val="auto"/>
              </w:rPr>
            </w:pPr>
          </w:p>
        </w:tc>
        <w:tc>
          <w:tcPr>
            <w:tcW w:w="860" w:type="dxa"/>
            <w:vAlign w:val="bottom"/>
            <w:tcBorders>
              <w:right w:val="single" w:sz="8" w:color="007CBA"/>
            </w:tcBorders>
            <w:shd w:val="clear" w:color="auto" w:fill="E5F1F8"/>
          </w:tcPr>
          <w:p>
            <w:pPr>
              <w:spacing w:after="0"/>
              <w:rPr>
                <w:sz w:val="9"/>
                <w:szCs w:val="9"/>
                <w:color w:val="auto"/>
              </w:rPr>
            </w:pPr>
          </w:p>
        </w:tc>
        <w:tc>
          <w:tcPr>
            <w:tcW w:w="880" w:type="dxa"/>
            <w:vAlign w:val="bottom"/>
            <w:tcBorders>
              <w:right w:val="single" w:sz="8" w:color="007CBA"/>
            </w:tcBorders>
            <w:vMerge w:val="continue"/>
            <w:shd w:val="clear" w:color="auto" w:fill="E5F1F8"/>
          </w:tcPr>
          <w:p>
            <w:pPr>
              <w:spacing w:after="0"/>
              <w:rPr>
                <w:sz w:val="9"/>
                <w:szCs w:val="9"/>
                <w:color w:val="auto"/>
              </w:rPr>
            </w:pPr>
          </w:p>
        </w:tc>
        <w:tc>
          <w:tcPr>
            <w:tcW w:w="720" w:type="dxa"/>
            <w:vAlign w:val="bottom"/>
            <w:tcBorders>
              <w:right w:val="single" w:sz="8" w:color="007CBA"/>
            </w:tcBorders>
            <w:shd w:val="clear" w:color="auto" w:fill="E5F1F8"/>
          </w:tcPr>
          <w:p>
            <w:pPr>
              <w:spacing w:after="0"/>
              <w:rPr>
                <w:sz w:val="9"/>
                <w:szCs w:val="9"/>
                <w:color w:val="auto"/>
              </w:rPr>
            </w:pPr>
          </w:p>
        </w:tc>
        <w:tc>
          <w:tcPr>
            <w:tcW w:w="1200" w:type="dxa"/>
            <w:vAlign w:val="bottom"/>
            <w:tcBorders>
              <w:right w:val="single" w:sz="8" w:color="007CBA"/>
            </w:tcBorders>
            <w:vMerge w:val="continue"/>
            <w:shd w:val="clear" w:color="auto" w:fill="E5F1F8"/>
          </w:tcPr>
          <w:p>
            <w:pPr>
              <w:spacing w:after="0"/>
              <w:rPr>
                <w:sz w:val="9"/>
                <w:szCs w:val="9"/>
                <w:color w:val="auto"/>
              </w:rPr>
            </w:pPr>
          </w:p>
        </w:tc>
        <w:tc>
          <w:tcPr>
            <w:tcW w:w="1200" w:type="dxa"/>
            <w:vAlign w:val="bottom"/>
            <w:tcBorders>
              <w:right w:val="single" w:sz="8" w:color="007CBA"/>
            </w:tcBorders>
            <w:vMerge w:val="continue"/>
            <w:shd w:val="clear" w:color="auto" w:fill="E5F1F8"/>
          </w:tcPr>
          <w:p>
            <w:pPr>
              <w:spacing w:after="0"/>
              <w:rPr>
                <w:sz w:val="9"/>
                <w:szCs w:val="9"/>
                <w:color w:val="auto"/>
              </w:rPr>
            </w:pPr>
          </w:p>
        </w:tc>
        <w:tc>
          <w:tcPr>
            <w:tcW w:w="1200" w:type="dxa"/>
            <w:vAlign w:val="bottom"/>
            <w:tcBorders>
              <w:right w:val="single" w:sz="8" w:color="007CBA"/>
            </w:tcBorders>
            <w:vMerge w:val="continue"/>
            <w:shd w:val="clear" w:color="auto" w:fill="E5F1F8"/>
          </w:tcPr>
          <w:p>
            <w:pPr>
              <w:spacing w:after="0"/>
              <w:rPr>
                <w:sz w:val="9"/>
                <w:szCs w:val="9"/>
                <w:color w:val="auto"/>
              </w:rPr>
            </w:pPr>
          </w:p>
        </w:tc>
        <w:tc>
          <w:tcPr>
            <w:tcW w:w="860" w:type="dxa"/>
            <w:vAlign w:val="bottom"/>
            <w:vMerge w:val="continue"/>
            <w:shd w:val="clear" w:color="auto" w:fill="E5F1F8"/>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640" w:type="dxa"/>
            <w:vAlign w:val="bottom"/>
            <w:tcBorders>
              <w:right w:val="single" w:sz="8" w:color="007CBA"/>
            </w:tcBorders>
            <w:vMerge w:val="continue"/>
            <w:shd w:val="clear" w:color="auto" w:fill="E5F1F8"/>
          </w:tcPr>
          <w:p>
            <w:pPr>
              <w:spacing w:after="0"/>
              <w:rPr>
                <w:sz w:val="3"/>
                <w:szCs w:val="3"/>
                <w:color w:val="auto"/>
              </w:rPr>
            </w:pPr>
          </w:p>
        </w:tc>
        <w:tc>
          <w:tcPr>
            <w:tcW w:w="120" w:type="dxa"/>
            <w:vAlign w:val="bottom"/>
            <w:shd w:val="clear" w:color="auto" w:fill="E5F1F8"/>
          </w:tcPr>
          <w:p>
            <w:pPr>
              <w:spacing w:after="0"/>
              <w:rPr>
                <w:sz w:val="3"/>
                <w:szCs w:val="3"/>
                <w:color w:val="auto"/>
              </w:rPr>
            </w:pPr>
          </w:p>
        </w:tc>
        <w:tc>
          <w:tcPr>
            <w:tcW w:w="440" w:type="dxa"/>
            <w:vAlign w:val="bottom"/>
            <w:tcBorders>
              <w:right w:val="single" w:sz="8" w:color="007CBA"/>
            </w:tcBorders>
            <w:shd w:val="clear" w:color="auto" w:fill="E5F1F8"/>
          </w:tcPr>
          <w:p>
            <w:pPr>
              <w:spacing w:after="0"/>
              <w:rPr>
                <w:sz w:val="3"/>
                <w:szCs w:val="3"/>
                <w:color w:val="auto"/>
              </w:rPr>
            </w:pPr>
          </w:p>
        </w:tc>
        <w:tc>
          <w:tcPr>
            <w:tcW w:w="880" w:type="dxa"/>
            <w:vAlign w:val="bottom"/>
            <w:tcBorders>
              <w:right w:val="single" w:sz="8" w:color="007CBA"/>
            </w:tcBorders>
            <w:shd w:val="clear" w:color="auto" w:fill="E5F1F8"/>
          </w:tcPr>
          <w:p>
            <w:pPr>
              <w:spacing w:after="0"/>
              <w:rPr>
                <w:sz w:val="3"/>
                <w:szCs w:val="3"/>
                <w:color w:val="auto"/>
              </w:rPr>
            </w:pPr>
          </w:p>
        </w:tc>
        <w:tc>
          <w:tcPr>
            <w:tcW w:w="860" w:type="dxa"/>
            <w:vAlign w:val="bottom"/>
            <w:tcBorders>
              <w:right w:val="single" w:sz="8" w:color="007CBA"/>
            </w:tcBorders>
            <w:shd w:val="clear" w:color="auto" w:fill="E5F1F8"/>
          </w:tcPr>
          <w:p>
            <w:pPr>
              <w:spacing w:after="0"/>
              <w:rPr>
                <w:sz w:val="3"/>
                <w:szCs w:val="3"/>
                <w:color w:val="auto"/>
              </w:rPr>
            </w:pPr>
          </w:p>
        </w:tc>
        <w:tc>
          <w:tcPr>
            <w:tcW w:w="880" w:type="dxa"/>
            <w:vAlign w:val="bottom"/>
            <w:tcBorders>
              <w:right w:val="single" w:sz="8" w:color="007CBA"/>
            </w:tcBorders>
            <w:shd w:val="clear" w:color="auto" w:fill="E5F1F8"/>
          </w:tcPr>
          <w:p>
            <w:pPr>
              <w:spacing w:after="0"/>
              <w:rPr>
                <w:sz w:val="3"/>
                <w:szCs w:val="3"/>
                <w:color w:val="auto"/>
              </w:rPr>
            </w:pPr>
          </w:p>
        </w:tc>
        <w:tc>
          <w:tcPr>
            <w:tcW w:w="720" w:type="dxa"/>
            <w:vAlign w:val="bottom"/>
            <w:tcBorders>
              <w:right w:val="single" w:sz="8" w:color="007CBA"/>
            </w:tcBorders>
            <w:shd w:val="clear" w:color="auto" w:fill="E5F1F8"/>
          </w:tcPr>
          <w:p>
            <w:pPr>
              <w:spacing w:after="0"/>
              <w:rPr>
                <w:sz w:val="3"/>
                <w:szCs w:val="3"/>
                <w:color w:val="auto"/>
              </w:rPr>
            </w:pPr>
          </w:p>
        </w:tc>
        <w:tc>
          <w:tcPr>
            <w:tcW w:w="1200" w:type="dxa"/>
            <w:vAlign w:val="bottom"/>
            <w:tcBorders>
              <w:right w:val="single" w:sz="8" w:color="007CBA"/>
            </w:tcBorders>
            <w:shd w:val="clear" w:color="auto" w:fill="E5F1F8"/>
          </w:tcPr>
          <w:p>
            <w:pPr>
              <w:spacing w:after="0"/>
              <w:rPr>
                <w:sz w:val="3"/>
                <w:szCs w:val="3"/>
                <w:color w:val="auto"/>
              </w:rPr>
            </w:pPr>
          </w:p>
        </w:tc>
        <w:tc>
          <w:tcPr>
            <w:tcW w:w="1200" w:type="dxa"/>
            <w:vAlign w:val="bottom"/>
            <w:tcBorders>
              <w:right w:val="single" w:sz="8" w:color="007CBA"/>
            </w:tcBorders>
            <w:shd w:val="clear" w:color="auto" w:fill="E5F1F8"/>
          </w:tcPr>
          <w:p>
            <w:pPr>
              <w:spacing w:after="0"/>
              <w:rPr>
                <w:sz w:val="3"/>
                <w:szCs w:val="3"/>
                <w:color w:val="auto"/>
              </w:rPr>
            </w:pPr>
          </w:p>
        </w:tc>
        <w:tc>
          <w:tcPr>
            <w:tcW w:w="1200" w:type="dxa"/>
            <w:vAlign w:val="bottom"/>
            <w:tcBorders>
              <w:right w:val="single" w:sz="8" w:color="007CBA"/>
            </w:tcBorders>
            <w:shd w:val="clear" w:color="auto" w:fill="E5F1F8"/>
          </w:tcPr>
          <w:p>
            <w:pPr>
              <w:spacing w:after="0"/>
              <w:rPr>
                <w:sz w:val="3"/>
                <w:szCs w:val="3"/>
                <w:color w:val="auto"/>
              </w:rPr>
            </w:pPr>
          </w:p>
        </w:tc>
        <w:tc>
          <w:tcPr>
            <w:tcW w:w="860" w:type="dxa"/>
            <w:vAlign w:val="bottom"/>
            <w:shd w:val="clear" w:color="auto" w:fill="E5F1F8"/>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6"/>
        </w:trPr>
        <w:tc>
          <w:tcPr>
            <w:tcW w:w="2640" w:type="dxa"/>
            <w:vAlign w:val="bottom"/>
            <w:tcBorders>
              <w:bottom w:val="single" w:sz="8" w:color="E5F1F8"/>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Corporate Secretary</w:t>
            </w:r>
          </w:p>
        </w:tc>
        <w:tc>
          <w:tcPr>
            <w:tcW w:w="120" w:type="dxa"/>
            <w:vAlign w:val="bottom"/>
            <w:tcBorders>
              <w:bottom w:val="single" w:sz="8" w:color="E5F1F8"/>
            </w:tcBorders>
            <w:shd w:val="clear" w:color="auto" w:fill="E5F1F8"/>
          </w:tcPr>
          <w:p>
            <w:pPr>
              <w:spacing w:after="0"/>
              <w:rPr>
                <w:sz w:val="20"/>
                <w:szCs w:val="20"/>
                <w:color w:val="auto"/>
              </w:rPr>
            </w:pPr>
          </w:p>
        </w:tc>
        <w:tc>
          <w:tcPr>
            <w:tcW w:w="440" w:type="dxa"/>
            <w:vAlign w:val="bottom"/>
            <w:tcBorders>
              <w:bottom w:val="single" w:sz="8" w:color="E5F1F8"/>
              <w:right w:val="single" w:sz="8" w:color="007CBA"/>
            </w:tcBorders>
            <w:shd w:val="clear" w:color="auto" w:fill="E5F1F8"/>
          </w:tcPr>
          <w:p>
            <w:pPr>
              <w:spacing w:after="0"/>
              <w:rPr>
                <w:sz w:val="20"/>
                <w:szCs w:val="20"/>
                <w:color w:val="auto"/>
              </w:rPr>
            </w:pPr>
            <w:r>
              <w:rPr>
                <w:rFonts w:ascii="Arial" w:cs="Arial" w:eastAsia="Arial" w:hAnsi="Arial"/>
                <w:sz w:val="14"/>
                <w:szCs w:val="14"/>
                <w:color w:val="auto"/>
              </w:rPr>
              <w:t>2016</w:t>
            </w:r>
          </w:p>
        </w:tc>
        <w:tc>
          <w:tcPr>
            <w:tcW w:w="880" w:type="dxa"/>
            <w:vAlign w:val="bottom"/>
            <w:tcBorders>
              <w:bottom w:val="single" w:sz="8" w:color="E5F1F8"/>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496,583</w:t>
            </w:r>
          </w:p>
        </w:tc>
        <w:tc>
          <w:tcPr>
            <w:tcW w:w="860" w:type="dxa"/>
            <w:vAlign w:val="bottom"/>
            <w:tcBorders>
              <w:bottom w:val="single" w:sz="8" w:color="E5F1F8"/>
              <w:right w:val="single" w:sz="8" w:color="007CBA"/>
            </w:tcBorders>
            <w:shd w:val="clear" w:color="auto" w:fill="E5F1F8"/>
          </w:tcPr>
          <w:p>
            <w:pPr>
              <w:jc w:val="right"/>
              <w:ind w:right="30"/>
              <w:spacing w:after="0"/>
              <w:rPr>
                <w:sz w:val="20"/>
                <w:szCs w:val="20"/>
                <w:color w:val="auto"/>
              </w:rPr>
            </w:pPr>
            <w:r>
              <w:rPr>
                <w:rFonts w:ascii="Arial" w:cs="Arial" w:eastAsia="Arial" w:hAnsi="Arial"/>
                <w:sz w:val="14"/>
                <w:szCs w:val="14"/>
                <w:color w:val="auto"/>
              </w:rPr>
              <w:t>498,967</w:t>
            </w:r>
          </w:p>
        </w:tc>
        <w:tc>
          <w:tcPr>
            <w:tcW w:w="880" w:type="dxa"/>
            <w:vAlign w:val="bottom"/>
            <w:tcBorders>
              <w:bottom w:val="single" w:sz="8" w:color="E5F1F8"/>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1,001,335</w:t>
            </w:r>
          </w:p>
        </w:tc>
        <w:tc>
          <w:tcPr>
            <w:tcW w:w="720" w:type="dxa"/>
            <w:vAlign w:val="bottom"/>
            <w:tcBorders>
              <w:bottom w:val="single" w:sz="8" w:color="E5F1F8"/>
              <w:right w:val="single" w:sz="8" w:color="007CBA"/>
            </w:tcBorders>
            <w:shd w:val="clear" w:color="auto" w:fill="E5F1F8"/>
          </w:tcPr>
          <w:p>
            <w:pPr>
              <w:spacing w:after="0"/>
              <w:rPr>
                <w:sz w:val="20"/>
                <w:szCs w:val="20"/>
                <w:color w:val="auto"/>
              </w:rPr>
            </w:pPr>
          </w:p>
        </w:tc>
        <w:tc>
          <w:tcPr>
            <w:tcW w:w="1200" w:type="dxa"/>
            <w:vAlign w:val="bottom"/>
            <w:tcBorders>
              <w:bottom w:val="single" w:sz="8" w:color="E5F1F8"/>
              <w:right w:val="single" w:sz="8" w:color="007CBA"/>
            </w:tcBorders>
            <w:shd w:val="clear" w:color="auto" w:fill="E5F1F8"/>
          </w:tcPr>
          <w:p>
            <w:pPr>
              <w:spacing w:after="0"/>
              <w:rPr>
                <w:sz w:val="20"/>
                <w:szCs w:val="20"/>
                <w:color w:val="auto"/>
              </w:rPr>
            </w:pPr>
          </w:p>
        </w:tc>
        <w:tc>
          <w:tcPr>
            <w:tcW w:w="1200" w:type="dxa"/>
            <w:vAlign w:val="bottom"/>
            <w:tcBorders>
              <w:bottom w:val="single" w:sz="8" w:color="E5F1F8"/>
              <w:right w:val="single" w:sz="8" w:color="007CBA"/>
            </w:tcBorders>
            <w:shd w:val="clear" w:color="auto" w:fill="E5F1F8"/>
          </w:tcPr>
          <w:p>
            <w:pPr>
              <w:jc w:val="right"/>
              <w:ind w:right="249"/>
              <w:spacing w:after="0"/>
              <w:rPr>
                <w:sz w:val="20"/>
                <w:szCs w:val="20"/>
                <w:color w:val="auto"/>
              </w:rPr>
            </w:pPr>
            <w:r>
              <w:rPr>
                <w:rFonts w:ascii="Arial" w:cs="Arial" w:eastAsia="Arial" w:hAnsi="Arial"/>
                <w:sz w:val="14"/>
                <w:szCs w:val="14"/>
                <w:color w:val="auto"/>
              </w:rPr>
              <w:t>528,522</w:t>
            </w:r>
          </w:p>
        </w:tc>
        <w:tc>
          <w:tcPr>
            <w:tcW w:w="1200" w:type="dxa"/>
            <w:vAlign w:val="bottom"/>
            <w:tcBorders>
              <w:bottom w:val="single" w:sz="8" w:color="E5F1F8"/>
              <w:right w:val="single" w:sz="8" w:color="007CBA"/>
            </w:tcBorders>
            <w:shd w:val="clear" w:color="auto" w:fill="E5F1F8"/>
          </w:tcPr>
          <w:p>
            <w:pPr>
              <w:jc w:val="right"/>
              <w:ind w:right="249"/>
              <w:spacing w:after="0"/>
              <w:rPr>
                <w:sz w:val="20"/>
                <w:szCs w:val="20"/>
                <w:color w:val="auto"/>
              </w:rPr>
            </w:pPr>
            <w:r>
              <w:rPr>
                <w:rFonts w:ascii="Arial" w:cs="Arial" w:eastAsia="Arial" w:hAnsi="Arial"/>
                <w:sz w:val="14"/>
                <w:szCs w:val="14"/>
                <w:color w:val="auto"/>
              </w:rPr>
              <w:t>100,915</w:t>
            </w:r>
          </w:p>
        </w:tc>
        <w:tc>
          <w:tcPr>
            <w:tcW w:w="860" w:type="dxa"/>
            <w:vAlign w:val="bottom"/>
            <w:tcBorders>
              <w:bottom w:val="single" w:sz="8" w:color="E5F1F8"/>
            </w:tcBorders>
            <w:shd w:val="clear" w:color="auto" w:fill="E5F1F8"/>
          </w:tcPr>
          <w:p>
            <w:pPr>
              <w:jc w:val="right"/>
              <w:ind w:right="28"/>
              <w:spacing w:after="0"/>
              <w:rPr>
                <w:sz w:val="20"/>
                <w:szCs w:val="20"/>
                <w:color w:val="auto"/>
              </w:rPr>
            </w:pPr>
            <w:r>
              <w:rPr>
                <w:rFonts w:ascii="Arial" w:cs="Arial" w:eastAsia="Arial" w:hAnsi="Arial"/>
                <w:sz w:val="14"/>
                <w:szCs w:val="14"/>
                <w:color w:val="auto"/>
              </w:rPr>
              <w:t>2,626,322</w:t>
            </w:r>
          </w:p>
        </w:tc>
        <w:tc>
          <w:tcPr>
            <w:tcW w:w="0" w:type="dxa"/>
            <w:vAlign w:val="bottom"/>
          </w:tcPr>
          <w:p>
            <w:pPr>
              <w:spacing w:after="0"/>
              <w:rPr>
                <w:sz w:val="1"/>
                <w:szCs w:val="1"/>
                <w:color w:val="auto"/>
              </w:rPr>
            </w:pPr>
          </w:p>
        </w:tc>
      </w:tr>
      <w:tr>
        <w:trPr>
          <w:trHeight w:val="207"/>
        </w:trPr>
        <w:tc>
          <w:tcPr>
            <w:tcW w:w="2640" w:type="dxa"/>
            <w:vAlign w:val="bottom"/>
            <w:tcBorders>
              <w:right w:val="single" w:sz="8" w:color="007CBA"/>
            </w:tcBorders>
          </w:tcPr>
          <w:p>
            <w:pPr>
              <w:ind w:left="60"/>
              <w:spacing w:after="0"/>
              <w:rPr>
                <w:sz w:val="20"/>
                <w:szCs w:val="20"/>
                <w:color w:val="auto"/>
              </w:rPr>
            </w:pPr>
            <w:r>
              <w:rPr>
                <w:rFonts w:ascii="Arial" w:cs="Arial" w:eastAsia="Arial" w:hAnsi="Arial"/>
                <w:sz w:val="14"/>
                <w:szCs w:val="14"/>
                <w:b w:val="1"/>
                <w:bCs w:val="1"/>
                <w:color w:val="auto"/>
              </w:rPr>
              <w:t>Donald A. McCunniff</w:t>
            </w:r>
          </w:p>
        </w:tc>
        <w:tc>
          <w:tcPr>
            <w:tcW w:w="560" w:type="dxa"/>
            <w:vAlign w:val="bottom"/>
            <w:tcBorders>
              <w:right w:val="single" w:sz="8" w:color="007CBA"/>
            </w:tcBorders>
            <w:gridSpan w:val="2"/>
          </w:tcPr>
          <w:p>
            <w:pPr>
              <w:ind w:left="120"/>
              <w:spacing w:after="0"/>
              <w:rPr>
                <w:sz w:val="20"/>
                <w:szCs w:val="20"/>
                <w:color w:val="auto"/>
              </w:rPr>
            </w:pPr>
            <w:r>
              <w:rPr>
                <w:rFonts w:ascii="Arial" w:cs="Arial" w:eastAsia="Arial" w:hAnsi="Arial"/>
                <w:sz w:val="14"/>
                <w:szCs w:val="14"/>
                <w:color w:val="auto"/>
              </w:rPr>
              <w:t>2018</w:t>
            </w:r>
          </w:p>
        </w:tc>
        <w:tc>
          <w:tcPr>
            <w:tcW w:w="88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413,133</w:t>
            </w:r>
          </w:p>
        </w:tc>
        <w:tc>
          <w:tcPr>
            <w:tcW w:w="860" w:type="dxa"/>
            <w:vAlign w:val="bottom"/>
            <w:tcBorders>
              <w:right w:val="single" w:sz="8" w:color="007CBA"/>
            </w:tcBorders>
          </w:tcPr>
          <w:p>
            <w:pPr>
              <w:spacing w:after="0"/>
              <w:rPr>
                <w:sz w:val="18"/>
                <w:szCs w:val="18"/>
                <w:color w:val="auto"/>
              </w:rPr>
            </w:pPr>
          </w:p>
        </w:tc>
        <w:tc>
          <w:tcPr>
            <w:tcW w:w="88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643,874</w:t>
            </w:r>
          </w:p>
        </w:tc>
        <w:tc>
          <w:tcPr>
            <w:tcW w:w="720" w:type="dxa"/>
            <w:vAlign w:val="bottom"/>
            <w:tcBorders>
              <w:right w:val="single" w:sz="8" w:color="007CBA"/>
            </w:tcBorders>
          </w:tcPr>
          <w:p>
            <w:pPr>
              <w:spacing w:after="0"/>
              <w:rPr>
                <w:sz w:val="18"/>
                <w:szCs w:val="18"/>
                <w:color w:val="auto"/>
              </w:rPr>
            </w:pPr>
          </w:p>
        </w:tc>
        <w:tc>
          <w:tcPr>
            <w:tcW w:w="1200" w:type="dxa"/>
            <w:vAlign w:val="bottom"/>
            <w:tcBorders>
              <w:right w:val="single" w:sz="8" w:color="007CBA"/>
            </w:tcBorders>
          </w:tcPr>
          <w:p>
            <w:pPr>
              <w:jc w:val="right"/>
              <w:ind w:right="249"/>
              <w:spacing w:after="0"/>
              <w:rPr>
                <w:sz w:val="20"/>
                <w:szCs w:val="20"/>
                <w:color w:val="auto"/>
              </w:rPr>
            </w:pPr>
            <w:r>
              <w:rPr>
                <w:rFonts w:ascii="Arial" w:cs="Arial" w:eastAsia="Arial" w:hAnsi="Arial"/>
                <w:sz w:val="14"/>
                <w:szCs w:val="14"/>
                <w:color w:val="auto"/>
              </w:rPr>
              <w:t>370,167</w:t>
            </w:r>
          </w:p>
        </w:tc>
        <w:tc>
          <w:tcPr>
            <w:tcW w:w="1200" w:type="dxa"/>
            <w:vAlign w:val="bottom"/>
            <w:tcBorders>
              <w:right w:val="single" w:sz="8" w:color="007CBA"/>
            </w:tcBorders>
          </w:tcPr>
          <w:p>
            <w:pPr>
              <w:jc w:val="right"/>
              <w:ind w:right="249"/>
              <w:spacing w:after="0"/>
              <w:rPr>
                <w:sz w:val="20"/>
                <w:szCs w:val="20"/>
                <w:color w:val="auto"/>
              </w:rPr>
            </w:pPr>
            <w:r>
              <w:rPr>
                <w:rFonts w:ascii="Arial" w:cs="Arial" w:eastAsia="Arial" w:hAnsi="Arial"/>
                <w:sz w:val="14"/>
                <w:szCs w:val="14"/>
                <w:color w:val="auto"/>
              </w:rPr>
              <w:t>271,632</w:t>
            </w:r>
          </w:p>
        </w:tc>
        <w:tc>
          <w:tcPr>
            <w:tcW w:w="1200" w:type="dxa"/>
            <w:vAlign w:val="bottom"/>
            <w:tcBorders>
              <w:right w:val="single" w:sz="8" w:color="007CBA"/>
            </w:tcBorders>
          </w:tcPr>
          <w:p>
            <w:pPr>
              <w:jc w:val="right"/>
              <w:ind w:right="249"/>
              <w:spacing w:after="0"/>
              <w:rPr>
                <w:sz w:val="20"/>
                <w:szCs w:val="20"/>
                <w:color w:val="auto"/>
              </w:rPr>
            </w:pPr>
            <w:r>
              <w:rPr>
                <w:rFonts w:ascii="Arial" w:cs="Arial" w:eastAsia="Arial" w:hAnsi="Arial"/>
                <w:sz w:val="14"/>
                <w:szCs w:val="14"/>
                <w:color w:val="auto"/>
              </w:rPr>
              <w:t>52,144</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1,750,950</w:t>
            </w:r>
          </w:p>
        </w:tc>
        <w:tc>
          <w:tcPr>
            <w:tcW w:w="0" w:type="dxa"/>
            <w:vAlign w:val="bottom"/>
          </w:tcPr>
          <w:p>
            <w:pPr>
              <w:spacing w:after="0"/>
              <w:rPr>
                <w:sz w:val="1"/>
                <w:szCs w:val="1"/>
                <w:color w:val="auto"/>
              </w:rPr>
            </w:pPr>
          </w:p>
        </w:tc>
      </w:tr>
      <w:tr>
        <w:trPr>
          <w:trHeight w:val="162"/>
        </w:trPr>
        <w:tc>
          <w:tcPr>
            <w:tcW w:w="264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Senior Vice President,</w:t>
            </w:r>
          </w:p>
        </w:tc>
        <w:tc>
          <w:tcPr>
            <w:tcW w:w="560" w:type="dxa"/>
            <w:vAlign w:val="bottom"/>
            <w:tcBorders>
              <w:right w:val="single" w:sz="8" w:color="007CBA"/>
            </w:tcBorders>
            <w:gridSpan w:val="2"/>
            <w:vMerge w:val="restart"/>
          </w:tcPr>
          <w:p>
            <w:pPr>
              <w:ind w:left="120"/>
              <w:spacing w:after="0"/>
              <w:rPr>
                <w:sz w:val="20"/>
                <w:szCs w:val="20"/>
                <w:color w:val="auto"/>
              </w:rPr>
            </w:pPr>
            <w:r>
              <w:rPr>
                <w:rFonts w:ascii="Arial" w:cs="Arial" w:eastAsia="Arial" w:hAnsi="Arial"/>
                <w:sz w:val="14"/>
                <w:szCs w:val="14"/>
                <w:color w:val="auto"/>
              </w:rPr>
              <w:t>2017</w:t>
            </w:r>
          </w:p>
        </w:tc>
        <w:tc>
          <w:tcPr>
            <w:tcW w:w="880" w:type="dxa"/>
            <w:vAlign w:val="bottom"/>
            <w:tcBorders>
              <w:right w:val="single" w:sz="8" w:color="007CBA"/>
            </w:tcBorders>
            <w:vMerge w:val="restart"/>
          </w:tcPr>
          <w:p>
            <w:pPr>
              <w:jc w:val="right"/>
              <w:ind w:right="49"/>
              <w:spacing w:after="0"/>
              <w:rPr>
                <w:sz w:val="20"/>
                <w:szCs w:val="20"/>
                <w:color w:val="auto"/>
              </w:rPr>
            </w:pPr>
            <w:r>
              <w:rPr>
                <w:rFonts w:ascii="Arial" w:cs="Arial" w:eastAsia="Arial" w:hAnsi="Arial"/>
                <w:sz w:val="14"/>
                <w:szCs w:val="14"/>
                <w:color w:val="auto"/>
              </w:rPr>
              <w:t>382,250</w:t>
            </w:r>
          </w:p>
        </w:tc>
        <w:tc>
          <w:tcPr>
            <w:tcW w:w="860" w:type="dxa"/>
            <w:vAlign w:val="bottom"/>
            <w:tcBorders>
              <w:right w:val="single" w:sz="8" w:color="007CBA"/>
            </w:tcBorders>
          </w:tcPr>
          <w:p>
            <w:pPr>
              <w:spacing w:after="0"/>
              <w:rPr>
                <w:sz w:val="14"/>
                <w:szCs w:val="14"/>
                <w:color w:val="auto"/>
              </w:rPr>
            </w:pPr>
          </w:p>
        </w:tc>
        <w:tc>
          <w:tcPr>
            <w:tcW w:w="880" w:type="dxa"/>
            <w:vAlign w:val="bottom"/>
            <w:tcBorders>
              <w:right w:val="single" w:sz="8" w:color="007CBA"/>
            </w:tcBorders>
            <w:vMerge w:val="restart"/>
          </w:tcPr>
          <w:p>
            <w:pPr>
              <w:jc w:val="right"/>
              <w:ind w:right="49"/>
              <w:spacing w:after="0"/>
              <w:rPr>
                <w:sz w:val="20"/>
                <w:szCs w:val="20"/>
                <w:color w:val="auto"/>
              </w:rPr>
            </w:pPr>
            <w:r>
              <w:rPr>
                <w:rFonts w:ascii="Arial" w:cs="Arial" w:eastAsia="Arial" w:hAnsi="Arial"/>
                <w:sz w:val="14"/>
                <w:szCs w:val="14"/>
                <w:color w:val="auto"/>
              </w:rPr>
              <w:t>1,044,225</w:t>
            </w:r>
          </w:p>
        </w:tc>
        <w:tc>
          <w:tcPr>
            <w:tcW w:w="720" w:type="dxa"/>
            <w:vAlign w:val="bottom"/>
            <w:tcBorders>
              <w:right w:val="single" w:sz="8" w:color="007CBA"/>
            </w:tcBorders>
          </w:tcPr>
          <w:p>
            <w:pPr>
              <w:spacing w:after="0"/>
              <w:rPr>
                <w:sz w:val="14"/>
                <w:szCs w:val="14"/>
                <w:color w:val="auto"/>
              </w:rPr>
            </w:pPr>
          </w:p>
        </w:tc>
        <w:tc>
          <w:tcPr>
            <w:tcW w:w="1200" w:type="dxa"/>
            <w:vAlign w:val="bottom"/>
            <w:tcBorders>
              <w:right w:val="single" w:sz="8" w:color="007CBA"/>
            </w:tcBorders>
            <w:vMerge w:val="restart"/>
          </w:tcPr>
          <w:p>
            <w:pPr>
              <w:jc w:val="right"/>
              <w:ind w:right="249"/>
              <w:spacing w:after="0"/>
              <w:rPr>
                <w:sz w:val="20"/>
                <w:szCs w:val="20"/>
                <w:color w:val="auto"/>
              </w:rPr>
            </w:pPr>
            <w:r>
              <w:rPr>
                <w:rFonts w:ascii="Arial" w:cs="Arial" w:eastAsia="Arial" w:hAnsi="Arial"/>
                <w:sz w:val="14"/>
                <w:szCs w:val="14"/>
                <w:color w:val="auto"/>
              </w:rPr>
              <w:t>321,090</w:t>
            </w:r>
          </w:p>
        </w:tc>
        <w:tc>
          <w:tcPr>
            <w:tcW w:w="1200" w:type="dxa"/>
            <w:vAlign w:val="bottom"/>
            <w:tcBorders>
              <w:right w:val="single" w:sz="8" w:color="007CBA"/>
            </w:tcBorders>
            <w:vMerge w:val="restart"/>
          </w:tcPr>
          <w:p>
            <w:pPr>
              <w:jc w:val="right"/>
              <w:ind w:right="249"/>
              <w:spacing w:after="0"/>
              <w:rPr>
                <w:sz w:val="20"/>
                <w:szCs w:val="20"/>
                <w:color w:val="auto"/>
              </w:rPr>
            </w:pPr>
            <w:r>
              <w:rPr>
                <w:rFonts w:ascii="Arial" w:cs="Arial" w:eastAsia="Arial" w:hAnsi="Arial"/>
                <w:sz w:val="14"/>
                <w:szCs w:val="14"/>
                <w:color w:val="auto"/>
              </w:rPr>
              <w:t>292,574</w:t>
            </w:r>
          </w:p>
        </w:tc>
        <w:tc>
          <w:tcPr>
            <w:tcW w:w="1200" w:type="dxa"/>
            <w:vAlign w:val="bottom"/>
            <w:tcBorders>
              <w:right w:val="single" w:sz="8" w:color="007CBA"/>
            </w:tcBorders>
            <w:vMerge w:val="restart"/>
          </w:tcPr>
          <w:p>
            <w:pPr>
              <w:jc w:val="right"/>
              <w:ind w:right="249"/>
              <w:spacing w:after="0"/>
              <w:rPr>
                <w:sz w:val="20"/>
                <w:szCs w:val="20"/>
                <w:color w:val="auto"/>
              </w:rPr>
            </w:pPr>
            <w:r>
              <w:rPr>
                <w:rFonts w:ascii="Arial" w:cs="Arial" w:eastAsia="Arial" w:hAnsi="Arial"/>
                <w:sz w:val="14"/>
                <w:szCs w:val="14"/>
                <w:color w:val="auto"/>
              </w:rPr>
              <w:t>51,251</w:t>
            </w: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2,091,390</w:t>
            </w:r>
          </w:p>
        </w:tc>
        <w:tc>
          <w:tcPr>
            <w:tcW w:w="0" w:type="dxa"/>
            <w:vAlign w:val="bottom"/>
          </w:tcPr>
          <w:p>
            <w:pPr>
              <w:spacing w:after="0"/>
              <w:rPr>
                <w:sz w:val="1"/>
                <w:szCs w:val="1"/>
                <w:color w:val="auto"/>
              </w:rPr>
            </w:pPr>
          </w:p>
        </w:tc>
      </w:tr>
      <w:tr>
        <w:trPr>
          <w:trHeight w:val="105"/>
        </w:trPr>
        <w:tc>
          <w:tcPr>
            <w:tcW w:w="2640" w:type="dxa"/>
            <w:vAlign w:val="bottom"/>
            <w:tcBorders>
              <w:right w:val="single" w:sz="8" w:color="007CBA"/>
            </w:tcBorders>
            <w:vMerge w:val="restart"/>
          </w:tcPr>
          <w:p>
            <w:pPr>
              <w:ind w:left="60"/>
              <w:spacing w:after="0"/>
              <w:rPr>
                <w:sz w:val="20"/>
                <w:szCs w:val="20"/>
                <w:color w:val="auto"/>
              </w:rPr>
            </w:pPr>
            <w:r>
              <w:rPr>
                <w:rFonts w:ascii="Arial" w:cs="Arial" w:eastAsia="Arial" w:hAnsi="Arial"/>
                <w:sz w:val="14"/>
                <w:szCs w:val="14"/>
                <w:color w:val="auto"/>
              </w:rPr>
              <w:t>Human Resources</w:t>
            </w:r>
          </w:p>
        </w:tc>
        <w:tc>
          <w:tcPr>
            <w:tcW w:w="560" w:type="dxa"/>
            <w:vAlign w:val="bottom"/>
            <w:tcBorders>
              <w:right w:val="single" w:sz="8" w:color="007CBA"/>
            </w:tcBorders>
            <w:gridSpan w:val="2"/>
            <w:vMerge w:val="continue"/>
          </w:tcPr>
          <w:p>
            <w:pPr>
              <w:spacing w:after="0"/>
              <w:rPr>
                <w:sz w:val="9"/>
                <w:szCs w:val="9"/>
                <w:color w:val="auto"/>
              </w:rPr>
            </w:pPr>
          </w:p>
        </w:tc>
        <w:tc>
          <w:tcPr>
            <w:tcW w:w="880" w:type="dxa"/>
            <w:vAlign w:val="bottom"/>
            <w:tcBorders>
              <w:right w:val="single" w:sz="8" w:color="007CBA"/>
            </w:tcBorders>
            <w:vMerge w:val="continue"/>
          </w:tcPr>
          <w:p>
            <w:pPr>
              <w:spacing w:after="0"/>
              <w:rPr>
                <w:sz w:val="9"/>
                <w:szCs w:val="9"/>
                <w:color w:val="auto"/>
              </w:rPr>
            </w:pPr>
          </w:p>
        </w:tc>
        <w:tc>
          <w:tcPr>
            <w:tcW w:w="860" w:type="dxa"/>
            <w:vAlign w:val="bottom"/>
            <w:tcBorders>
              <w:right w:val="single" w:sz="8" w:color="007CBA"/>
            </w:tcBorders>
          </w:tcPr>
          <w:p>
            <w:pPr>
              <w:spacing w:after="0"/>
              <w:rPr>
                <w:sz w:val="9"/>
                <w:szCs w:val="9"/>
                <w:color w:val="auto"/>
              </w:rPr>
            </w:pPr>
          </w:p>
        </w:tc>
        <w:tc>
          <w:tcPr>
            <w:tcW w:w="880" w:type="dxa"/>
            <w:vAlign w:val="bottom"/>
            <w:tcBorders>
              <w:right w:val="single" w:sz="8" w:color="007CBA"/>
            </w:tcBorders>
            <w:vMerge w:val="continue"/>
          </w:tcPr>
          <w:p>
            <w:pPr>
              <w:spacing w:after="0"/>
              <w:rPr>
                <w:sz w:val="9"/>
                <w:szCs w:val="9"/>
                <w:color w:val="auto"/>
              </w:rPr>
            </w:pPr>
          </w:p>
        </w:tc>
        <w:tc>
          <w:tcPr>
            <w:tcW w:w="720" w:type="dxa"/>
            <w:vAlign w:val="bottom"/>
            <w:tcBorders>
              <w:right w:val="single" w:sz="8" w:color="007CBA"/>
            </w:tcBorders>
          </w:tcPr>
          <w:p>
            <w:pPr>
              <w:spacing w:after="0"/>
              <w:rPr>
                <w:sz w:val="9"/>
                <w:szCs w:val="9"/>
                <w:color w:val="auto"/>
              </w:rPr>
            </w:pPr>
          </w:p>
        </w:tc>
        <w:tc>
          <w:tcPr>
            <w:tcW w:w="1200" w:type="dxa"/>
            <w:vAlign w:val="bottom"/>
            <w:tcBorders>
              <w:right w:val="single" w:sz="8" w:color="007CBA"/>
            </w:tcBorders>
            <w:vMerge w:val="continue"/>
          </w:tcPr>
          <w:p>
            <w:pPr>
              <w:spacing w:after="0"/>
              <w:rPr>
                <w:sz w:val="9"/>
                <w:szCs w:val="9"/>
                <w:color w:val="auto"/>
              </w:rPr>
            </w:pPr>
          </w:p>
        </w:tc>
        <w:tc>
          <w:tcPr>
            <w:tcW w:w="1200" w:type="dxa"/>
            <w:vAlign w:val="bottom"/>
            <w:tcBorders>
              <w:right w:val="single" w:sz="8" w:color="007CBA"/>
            </w:tcBorders>
            <w:vMerge w:val="continue"/>
          </w:tcPr>
          <w:p>
            <w:pPr>
              <w:spacing w:after="0"/>
              <w:rPr>
                <w:sz w:val="9"/>
                <w:szCs w:val="9"/>
                <w:color w:val="auto"/>
              </w:rPr>
            </w:pPr>
          </w:p>
        </w:tc>
        <w:tc>
          <w:tcPr>
            <w:tcW w:w="1200" w:type="dxa"/>
            <w:vAlign w:val="bottom"/>
            <w:tcBorders>
              <w:right w:val="single" w:sz="8" w:color="007CBA"/>
            </w:tcBorders>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640" w:type="dxa"/>
            <w:vAlign w:val="bottom"/>
            <w:tcBorders>
              <w:right w:val="single" w:sz="8" w:color="007CBA"/>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Borders>
              <w:right w:val="single" w:sz="8" w:color="007CBA"/>
            </w:tcBorders>
          </w:tcPr>
          <w:p>
            <w:pPr>
              <w:spacing w:after="0"/>
              <w:rPr>
                <w:sz w:val="5"/>
                <w:szCs w:val="5"/>
                <w:color w:val="auto"/>
              </w:rPr>
            </w:pPr>
          </w:p>
        </w:tc>
        <w:tc>
          <w:tcPr>
            <w:tcW w:w="880" w:type="dxa"/>
            <w:vAlign w:val="bottom"/>
            <w:tcBorders>
              <w:right w:val="single" w:sz="8" w:color="007CBA"/>
            </w:tcBorders>
          </w:tcPr>
          <w:p>
            <w:pPr>
              <w:spacing w:after="0"/>
              <w:rPr>
                <w:sz w:val="5"/>
                <w:szCs w:val="5"/>
                <w:color w:val="auto"/>
              </w:rPr>
            </w:pPr>
          </w:p>
        </w:tc>
        <w:tc>
          <w:tcPr>
            <w:tcW w:w="860" w:type="dxa"/>
            <w:vAlign w:val="bottom"/>
            <w:tcBorders>
              <w:right w:val="single" w:sz="8" w:color="007CBA"/>
            </w:tcBorders>
          </w:tcPr>
          <w:p>
            <w:pPr>
              <w:spacing w:after="0"/>
              <w:rPr>
                <w:sz w:val="5"/>
                <w:szCs w:val="5"/>
                <w:color w:val="auto"/>
              </w:rPr>
            </w:pPr>
          </w:p>
        </w:tc>
        <w:tc>
          <w:tcPr>
            <w:tcW w:w="880" w:type="dxa"/>
            <w:vAlign w:val="bottom"/>
            <w:tcBorders>
              <w:right w:val="single" w:sz="8" w:color="007CBA"/>
            </w:tcBorders>
          </w:tcPr>
          <w:p>
            <w:pPr>
              <w:spacing w:after="0"/>
              <w:rPr>
                <w:sz w:val="5"/>
                <w:szCs w:val="5"/>
                <w:color w:val="auto"/>
              </w:rPr>
            </w:pPr>
          </w:p>
        </w:tc>
        <w:tc>
          <w:tcPr>
            <w:tcW w:w="720" w:type="dxa"/>
            <w:vAlign w:val="bottom"/>
            <w:tcBorders>
              <w:right w:val="single" w:sz="8" w:color="007CBA"/>
            </w:tcBorders>
          </w:tcPr>
          <w:p>
            <w:pPr>
              <w:spacing w:after="0"/>
              <w:rPr>
                <w:sz w:val="5"/>
                <w:szCs w:val="5"/>
                <w:color w:val="auto"/>
              </w:rPr>
            </w:pPr>
          </w:p>
        </w:tc>
        <w:tc>
          <w:tcPr>
            <w:tcW w:w="1200" w:type="dxa"/>
            <w:vAlign w:val="bottom"/>
            <w:tcBorders>
              <w:right w:val="single" w:sz="8" w:color="007CBA"/>
            </w:tcBorders>
          </w:tcPr>
          <w:p>
            <w:pPr>
              <w:spacing w:after="0"/>
              <w:rPr>
                <w:sz w:val="5"/>
                <w:szCs w:val="5"/>
                <w:color w:val="auto"/>
              </w:rPr>
            </w:pPr>
          </w:p>
        </w:tc>
        <w:tc>
          <w:tcPr>
            <w:tcW w:w="1200" w:type="dxa"/>
            <w:vAlign w:val="bottom"/>
            <w:tcBorders>
              <w:right w:val="single" w:sz="8" w:color="007CBA"/>
            </w:tcBorders>
          </w:tcPr>
          <w:p>
            <w:pPr>
              <w:spacing w:after="0"/>
              <w:rPr>
                <w:sz w:val="5"/>
                <w:szCs w:val="5"/>
                <w:color w:val="auto"/>
              </w:rPr>
            </w:pPr>
          </w:p>
        </w:tc>
        <w:tc>
          <w:tcPr>
            <w:tcW w:w="1200" w:type="dxa"/>
            <w:vAlign w:val="bottom"/>
            <w:tcBorders>
              <w:right w:val="single" w:sz="8" w:color="007CBA"/>
            </w:tcBorders>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640" w:type="dxa"/>
            <w:vAlign w:val="bottom"/>
            <w:tcBorders>
              <w:right w:val="single" w:sz="8" w:color="007CBA"/>
            </w:tcBorders>
          </w:tcPr>
          <w:p>
            <w:pPr>
              <w:spacing w:after="0"/>
              <w:rPr>
                <w:sz w:val="16"/>
                <w:szCs w:val="16"/>
                <w:color w:val="auto"/>
              </w:rPr>
            </w:pPr>
          </w:p>
        </w:tc>
        <w:tc>
          <w:tcPr>
            <w:tcW w:w="560" w:type="dxa"/>
            <w:vAlign w:val="bottom"/>
            <w:tcBorders>
              <w:right w:val="single" w:sz="8" w:color="007CBA"/>
            </w:tcBorders>
            <w:gridSpan w:val="2"/>
          </w:tcPr>
          <w:p>
            <w:pPr>
              <w:ind w:left="120"/>
              <w:spacing w:after="0"/>
              <w:rPr>
                <w:sz w:val="20"/>
                <w:szCs w:val="20"/>
                <w:color w:val="auto"/>
              </w:rPr>
            </w:pPr>
            <w:r>
              <w:rPr>
                <w:rFonts w:ascii="Arial" w:cs="Arial" w:eastAsia="Arial" w:hAnsi="Arial"/>
                <w:sz w:val="14"/>
                <w:szCs w:val="14"/>
                <w:color w:val="auto"/>
              </w:rPr>
              <w:t>2016</w:t>
            </w:r>
          </w:p>
        </w:tc>
        <w:tc>
          <w:tcPr>
            <w:tcW w:w="88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370,050</w:t>
            </w:r>
          </w:p>
        </w:tc>
        <w:tc>
          <w:tcPr>
            <w:tcW w:w="860" w:type="dxa"/>
            <w:vAlign w:val="bottom"/>
            <w:tcBorders>
              <w:right w:val="single" w:sz="8" w:color="007CBA"/>
            </w:tcBorders>
          </w:tcPr>
          <w:p>
            <w:pPr>
              <w:jc w:val="right"/>
              <w:ind w:right="30"/>
              <w:spacing w:after="0"/>
              <w:rPr>
                <w:sz w:val="20"/>
                <w:szCs w:val="20"/>
                <w:color w:val="auto"/>
              </w:rPr>
            </w:pPr>
            <w:r>
              <w:rPr>
                <w:rFonts w:ascii="Arial" w:cs="Arial" w:eastAsia="Arial" w:hAnsi="Arial"/>
                <w:sz w:val="14"/>
                <w:szCs w:val="14"/>
                <w:color w:val="auto"/>
              </w:rPr>
              <w:t>323,276</w:t>
            </w:r>
          </w:p>
        </w:tc>
        <w:tc>
          <w:tcPr>
            <w:tcW w:w="88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629,840</w:t>
            </w:r>
          </w:p>
        </w:tc>
        <w:tc>
          <w:tcPr>
            <w:tcW w:w="720" w:type="dxa"/>
            <w:vAlign w:val="bottom"/>
            <w:tcBorders>
              <w:right w:val="single" w:sz="8" w:color="007CBA"/>
            </w:tcBorders>
          </w:tcPr>
          <w:p>
            <w:pPr>
              <w:spacing w:after="0"/>
              <w:rPr>
                <w:sz w:val="16"/>
                <w:szCs w:val="16"/>
                <w:color w:val="auto"/>
              </w:rPr>
            </w:pPr>
          </w:p>
        </w:tc>
        <w:tc>
          <w:tcPr>
            <w:tcW w:w="1200" w:type="dxa"/>
            <w:vAlign w:val="bottom"/>
            <w:tcBorders>
              <w:right w:val="single" w:sz="8" w:color="007CBA"/>
            </w:tcBorders>
          </w:tcPr>
          <w:p>
            <w:pPr>
              <w:spacing w:after="0"/>
              <w:rPr>
                <w:sz w:val="16"/>
                <w:szCs w:val="16"/>
                <w:color w:val="auto"/>
              </w:rPr>
            </w:pPr>
          </w:p>
        </w:tc>
        <w:tc>
          <w:tcPr>
            <w:tcW w:w="1200" w:type="dxa"/>
            <w:vAlign w:val="bottom"/>
            <w:tcBorders>
              <w:right w:val="single" w:sz="8" w:color="007CBA"/>
            </w:tcBorders>
          </w:tcPr>
          <w:p>
            <w:pPr>
              <w:jc w:val="right"/>
              <w:ind w:right="249"/>
              <w:spacing w:after="0"/>
              <w:rPr>
                <w:sz w:val="20"/>
                <w:szCs w:val="20"/>
                <w:color w:val="auto"/>
              </w:rPr>
            </w:pPr>
            <w:r>
              <w:rPr>
                <w:rFonts w:ascii="Arial" w:cs="Arial" w:eastAsia="Arial" w:hAnsi="Arial"/>
                <w:sz w:val="14"/>
                <w:szCs w:val="14"/>
                <w:color w:val="auto"/>
              </w:rPr>
              <w:t>160,803</w:t>
            </w:r>
          </w:p>
        </w:tc>
        <w:tc>
          <w:tcPr>
            <w:tcW w:w="1200" w:type="dxa"/>
            <w:vAlign w:val="bottom"/>
            <w:tcBorders>
              <w:right w:val="single" w:sz="8" w:color="007CBA"/>
            </w:tcBorders>
          </w:tcPr>
          <w:p>
            <w:pPr>
              <w:jc w:val="right"/>
              <w:ind w:right="249"/>
              <w:spacing w:after="0"/>
              <w:rPr>
                <w:sz w:val="20"/>
                <w:szCs w:val="20"/>
                <w:color w:val="auto"/>
              </w:rPr>
            </w:pPr>
            <w:r>
              <w:rPr>
                <w:rFonts w:ascii="Arial" w:cs="Arial" w:eastAsia="Arial" w:hAnsi="Arial"/>
                <w:sz w:val="14"/>
                <w:szCs w:val="14"/>
                <w:color w:val="auto"/>
              </w:rPr>
              <w:t>71,038</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1,555,007</w:t>
            </w:r>
          </w:p>
        </w:tc>
        <w:tc>
          <w:tcPr>
            <w:tcW w:w="0" w:type="dxa"/>
            <w:vAlign w:val="bottom"/>
          </w:tcPr>
          <w:p>
            <w:pPr>
              <w:spacing w:after="0"/>
              <w:rPr>
                <w:sz w:val="1"/>
                <w:szCs w:val="1"/>
                <w:color w:val="auto"/>
              </w:rPr>
            </w:pPr>
          </w:p>
        </w:tc>
      </w:tr>
      <w:tr>
        <w:trPr>
          <w:trHeight w:val="39"/>
        </w:trPr>
        <w:tc>
          <w:tcPr>
            <w:tcW w:w="2640" w:type="dxa"/>
            <w:vAlign w:val="bottom"/>
            <w:tcBorders>
              <w:right w:val="single" w:sz="8" w:color="007CBA"/>
            </w:tcBorders>
          </w:tcPr>
          <w:p>
            <w:pPr>
              <w:spacing w:after="0"/>
              <w:rPr>
                <w:sz w:val="3"/>
                <w:szCs w:val="3"/>
                <w:color w:val="auto"/>
              </w:rPr>
            </w:pPr>
          </w:p>
        </w:tc>
        <w:tc>
          <w:tcPr>
            <w:tcW w:w="560" w:type="dxa"/>
            <w:vAlign w:val="bottom"/>
            <w:tcBorders>
              <w:right w:val="single" w:sz="8" w:color="007CBA"/>
            </w:tcBorders>
            <w:gridSpan w:val="2"/>
          </w:tcPr>
          <w:p>
            <w:pPr>
              <w:spacing w:after="0"/>
              <w:rPr>
                <w:sz w:val="3"/>
                <w:szCs w:val="3"/>
                <w:color w:val="auto"/>
              </w:rPr>
            </w:pPr>
          </w:p>
        </w:tc>
        <w:tc>
          <w:tcPr>
            <w:tcW w:w="880" w:type="dxa"/>
            <w:vAlign w:val="bottom"/>
            <w:tcBorders>
              <w:right w:val="single" w:sz="8" w:color="007CBA"/>
            </w:tcBorders>
          </w:tcPr>
          <w:p>
            <w:pPr>
              <w:spacing w:after="0"/>
              <w:rPr>
                <w:sz w:val="3"/>
                <w:szCs w:val="3"/>
                <w:color w:val="auto"/>
              </w:rPr>
            </w:pPr>
          </w:p>
        </w:tc>
        <w:tc>
          <w:tcPr>
            <w:tcW w:w="860" w:type="dxa"/>
            <w:vAlign w:val="bottom"/>
            <w:tcBorders>
              <w:right w:val="single" w:sz="8" w:color="007CBA"/>
            </w:tcBorders>
          </w:tcPr>
          <w:p>
            <w:pPr>
              <w:spacing w:after="0"/>
              <w:rPr>
                <w:sz w:val="3"/>
                <w:szCs w:val="3"/>
                <w:color w:val="auto"/>
              </w:rPr>
            </w:pPr>
          </w:p>
        </w:tc>
        <w:tc>
          <w:tcPr>
            <w:tcW w:w="880" w:type="dxa"/>
            <w:vAlign w:val="bottom"/>
            <w:tcBorders>
              <w:right w:val="single" w:sz="8" w:color="007CBA"/>
            </w:tcBorders>
          </w:tcPr>
          <w:p>
            <w:pPr>
              <w:spacing w:after="0"/>
              <w:rPr>
                <w:sz w:val="3"/>
                <w:szCs w:val="3"/>
                <w:color w:val="auto"/>
              </w:rPr>
            </w:pPr>
          </w:p>
        </w:tc>
        <w:tc>
          <w:tcPr>
            <w:tcW w:w="720" w:type="dxa"/>
            <w:vAlign w:val="bottom"/>
            <w:tcBorders>
              <w:right w:val="single" w:sz="8" w:color="007CBA"/>
            </w:tcBorders>
          </w:tcPr>
          <w:p>
            <w:pPr>
              <w:spacing w:after="0"/>
              <w:rPr>
                <w:sz w:val="3"/>
                <w:szCs w:val="3"/>
                <w:color w:val="auto"/>
              </w:rPr>
            </w:pPr>
          </w:p>
        </w:tc>
        <w:tc>
          <w:tcPr>
            <w:tcW w:w="1200" w:type="dxa"/>
            <w:vAlign w:val="bottom"/>
            <w:tcBorders>
              <w:right w:val="single" w:sz="8" w:color="007CBA"/>
            </w:tcBorders>
          </w:tcPr>
          <w:p>
            <w:pPr>
              <w:spacing w:after="0"/>
              <w:rPr>
                <w:sz w:val="3"/>
                <w:szCs w:val="3"/>
                <w:color w:val="auto"/>
              </w:rPr>
            </w:pPr>
          </w:p>
        </w:tc>
        <w:tc>
          <w:tcPr>
            <w:tcW w:w="1200" w:type="dxa"/>
            <w:vAlign w:val="bottom"/>
            <w:tcBorders>
              <w:right w:val="single" w:sz="8" w:color="007CBA"/>
            </w:tcBorders>
          </w:tcPr>
          <w:p>
            <w:pPr>
              <w:spacing w:after="0"/>
              <w:rPr>
                <w:sz w:val="3"/>
                <w:szCs w:val="3"/>
                <w:color w:val="auto"/>
              </w:rPr>
            </w:pPr>
          </w:p>
        </w:tc>
        <w:tc>
          <w:tcPr>
            <w:tcW w:w="1200" w:type="dxa"/>
            <w:vAlign w:val="bottom"/>
            <w:tcBorders>
              <w:right w:val="single" w:sz="8" w:color="007CBA"/>
            </w:tcBorders>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264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b w:val="1"/>
                <w:bCs w:val="1"/>
                <w:color w:val="auto"/>
              </w:rPr>
              <w:t>Daniel L. Grant</w:t>
            </w:r>
          </w:p>
        </w:tc>
        <w:tc>
          <w:tcPr>
            <w:tcW w:w="560" w:type="dxa"/>
            <w:vAlign w:val="bottom"/>
            <w:tcBorders>
              <w:right w:val="single" w:sz="8" w:color="007CBA"/>
            </w:tcBorders>
            <w:gridSpan w:val="2"/>
            <w:shd w:val="clear" w:color="auto" w:fill="E5F1F8"/>
          </w:tcPr>
          <w:p>
            <w:pPr>
              <w:ind w:left="120"/>
              <w:spacing w:after="0"/>
              <w:rPr>
                <w:sz w:val="20"/>
                <w:szCs w:val="20"/>
                <w:color w:val="auto"/>
              </w:rPr>
            </w:pPr>
            <w:r>
              <w:rPr>
                <w:rFonts w:ascii="Arial" w:cs="Arial" w:eastAsia="Arial" w:hAnsi="Arial"/>
                <w:sz w:val="14"/>
                <w:szCs w:val="14"/>
                <w:color w:val="auto"/>
              </w:rPr>
              <w:t>2018</w:t>
            </w:r>
          </w:p>
        </w:tc>
        <w:tc>
          <w:tcPr>
            <w:tcW w:w="88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380,383</w:t>
            </w:r>
          </w:p>
        </w:tc>
        <w:tc>
          <w:tcPr>
            <w:tcW w:w="860" w:type="dxa"/>
            <w:vAlign w:val="bottom"/>
            <w:tcBorders>
              <w:right w:val="single" w:sz="8" w:color="007CBA"/>
            </w:tcBorders>
            <w:shd w:val="clear" w:color="auto" w:fill="E5F1F8"/>
          </w:tcPr>
          <w:p>
            <w:pPr>
              <w:spacing w:after="0"/>
              <w:rPr>
                <w:sz w:val="18"/>
                <w:szCs w:val="18"/>
                <w:color w:val="auto"/>
              </w:rPr>
            </w:pPr>
          </w:p>
        </w:tc>
        <w:tc>
          <w:tcPr>
            <w:tcW w:w="88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527,756</w:t>
            </w:r>
          </w:p>
        </w:tc>
        <w:tc>
          <w:tcPr>
            <w:tcW w:w="720" w:type="dxa"/>
            <w:vAlign w:val="bottom"/>
            <w:tcBorders>
              <w:right w:val="single" w:sz="8" w:color="007CBA"/>
            </w:tcBorders>
            <w:shd w:val="clear" w:color="auto" w:fill="E5F1F8"/>
          </w:tcPr>
          <w:p>
            <w:pPr>
              <w:spacing w:after="0"/>
              <w:rPr>
                <w:sz w:val="18"/>
                <w:szCs w:val="18"/>
                <w:color w:val="auto"/>
              </w:rPr>
            </w:pPr>
          </w:p>
        </w:tc>
        <w:tc>
          <w:tcPr>
            <w:tcW w:w="1200" w:type="dxa"/>
            <w:vAlign w:val="bottom"/>
            <w:tcBorders>
              <w:right w:val="single" w:sz="8" w:color="007CBA"/>
            </w:tcBorders>
            <w:shd w:val="clear" w:color="auto" w:fill="E5F1F8"/>
          </w:tcPr>
          <w:p>
            <w:pPr>
              <w:jc w:val="right"/>
              <w:ind w:right="249"/>
              <w:spacing w:after="0"/>
              <w:rPr>
                <w:sz w:val="20"/>
                <w:szCs w:val="20"/>
                <w:color w:val="auto"/>
              </w:rPr>
            </w:pPr>
            <w:r>
              <w:rPr>
                <w:rFonts w:ascii="Arial" w:cs="Arial" w:eastAsia="Arial" w:hAnsi="Arial"/>
                <w:sz w:val="14"/>
                <w:szCs w:val="14"/>
                <w:color w:val="auto"/>
              </w:rPr>
              <w:t>308,871</w:t>
            </w:r>
          </w:p>
        </w:tc>
        <w:tc>
          <w:tcPr>
            <w:tcW w:w="1200" w:type="dxa"/>
            <w:vAlign w:val="bottom"/>
            <w:tcBorders>
              <w:right w:val="single" w:sz="8" w:color="007CBA"/>
            </w:tcBorders>
            <w:shd w:val="clear" w:color="auto" w:fill="E5F1F8"/>
          </w:tcPr>
          <w:p>
            <w:pPr>
              <w:jc w:val="right"/>
              <w:ind w:right="249"/>
              <w:spacing w:after="0"/>
              <w:rPr>
                <w:sz w:val="20"/>
                <w:szCs w:val="20"/>
                <w:color w:val="auto"/>
              </w:rPr>
            </w:pPr>
            <w:r>
              <w:rPr>
                <w:rFonts w:ascii="Arial" w:cs="Arial" w:eastAsia="Arial" w:hAnsi="Arial"/>
                <w:sz w:val="14"/>
                <w:szCs w:val="14"/>
                <w:color w:val="auto"/>
              </w:rPr>
              <w:t>163,952</w:t>
            </w:r>
          </w:p>
        </w:tc>
        <w:tc>
          <w:tcPr>
            <w:tcW w:w="1200" w:type="dxa"/>
            <w:vAlign w:val="bottom"/>
            <w:tcBorders>
              <w:right w:val="single" w:sz="8" w:color="007CBA"/>
            </w:tcBorders>
            <w:shd w:val="clear" w:color="auto" w:fill="E5F1F8"/>
          </w:tcPr>
          <w:p>
            <w:pPr>
              <w:jc w:val="right"/>
              <w:ind w:right="249"/>
              <w:spacing w:after="0"/>
              <w:rPr>
                <w:sz w:val="20"/>
                <w:szCs w:val="20"/>
                <w:color w:val="auto"/>
              </w:rPr>
            </w:pPr>
            <w:r>
              <w:rPr>
                <w:rFonts w:ascii="Arial" w:cs="Arial" w:eastAsia="Arial" w:hAnsi="Arial"/>
                <w:sz w:val="14"/>
                <w:szCs w:val="14"/>
                <w:color w:val="auto"/>
              </w:rPr>
              <w:t>41,967</w:t>
            </w:r>
          </w:p>
        </w:tc>
        <w:tc>
          <w:tcPr>
            <w:tcW w:w="860" w:type="dxa"/>
            <w:vAlign w:val="bottom"/>
            <w:shd w:val="clear" w:color="auto" w:fill="E5F1F8"/>
          </w:tcPr>
          <w:p>
            <w:pPr>
              <w:jc w:val="right"/>
              <w:ind w:right="28"/>
              <w:spacing w:after="0"/>
              <w:rPr>
                <w:sz w:val="20"/>
                <w:szCs w:val="20"/>
                <w:color w:val="auto"/>
              </w:rPr>
            </w:pPr>
            <w:r>
              <w:rPr>
                <w:rFonts w:ascii="Arial" w:cs="Arial" w:eastAsia="Arial" w:hAnsi="Arial"/>
                <w:sz w:val="14"/>
                <w:szCs w:val="14"/>
                <w:color w:val="auto"/>
              </w:rPr>
              <w:t>1,422,929</w:t>
            </w:r>
          </w:p>
        </w:tc>
        <w:tc>
          <w:tcPr>
            <w:tcW w:w="0" w:type="dxa"/>
            <w:vAlign w:val="bottom"/>
          </w:tcPr>
          <w:p>
            <w:pPr>
              <w:spacing w:after="0"/>
              <w:rPr>
                <w:sz w:val="1"/>
                <w:szCs w:val="1"/>
                <w:color w:val="auto"/>
              </w:rPr>
            </w:pPr>
          </w:p>
        </w:tc>
      </w:tr>
      <w:tr>
        <w:trPr>
          <w:trHeight w:val="162"/>
        </w:trPr>
        <w:tc>
          <w:tcPr>
            <w:tcW w:w="264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Senior Vice President,</w:t>
            </w:r>
          </w:p>
        </w:tc>
        <w:tc>
          <w:tcPr>
            <w:tcW w:w="120" w:type="dxa"/>
            <w:vAlign w:val="bottom"/>
            <w:shd w:val="clear" w:color="auto" w:fill="E5F1F8"/>
          </w:tcPr>
          <w:p>
            <w:pPr>
              <w:spacing w:after="0"/>
              <w:rPr>
                <w:sz w:val="14"/>
                <w:szCs w:val="14"/>
                <w:color w:val="auto"/>
              </w:rPr>
            </w:pPr>
          </w:p>
        </w:tc>
        <w:tc>
          <w:tcPr>
            <w:tcW w:w="440" w:type="dxa"/>
            <w:vAlign w:val="bottom"/>
            <w:tcBorders>
              <w:right w:val="single" w:sz="8" w:color="007CBA"/>
            </w:tcBorders>
            <w:vMerge w:val="restart"/>
            <w:shd w:val="clear" w:color="auto" w:fill="E5F1F8"/>
          </w:tcPr>
          <w:p>
            <w:pPr>
              <w:spacing w:after="0"/>
              <w:rPr>
                <w:sz w:val="20"/>
                <w:szCs w:val="20"/>
                <w:color w:val="auto"/>
              </w:rPr>
            </w:pPr>
            <w:r>
              <w:rPr>
                <w:rFonts w:ascii="Arial" w:cs="Arial" w:eastAsia="Arial" w:hAnsi="Arial"/>
                <w:sz w:val="14"/>
                <w:szCs w:val="14"/>
                <w:color w:val="auto"/>
              </w:rPr>
              <w:t>2017</w:t>
            </w:r>
          </w:p>
        </w:tc>
        <w:tc>
          <w:tcPr>
            <w:tcW w:w="880" w:type="dxa"/>
            <w:vAlign w:val="bottom"/>
            <w:tcBorders>
              <w:right w:val="single" w:sz="8" w:color="007CBA"/>
            </w:tcBorders>
            <w:vMerge w:val="restart"/>
            <w:shd w:val="clear" w:color="auto" w:fill="E5F1F8"/>
          </w:tcPr>
          <w:p>
            <w:pPr>
              <w:jc w:val="right"/>
              <w:ind w:right="49"/>
              <w:spacing w:after="0"/>
              <w:rPr>
                <w:sz w:val="20"/>
                <w:szCs w:val="20"/>
                <w:color w:val="auto"/>
              </w:rPr>
            </w:pPr>
            <w:r>
              <w:rPr>
                <w:rFonts w:ascii="Arial" w:cs="Arial" w:eastAsia="Arial" w:hAnsi="Arial"/>
                <w:sz w:val="14"/>
                <w:szCs w:val="14"/>
                <w:color w:val="auto"/>
              </w:rPr>
              <w:t>360,433</w:t>
            </w:r>
          </w:p>
        </w:tc>
        <w:tc>
          <w:tcPr>
            <w:tcW w:w="860" w:type="dxa"/>
            <w:vAlign w:val="bottom"/>
            <w:tcBorders>
              <w:right w:val="single" w:sz="8" w:color="007CBA"/>
            </w:tcBorders>
            <w:shd w:val="clear" w:color="auto" w:fill="E5F1F8"/>
          </w:tcPr>
          <w:p>
            <w:pPr>
              <w:spacing w:after="0"/>
              <w:rPr>
                <w:sz w:val="14"/>
                <w:szCs w:val="14"/>
                <w:color w:val="auto"/>
              </w:rPr>
            </w:pPr>
          </w:p>
        </w:tc>
        <w:tc>
          <w:tcPr>
            <w:tcW w:w="880" w:type="dxa"/>
            <w:vAlign w:val="bottom"/>
            <w:tcBorders>
              <w:right w:val="single" w:sz="8" w:color="007CBA"/>
            </w:tcBorders>
            <w:vMerge w:val="restart"/>
            <w:shd w:val="clear" w:color="auto" w:fill="E5F1F8"/>
          </w:tcPr>
          <w:p>
            <w:pPr>
              <w:jc w:val="right"/>
              <w:ind w:right="49"/>
              <w:spacing w:after="0"/>
              <w:rPr>
                <w:sz w:val="20"/>
                <w:szCs w:val="20"/>
                <w:color w:val="auto"/>
              </w:rPr>
            </w:pPr>
            <w:r>
              <w:rPr>
                <w:rFonts w:ascii="Arial" w:cs="Arial" w:eastAsia="Arial" w:hAnsi="Arial"/>
                <w:sz w:val="14"/>
                <w:szCs w:val="14"/>
                <w:color w:val="auto"/>
              </w:rPr>
              <w:t>947,503</w:t>
            </w:r>
          </w:p>
        </w:tc>
        <w:tc>
          <w:tcPr>
            <w:tcW w:w="720" w:type="dxa"/>
            <w:vAlign w:val="bottom"/>
            <w:tcBorders>
              <w:right w:val="single" w:sz="8" w:color="007CBA"/>
            </w:tcBorders>
            <w:shd w:val="clear" w:color="auto" w:fill="E5F1F8"/>
          </w:tcPr>
          <w:p>
            <w:pPr>
              <w:spacing w:after="0"/>
              <w:rPr>
                <w:sz w:val="14"/>
                <w:szCs w:val="14"/>
                <w:color w:val="auto"/>
              </w:rPr>
            </w:pPr>
          </w:p>
        </w:tc>
        <w:tc>
          <w:tcPr>
            <w:tcW w:w="1200" w:type="dxa"/>
            <w:vAlign w:val="bottom"/>
            <w:tcBorders>
              <w:right w:val="single" w:sz="8" w:color="007CBA"/>
            </w:tcBorders>
            <w:vMerge w:val="restart"/>
            <w:shd w:val="clear" w:color="auto" w:fill="E5F1F8"/>
          </w:tcPr>
          <w:p>
            <w:pPr>
              <w:jc w:val="right"/>
              <w:ind w:right="249"/>
              <w:spacing w:after="0"/>
              <w:rPr>
                <w:sz w:val="20"/>
                <w:szCs w:val="20"/>
                <w:color w:val="auto"/>
              </w:rPr>
            </w:pPr>
            <w:r>
              <w:rPr>
                <w:rFonts w:ascii="Arial" w:cs="Arial" w:eastAsia="Arial" w:hAnsi="Arial"/>
                <w:sz w:val="14"/>
                <w:szCs w:val="14"/>
                <w:color w:val="auto"/>
              </w:rPr>
              <w:t>255,457</w:t>
            </w:r>
          </w:p>
        </w:tc>
        <w:tc>
          <w:tcPr>
            <w:tcW w:w="1200" w:type="dxa"/>
            <w:vAlign w:val="bottom"/>
            <w:tcBorders>
              <w:right w:val="single" w:sz="8" w:color="007CBA"/>
            </w:tcBorders>
            <w:vMerge w:val="restart"/>
            <w:shd w:val="clear" w:color="auto" w:fill="E5F1F8"/>
          </w:tcPr>
          <w:p>
            <w:pPr>
              <w:jc w:val="right"/>
              <w:ind w:right="249"/>
              <w:spacing w:after="0"/>
              <w:rPr>
                <w:sz w:val="20"/>
                <w:szCs w:val="20"/>
                <w:color w:val="auto"/>
              </w:rPr>
            </w:pPr>
            <w:r>
              <w:rPr>
                <w:rFonts w:ascii="Arial" w:cs="Arial" w:eastAsia="Arial" w:hAnsi="Arial"/>
                <w:sz w:val="14"/>
                <w:szCs w:val="14"/>
                <w:color w:val="auto"/>
              </w:rPr>
              <w:t>193,221</w:t>
            </w:r>
          </w:p>
        </w:tc>
        <w:tc>
          <w:tcPr>
            <w:tcW w:w="1200" w:type="dxa"/>
            <w:vAlign w:val="bottom"/>
            <w:tcBorders>
              <w:right w:val="single" w:sz="8" w:color="007CBA"/>
            </w:tcBorders>
            <w:vMerge w:val="restart"/>
            <w:shd w:val="clear" w:color="auto" w:fill="E5F1F8"/>
          </w:tcPr>
          <w:p>
            <w:pPr>
              <w:jc w:val="right"/>
              <w:ind w:right="249"/>
              <w:spacing w:after="0"/>
              <w:rPr>
                <w:sz w:val="20"/>
                <w:szCs w:val="20"/>
                <w:color w:val="auto"/>
              </w:rPr>
            </w:pPr>
            <w:r>
              <w:rPr>
                <w:rFonts w:ascii="Arial" w:cs="Arial" w:eastAsia="Arial" w:hAnsi="Arial"/>
                <w:sz w:val="14"/>
                <w:szCs w:val="14"/>
                <w:color w:val="auto"/>
              </w:rPr>
              <w:t>38,825</w:t>
            </w:r>
          </w:p>
        </w:tc>
        <w:tc>
          <w:tcPr>
            <w:tcW w:w="860" w:type="dxa"/>
            <w:vAlign w:val="bottom"/>
            <w:vMerge w:val="restart"/>
            <w:shd w:val="clear" w:color="auto" w:fill="E5F1F8"/>
          </w:tcPr>
          <w:p>
            <w:pPr>
              <w:jc w:val="right"/>
              <w:ind w:right="28"/>
              <w:spacing w:after="0"/>
              <w:rPr>
                <w:sz w:val="20"/>
                <w:szCs w:val="20"/>
                <w:color w:val="auto"/>
              </w:rPr>
            </w:pPr>
            <w:r>
              <w:rPr>
                <w:rFonts w:ascii="Arial" w:cs="Arial" w:eastAsia="Arial" w:hAnsi="Arial"/>
                <w:sz w:val="14"/>
                <w:szCs w:val="14"/>
                <w:color w:val="auto"/>
              </w:rPr>
              <w:t>1,795,439</w:t>
            </w:r>
          </w:p>
        </w:tc>
        <w:tc>
          <w:tcPr>
            <w:tcW w:w="0" w:type="dxa"/>
            <w:vAlign w:val="bottom"/>
          </w:tcPr>
          <w:p>
            <w:pPr>
              <w:spacing w:after="0"/>
              <w:rPr>
                <w:sz w:val="1"/>
                <w:szCs w:val="1"/>
                <w:color w:val="auto"/>
              </w:rPr>
            </w:pPr>
          </w:p>
        </w:tc>
      </w:tr>
      <w:tr>
        <w:trPr>
          <w:trHeight w:val="105"/>
        </w:trPr>
        <w:tc>
          <w:tcPr>
            <w:tcW w:w="2640" w:type="dxa"/>
            <w:vAlign w:val="bottom"/>
            <w:tcBorders>
              <w:right w:val="single" w:sz="8" w:color="007CBA"/>
            </w:tcBorders>
            <w:vMerge w:val="restart"/>
            <w:shd w:val="clear" w:color="auto" w:fill="E5F1F8"/>
          </w:tcPr>
          <w:p>
            <w:pPr>
              <w:ind w:left="60"/>
              <w:spacing w:after="0" w:line="144" w:lineRule="exact"/>
              <w:rPr>
                <w:sz w:val="20"/>
                <w:szCs w:val="20"/>
                <w:color w:val="auto"/>
              </w:rPr>
            </w:pPr>
            <w:r>
              <w:rPr>
                <w:rFonts w:ascii="Arial" w:cs="Arial" w:eastAsia="Arial" w:hAnsi="Arial"/>
                <w:sz w:val="14"/>
                <w:szCs w:val="14"/>
                <w:color w:val="auto"/>
              </w:rPr>
              <w:t>Strategy &amp; Development</w:t>
            </w:r>
          </w:p>
        </w:tc>
        <w:tc>
          <w:tcPr>
            <w:tcW w:w="120" w:type="dxa"/>
            <w:vAlign w:val="bottom"/>
            <w:shd w:val="clear" w:color="auto" w:fill="E5F1F8"/>
          </w:tcPr>
          <w:p>
            <w:pPr>
              <w:spacing w:after="0"/>
              <w:rPr>
                <w:sz w:val="9"/>
                <w:szCs w:val="9"/>
                <w:color w:val="auto"/>
              </w:rPr>
            </w:pPr>
          </w:p>
        </w:tc>
        <w:tc>
          <w:tcPr>
            <w:tcW w:w="440" w:type="dxa"/>
            <w:vAlign w:val="bottom"/>
            <w:tcBorders>
              <w:right w:val="single" w:sz="8" w:color="007CBA"/>
            </w:tcBorders>
            <w:vMerge w:val="continue"/>
            <w:shd w:val="clear" w:color="auto" w:fill="E5F1F8"/>
          </w:tcPr>
          <w:p>
            <w:pPr>
              <w:spacing w:after="0"/>
              <w:rPr>
                <w:sz w:val="9"/>
                <w:szCs w:val="9"/>
                <w:color w:val="auto"/>
              </w:rPr>
            </w:pPr>
          </w:p>
        </w:tc>
        <w:tc>
          <w:tcPr>
            <w:tcW w:w="880" w:type="dxa"/>
            <w:vAlign w:val="bottom"/>
            <w:tcBorders>
              <w:right w:val="single" w:sz="8" w:color="007CBA"/>
            </w:tcBorders>
            <w:vMerge w:val="continue"/>
            <w:shd w:val="clear" w:color="auto" w:fill="E5F1F8"/>
          </w:tcPr>
          <w:p>
            <w:pPr>
              <w:spacing w:after="0"/>
              <w:rPr>
                <w:sz w:val="9"/>
                <w:szCs w:val="9"/>
                <w:color w:val="auto"/>
              </w:rPr>
            </w:pPr>
          </w:p>
        </w:tc>
        <w:tc>
          <w:tcPr>
            <w:tcW w:w="860" w:type="dxa"/>
            <w:vAlign w:val="bottom"/>
            <w:tcBorders>
              <w:right w:val="single" w:sz="8" w:color="007CBA"/>
            </w:tcBorders>
            <w:shd w:val="clear" w:color="auto" w:fill="E5F1F8"/>
          </w:tcPr>
          <w:p>
            <w:pPr>
              <w:spacing w:after="0"/>
              <w:rPr>
                <w:sz w:val="9"/>
                <w:szCs w:val="9"/>
                <w:color w:val="auto"/>
              </w:rPr>
            </w:pPr>
          </w:p>
        </w:tc>
        <w:tc>
          <w:tcPr>
            <w:tcW w:w="880" w:type="dxa"/>
            <w:vAlign w:val="bottom"/>
            <w:tcBorders>
              <w:right w:val="single" w:sz="8" w:color="007CBA"/>
            </w:tcBorders>
            <w:vMerge w:val="continue"/>
            <w:shd w:val="clear" w:color="auto" w:fill="E5F1F8"/>
          </w:tcPr>
          <w:p>
            <w:pPr>
              <w:spacing w:after="0"/>
              <w:rPr>
                <w:sz w:val="9"/>
                <w:szCs w:val="9"/>
                <w:color w:val="auto"/>
              </w:rPr>
            </w:pPr>
          </w:p>
        </w:tc>
        <w:tc>
          <w:tcPr>
            <w:tcW w:w="720" w:type="dxa"/>
            <w:vAlign w:val="bottom"/>
            <w:tcBorders>
              <w:right w:val="single" w:sz="8" w:color="007CBA"/>
            </w:tcBorders>
            <w:shd w:val="clear" w:color="auto" w:fill="E5F1F8"/>
          </w:tcPr>
          <w:p>
            <w:pPr>
              <w:spacing w:after="0"/>
              <w:rPr>
                <w:sz w:val="9"/>
                <w:szCs w:val="9"/>
                <w:color w:val="auto"/>
              </w:rPr>
            </w:pPr>
          </w:p>
        </w:tc>
        <w:tc>
          <w:tcPr>
            <w:tcW w:w="1200" w:type="dxa"/>
            <w:vAlign w:val="bottom"/>
            <w:tcBorders>
              <w:right w:val="single" w:sz="8" w:color="007CBA"/>
            </w:tcBorders>
            <w:vMerge w:val="continue"/>
            <w:shd w:val="clear" w:color="auto" w:fill="E5F1F8"/>
          </w:tcPr>
          <w:p>
            <w:pPr>
              <w:spacing w:after="0"/>
              <w:rPr>
                <w:sz w:val="9"/>
                <w:szCs w:val="9"/>
                <w:color w:val="auto"/>
              </w:rPr>
            </w:pPr>
          </w:p>
        </w:tc>
        <w:tc>
          <w:tcPr>
            <w:tcW w:w="1200" w:type="dxa"/>
            <w:vAlign w:val="bottom"/>
            <w:tcBorders>
              <w:right w:val="single" w:sz="8" w:color="007CBA"/>
            </w:tcBorders>
            <w:vMerge w:val="continue"/>
            <w:shd w:val="clear" w:color="auto" w:fill="E5F1F8"/>
          </w:tcPr>
          <w:p>
            <w:pPr>
              <w:spacing w:after="0"/>
              <w:rPr>
                <w:sz w:val="9"/>
                <w:szCs w:val="9"/>
                <w:color w:val="auto"/>
              </w:rPr>
            </w:pPr>
          </w:p>
        </w:tc>
        <w:tc>
          <w:tcPr>
            <w:tcW w:w="1200" w:type="dxa"/>
            <w:vAlign w:val="bottom"/>
            <w:tcBorders>
              <w:right w:val="single" w:sz="8" w:color="007CBA"/>
            </w:tcBorders>
            <w:vMerge w:val="continue"/>
            <w:shd w:val="clear" w:color="auto" w:fill="E5F1F8"/>
          </w:tcPr>
          <w:p>
            <w:pPr>
              <w:spacing w:after="0"/>
              <w:rPr>
                <w:sz w:val="9"/>
                <w:szCs w:val="9"/>
                <w:color w:val="auto"/>
              </w:rPr>
            </w:pPr>
          </w:p>
        </w:tc>
        <w:tc>
          <w:tcPr>
            <w:tcW w:w="860" w:type="dxa"/>
            <w:vAlign w:val="bottom"/>
            <w:vMerge w:val="continue"/>
            <w:shd w:val="clear" w:color="auto" w:fill="E5F1F8"/>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640" w:type="dxa"/>
            <w:vAlign w:val="bottom"/>
            <w:tcBorders>
              <w:right w:val="single" w:sz="8" w:color="007CBA"/>
            </w:tcBorders>
            <w:vMerge w:val="continue"/>
            <w:shd w:val="clear" w:color="auto" w:fill="E5F1F8"/>
          </w:tcPr>
          <w:p>
            <w:pPr>
              <w:spacing w:after="0"/>
              <w:rPr>
                <w:sz w:val="3"/>
                <w:szCs w:val="3"/>
                <w:color w:val="auto"/>
              </w:rPr>
            </w:pPr>
          </w:p>
        </w:tc>
        <w:tc>
          <w:tcPr>
            <w:tcW w:w="120" w:type="dxa"/>
            <w:vAlign w:val="bottom"/>
            <w:shd w:val="clear" w:color="auto" w:fill="E5F1F8"/>
          </w:tcPr>
          <w:p>
            <w:pPr>
              <w:spacing w:after="0"/>
              <w:rPr>
                <w:sz w:val="3"/>
                <w:szCs w:val="3"/>
                <w:color w:val="auto"/>
              </w:rPr>
            </w:pPr>
          </w:p>
        </w:tc>
        <w:tc>
          <w:tcPr>
            <w:tcW w:w="440" w:type="dxa"/>
            <w:vAlign w:val="bottom"/>
            <w:tcBorders>
              <w:right w:val="single" w:sz="8" w:color="007CBA"/>
            </w:tcBorders>
            <w:shd w:val="clear" w:color="auto" w:fill="E5F1F8"/>
          </w:tcPr>
          <w:p>
            <w:pPr>
              <w:spacing w:after="0"/>
              <w:rPr>
                <w:sz w:val="3"/>
                <w:szCs w:val="3"/>
                <w:color w:val="auto"/>
              </w:rPr>
            </w:pPr>
          </w:p>
        </w:tc>
        <w:tc>
          <w:tcPr>
            <w:tcW w:w="880" w:type="dxa"/>
            <w:vAlign w:val="bottom"/>
            <w:tcBorders>
              <w:right w:val="single" w:sz="8" w:color="007CBA"/>
            </w:tcBorders>
            <w:shd w:val="clear" w:color="auto" w:fill="E5F1F8"/>
          </w:tcPr>
          <w:p>
            <w:pPr>
              <w:spacing w:after="0"/>
              <w:rPr>
                <w:sz w:val="3"/>
                <w:szCs w:val="3"/>
                <w:color w:val="auto"/>
              </w:rPr>
            </w:pPr>
          </w:p>
        </w:tc>
        <w:tc>
          <w:tcPr>
            <w:tcW w:w="860" w:type="dxa"/>
            <w:vAlign w:val="bottom"/>
            <w:tcBorders>
              <w:right w:val="single" w:sz="8" w:color="007CBA"/>
            </w:tcBorders>
            <w:shd w:val="clear" w:color="auto" w:fill="E5F1F8"/>
          </w:tcPr>
          <w:p>
            <w:pPr>
              <w:spacing w:after="0"/>
              <w:rPr>
                <w:sz w:val="3"/>
                <w:szCs w:val="3"/>
                <w:color w:val="auto"/>
              </w:rPr>
            </w:pPr>
          </w:p>
        </w:tc>
        <w:tc>
          <w:tcPr>
            <w:tcW w:w="880" w:type="dxa"/>
            <w:vAlign w:val="bottom"/>
            <w:tcBorders>
              <w:right w:val="single" w:sz="8" w:color="007CBA"/>
            </w:tcBorders>
            <w:shd w:val="clear" w:color="auto" w:fill="E5F1F8"/>
          </w:tcPr>
          <w:p>
            <w:pPr>
              <w:spacing w:after="0"/>
              <w:rPr>
                <w:sz w:val="3"/>
                <w:szCs w:val="3"/>
                <w:color w:val="auto"/>
              </w:rPr>
            </w:pPr>
          </w:p>
        </w:tc>
        <w:tc>
          <w:tcPr>
            <w:tcW w:w="720" w:type="dxa"/>
            <w:vAlign w:val="bottom"/>
            <w:tcBorders>
              <w:right w:val="single" w:sz="8" w:color="007CBA"/>
            </w:tcBorders>
            <w:shd w:val="clear" w:color="auto" w:fill="E5F1F8"/>
          </w:tcPr>
          <w:p>
            <w:pPr>
              <w:spacing w:after="0"/>
              <w:rPr>
                <w:sz w:val="3"/>
                <w:szCs w:val="3"/>
                <w:color w:val="auto"/>
              </w:rPr>
            </w:pPr>
          </w:p>
        </w:tc>
        <w:tc>
          <w:tcPr>
            <w:tcW w:w="1200" w:type="dxa"/>
            <w:vAlign w:val="bottom"/>
            <w:tcBorders>
              <w:right w:val="single" w:sz="8" w:color="007CBA"/>
            </w:tcBorders>
            <w:shd w:val="clear" w:color="auto" w:fill="E5F1F8"/>
          </w:tcPr>
          <w:p>
            <w:pPr>
              <w:spacing w:after="0"/>
              <w:rPr>
                <w:sz w:val="3"/>
                <w:szCs w:val="3"/>
                <w:color w:val="auto"/>
              </w:rPr>
            </w:pPr>
          </w:p>
        </w:tc>
        <w:tc>
          <w:tcPr>
            <w:tcW w:w="1200" w:type="dxa"/>
            <w:vAlign w:val="bottom"/>
            <w:tcBorders>
              <w:right w:val="single" w:sz="8" w:color="007CBA"/>
            </w:tcBorders>
            <w:shd w:val="clear" w:color="auto" w:fill="E5F1F8"/>
          </w:tcPr>
          <w:p>
            <w:pPr>
              <w:spacing w:after="0"/>
              <w:rPr>
                <w:sz w:val="3"/>
                <w:szCs w:val="3"/>
                <w:color w:val="auto"/>
              </w:rPr>
            </w:pPr>
          </w:p>
        </w:tc>
        <w:tc>
          <w:tcPr>
            <w:tcW w:w="1200" w:type="dxa"/>
            <w:vAlign w:val="bottom"/>
            <w:tcBorders>
              <w:right w:val="single" w:sz="8" w:color="007CBA"/>
            </w:tcBorders>
            <w:shd w:val="clear" w:color="auto" w:fill="E5F1F8"/>
          </w:tcPr>
          <w:p>
            <w:pPr>
              <w:spacing w:after="0"/>
              <w:rPr>
                <w:sz w:val="3"/>
                <w:szCs w:val="3"/>
                <w:color w:val="auto"/>
              </w:rPr>
            </w:pPr>
          </w:p>
        </w:tc>
        <w:tc>
          <w:tcPr>
            <w:tcW w:w="860" w:type="dxa"/>
            <w:vAlign w:val="bottom"/>
            <w:shd w:val="clear" w:color="auto" w:fill="E5F1F8"/>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6"/>
        </w:trPr>
        <w:tc>
          <w:tcPr>
            <w:tcW w:w="2640" w:type="dxa"/>
            <w:vAlign w:val="bottom"/>
            <w:tcBorders>
              <w:bottom w:val="single" w:sz="8" w:color="E5F1F8"/>
              <w:right w:val="single" w:sz="8" w:color="007CBA"/>
            </w:tcBorders>
            <w:shd w:val="clear" w:color="auto" w:fill="E5F1F8"/>
          </w:tcPr>
          <w:p>
            <w:pPr>
              <w:spacing w:after="0"/>
              <w:rPr>
                <w:sz w:val="20"/>
                <w:szCs w:val="20"/>
                <w:color w:val="auto"/>
              </w:rPr>
            </w:pPr>
          </w:p>
        </w:tc>
        <w:tc>
          <w:tcPr>
            <w:tcW w:w="120" w:type="dxa"/>
            <w:vAlign w:val="bottom"/>
            <w:tcBorders>
              <w:bottom w:val="single" w:sz="8" w:color="E5F1F8"/>
            </w:tcBorders>
            <w:shd w:val="clear" w:color="auto" w:fill="E5F1F8"/>
          </w:tcPr>
          <w:p>
            <w:pPr>
              <w:spacing w:after="0"/>
              <w:rPr>
                <w:sz w:val="20"/>
                <w:szCs w:val="20"/>
                <w:color w:val="auto"/>
              </w:rPr>
            </w:pPr>
          </w:p>
        </w:tc>
        <w:tc>
          <w:tcPr>
            <w:tcW w:w="440" w:type="dxa"/>
            <w:vAlign w:val="bottom"/>
            <w:tcBorders>
              <w:bottom w:val="single" w:sz="8" w:color="E5F1F8"/>
              <w:right w:val="single" w:sz="8" w:color="007CBA"/>
            </w:tcBorders>
            <w:shd w:val="clear" w:color="auto" w:fill="E5F1F8"/>
          </w:tcPr>
          <w:p>
            <w:pPr>
              <w:spacing w:after="0"/>
              <w:rPr>
                <w:sz w:val="20"/>
                <w:szCs w:val="20"/>
                <w:color w:val="auto"/>
              </w:rPr>
            </w:pPr>
            <w:r>
              <w:rPr>
                <w:rFonts w:ascii="Arial" w:cs="Arial" w:eastAsia="Arial" w:hAnsi="Arial"/>
                <w:sz w:val="14"/>
                <w:szCs w:val="14"/>
                <w:color w:val="auto"/>
              </w:rPr>
              <w:t>2016</w:t>
            </w:r>
          </w:p>
        </w:tc>
        <w:tc>
          <w:tcPr>
            <w:tcW w:w="880" w:type="dxa"/>
            <w:vAlign w:val="bottom"/>
            <w:tcBorders>
              <w:bottom w:val="single" w:sz="8" w:color="E5F1F8"/>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349,250</w:t>
            </w:r>
          </w:p>
        </w:tc>
        <w:tc>
          <w:tcPr>
            <w:tcW w:w="860" w:type="dxa"/>
            <w:vAlign w:val="bottom"/>
            <w:tcBorders>
              <w:bottom w:val="single" w:sz="8" w:color="E5F1F8"/>
              <w:right w:val="single" w:sz="8" w:color="007CBA"/>
            </w:tcBorders>
            <w:shd w:val="clear" w:color="auto" w:fill="E5F1F8"/>
          </w:tcPr>
          <w:p>
            <w:pPr>
              <w:jc w:val="right"/>
              <w:ind w:right="30"/>
              <w:spacing w:after="0"/>
              <w:rPr>
                <w:sz w:val="20"/>
                <w:szCs w:val="20"/>
                <w:color w:val="auto"/>
              </w:rPr>
            </w:pPr>
            <w:r>
              <w:rPr>
                <w:rFonts w:ascii="Arial" w:cs="Arial" w:eastAsia="Arial" w:hAnsi="Arial"/>
                <w:sz w:val="14"/>
                <w:szCs w:val="14"/>
                <w:color w:val="auto"/>
              </w:rPr>
              <w:t>303,149</w:t>
            </w:r>
          </w:p>
        </w:tc>
        <w:tc>
          <w:tcPr>
            <w:tcW w:w="880" w:type="dxa"/>
            <w:vAlign w:val="bottom"/>
            <w:tcBorders>
              <w:bottom w:val="single" w:sz="8" w:color="E5F1F8"/>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525,032</w:t>
            </w:r>
          </w:p>
        </w:tc>
        <w:tc>
          <w:tcPr>
            <w:tcW w:w="720" w:type="dxa"/>
            <w:vAlign w:val="bottom"/>
            <w:tcBorders>
              <w:bottom w:val="single" w:sz="8" w:color="E5F1F8"/>
              <w:right w:val="single" w:sz="8" w:color="007CBA"/>
            </w:tcBorders>
            <w:shd w:val="clear" w:color="auto" w:fill="E5F1F8"/>
          </w:tcPr>
          <w:p>
            <w:pPr>
              <w:spacing w:after="0"/>
              <w:rPr>
                <w:sz w:val="20"/>
                <w:szCs w:val="20"/>
                <w:color w:val="auto"/>
              </w:rPr>
            </w:pPr>
          </w:p>
        </w:tc>
        <w:tc>
          <w:tcPr>
            <w:tcW w:w="1200" w:type="dxa"/>
            <w:vAlign w:val="bottom"/>
            <w:tcBorders>
              <w:bottom w:val="single" w:sz="8" w:color="E5F1F8"/>
              <w:right w:val="single" w:sz="8" w:color="007CBA"/>
            </w:tcBorders>
            <w:shd w:val="clear" w:color="auto" w:fill="E5F1F8"/>
          </w:tcPr>
          <w:p>
            <w:pPr>
              <w:spacing w:after="0"/>
              <w:rPr>
                <w:sz w:val="20"/>
                <w:szCs w:val="20"/>
                <w:color w:val="auto"/>
              </w:rPr>
            </w:pPr>
          </w:p>
        </w:tc>
        <w:tc>
          <w:tcPr>
            <w:tcW w:w="1200" w:type="dxa"/>
            <w:vAlign w:val="bottom"/>
            <w:tcBorders>
              <w:bottom w:val="single" w:sz="8" w:color="E5F1F8"/>
              <w:right w:val="single" w:sz="8" w:color="007CBA"/>
            </w:tcBorders>
            <w:shd w:val="clear" w:color="auto" w:fill="E5F1F8"/>
          </w:tcPr>
          <w:p>
            <w:pPr>
              <w:jc w:val="right"/>
              <w:ind w:right="249"/>
              <w:spacing w:after="0"/>
              <w:rPr>
                <w:sz w:val="20"/>
                <w:szCs w:val="20"/>
                <w:color w:val="auto"/>
              </w:rPr>
            </w:pPr>
            <w:r>
              <w:rPr>
                <w:rFonts w:ascii="Arial" w:cs="Arial" w:eastAsia="Arial" w:hAnsi="Arial"/>
                <w:sz w:val="14"/>
                <w:szCs w:val="14"/>
                <w:color w:val="auto"/>
              </w:rPr>
              <w:t>98,052</w:t>
            </w:r>
          </w:p>
        </w:tc>
        <w:tc>
          <w:tcPr>
            <w:tcW w:w="1200" w:type="dxa"/>
            <w:vAlign w:val="bottom"/>
            <w:tcBorders>
              <w:bottom w:val="single" w:sz="8" w:color="E5F1F8"/>
              <w:right w:val="single" w:sz="8" w:color="007CBA"/>
            </w:tcBorders>
            <w:shd w:val="clear" w:color="auto" w:fill="E5F1F8"/>
          </w:tcPr>
          <w:p>
            <w:pPr>
              <w:jc w:val="right"/>
              <w:ind w:right="249"/>
              <w:spacing w:after="0"/>
              <w:rPr>
                <w:sz w:val="20"/>
                <w:szCs w:val="20"/>
                <w:color w:val="auto"/>
              </w:rPr>
            </w:pPr>
            <w:r>
              <w:rPr>
                <w:rFonts w:ascii="Arial" w:cs="Arial" w:eastAsia="Arial" w:hAnsi="Arial"/>
                <w:sz w:val="14"/>
                <w:szCs w:val="14"/>
                <w:color w:val="auto"/>
              </w:rPr>
              <w:t>63,434</w:t>
            </w:r>
          </w:p>
        </w:tc>
        <w:tc>
          <w:tcPr>
            <w:tcW w:w="860" w:type="dxa"/>
            <w:vAlign w:val="bottom"/>
            <w:tcBorders>
              <w:bottom w:val="single" w:sz="8" w:color="E5F1F8"/>
            </w:tcBorders>
            <w:shd w:val="clear" w:color="auto" w:fill="E5F1F8"/>
          </w:tcPr>
          <w:p>
            <w:pPr>
              <w:jc w:val="right"/>
              <w:ind w:right="28"/>
              <w:spacing w:after="0"/>
              <w:rPr>
                <w:sz w:val="20"/>
                <w:szCs w:val="20"/>
                <w:color w:val="auto"/>
              </w:rPr>
            </w:pPr>
            <w:r>
              <w:rPr>
                <w:rFonts w:ascii="Arial" w:cs="Arial" w:eastAsia="Arial" w:hAnsi="Arial"/>
                <w:sz w:val="14"/>
                <w:szCs w:val="14"/>
                <w:color w:val="auto"/>
              </w:rPr>
              <w:t>1,338,917</w:t>
            </w:r>
          </w:p>
        </w:tc>
        <w:tc>
          <w:tcPr>
            <w:tcW w:w="0" w:type="dxa"/>
            <w:vAlign w:val="bottom"/>
          </w:tcPr>
          <w:p>
            <w:pPr>
              <w:spacing w:after="0"/>
              <w:rPr>
                <w:sz w:val="1"/>
                <w:szCs w:val="1"/>
                <w:color w:val="auto"/>
              </w:rPr>
            </w:pPr>
          </w:p>
        </w:tc>
      </w:tr>
      <w:tr>
        <w:trPr>
          <w:trHeight w:val="20"/>
        </w:trPr>
        <w:tc>
          <w:tcPr>
            <w:tcW w:w="2640" w:type="dxa"/>
            <w:vAlign w:val="bottom"/>
            <w:tcBorders>
              <w:right w:val="single" w:sz="8" w:color="007CBA"/>
            </w:tcBorders>
            <w:shd w:val="clear" w:color="auto" w:fill="007CBA"/>
          </w:tcPr>
          <w:p>
            <w:pPr>
              <w:spacing w:after="0" w:line="20" w:lineRule="exact"/>
              <w:rPr>
                <w:sz w:val="1"/>
                <w:szCs w:val="1"/>
                <w:color w:val="auto"/>
              </w:rPr>
            </w:pPr>
          </w:p>
        </w:tc>
        <w:tc>
          <w:tcPr>
            <w:tcW w:w="120" w:type="dxa"/>
            <w:vAlign w:val="bottom"/>
            <w:shd w:val="clear" w:color="auto" w:fill="007CBA"/>
          </w:tcPr>
          <w:p>
            <w:pPr>
              <w:spacing w:after="0" w:line="20" w:lineRule="exact"/>
              <w:rPr>
                <w:sz w:val="1"/>
                <w:szCs w:val="1"/>
                <w:color w:val="auto"/>
              </w:rPr>
            </w:pPr>
          </w:p>
        </w:tc>
        <w:tc>
          <w:tcPr>
            <w:tcW w:w="440" w:type="dxa"/>
            <w:vAlign w:val="bottom"/>
            <w:tcBorders>
              <w:right w:val="single" w:sz="8" w:color="007CBA"/>
            </w:tcBorders>
            <w:shd w:val="clear" w:color="auto" w:fill="007CBA"/>
          </w:tcPr>
          <w:p>
            <w:pPr>
              <w:spacing w:after="0" w:line="20" w:lineRule="exact"/>
              <w:rPr>
                <w:sz w:val="1"/>
                <w:szCs w:val="1"/>
                <w:color w:val="auto"/>
              </w:rPr>
            </w:pPr>
          </w:p>
        </w:tc>
        <w:tc>
          <w:tcPr>
            <w:tcW w:w="880" w:type="dxa"/>
            <w:vAlign w:val="bottom"/>
            <w:tcBorders>
              <w:right w:val="single" w:sz="8" w:color="007CBA"/>
            </w:tcBorders>
            <w:shd w:val="clear" w:color="auto" w:fill="007CBA"/>
          </w:tcPr>
          <w:p>
            <w:pPr>
              <w:spacing w:after="0" w:line="20" w:lineRule="exact"/>
              <w:rPr>
                <w:sz w:val="1"/>
                <w:szCs w:val="1"/>
                <w:color w:val="auto"/>
              </w:rPr>
            </w:pPr>
          </w:p>
        </w:tc>
        <w:tc>
          <w:tcPr>
            <w:tcW w:w="860" w:type="dxa"/>
            <w:vAlign w:val="bottom"/>
            <w:tcBorders>
              <w:right w:val="single" w:sz="8" w:color="007CBA"/>
            </w:tcBorders>
            <w:shd w:val="clear" w:color="auto" w:fill="007CBA"/>
          </w:tcPr>
          <w:p>
            <w:pPr>
              <w:spacing w:after="0" w:line="20" w:lineRule="exact"/>
              <w:rPr>
                <w:sz w:val="1"/>
                <w:szCs w:val="1"/>
                <w:color w:val="auto"/>
              </w:rPr>
            </w:pPr>
          </w:p>
        </w:tc>
        <w:tc>
          <w:tcPr>
            <w:tcW w:w="880" w:type="dxa"/>
            <w:vAlign w:val="bottom"/>
            <w:tcBorders>
              <w:right w:val="single" w:sz="8" w:color="007CBA"/>
            </w:tcBorders>
            <w:shd w:val="clear" w:color="auto" w:fill="007CBA"/>
          </w:tcPr>
          <w:p>
            <w:pPr>
              <w:spacing w:after="0" w:line="20" w:lineRule="exact"/>
              <w:rPr>
                <w:sz w:val="1"/>
                <w:szCs w:val="1"/>
                <w:color w:val="auto"/>
              </w:rPr>
            </w:pPr>
          </w:p>
        </w:tc>
        <w:tc>
          <w:tcPr>
            <w:tcW w:w="720" w:type="dxa"/>
            <w:vAlign w:val="bottom"/>
            <w:tcBorders>
              <w:right w:val="single" w:sz="8" w:color="007CBA"/>
            </w:tcBorders>
            <w:shd w:val="clear" w:color="auto" w:fill="007CBA"/>
          </w:tcPr>
          <w:p>
            <w:pPr>
              <w:spacing w:after="0" w:line="20" w:lineRule="exact"/>
              <w:rPr>
                <w:sz w:val="1"/>
                <w:szCs w:val="1"/>
                <w:color w:val="auto"/>
              </w:rPr>
            </w:pPr>
          </w:p>
        </w:tc>
        <w:tc>
          <w:tcPr>
            <w:tcW w:w="1200" w:type="dxa"/>
            <w:vAlign w:val="bottom"/>
            <w:tcBorders>
              <w:right w:val="single" w:sz="8" w:color="007CBA"/>
            </w:tcBorders>
            <w:shd w:val="clear" w:color="auto" w:fill="007CBA"/>
          </w:tcPr>
          <w:p>
            <w:pPr>
              <w:spacing w:after="0" w:line="20" w:lineRule="exact"/>
              <w:rPr>
                <w:sz w:val="1"/>
                <w:szCs w:val="1"/>
                <w:color w:val="auto"/>
              </w:rPr>
            </w:pPr>
          </w:p>
        </w:tc>
        <w:tc>
          <w:tcPr>
            <w:tcW w:w="1200" w:type="dxa"/>
            <w:vAlign w:val="bottom"/>
            <w:tcBorders>
              <w:right w:val="single" w:sz="8" w:color="007CBA"/>
            </w:tcBorders>
            <w:shd w:val="clear" w:color="auto" w:fill="007CBA"/>
          </w:tcPr>
          <w:p>
            <w:pPr>
              <w:spacing w:after="0" w:line="20" w:lineRule="exact"/>
              <w:rPr>
                <w:sz w:val="1"/>
                <w:szCs w:val="1"/>
                <w:color w:val="auto"/>
              </w:rPr>
            </w:pPr>
          </w:p>
        </w:tc>
        <w:tc>
          <w:tcPr>
            <w:tcW w:w="1200" w:type="dxa"/>
            <w:vAlign w:val="bottom"/>
            <w:tcBorders>
              <w:right w:val="single" w:sz="8" w:color="007CBA"/>
            </w:tcBorders>
            <w:shd w:val="clear" w:color="auto" w:fill="007CBA"/>
          </w:tcPr>
          <w:p>
            <w:pPr>
              <w:spacing w:after="0" w:line="20" w:lineRule="exact"/>
              <w:rPr>
                <w:sz w:val="1"/>
                <w:szCs w:val="1"/>
                <w:color w:val="auto"/>
              </w:rPr>
            </w:pPr>
          </w:p>
        </w:tc>
        <w:tc>
          <w:tcPr>
            <w:tcW w:w="860" w:type="dxa"/>
            <w:vAlign w:val="bottom"/>
            <w:shd w:val="clear" w:color="auto" w:fill="007CB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hanging="130"/>
        <w:spacing w:after="0" w:line="224" w:lineRule="auto"/>
        <w:tabs>
          <w:tab w:leader="none" w:pos="340" w:val="left"/>
        </w:tabs>
        <w:numPr>
          <w:ilvl w:val="0"/>
          <w:numId w:val="122"/>
        </w:numPr>
        <w:rPr>
          <w:rFonts w:ascii="Arial" w:cs="Arial" w:eastAsia="Arial" w:hAnsi="Arial"/>
          <w:sz w:val="24"/>
          <w:szCs w:val="24"/>
          <w:color w:val="auto"/>
          <w:vertAlign w:val="superscript"/>
        </w:rPr>
      </w:pPr>
      <w:r>
        <w:rPr>
          <w:rFonts w:ascii="Arial" w:cs="Arial" w:eastAsia="Arial" w:hAnsi="Arial"/>
          <w:sz w:val="14"/>
          <w:szCs w:val="14"/>
          <w:color w:val="auto"/>
        </w:rPr>
        <w:t>The amounts in column (c) reflect the base salary actually paid. Mr. Nickolas’ employment with the Company began in August 2017.</w:t>
      </w:r>
    </w:p>
    <w:p>
      <w:pPr>
        <w:spacing w:after="0" w:line="71" w:lineRule="exact"/>
        <w:rPr>
          <w:sz w:val="20"/>
          <w:szCs w:val="20"/>
          <w:color w:val="auto"/>
        </w:rPr>
      </w:pPr>
    </w:p>
    <w:p>
      <w:pPr>
        <w:jc w:val="both"/>
        <w:ind w:left="340" w:hanging="130"/>
        <w:spacing w:after="0" w:line="207" w:lineRule="auto"/>
        <w:tabs>
          <w:tab w:leader="none" w:pos="340" w:val="left"/>
        </w:tabs>
        <w:numPr>
          <w:ilvl w:val="0"/>
          <w:numId w:val="123"/>
        </w:numPr>
        <w:rPr>
          <w:rFonts w:ascii="Arial" w:cs="Arial" w:eastAsia="Arial" w:hAnsi="Arial"/>
          <w:sz w:val="24"/>
          <w:szCs w:val="24"/>
          <w:color w:val="auto"/>
          <w:vertAlign w:val="superscript"/>
        </w:rPr>
      </w:pPr>
      <w:r>
        <w:rPr>
          <w:rFonts w:ascii="Arial" w:cs="Arial" w:eastAsia="Arial" w:hAnsi="Arial"/>
          <w:sz w:val="14"/>
          <w:szCs w:val="14"/>
          <w:color w:val="auto"/>
        </w:rPr>
        <w:t xml:space="preserve">The amounts in column (d) for 2016 reflects the cash bonuses to the named individuals earned under annual incentive arrangements. The amounts in this column include the amounts of bonus irrevocably deferred in common stock units at the election of each named executive officer pursuant to Martin Marietta’s Incentive Stock Plan, which is discussed in further detail on page 45 under the heading </w:t>
      </w:r>
      <w:r>
        <w:rPr>
          <w:rFonts w:ascii="Arial" w:cs="Arial" w:eastAsia="Arial" w:hAnsi="Arial"/>
          <w:sz w:val="14"/>
          <w:szCs w:val="14"/>
          <w:i w:val="1"/>
          <w:iCs w:val="1"/>
          <w:color w:val="auto"/>
        </w:rPr>
        <w:t>“Annual Incentive Feature: Performance-Based Stock Purchase Plan.”</w:t>
      </w:r>
      <w:r>
        <w:rPr>
          <w:rFonts w:ascii="Arial" w:cs="Arial" w:eastAsia="Arial" w:hAnsi="Arial"/>
          <w:sz w:val="14"/>
          <w:szCs w:val="14"/>
          <w:color w:val="auto"/>
        </w:rPr>
        <w:t xml:space="preserve"> Column (e) includes the amounts mandatorily deferred in 2016 under the Incentive Stock Plan.</w:t>
      </w:r>
    </w:p>
    <w:p>
      <w:pPr>
        <w:spacing w:after="0" w:line="74" w:lineRule="exact"/>
        <w:rPr>
          <w:sz w:val="20"/>
          <w:szCs w:val="20"/>
          <w:color w:val="auto"/>
        </w:rPr>
      </w:pPr>
    </w:p>
    <w:p>
      <w:pPr>
        <w:jc w:val="both"/>
        <w:ind w:left="340" w:hanging="130"/>
        <w:spacing w:after="0" w:line="225" w:lineRule="auto"/>
        <w:tabs>
          <w:tab w:leader="none" w:pos="340" w:val="left"/>
        </w:tabs>
        <w:numPr>
          <w:ilvl w:val="0"/>
          <w:numId w:val="124"/>
        </w:numPr>
        <w:rPr>
          <w:rFonts w:ascii="Arial" w:cs="Arial" w:eastAsia="Arial" w:hAnsi="Arial"/>
          <w:sz w:val="24"/>
          <w:szCs w:val="24"/>
          <w:color w:val="auto"/>
          <w:vertAlign w:val="superscript"/>
        </w:rPr>
      </w:pPr>
      <w:r>
        <w:rPr>
          <w:rFonts w:ascii="Arial" w:cs="Arial" w:eastAsia="Arial" w:hAnsi="Arial"/>
          <w:sz w:val="14"/>
          <w:szCs w:val="14"/>
          <w:color w:val="auto"/>
        </w:rPr>
        <w:t xml:space="preserve">The amounts in column (e) reflect the aggregate grant date fair value of awards made in the year reported, determined in accordance with FASB ASC Topic 718 (without any assumption for early forfeiture), of awards of RSUs; and awards of PSUs, which are described in more detail on pages 46 to 48 under the heading </w:t>
      </w:r>
      <w:r>
        <w:rPr>
          <w:rFonts w:ascii="Arial" w:cs="Arial" w:eastAsia="Arial" w:hAnsi="Arial"/>
          <w:sz w:val="14"/>
          <w:szCs w:val="14"/>
          <w:i w:val="1"/>
          <w:iCs w:val="1"/>
          <w:color w:val="auto"/>
        </w:rPr>
        <w:t>“2018 Long-Term</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Incentive Compensation.” </w:t>
      </w:r>
      <w:r>
        <w:rPr>
          <w:rFonts w:ascii="Arial" w:cs="Arial" w:eastAsia="Arial" w:hAnsi="Arial"/>
          <w:sz w:val="14"/>
          <w:szCs w:val="14"/>
          <w:color w:val="auto"/>
        </w:rPr>
        <w:t>The amounts included in the table reflects the value of the units granted, which are subject to forfeiture if the executive does not remain in the</w:t>
      </w:r>
      <w:r>
        <w:rPr>
          <w:rFonts w:ascii="Arial" w:cs="Arial" w:eastAsia="Arial" w:hAnsi="Arial"/>
          <w:sz w:val="14"/>
          <w:szCs w:val="14"/>
          <w:i w:val="1"/>
          <w:iCs w:val="1"/>
          <w:color w:val="auto"/>
        </w:rPr>
        <w:t xml:space="preserve"> </w:t>
      </w:r>
      <w:r>
        <w:rPr>
          <w:rFonts w:ascii="Arial" w:cs="Arial" w:eastAsia="Arial" w:hAnsi="Arial"/>
          <w:sz w:val="14"/>
          <w:szCs w:val="14"/>
          <w:color w:val="auto"/>
        </w:rPr>
        <w:t>employment of Martin Marietta for the requisite time period (generally three years) and if Martin Marietta does not achieve the performance criteria, where applicable. The amounts reported for 2016 include awards related to the amount of cash bonus irrevocably and mandatorily deferred in common stock units by each named executive officer pursuant to Martin Marietta’s Incentive Stock Plan, which is discussed in further detail on page 45 under the heading “Annual Incentive Feature: Performance-Based Stock Purchase Plan”. The amounts in column (e) for 2016 do not include the 20% discount on the Incentive Stock Plan units, which is reported in column (i). The amount in column (e) includes PSUs based on the target level of performance. Assuming the maximum payout under the PSUs granted in 2018, whose payout will be determined in February 2021 based on the Company’s performance in 2018-2020, the amounts reported above for 2018 would be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3517265</wp:posOffset>
            </wp:positionH>
            <wp:positionV relativeFrom="paragraph">
              <wp:posOffset>85090</wp:posOffset>
            </wp:positionV>
            <wp:extent cx="410845" cy="2482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149" w:lineRule="exact"/>
        <w:rPr>
          <w:sz w:val="20"/>
          <w:szCs w:val="20"/>
          <w:color w:val="auto"/>
        </w:rPr>
      </w:pPr>
    </w:p>
    <w:p>
      <w:pPr>
        <w:ind w:left="640" w:hanging="430"/>
        <w:spacing w:after="0"/>
        <w:tabs>
          <w:tab w:leader="none" w:pos="640" w:val="left"/>
        </w:tabs>
        <w:numPr>
          <w:ilvl w:val="0"/>
          <w:numId w:val="125"/>
        </w:numPr>
        <w:rPr>
          <w:rFonts w:ascii="Arial" w:cs="Arial" w:eastAsia="Arial" w:hAnsi="Arial"/>
          <w:sz w:val="13"/>
          <w:szCs w:val="13"/>
          <w:b w:val="1"/>
          <w:bCs w:val="1"/>
          <w:color w:val="auto"/>
        </w:rPr>
      </w:pPr>
      <w:r>
        <w:rPr>
          <w:rFonts w:ascii="Arial" w:cs="Arial" w:eastAsia="Arial" w:hAnsi="Arial"/>
          <w:sz w:val="13"/>
          <w:szCs w:val="13"/>
          <w:color w:val="007CBA"/>
        </w:rPr>
        <w:t>2019 PROXY STATEMENT</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9" w:lineRule="exact"/>
        <w:rPr>
          <w:sz w:val="20"/>
          <w:szCs w:val="20"/>
          <w:color w:val="auto"/>
        </w:rPr>
      </w:pPr>
    </w:p>
    <w:p>
      <w:pPr>
        <w:ind w:left="7500"/>
        <w:spacing w:after="0" w:line="251" w:lineRule="exact"/>
        <w:tabs>
          <w:tab w:leader="none" w:pos="9420" w:val="left"/>
        </w:tabs>
        <w:rPr>
          <w:sz w:val="20"/>
          <w:szCs w:val="20"/>
          <w:color w:val="auto"/>
        </w:rPr>
      </w:pPr>
      <w:r>
        <w:rPr>
          <w:rFonts w:ascii="Arial" w:cs="Arial" w:eastAsia="Arial" w:hAnsi="Arial"/>
          <w:sz w:val="13"/>
          <w:szCs w:val="13"/>
          <w:color w:val="auto"/>
        </w:rPr>
        <w:t>Summary Compensation Table</w:t>
      </w:r>
      <w:r>
        <w:rPr>
          <w:sz w:val="20"/>
          <w:szCs w:val="20"/>
          <w:color w:val="auto"/>
        </w:rPr>
        <w:tab/>
      </w:r>
      <w:r>
        <w:rPr>
          <w:rFonts w:ascii="MS PGothic" w:cs="MS PGothic" w:eastAsia="MS PGothic" w:hAnsi="MS PGothic"/>
          <w:sz w:val="25"/>
          <w:szCs w:val="25"/>
          <w:color w:val="007CBA"/>
        </w:rPr>
        <w:t xml:space="preserve">◆ </w:t>
      </w:r>
      <w:r>
        <w:rPr>
          <w:rFonts w:ascii="Arial" w:cs="Arial" w:eastAsia="Arial" w:hAnsi="Arial"/>
          <w:sz w:val="13"/>
          <w:szCs w:val="13"/>
          <w:color w:val="007CBA"/>
        </w:rPr>
        <w:t>Executive Compensation</w:t>
      </w:r>
    </w:p>
    <w:p>
      <w:pPr>
        <w:spacing w:after="0" w:line="200" w:lineRule="exact"/>
        <w:rPr>
          <w:sz w:val="20"/>
          <w:szCs w:val="20"/>
          <w:color w:val="auto"/>
        </w:rPr>
      </w:pPr>
    </w:p>
    <w:p>
      <w:pPr>
        <w:spacing w:after="0" w:line="280" w:lineRule="exact"/>
        <w:rPr>
          <w:sz w:val="20"/>
          <w:szCs w:val="20"/>
          <w:color w:val="auto"/>
        </w:rPr>
      </w:pPr>
    </w:p>
    <w:p>
      <w:pPr>
        <w:jc w:val="both"/>
        <w:ind w:left="320"/>
        <w:spacing w:after="0" w:line="246" w:lineRule="auto"/>
        <w:rPr>
          <w:sz w:val="20"/>
          <w:szCs w:val="20"/>
          <w:color w:val="auto"/>
        </w:rPr>
      </w:pPr>
      <w:r>
        <w:rPr>
          <w:rFonts w:ascii="Arial" w:cs="Arial" w:eastAsia="Arial" w:hAnsi="Arial"/>
          <w:sz w:val="14"/>
          <w:szCs w:val="14"/>
          <w:color w:val="auto"/>
        </w:rPr>
        <w:t>Mr. Nye, $5,245,457; Mr. Nickolas, $1,032,205; Ms. Bar, $1,129,304; Mr. McCunniff, $723,493; and Mr. Grant, $591,037. Assumptions used in the calculation of these amounts are included in Note A to Martin Marietta’s audited financial statements for the fiscal year ended December 31, 2018, included in Martin Marietta’s Annual Report on Form 10-K filed with the SEC on February 25, 2019. The amounts of cash bonus deferred in 2018 for each named executive officer are included in column (e) as follows: Mr. Nye, $1,050,000; Mr. Nickolas, $112,918; Ms. Bar, $212,962; Mr. McCunniff, $92,542; and Mr. Grant, $77,218.</w:t>
      </w:r>
    </w:p>
    <w:p>
      <w:pPr>
        <w:ind w:left="340" w:hanging="130"/>
        <w:spacing w:after="0" w:line="209" w:lineRule="auto"/>
        <w:tabs>
          <w:tab w:leader="none" w:pos="340" w:val="left"/>
        </w:tabs>
        <w:numPr>
          <w:ilvl w:val="0"/>
          <w:numId w:val="126"/>
        </w:numPr>
        <w:rPr>
          <w:rFonts w:ascii="Arial" w:cs="Arial" w:eastAsia="Arial" w:hAnsi="Arial"/>
          <w:sz w:val="24"/>
          <w:szCs w:val="24"/>
          <w:color w:val="auto"/>
          <w:vertAlign w:val="superscript"/>
        </w:rPr>
      </w:pPr>
      <w:r>
        <w:rPr>
          <w:rFonts w:ascii="Arial" w:cs="Arial" w:eastAsia="Arial" w:hAnsi="Arial"/>
          <w:sz w:val="14"/>
          <w:szCs w:val="14"/>
          <w:color w:val="auto"/>
        </w:rPr>
        <w:t>The Company does not issue SARs and has not granted any options since 2015. The Stock-Based Award Plan prohibits share recycling for options or SARs.</w:t>
      </w:r>
    </w:p>
    <w:p>
      <w:pPr>
        <w:spacing w:after="0" w:line="71" w:lineRule="exact"/>
        <w:rPr>
          <w:sz w:val="20"/>
          <w:szCs w:val="20"/>
          <w:color w:val="auto"/>
        </w:rPr>
      </w:pPr>
    </w:p>
    <w:p>
      <w:pPr>
        <w:jc w:val="both"/>
        <w:ind w:left="340" w:right="20" w:hanging="130"/>
        <w:spacing w:after="0" w:line="199" w:lineRule="auto"/>
        <w:tabs>
          <w:tab w:leader="none" w:pos="340" w:val="left"/>
        </w:tabs>
        <w:numPr>
          <w:ilvl w:val="0"/>
          <w:numId w:val="127"/>
        </w:numPr>
        <w:rPr>
          <w:rFonts w:ascii="Arial" w:cs="Arial" w:eastAsia="Arial" w:hAnsi="Arial"/>
          <w:sz w:val="24"/>
          <w:szCs w:val="24"/>
          <w:color w:val="auto"/>
          <w:vertAlign w:val="superscript"/>
        </w:rPr>
      </w:pPr>
      <w:r>
        <w:rPr>
          <w:rFonts w:ascii="Arial" w:cs="Arial" w:eastAsia="Arial" w:hAnsi="Arial"/>
          <w:sz w:val="14"/>
          <w:szCs w:val="14"/>
          <w:color w:val="auto"/>
        </w:rPr>
        <w:t xml:space="preserve">The amounts in column (g) for 2018 reflect the cash paid to the named individuals earned in 2018 and paid in 2019 under annual incentive arrangements discussed in further detail on pages 44 to 46 under the heading </w:t>
      </w:r>
      <w:r>
        <w:rPr>
          <w:rFonts w:ascii="Arial" w:cs="Arial" w:eastAsia="Arial" w:hAnsi="Arial"/>
          <w:sz w:val="14"/>
          <w:szCs w:val="14"/>
          <w:i w:val="1"/>
          <w:iCs w:val="1"/>
          <w:color w:val="auto"/>
        </w:rPr>
        <w:t>“2018 Annual Cash Incentive Goals and Results”</w:t>
      </w:r>
      <w:r>
        <w:rPr>
          <w:rFonts w:ascii="Arial" w:cs="Arial" w:eastAsia="Arial" w:hAnsi="Arial"/>
          <w:sz w:val="14"/>
          <w:szCs w:val="14"/>
          <w:color w:val="auto"/>
        </w:rPr>
        <w:t xml:space="preserve"> and not deferred pursuant to Martin Marietta’s Incentive Stock Plan, which is discussed in further detail on page 45 under the heading </w:t>
      </w:r>
      <w:r>
        <w:rPr>
          <w:rFonts w:ascii="Arial" w:cs="Arial" w:eastAsia="Arial" w:hAnsi="Arial"/>
          <w:sz w:val="14"/>
          <w:szCs w:val="14"/>
          <w:i w:val="1"/>
          <w:iCs w:val="1"/>
          <w:color w:val="auto"/>
        </w:rPr>
        <w:t>“Annual Incentive Feature: Performance-Based Stock Purchase Plan.”</w:t>
      </w:r>
    </w:p>
    <w:p>
      <w:pPr>
        <w:spacing w:after="0" w:line="71" w:lineRule="exact"/>
        <w:rPr>
          <w:sz w:val="20"/>
          <w:szCs w:val="20"/>
          <w:color w:val="auto"/>
        </w:rPr>
      </w:pPr>
    </w:p>
    <w:p>
      <w:pPr>
        <w:jc w:val="both"/>
        <w:ind w:left="320" w:hanging="110"/>
        <w:spacing w:after="0"/>
        <w:tabs>
          <w:tab w:leader="none" w:pos="320" w:val="left"/>
        </w:tabs>
        <w:numPr>
          <w:ilvl w:val="0"/>
          <w:numId w:val="128"/>
        </w:numPr>
        <w:rPr>
          <w:rFonts w:ascii="Arial" w:cs="Arial" w:eastAsia="Arial" w:hAnsi="Arial"/>
          <w:sz w:val="24"/>
          <w:szCs w:val="24"/>
          <w:color w:val="auto"/>
          <w:vertAlign w:val="superscript"/>
        </w:rPr>
      </w:pPr>
      <w:r>
        <w:rPr>
          <w:rFonts w:ascii="Arial" w:cs="Arial" w:eastAsia="Arial" w:hAnsi="Arial"/>
          <w:sz w:val="14"/>
          <w:szCs w:val="14"/>
          <w:color w:val="auto"/>
        </w:rPr>
        <w:t>The amounts in column (h) reflect the aggregate increase in the actuarial present value of the named executive officer’s accumulated benefits during 2018, 2017 and 2016, respectively, under all defined benefit retirement plans established by Martin Marietta determined using interest rate and mortality rate assumptions consistent with those used in Martin Marietta’s financial statements and include amounts which the named executive officer may not currently be entitled to receive because such amounts are not vested.</w:t>
      </w:r>
    </w:p>
    <w:p>
      <w:pPr>
        <w:spacing w:after="0" w:line="130" w:lineRule="exact"/>
        <w:rPr>
          <w:sz w:val="20"/>
          <w:szCs w:val="20"/>
          <w:color w:val="auto"/>
        </w:rPr>
      </w:pPr>
    </w:p>
    <w:p>
      <w:pPr>
        <w:jc w:val="both"/>
        <w:ind w:left="340" w:hanging="130"/>
        <w:spacing w:after="0"/>
        <w:tabs>
          <w:tab w:leader="none" w:pos="340" w:val="left"/>
        </w:tabs>
        <w:numPr>
          <w:ilvl w:val="0"/>
          <w:numId w:val="129"/>
        </w:numPr>
        <w:rPr>
          <w:rFonts w:ascii="Arial" w:cs="Arial" w:eastAsia="Arial" w:hAnsi="Arial"/>
          <w:sz w:val="24"/>
          <w:szCs w:val="24"/>
          <w:color w:val="auto"/>
          <w:vertAlign w:val="superscript"/>
        </w:rPr>
      </w:pPr>
      <w:r>
        <w:rPr>
          <w:rFonts w:ascii="Arial" w:cs="Arial" w:eastAsia="Arial" w:hAnsi="Arial"/>
          <w:sz w:val="14"/>
          <w:szCs w:val="14"/>
          <w:color w:val="auto"/>
        </w:rPr>
        <w:t>The amount shown in column (i) for 2018 reflects for each named executive officer: matching contributions allocated by Martin Marietta to each of the named executive officers pursuant to the Savings and Investment Plan, which is more fully described on page 59 under the heading “</w:t>
      </w:r>
      <w:r>
        <w:rPr>
          <w:rFonts w:ascii="Arial" w:cs="Arial" w:eastAsia="Arial" w:hAnsi="Arial"/>
          <w:sz w:val="14"/>
          <w:szCs w:val="14"/>
          <w:i w:val="1"/>
          <w:iCs w:val="1"/>
          <w:color w:val="auto"/>
        </w:rPr>
        <w:t>Retirement and Other Benefits</w:t>
      </w:r>
      <w:r>
        <w:rPr>
          <w:rFonts w:ascii="Arial" w:cs="Arial" w:eastAsia="Arial" w:hAnsi="Arial"/>
          <w:sz w:val="14"/>
          <w:szCs w:val="14"/>
          <w:color w:val="auto"/>
        </w:rPr>
        <w:t>” in the following amounts: Mr. Nye, $9,625; Mr. Nickolas, $8,638; Ms. Bar, $9,555; Mr. McCunniff, $9,625; and Mr. Grant, $8,228; the value attributable to life insurance benefits provided to the named executive officers, which is more fully described on page 59 under the heading “</w:t>
      </w:r>
      <w:r>
        <w:rPr>
          <w:rFonts w:ascii="Arial" w:cs="Arial" w:eastAsia="Arial" w:hAnsi="Arial"/>
          <w:sz w:val="14"/>
          <w:szCs w:val="14"/>
          <w:i w:val="1"/>
          <w:iCs w:val="1"/>
          <w:color w:val="auto"/>
        </w:rPr>
        <w:t>Retirement and Other Benefits</w:t>
      </w:r>
      <w:r>
        <w:rPr>
          <w:rFonts w:ascii="Arial" w:cs="Arial" w:eastAsia="Arial" w:hAnsi="Arial"/>
          <w:sz w:val="14"/>
          <w:szCs w:val="14"/>
          <w:color w:val="auto"/>
        </w:rPr>
        <w:t>” in the following amounts: Mr. Nye, $10,062; Mr. Nickolas, $1,659; Ms. Bar, $5,995; Mr. McCunniff, $9,422; and Mr. Grant, $5,630; the value attributable to personal use of leased automobiles provided by Martin Marietta in the following amounts: Mr. Nye, $10,794; Mr. Nickolas, $13,608; Ms. Bar, $11,873; Mr. McCunniff, $13,409, and Mr. Grant, $8,847; dividend equivalents on RSUs in the following amounts: Mr. Nye, $79,610; Mr. Nickolas, $0; Ms. Bar, $25,535; Mr. McCunniff, $19,687; and Mr. Grant, $19,262; and for Mr. Nickolas, a moving bonus of $60,489 in connection with his employment that began in August 2017. These values are included as compensation on the W-2 of named executive officers who receive such benefits. Each such named executive officer is responsible for paying income tax on such amount. The amounts in column (i) also reflect the 20% discount from the market price of Martin Marietta’s common stock pursuant to the elective deferrals under the Incentive Stock Plan in 2016, and the dollar value of dividend equivalents on units credited under the equity awards as computed for financial statement reporting purposes for each fiscal year ended December 31, 2018, 2017 and 2016 in accordance with FASB ASC Topic 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3439795</wp:posOffset>
            </wp:positionH>
            <wp:positionV relativeFrom="paragraph">
              <wp:posOffset>127000</wp:posOffset>
            </wp:positionV>
            <wp:extent cx="410845" cy="2482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199" w:lineRule="exact"/>
        <w:rPr>
          <w:sz w:val="20"/>
          <w:szCs w:val="20"/>
          <w:color w:val="auto"/>
        </w:rPr>
      </w:pPr>
    </w:p>
    <w:tbl>
      <w:tblPr>
        <w:tblLayout w:type="fixed"/>
        <w:tblInd w:w="926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2019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55</w:t>
            </w:r>
          </w:p>
        </w:tc>
      </w:tr>
    </w:tbl>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9" w:lineRule="exact"/>
        <w:rPr>
          <w:sz w:val="20"/>
          <w:szCs w:val="20"/>
          <w:color w:val="auto"/>
        </w:rPr>
      </w:pPr>
    </w:p>
    <w:p>
      <w:pPr>
        <w:ind w:left="220"/>
        <w:spacing w:after="0" w:line="251" w:lineRule="exact"/>
        <w:tabs>
          <w:tab w:leader="none" w:pos="1800" w:val="left"/>
        </w:tabs>
        <w:rPr>
          <w:sz w:val="20"/>
          <w:szCs w:val="20"/>
          <w:color w:val="auto"/>
        </w:rPr>
      </w:pPr>
      <w:r>
        <w:rPr>
          <w:rFonts w:ascii="Arial" w:cs="Arial" w:eastAsia="Arial" w:hAnsi="Arial"/>
          <w:sz w:val="13"/>
          <w:szCs w:val="13"/>
          <w:color w:val="007CBA"/>
        </w:rPr>
        <w:t>Executive Compensation</w:t>
      </w:r>
      <w:r>
        <w:rPr>
          <w:sz w:val="20"/>
          <w:szCs w:val="20"/>
          <w:color w:val="auto"/>
        </w:rPr>
        <w:tab/>
      </w:r>
      <w:r>
        <w:rPr>
          <w:rFonts w:ascii="MS PGothic" w:cs="MS PGothic" w:eastAsia="MS PGothic" w:hAnsi="MS PGothic"/>
          <w:sz w:val="25"/>
          <w:szCs w:val="25"/>
          <w:color w:val="007CBA"/>
        </w:rPr>
        <w:t xml:space="preserve">◆ </w:t>
      </w:r>
      <w:r>
        <w:rPr>
          <w:rFonts w:ascii="Arial" w:cs="Arial" w:eastAsia="Arial" w:hAnsi="Arial"/>
          <w:sz w:val="13"/>
          <w:szCs w:val="13"/>
          <w:color w:val="000000"/>
        </w:rPr>
        <w:t>Grants of Plan-Based Awards</w:t>
      </w: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7CBA"/>
        </w:rPr>
        <w:t>Grants of Plan-Based Awards</w:t>
      </w:r>
    </w:p>
    <w:p>
      <w:pPr>
        <w:spacing w:after="0" w:line="150" w:lineRule="exact"/>
        <w:rPr>
          <w:sz w:val="20"/>
          <w:szCs w:val="20"/>
          <w:color w:val="auto"/>
        </w:rPr>
      </w:pPr>
    </w:p>
    <w:p>
      <w:pPr>
        <w:ind w:left="220" w:right="20"/>
        <w:spacing w:after="0" w:line="260" w:lineRule="auto"/>
        <w:rPr>
          <w:sz w:val="20"/>
          <w:szCs w:val="20"/>
          <w:color w:val="auto"/>
        </w:rPr>
      </w:pPr>
      <w:r>
        <w:rPr>
          <w:rFonts w:ascii="Arial" w:cs="Arial" w:eastAsia="Arial" w:hAnsi="Arial"/>
          <w:sz w:val="16"/>
          <w:szCs w:val="16"/>
          <w:color w:val="auto"/>
        </w:rPr>
        <w:t>The table below shows each grant of an award made to a named executive officer in the fiscal year ended December 31, 2018. This includes equity awards made to the named executive officers under the Stock Plan and the Incentive Stock Plan.</w:t>
      </w:r>
    </w:p>
    <w:p>
      <w:pPr>
        <w:spacing w:after="0" w:line="383"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GRANTS OF PLAN-BASED AWARDS TABLE</w:t>
      </w:r>
    </w:p>
    <w:p>
      <w:pPr>
        <w:spacing w:after="0" w:line="262" w:lineRule="exact"/>
        <w:rPr>
          <w:sz w:val="20"/>
          <w:szCs w:val="20"/>
          <w:color w:val="auto"/>
        </w:rPr>
      </w:pPr>
    </w:p>
    <w:tbl>
      <w:tblPr>
        <w:tblLayout w:type="fixed"/>
        <w:tblInd w:w="220" w:type="dxa"/>
        <w:tblCellMar>
          <w:top w:w="0" w:type="dxa"/>
          <w:left w:w="0" w:type="dxa"/>
          <w:bottom w:w="0" w:type="dxa"/>
          <w:right w:w="0" w:type="dxa"/>
        </w:tblCellMar>
      </w:tblPr>
      <w:tr>
        <w:trPr>
          <w:trHeight w:val="159"/>
        </w:trPr>
        <w:tc>
          <w:tcPr>
            <w:tcW w:w="3820" w:type="dxa"/>
            <w:vAlign w:val="bottom"/>
            <w:tcBorders>
              <w:right w:val="single" w:sz="8" w:color="007CBA"/>
            </w:tcBorders>
            <w:shd w:val="clear" w:color="auto" w:fill="007CBA"/>
          </w:tcPr>
          <w:p>
            <w:pPr>
              <w:spacing w:after="0"/>
              <w:rPr>
                <w:sz w:val="13"/>
                <w:szCs w:val="13"/>
                <w:color w:val="auto"/>
              </w:rPr>
            </w:pPr>
          </w:p>
        </w:tc>
        <w:tc>
          <w:tcPr>
            <w:tcW w:w="740" w:type="dxa"/>
            <w:vAlign w:val="bottom"/>
            <w:tcBorders>
              <w:right w:val="single" w:sz="8" w:color="007CBA"/>
            </w:tcBorders>
            <w:shd w:val="clear" w:color="auto" w:fill="007CBA"/>
          </w:tcPr>
          <w:p>
            <w:pPr>
              <w:spacing w:after="0"/>
              <w:rPr>
                <w:sz w:val="13"/>
                <w:szCs w:val="13"/>
                <w:color w:val="auto"/>
              </w:rPr>
            </w:pPr>
          </w:p>
        </w:tc>
        <w:tc>
          <w:tcPr>
            <w:tcW w:w="860" w:type="dxa"/>
            <w:vAlign w:val="bottom"/>
            <w:tcBorders>
              <w:right w:val="single" w:sz="8" w:color="007CBA"/>
            </w:tcBorders>
            <w:shd w:val="clear" w:color="auto" w:fill="007CBA"/>
          </w:tcPr>
          <w:p>
            <w:pPr>
              <w:spacing w:after="0"/>
              <w:rPr>
                <w:sz w:val="13"/>
                <w:szCs w:val="13"/>
                <w:color w:val="auto"/>
              </w:rPr>
            </w:pPr>
          </w:p>
        </w:tc>
        <w:tc>
          <w:tcPr>
            <w:tcW w:w="760" w:type="dxa"/>
            <w:vAlign w:val="bottom"/>
            <w:tcBorders>
              <w:right w:val="single" w:sz="8" w:color="007CBA"/>
            </w:tcBorders>
            <w:shd w:val="clear" w:color="auto" w:fill="007CBA"/>
          </w:tcPr>
          <w:p>
            <w:pPr>
              <w:spacing w:after="0"/>
              <w:rPr>
                <w:sz w:val="13"/>
                <w:szCs w:val="13"/>
                <w:color w:val="auto"/>
              </w:rPr>
            </w:pPr>
          </w:p>
        </w:tc>
        <w:tc>
          <w:tcPr>
            <w:tcW w:w="60" w:type="dxa"/>
            <w:vAlign w:val="bottom"/>
            <w:shd w:val="clear" w:color="auto" w:fill="007CBA"/>
          </w:tcPr>
          <w:p>
            <w:pPr>
              <w:spacing w:after="0"/>
              <w:rPr>
                <w:sz w:val="13"/>
                <w:szCs w:val="13"/>
                <w:color w:val="auto"/>
              </w:rPr>
            </w:pPr>
          </w:p>
        </w:tc>
        <w:tc>
          <w:tcPr>
            <w:tcW w:w="820" w:type="dxa"/>
            <w:vAlign w:val="bottom"/>
            <w:tcBorders>
              <w:right w:val="single" w:sz="8" w:color="007CBA"/>
            </w:tcBorders>
            <w:shd w:val="clear" w:color="auto" w:fill="007CBA"/>
          </w:tcPr>
          <w:p>
            <w:pPr>
              <w:spacing w:after="0"/>
              <w:rPr>
                <w:sz w:val="13"/>
                <w:szCs w:val="13"/>
                <w:color w:val="auto"/>
              </w:rPr>
            </w:pPr>
          </w:p>
        </w:tc>
        <w:tc>
          <w:tcPr>
            <w:tcW w:w="840" w:type="dxa"/>
            <w:vAlign w:val="bottom"/>
            <w:tcBorders>
              <w:right w:val="single" w:sz="8" w:color="007CBA"/>
            </w:tcBorders>
            <w:shd w:val="clear" w:color="auto" w:fill="007CBA"/>
          </w:tcPr>
          <w:p>
            <w:pPr>
              <w:spacing w:after="0"/>
              <w:rPr>
                <w:sz w:val="13"/>
                <w:szCs w:val="13"/>
                <w:color w:val="auto"/>
              </w:rPr>
            </w:pPr>
          </w:p>
        </w:tc>
        <w:tc>
          <w:tcPr>
            <w:tcW w:w="600" w:type="dxa"/>
            <w:vAlign w:val="bottom"/>
            <w:tcBorders>
              <w:right w:val="single" w:sz="8" w:color="007CBA"/>
            </w:tcBorders>
            <w:shd w:val="clear" w:color="auto" w:fill="007CBA"/>
          </w:tcPr>
          <w:p>
            <w:pPr>
              <w:spacing w:after="0"/>
              <w:rPr>
                <w:sz w:val="13"/>
                <w:szCs w:val="13"/>
                <w:color w:val="auto"/>
              </w:rPr>
            </w:pPr>
          </w:p>
        </w:tc>
        <w:tc>
          <w:tcPr>
            <w:tcW w:w="80" w:type="dxa"/>
            <w:vAlign w:val="bottom"/>
            <w:shd w:val="clear" w:color="auto" w:fill="007CBA"/>
          </w:tcPr>
          <w:p>
            <w:pPr>
              <w:spacing w:after="0"/>
              <w:rPr>
                <w:sz w:val="13"/>
                <w:szCs w:val="13"/>
                <w:color w:val="auto"/>
              </w:rPr>
            </w:pPr>
          </w:p>
        </w:tc>
        <w:tc>
          <w:tcPr>
            <w:tcW w:w="740" w:type="dxa"/>
            <w:vAlign w:val="bottom"/>
            <w:tcBorders>
              <w:right w:val="single" w:sz="8" w:color="007CBA"/>
            </w:tcBorders>
            <w:shd w:val="clear" w:color="auto" w:fill="007CBA"/>
          </w:tcPr>
          <w:p>
            <w:pPr>
              <w:spacing w:after="0"/>
              <w:rPr>
                <w:sz w:val="13"/>
                <w:szCs w:val="13"/>
                <w:color w:val="auto"/>
              </w:rPr>
            </w:pPr>
          </w:p>
        </w:tc>
        <w:tc>
          <w:tcPr>
            <w:tcW w:w="8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rPr>
              <w:t>All Other</w:t>
            </w:r>
          </w:p>
        </w:tc>
        <w:tc>
          <w:tcPr>
            <w:tcW w:w="880" w:type="dxa"/>
            <w:vAlign w:val="bottom"/>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20" w:type="dxa"/>
            <w:vAlign w:val="bottom"/>
            <w:tcBorders>
              <w:right w:val="single" w:sz="8" w:color="007CBA"/>
            </w:tcBorders>
            <w:shd w:val="clear" w:color="auto" w:fill="007CBA"/>
          </w:tcPr>
          <w:p>
            <w:pPr>
              <w:spacing w:after="0"/>
              <w:rPr>
                <w:sz w:val="12"/>
                <w:szCs w:val="12"/>
                <w:color w:val="auto"/>
              </w:rPr>
            </w:pPr>
          </w:p>
        </w:tc>
        <w:tc>
          <w:tcPr>
            <w:tcW w:w="740" w:type="dxa"/>
            <w:vAlign w:val="bottom"/>
            <w:tcBorders>
              <w:right w:val="single" w:sz="8" w:color="007CBA"/>
            </w:tcBorders>
            <w:shd w:val="clear" w:color="auto" w:fill="007CBA"/>
          </w:tcPr>
          <w:p>
            <w:pPr>
              <w:spacing w:after="0"/>
              <w:rPr>
                <w:sz w:val="12"/>
                <w:szCs w:val="12"/>
                <w:color w:val="auto"/>
              </w:rPr>
            </w:pPr>
          </w:p>
        </w:tc>
        <w:tc>
          <w:tcPr>
            <w:tcW w:w="860" w:type="dxa"/>
            <w:vAlign w:val="bottom"/>
            <w:tcBorders>
              <w:right w:val="single" w:sz="8" w:color="007CBA"/>
            </w:tcBorders>
            <w:shd w:val="clear" w:color="auto" w:fill="007CBA"/>
          </w:tcPr>
          <w:p>
            <w:pPr>
              <w:spacing w:after="0"/>
              <w:rPr>
                <w:sz w:val="12"/>
                <w:szCs w:val="12"/>
                <w:color w:val="auto"/>
              </w:rPr>
            </w:pPr>
          </w:p>
        </w:tc>
        <w:tc>
          <w:tcPr>
            <w:tcW w:w="760" w:type="dxa"/>
            <w:vAlign w:val="bottom"/>
            <w:tcBorders>
              <w:right w:val="single" w:sz="8" w:color="007CBA"/>
            </w:tcBorders>
            <w:shd w:val="clear" w:color="auto" w:fill="007CBA"/>
          </w:tcPr>
          <w:p>
            <w:pPr>
              <w:spacing w:after="0"/>
              <w:rPr>
                <w:sz w:val="12"/>
                <w:szCs w:val="12"/>
                <w:color w:val="auto"/>
              </w:rPr>
            </w:pPr>
          </w:p>
        </w:tc>
        <w:tc>
          <w:tcPr>
            <w:tcW w:w="60" w:type="dxa"/>
            <w:vAlign w:val="bottom"/>
            <w:shd w:val="clear" w:color="auto" w:fill="007CBA"/>
          </w:tcPr>
          <w:p>
            <w:pPr>
              <w:spacing w:after="0"/>
              <w:rPr>
                <w:sz w:val="12"/>
                <w:szCs w:val="12"/>
                <w:color w:val="auto"/>
              </w:rPr>
            </w:pPr>
          </w:p>
        </w:tc>
        <w:tc>
          <w:tcPr>
            <w:tcW w:w="820" w:type="dxa"/>
            <w:vAlign w:val="bottom"/>
            <w:tcBorders>
              <w:right w:val="single" w:sz="8" w:color="007CBA"/>
            </w:tcBorders>
            <w:shd w:val="clear" w:color="auto" w:fill="007CBA"/>
          </w:tcPr>
          <w:p>
            <w:pPr>
              <w:spacing w:after="0"/>
              <w:rPr>
                <w:sz w:val="12"/>
                <w:szCs w:val="12"/>
                <w:color w:val="auto"/>
              </w:rPr>
            </w:pPr>
          </w:p>
        </w:tc>
        <w:tc>
          <w:tcPr>
            <w:tcW w:w="840" w:type="dxa"/>
            <w:vAlign w:val="bottom"/>
            <w:tcBorders>
              <w:right w:val="single" w:sz="8" w:color="007CBA"/>
            </w:tcBorders>
            <w:shd w:val="clear" w:color="auto" w:fill="007CBA"/>
          </w:tcPr>
          <w:p>
            <w:pPr>
              <w:spacing w:after="0"/>
              <w:rPr>
                <w:sz w:val="12"/>
                <w:szCs w:val="12"/>
                <w:color w:val="auto"/>
              </w:rPr>
            </w:pPr>
          </w:p>
        </w:tc>
        <w:tc>
          <w:tcPr>
            <w:tcW w:w="600" w:type="dxa"/>
            <w:vAlign w:val="bottom"/>
            <w:tcBorders>
              <w:right w:val="single" w:sz="8" w:color="007CBA"/>
            </w:tcBorders>
            <w:shd w:val="clear" w:color="auto" w:fill="007CBA"/>
          </w:tcPr>
          <w:p>
            <w:pPr>
              <w:spacing w:after="0"/>
              <w:rPr>
                <w:sz w:val="12"/>
                <w:szCs w:val="12"/>
                <w:color w:val="auto"/>
              </w:rPr>
            </w:pPr>
          </w:p>
        </w:tc>
        <w:tc>
          <w:tcPr>
            <w:tcW w:w="80" w:type="dxa"/>
            <w:vAlign w:val="bottom"/>
            <w:shd w:val="clear" w:color="auto" w:fill="007CBA"/>
          </w:tcPr>
          <w:p>
            <w:pPr>
              <w:spacing w:after="0"/>
              <w:rPr>
                <w:sz w:val="12"/>
                <w:szCs w:val="12"/>
                <w:color w:val="auto"/>
              </w:rPr>
            </w:pPr>
          </w:p>
        </w:tc>
        <w:tc>
          <w:tcPr>
            <w:tcW w:w="740" w:type="dxa"/>
            <w:vAlign w:val="bottom"/>
            <w:tcBorders>
              <w:right w:val="single" w:sz="8" w:color="007CBA"/>
            </w:tcBorders>
            <w:shd w:val="clear" w:color="auto" w:fill="007CBA"/>
          </w:tcPr>
          <w:p>
            <w:pPr>
              <w:spacing w:after="0"/>
              <w:rPr>
                <w:sz w:val="12"/>
                <w:szCs w:val="12"/>
                <w:color w:val="auto"/>
              </w:rPr>
            </w:pPr>
          </w:p>
        </w:tc>
        <w:tc>
          <w:tcPr>
            <w:tcW w:w="80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3"/>
                <w:szCs w:val="13"/>
                <w:b w:val="1"/>
                <w:bCs w:val="1"/>
                <w:color w:val="FFFFFF"/>
              </w:rPr>
              <w:t>Stock</w:t>
            </w:r>
          </w:p>
        </w:tc>
        <w:tc>
          <w:tcPr>
            <w:tcW w:w="88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tcBorders>
              <w:right w:val="single" w:sz="8" w:color="007CBA"/>
            </w:tcBorders>
            <w:shd w:val="clear" w:color="auto" w:fill="007CBA"/>
          </w:tcPr>
          <w:p>
            <w:pPr>
              <w:spacing w:after="0"/>
              <w:rPr>
                <w:sz w:val="12"/>
                <w:szCs w:val="12"/>
                <w:color w:val="auto"/>
              </w:rPr>
            </w:pPr>
          </w:p>
        </w:tc>
        <w:tc>
          <w:tcPr>
            <w:tcW w:w="740" w:type="dxa"/>
            <w:vAlign w:val="bottom"/>
            <w:tcBorders>
              <w:right w:val="single" w:sz="8" w:color="007CBA"/>
            </w:tcBorders>
            <w:shd w:val="clear" w:color="auto" w:fill="007CBA"/>
          </w:tcPr>
          <w:p>
            <w:pPr>
              <w:spacing w:after="0"/>
              <w:rPr>
                <w:sz w:val="12"/>
                <w:szCs w:val="12"/>
                <w:color w:val="auto"/>
              </w:rPr>
            </w:pPr>
          </w:p>
        </w:tc>
        <w:tc>
          <w:tcPr>
            <w:tcW w:w="2500" w:type="dxa"/>
            <w:vAlign w:val="bottom"/>
            <w:tcBorders>
              <w:right w:val="single" w:sz="8" w:color="007CBA"/>
            </w:tcBorders>
            <w:gridSpan w:val="4"/>
            <w:vMerge w:val="restart"/>
            <w:shd w:val="clear" w:color="auto" w:fill="007CBA"/>
          </w:tcPr>
          <w:p>
            <w:pPr>
              <w:jc w:val="center"/>
              <w:spacing w:after="0"/>
              <w:rPr>
                <w:sz w:val="20"/>
                <w:szCs w:val="20"/>
                <w:color w:val="auto"/>
              </w:rPr>
            </w:pPr>
            <w:r>
              <w:rPr>
                <w:rFonts w:ascii="Arial" w:cs="Arial" w:eastAsia="Arial" w:hAnsi="Arial"/>
                <w:sz w:val="13"/>
                <w:szCs w:val="13"/>
                <w:b w:val="1"/>
                <w:bCs w:val="1"/>
                <w:color w:val="FFFFFF"/>
              </w:rPr>
              <w:t>Estimated Future Payouts</w:t>
            </w:r>
          </w:p>
        </w:tc>
        <w:tc>
          <w:tcPr>
            <w:tcW w:w="2260" w:type="dxa"/>
            <w:vAlign w:val="bottom"/>
            <w:tcBorders>
              <w:right w:val="single" w:sz="8" w:color="007CBA"/>
            </w:tcBorders>
            <w:gridSpan w:val="4"/>
            <w:vMerge w:val="restart"/>
            <w:shd w:val="clear" w:color="auto" w:fill="007CBA"/>
          </w:tcPr>
          <w:p>
            <w:pPr>
              <w:jc w:val="center"/>
              <w:spacing w:after="0"/>
              <w:rPr>
                <w:sz w:val="20"/>
                <w:szCs w:val="20"/>
                <w:color w:val="auto"/>
              </w:rPr>
            </w:pPr>
            <w:r>
              <w:rPr>
                <w:rFonts w:ascii="Arial" w:cs="Arial" w:eastAsia="Arial" w:hAnsi="Arial"/>
                <w:sz w:val="13"/>
                <w:szCs w:val="13"/>
                <w:b w:val="1"/>
                <w:bCs w:val="1"/>
                <w:color w:val="FFFFFF"/>
              </w:rPr>
              <w:t>Estimated Future Payouts</w:t>
            </w:r>
          </w:p>
        </w:tc>
        <w:tc>
          <w:tcPr>
            <w:tcW w:w="80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3"/>
                <w:szCs w:val="13"/>
                <w:b w:val="1"/>
                <w:bCs w:val="1"/>
                <w:color w:val="FFFFFF"/>
              </w:rPr>
              <w:t>Awards:</w:t>
            </w:r>
          </w:p>
        </w:tc>
        <w:tc>
          <w:tcPr>
            <w:tcW w:w="880" w:type="dxa"/>
            <w:vAlign w:val="bottom"/>
            <w:shd w:val="clear" w:color="auto" w:fill="007CBA"/>
          </w:tcPr>
          <w:p>
            <w:pPr>
              <w:jc w:val="center"/>
              <w:spacing w:after="0" w:line="149" w:lineRule="exact"/>
              <w:rPr>
                <w:sz w:val="20"/>
                <w:szCs w:val="20"/>
                <w:color w:val="auto"/>
              </w:rPr>
            </w:pPr>
            <w:r>
              <w:rPr>
                <w:rFonts w:ascii="Arial" w:cs="Arial" w:eastAsia="Arial" w:hAnsi="Arial"/>
                <w:sz w:val="13"/>
                <w:szCs w:val="13"/>
                <w:b w:val="1"/>
                <w:bCs w:val="1"/>
                <w:color w:val="FFFFFF"/>
              </w:rPr>
              <w:t>Grant Date</w:t>
            </w:r>
          </w:p>
        </w:tc>
        <w:tc>
          <w:tcPr>
            <w:tcW w:w="0" w:type="dxa"/>
            <w:vAlign w:val="bottom"/>
          </w:tcPr>
          <w:p>
            <w:pPr>
              <w:spacing w:after="0"/>
              <w:rPr>
                <w:sz w:val="1"/>
                <w:szCs w:val="1"/>
                <w:color w:val="auto"/>
              </w:rPr>
            </w:pPr>
          </w:p>
        </w:tc>
      </w:tr>
      <w:tr>
        <w:trPr>
          <w:trHeight w:val="138"/>
        </w:trPr>
        <w:tc>
          <w:tcPr>
            <w:tcW w:w="3820" w:type="dxa"/>
            <w:vAlign w:val="bottom"/>
            <w:tcBorders>
              <w:right w:val="single" w:sz="8" w:color="007CBA"/>
            </w:tcBorders>
            <w:shd w:val="clear" w:color="auto" w:fill="007CBA"/>
          </w:tcPr>
          <w:p>
            <w:pPr>
              <w:spacing w:after="0"/>
              <w:rPr>
                <w:sz w:val="12"/>
                <w:szCs w:val="12"/>
                <w:color w:val="auto"/>
              </w:rPr>
            </w:pPr>
          </w:p>
        </w:tc>
        <w:tc>
          <w:tcPr>
            <w:tcW w:w="740" w:type="dxa"/>
            <w:vAlign w:val="bottom"/>
            <w:tcBorders>
              <w:right w:val="single" w:sz="8" w:color="007CBA"/>
            </w:tcBorders>
            <w:shd w:val="clear" w:color="auto" w:fill="007CBA"/>
          </w:tcPr>
          <w:p>
            <w:pPr>
              <w:spacing w:after="0"/>
              <w:rPr>
                <w:sz w:val="12"/>
                <w:szCs w:val="12"/>
                <w:color w:val="auto"/>
              </w:rPr>
            </w:pPr>
          </w:p>
        </w:tc>
        <w:tc>
          <w:tcPr>
            <w:tcW w:w="2500" w:type="dxa"/>
            <w:vAlign w:val="bottom"/>
            <w:tcBorders>
              <w:right w:val="single" w:sz="8" w:color="007CBA"/>
            </w:tcBorders>
            <w:gridSpan w:val="4"/>
            <w:vMerge w:val="continue"/>
            <w:shd w:val="clear" w:color="auto" w:fill="007CBA"/>
          </w:tcPr>
          <w:p>
            <w:pPr>
              <w:spacing w:after="0"/>
              <w:rPr>
                <w:sz w:val="12"/>
                <w:szCs w:val="12"/>
                <w:color w:val="auto"/>
              </w:rPr>
            </w:pPr>
          </w:p>
        </w:tc>
        <w:tc>
          <w:tcPr>
            <w:tcW w:w="2260" w:type="dxa"/>
            <w:vAlign w:val="bottom"/>
            <w:tcBorders>
              <w:right w:val="single" w:sz="8" w:color="007CBA"/>
            </w:tcBorders>
            <w:gridSpan w:val="4"/>
            <w:vMerge w:val="continue"/>
            <w:shd w:val="clear" w:color="auto" w:fill="007CBA"/>
          </w:tcPr>
          <w:p>
            <w:pPr>
              <w:spacing w:after="0"/>
              <w:rPr>
                <w:sz w:val="12"/>
                <w:szCs w:val="12"/>
                <w:color w:val="auto"/>
              </w:rPr>
            </w:pPr>
          </w:p>
        </w:tc>
        <w:tc>
          <w:tcPr>
            <w:tcW w:w="800" w:type="dxa"/>
            <w:vAlign w:val="bottom"/>
            <w:tcBorders>
              <w:right w:val="single" w:sz="8" w:color="007CBA"/>
            </w:tcBorders>
            <w:shd w:val="clear" w:color="auto" w:fill="007CBA"/>
          </w:tcPr>
          <w:p>
            <w:pPr>
              <w:jc w:val="center"/>
              <w:spacing w:after="0" w:line="138" w:lineRule="exact"/>
              <w:rPr>
                <w:sz w:val="20"/>
                <w:szCs w:val="20"/>
                <w:color w:val="auto"/>
              </w:rPr>
            </w:pPr>
            <w:r>
              <w:rPr>
                <w:rFonts w:ascii="Arial" w:cs="Arial" w:eastAsia="Arial" w:hAnsi="Arial"/>
                <w:sz w:val="13"/>
                <w:szCs w:val="13"/>
                <w:b w:val="1"/>
                <w:bCs w:val="1"/>
                <w:color w:val="FFFFFF"/>
              </w:rPr>
              <w:t>Number</w:t>
            </w:r>
          </w:p>
        </w:tc>
        <w:tc>
          <w:tcPr>
            <w:tcW w:w="880" w:type="dxa"/>
            <w:vAlign w:val="bottom"/>
            <w:shd w:val="clear" w:color="auto" w:fill="007CBA"/>
          </w:tcPr>
          <w:p>
            <w:pPr>
              <w:jc w:val="center"/>
              <w:spacing w:after="0" w:line="138" w:lineRule="exact"/>
              <w:rPr>
                <w:sz w:val="20"/>
                <w:szCs w:val="20"/>
                <w:color w:val="auto"/>
              </w:rPr>
            </w:pPr>
            <w:r>
              <w:rPr>
                <w:rFonts w:ascii="Arial" w:cs="Arial" w:eastAsia="Arial" w:hAnsi="Arial"/>
                <w:sz w:val="13"/>
                <w:szCs w:val="13"/>
                <w:b w:val="1"/>
                <w:bCs w:val="1"/>
                <w:color w:val="FFFFFF"/>
              </w:rPr>
              <w:t>Fair Value</w:t>
            </w:r>
          </w:p>
        </w:tc>
        <w:tc>
          <w:tcPr>
            <w:tcW w:w="0" w:type="dxa"/>
            <w:vAlign w:val="bottom"/>
          </w:tcPr>
          <w:p>
            <w:pPr>
              <w:spacing w:after="0"/>
              <w:rPr>
                <w:sz w:val="1"/>
                <w:szCs w:val="1"/>
                <w:color w:val="auto"/>
              </w:rPr>
            </w:pPr>
          </w:p>
        </w:tc>
      </w:tr>
      <w:tr>
        <w:trPr>
          <w:trHeight w:val="148"/>
        </w:trPr>
        <w:tc>
          <w:tcPr>
            <w:tcW w:w="3820" w:type="dxa"/>
            <w:vAlign w:val="bottom"/>
            <w:tcBorders>
              <w:right w:val="single" w:sz="8" w:color="007CBA"/>
            </w:tcBorders>
            <w:shd w:val="clear" w:color="auto" w:fill="007CBA"/>
          </w:tcPr>
          <w:p>
            <w:pPr>
              <w:spacing w:after="0"/>
              <w:rPr>
                <w:sz w:val="12"/>
                <w:szCs w:val="12"/>
                <w:color w:val="auto"/>
              </w:rPr>
            </w:pPr>
          </w:p>
        </w:tc>
        <w:tc>
          <w:tcPr>
            <w:tcW w:w="740" w:type="dxa"/>
            <w:vAlign w:val="bottom"/>
            <w:tcBorders>
              <w:right w:val="single" w:sz="8" w:color="007CBA"/>
            </w:tcBorders>
            <w:shd w:val="clear" w:color="auto" w:fill="007CBA"/>
          </w:tcPr>
          <w:p>
            <w:pPr>
              <w:spacing w:after="0"/>
              <w:rPr>
                <w:sz w:val="12"/>
                <w:szCs w:val="12"/>
                <w:color w:val="auto"/>
              </w:rPr>
            </w:pPr>
          </w:p>
        </w:tc>
        <w:tc>
          <w:tcPr>
            <w:tcW w:w="2500" w:type="dxa"/>
            <w:vAlign w:val="bottom"/>
            <w:tcBorders>
              <w:right w:val="single" w:sz="8" w:color="007CBA"/>
            </w:tcBorders>
            <w:gridSpan w:val="4"/>
            <w:shd w:val="clear" w:color="auto" w:fill="007CBA"/>
          </w:tcPr>
          <w:p>
            <w:pPr>
              <w:jc w:val="center"/>
              <w:spacing w:after="0" w:line="149" w:lineRule="exact"/>
              <w:rPr>
                <w:sz w:val="20"/>
                <w:szCs w:val="20"/>
                <w:color w:val="auto"/>
              </w:rPr>
            </w:pPr>
            <w:r>
              <w:rPr>
                <w:rFonts w:ascii="Arial" w:cs="Arial" w:eastAsia="Arial" w:hAnsi="Arial"/>
                <w:sz w:val="13"/>
                <w:szCs w:val="13"/>
                <w:b w:val="1"/>
                <w:bCs w:val="1"/>
                <w:color w:val="FFFFFF"/>
              </w:rPr>
              <w:t>Under Non-Equity Incentive</w:t>
            </w:r>
          </w:p>
        </w:tc>
        <w:tc>
          <w:tcPr>
            <w:tcW w:w="2260" w:type="dxa"/>
            <w:vAlign w:val="bottom"/>
            <w:tcBorders>
              <w:right w:val="single" w:sz="8" w:color="007CBA"/>
            </w:tcBorders>
            <w:gridSpan w:val="4"/>
            <w:shd w:val="clear" w:color="auto" w:fill="007CBA"/>
          </w:tcPr>
          <w:p>
            <w:pPr>
              <w:jc w:val="center"/>
              <w:spacing w:after="0" w:line="149" w:lineRule="exact"/>
              <w:rPr>
                <w:sz w:val="20"/>
                <w:szCs w:val="20"/>
                <w:color w:val="auto"/>
              </w:rPr>
            </w:pPr>
            <w:r>
              <w:rPr>
                <w:rFonts w:ascii="Arial" w:cs="Arial" w:eastAsia="Arial" w:hAnsi="Arial"/>
                <w:sz w:val="13"/>
                <w:szCs w:val="13"/>
                <w:b w:val="1"/>
                <w:bCs w:val="1"/>
                <w:color w:val="FFFFFF"/>
              </w:rPr>
              <w:t>Under Equity Incentive</w:t>
            </w:r>
          </w:p>
        </w:tc>
        <w:tc>
          <w:tcPr>
            <w:tcW w:w="80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3"/>
                <w:szCs w:val="13"/>
                <w:b w:val="1"/>
                <w:bCs w:val="1"/>
                <w:color w:val="FFFFFF"/>
              </w:rPr>
              <w:t>of Shares</w:t>
            </w:r>
          </w:p>
        </w:tc>
        <w:tc>
          <w:tcPr>
            <w:tcW w:w="880" w:type="dxa"/>
            <w:vAlign w:val="bottom"/>
            <w:shd w:val="clear" w:color="auto" w:fill="007CBA"/>
          </w:tcPr>
          <w:p>
            <w:pPr>
              <w:jc w:val="center"/>
              <w:spacing w:after="0" w:line="149" w:lineRule="exact"/>
              <w:rPr>
                <w:sz w:val="20"/>
                <w:szCs w:val="20"/>
                <w:color w:val="auto"/>
              </w:rPr>
            </w:pPr>
            <w:r>
              <w:rPr>
                <w:rFonts w:ascii="Arial" w:cs="Arial" w:eastAsia="Arial" w:hAnsi="Arial"/>
                <w:sz w:val="13"/>
                <w:szCs w:val="13"/>
                <w:b w:val="1"/>
                <w:bCs w:val="1"/>
                <w:color w:val="FFFFFF"/>
              </w:rPr>
              <w:t>of Stock</w:t>
            </w:r>
          </w:p>
        </w:tc>
        <w:tc>
          <w:tcPr>
            <w:tcW w:w="0" w:type="dxa"/>
            <w:vAlign w:val="bottom"/>
          </w:tcPr>
          <w:p>
            <w:pPr>
              <w:spacing w:after="0"/>
              <w:rPr>
                <w:sz w:val="1"/>
                <w:szCs w:val="1"/>
                <w:color w:val="auto"/>
              </w:rPr>
            </w:pPr>
          </w:p>
        </w:tc>
      </w:tr>
      <w:tr>
        <w:trPr>
          <w:trHeight w:val="159"/>
        </w:trPr>
        <w:tc>
          <w:tcPr>
            <w:tcW w:w="3820" w:type="dxa"/>
            <w:vAlign w:val="bottom"/>
            <w:tcBorders>
              <w:right w:val="single" w:sz="8" w:color="007CBA"/>
            </w:tcBorders>
            <w:shd w:val="clear" w:color="auto" w:fill="007CBA"/>
          </w:tcPr>
          <w:p>
            <w:pPr>
              <w:spacing w:after="0"/>
              <w:rPr>
                <w:sz w:val="13"/>
                <w:szCs w:val="13"/>
                <w:color w:val="auto"/>
              </w:rPr>
            </w:pPr>
          </w:p>
        </w:tc>
        <w:tc>
          <w:tcPr>
            <w:tcW w:w="740" w:type="dxa"/>
            <w:vAlign w:val="bottom"/>
            <w:tcBorders>
              <w:right w:val="single" w:sz="8" w:color="007CBA"/>
            </w:tcBorders>
            <w:shd w:val="clear" w:color="auto" w:fill="007CBA"/>
          </w:tcPr>
          <w:p>
            <w:pPr>
              <w:spacing w:after="0"/>
              <w:rPr>
                <w:sz w:val="13"/>
                <w:szCs w:val="13"/>
                <w:color w:val="auto"/>
              </w:rPr>
            </w:pPr>
          </w:p>
        </w:tc>
        <w:tc>
          <w:tcPr>
            <w:tcW w:w="860" w:type="dxa"/>
            <w:vAlign w:val="bottom"/>
            <w:tcBorders>
              <w:right w:val="single" w:sz="8" w:color="007CBA"/>
            </w:tcBorders>
            <w:shd w:val="clear" w:color="auto" w:fill="007CBA"/>
          </w:tcPr>
          <w:p>
            <w:pPr>
              <w:spacing w:after="0"/>
              <w:rPr>
                <w:sz w:val="13"/>
                <w:szCs w:val="13"/>
                <w:color w:val="auto"/>
              </w:rPr>
            </w:pPr>
          </w:p>
        </w:tc>
        <w:tc>
          <w:tcPr>
            <w:tcW w:w="820" w:type="dxa"/>
            <w:vAlign w:val="bottom"/>
            <w:gridSpan w:val="2"/>
            <w:shd w:val="clear" w:color="auto" w:fill="007CBA"/>
          </w:tcPr>
          <w:p>
            <w:pPr>
              <w:jc w:val="center"/>
              <w:ind w:right="40"/>
              <w:spacing w:after="0" w:line="149" w:lineRule="exact"/>
              <w:rPr>
                <w:sz w:val="20"/>
                <w:szCs w:val="20"/>
                <w:color w:val="auto"/>
              </w:rPr>
            </w:pPr>
            <w:r>
              <w:rPr>
                <w:rFonts w:ascii="Arial" w:cs="Arial" w:eastAsia="Arial" w:hAnsi="Arial"/>
                <w:sz w:val="13"/>
                <w:szCs w:val="13"/>
                <w:b w:val="1"/>
                <w:bCs w:val="1"/>
                <w:color w:val="FFFFFF"/>
                <w:w w:val="99"/>
              </w:rPr>
              <w:t>Plan Awards</w:t>
            </w:r>
          </w:p>
        </w:tc>
        <w:tc>
          <w:tcPr>
            <w:tcW w:w="820" w:type="dxa"/>
            <w:vAlign w:val="bottom"/>
            <w:tcBorders>
              <w:right w:val="single" w:sz="8" w:color="007CBA"/>
            </w:tcBorders>
            <w:shd w:val="clear" w:color="auto" w:fill="007CBA"/>
          </w:tcPr>
          <w:p>
            <w:pPr>
              <w:spacing w:after="0"/>
              <w:rPr>
                <w:sz w:val="13"/>
                <w:szCs w:val="13"/>
                <w:color w:val="auto"/>
              </w:rPr>
            </w:pPr>
          </w:p>
        </w:tc>
        <w:tc>
          <w:tcPr>
            <w:tcW w:w="1520" w:type="dxa"/>
            <w:vAlign w:val="bottom"/>
            <w:gridSpan w:val="3"/>
            <w:shd w:val="clear" w:color="auto" w:fill="007CBA"/>
          </w:tcPr>
          <w:p>
            <w:pPr>
              <w:jc w:val="center"/>
              <w:ind w:left="611"/>
              <w:spacing w:after="0" w:line="149" w:lineRule="exact"/>
              <w:rPr>
                <w:sz w:val="20"/>
                <w:szCs w:val="20"/>
                <w:color w:val="auto"/>
              </w:rPr>
            </w:pPr>
            <w:r>
              <w:rPr>
                <w:rFonts w:ascii="Arial" w:cs="Arial" w:eastAsia="Arial" w:hAnsi="Arial"/>
                <w:sz w:val="13"/>
                <w:szCs w:val="13"/>
                <w:b w:val="1"/>
                <w:bCs w:val="1"/>
                <w:color w:val="FFFFFF"/>
              </w:rPr>
              <w:t>Plan Awards</w:t>
            </w:r>
          </w:p>
        </w:tc>
        <w:tc>
          <w:tcPr>
            <w:tcW w:w="740" w:type="dxa"/>
            <w:vAlign w:val="bottom"/>
            <w:tcBorders>
              <w:right w:val="single" w:sz="8" w:color="007CBA"/>
            </w:tcBorders>
            <w:shd w:val="clear" w:color="auto" w:fill="007CBA"/>
          </w:tcPr>
          <w:p>
            <w:pPr>
              <w:spacing w:after="0"/>
              <w:rPr>
                <w:sz w:val="13"/>
                <w:szCs w:val="13"/>
                <w:color w:val="auto"/>
              </w:rPr>
            </w:pPr>
          </w:p>
        </w:tc>
        <w:tc>
          <w:tcPr>
            <w:tcW w:w="8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rPr>
              <w:t>of Stock</w:t>
            </w:r>
          </w:p>
        </w:tc>
        <w:tc>
          <w:tcPr>
            <w:tcW w:w="880" w:type="dxa"/>
            <w:vAlign w:val="bottom"/>
            <w:shd w:val="clear" w:color="auto" w:fill="007CBA"/>
          </w:tcPr>
          <w:p>
            <w:pPr>
              <w:jc w:val="center"/>
              <w:spacing w:after="0"/>
              <w:rPr>
                <w:sz w:val="20"/>
                <w:szCs w:val="20"/>
                <w:color w:val="auto"/>
              </w:rPr>
            </w:pPr>
            <w:r>
              <w:rPr>
                <w:rFonts w:ascii="Arial" w:cs="Arial" w:eastAsia="Arial" w:hAnsi="Arial"/>
                <w:sz w:val="13"/>
                <w:szCs w:val="13"/>
                <w:b w:val="1"/>
                <w:bCs w:val="1"/>
                <w:color w:val="FFFFFF"/>
              </w:rPr>
              <w:t>and</w:t>
            </w:r>
          </w:p>
        </w:tc>
        <w:tc>
          <w:tcPr>
            <w:tcW w:w="0" w:type="dxa"/>
            <w:vAlign w:val="bottom"/>
          </w:tcPr>
          <w:p>
            <w:pPr>
              <w:spacing w:after="0"/>
              <w:rPr>
                <w:sz w:val="1"/>
                <w:szCs w:val="1"/>
                <w:color w:val="auto"/>
              </w:rPr>
            </w:pPr>
          </w:p>
        </w:tc>
      </w:tr>
      <w:tr>
        <w:trPr>
          <w:trHeight w:val="148"/>
        </w:trPr>
        <w:tc>
          <w:tcPr>
            <w:tcW w:w="3820" w:type="dxa"/>
            <w:vAlign w:val="bottom"/>
            <w:tcBorders>
              <w:right w:val="single" w:sz="8" w:color="007CBA"/>
            </w:tcBorders>
            <w:shd w:val="clear" w:color="auto" w:fill="007CBA"/>
          </w:tcPr>
          <w:p>
            <w:pPr>
              <w:spacing w:after="0"/>
              <w:rPr>
                <w:sz w:val="12"/>
                <w:szCs w:val="12"/>
                <w:color w:val="auto"/>
              </w:rPr>
            </w:pPr>
          </w:p>
        </w:tc>
        <w:tc>
          <w:tcPr>
            <w:tcW w:w="74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3"/>
                <w:szCs w:val="13"/>
                <w:b w:val="1"/>
                <w:bCs w:val="1"/>
                <w:color w:val="FFFFFF"/>
              </w:rPr>
              <w:t>Grant</w:t>
            </w:r>
          </w:p>
        </w:tc>
        <w:tc>
          <w:tcPr>
            <w:tcW w:w="86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3"/>
                <w:szCs w:val="13"/>
                <w:b w:val="1"/>
                <w:bCs w:val="1"/>
                <w:color w:val="FFFFFF"/>
              </w:rPr>
              <w:t>Threshold</w:t>
            </w:r>
          </w:p>
        </w:tc>
        <w:tc>
          <w:tcPr>
            <w:tcW w:w="820" w:type="dxa"/>
            <w:vAlign w:val="bottom"/>
            <w:gridSpan w:val="2"/>
            <w:shd w:val="clear" w:color="auto" w:fill="007CBA"/>
          </w:tcPr>
          <w:p>
            <w:pPr>
              <w:jc w:val="center"/>
              <w:ind w:right="100"/>
              <w:spacing w:after="0" w:line="149" w:lineRule="exact"/>
              <w:rPr>
                <w:sz w:val="20"/>
                <w:szCs w:val="20"/>
                <w:color w:val="auto"/>
              </w:rPr>
            </w:pPr>
            <w:r>
              <w:rPr>
                <w:rFonts w:ascii="Arial" w:cs="Arial" w:eastAsia="Arial" w:hAnsi="Arial"/>
                <w:sz w:val="13"/>
                <w:szCs w:val="13"/>
                <w:b w:val="1"/>
                <w:bCs w:val="1"/>
                <w:color w:val="FFFFFF"/>
              </w:rPr>
              <w:t>Target</w:t>
            </w:r>
          </w:p>
        </w:tc>
        <w:tc>
          <w:tcPr>
            <w:tcW w:w="820" w:type="dxa"/>
            <w:vAlign w:val="bottom"/>
            <w:tcBorders>
              <w:right w:val="single" w:sz="8" w:color="007CBA"/>
            </w:tcBorders>
            <w:shd w:val="clear" w:color="auto" w:fill="007CBA"/>
          </w:tcPr>
          <w:p>
            <w:pPr>
              <w:ind w:left="40"/>
              <w:spacing w:after="0" w:line="149" w:lineRule="exact"/>
              <w:rPr>
                <w:sz w:val="20"/>
                <w:szCs w:val="20"/>
                <w:color w:val="auto"/>
              </w:rPr>
            </w:pPr>
            <w:r>
              <w:rPr>
                <w:rFonts w:ascii="Arial" w:cs="Arial" w:eastAsia="Arial" w:hAnsi="Arial"/>
                <w:sz w:val="13"/>
                <w:szCs w:val="13"/>
                <w:b w:val="1"/>
                <w:bCs w:val="1"/>
                <w:color w:val="FFFFFF"/>
              </w:rPr>
              <w:t>Maximum</w:t>
            </w:r>
          </w:p>
        </w:tc>
        <w:tc>
          <w:tcPr>
            <w:tcW w:w="84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3"/>
                <w:szCs w:val="13"/>
                <w:b w:val="1"/>
                <w:bCs w:val="1"/>
                <w:color w:val="FFFFFF"/>
              </w:rPr>
              <w:t>Threshold</w:t>
            </w:r>
          </w:p>
        </w:tc>
        <w:tc>
          <w:tcPr>
            <w:tcW w:w="680" w:type="dxa"/>
            <w:vAlign w:val="bottom"/>
            <w:gridSpan w:val="2"/>
            <w:shd w:val="clear" w:color="auto" w:fill="007CBA"/>
          </w:tcPr>
          <w:p>
            <w:pPr>
              <w:jc w:val="center"/>
              <w:ind w:right="120"/>
              <w:spacing w:after="0" w:line="149" w:lineRule="exact"/>
              <w:rPr>
                <w:sz w:val="20"/>
                <w:szCs w:val="20"/>
                <w:color w:val="auto"/>
              </w:rPr>
            </w:pPr>
            <w:r>
              <w:rPr>
                <w:rFonts w:ascii="Arial" w:cs="Arial" w:eastAsia="Arial" w:hAnsi="Arial"/>
                <w:sz w:val="13"/>
                <w:szCs w:val="13"/>
                <w:b w:val="1"/>
                <w:bCs w:val="1"/>
                <w:color w:val="FFFFFF"/>
              </w:rPr>
              <w:t>Target</w:t>
            </w:r>
          </w:p>
        </w:tc>
        <w:tc>
          <w:tcPr>
            <w:tcW w:w="740" w:type="dxa"/>
            <w:vAlign w:val="bottom"/>
            <w:tcBorders>
              <w:right w:val="single" w:sz="8" w:color="007CBA"/>
            </w:tcBorders>
            <w:shd w:val="clear" w:color="auto" w:fill="007CBA"/>
          </w:tcPr>
          <w:p>
            <w:pPr>
              <w:jc w:val="right"/>
              <w:ind w:right="49"/>
              <w:spacing w:after="0" w:line="149" w:lineRule="exact"/>
              <w:rPr>
                <w:sz w:val="20"/>
                <w:szCs w:val="20"/>
                <w:color w:val="auto"/>
              </w:rPr>
            </w:pPr>
            <w:r>
              <w:rPr>
                <w:rFonts w:ascii="Arial" w:cs="Arial" w:eastAsia="Arial" w:hAnsi="Arial"/>
                <w:sz w:val="13"/>
                <w:szCs w:val="13"/>
                <w:b w:val="1"/>
                <w:bCs w:val="1"/>
                <w:color w:val="FFFFFF"/>
                <w:w w:val="99"/>
              </w:rPr>
              <w:t>Maximum</w:t>
            </w:r>
          </w:p>
        </w:tc>
        <w:tc>
          <w:tcPr>
            <w:tcW w:w="80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3"/>
                <w:szCs w:val="13"/>
                <w:b w:val="1"/>
                <w:bCs w:val="1"/>
                <w:color w:val="FFFFFF"/>
              </w:rPr>
              <w:t>or Units</w:t>
            </w:r>
          </w:p>
        </w:tc>
        <w:tc>
          <w:tcPr>
            <w:tcW w:w="880" w:type="dxa"/>
            <w:vAlign w:val="bottom"/>
            <w:shd w:val="clear" w:color="auto" w:fill="007CBA"/>
          </w:tcPr>
          <w:p>
            <w:pPr>
              <w:jc w:val="center"/>
              <w:spacing w:after="0" w:line="149" w:lineRule="exact"/>
              <w:rPr>
                <w:sz w:val="20"/>
                <w:szCs w:val="20"/>
                <w:color w:val="auto"/>
              </w:rPr>
            </w:pPr>
            <w:r>
              <w:rPr>
                <w:rFonts w:ascii="Arial" w:cs="Arial" w:eastAsia="Arial" w:hAnsi="Arial"/>
                <w:sz w:val="13"/>
                <w:szCs w:val="13"/>
                <w:b w:val="1"/>
                <w:bCs w:val="1"/>
                <w:color w:val="FFFFFF"/>
              </w:rPr>
              <w:t>Option</w:t>
            </w:r>
          </w:p>
        </w:tc>
        <w:tc>
          <w:tcPr>
            <w:tcW w:w="0" w:type="dxa"/>
            <w:vAlign w:val="bottom"/>
          </w:tcPr>
          <w:p>
            <w:pPr>
              <w:spacing w:after="0"/>
              <w:rPr>
                <w:sz w:val="1"/>
                <w:szCs w:val="1"/>
                <w:color w:val="auto"/>
              </w:rPr>
            </w:pPr>
          </w:p>
        </w:tc>
      </w:tr>
      <w:tr>
        <w:trPr>
          <w:trHeight w:val="179"/>
        </w:trPr>
        <w:tc>
          <w:tcPr>
            <w:tcW w:w="382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3"/>
                <w:szCs w:val="13"/>
                <w:b w:val="1"/>
                <w:bCs w:val="1"/>
                <w:color w:val="FFFFFF"/>
              </w:rPr>
              <w:t>Name</w:t>
            </w:r>
          </w:p>
        </w:tc>
        <w:tc>
          <w:tcPr>
            <w:tcW w:w="7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rPr>
              <w:t>Date</w:t>
            </w:r>
          </w:p>
        </w:tc>
        <w:tc>
          <w:tcPr>
            <w:tcW w:w="8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rPr>
              <w:t>($)</w:t>
            </w:r>
          </w:p>
        </w:tc>
        <w:tc>
          <w:tcPr>
            <w:tcW w:w="7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rPr>
              <w:t>($)</w:t>
            </w:r>
          </w:p>
        </w:tc>
        <w:tc>
          <w:tcPr>
            <w:tcW w:w="60" w:type="dxa"/>
            <w:vAlign w:val="bottom"/>
            <w:shd w:val="clear" w:color="auto" w:fill="007CBA"/>
          </w:tcPr>
          <w:p>
            <w:pPr>
              <w:spacing w:after="0"/>
              <w:rPr>
                <w:sz w:val="15"/>
                <w:szCs w:val="15"/>
                <w:color w:val="auto"/>
              </w:rPr>
            </w:pPr>
          </w:p>
        </w:tc>
        <w:tc>
          <w:tcPr>
            <w:tcW w:w="820" w:type="dxa"/>
            <w:vAlign w:val="bottom"/>
            <w:tcBorders>
              <w:right w:val="single" w:sz="8" w:color="007CBA"/>
            </w:tcBorders>
            <w:shd w:val="clear" w:color="auto" w:fill="007CBA"/>
          </w:tcPr>
          <w:p>
            <w:pPr>
              <w:ind w:left="280"/>
              <w:spacing w:after="0"/>
              <w:rPr>
                <w:sz w:val="20"/>
                <w:szCs w:val="20"/>
                <w:color w:val="auto"/>
              </w:rPr>
            </w:pPr>
            <w:r>
              <w:rPr>
                <w:rFonts w:ascii="Arial" w:cs="Arial" w:eastAsia="Arial" w:hAnsi="Arial"/>
                <w:sz w:val="13"/>
                <w:szCs w:val="13"/>
                <w:b w:val="1"/>
                <w:bCs w:val="1"/>
                <w:color w:val="FFFFFF"/>
              </w:rPr>
              <w:t>($)</w:t>
            </w:r>
          </w:p>
        </w:tc>
        <w:tc>
          <w:tcPr>
            <w:tcW w:w="8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rPr>
              <w:t>(#)</w:t>
            </w:r>
          </w:p>
        </w:tc>
        <w:tc>
          <w:tcPr>
            <w:tcW w:w="6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rPr>
              <w:t>(#)</w:t>
            </w:r>
          </w:p>
        </w:tc>
        <w:tc>
          <w:tcPr>
            <w:tcW w:w="80" w:type="dxa"/>
            <w:vAlign w:val="bottom"/>
            <w:shd w:val="clear" w:color="auto" w:fill="007CBA"/>
          </w:tcPr>
          <w:p>
            <w:pPr>
              <w:spacing w:after="0"/>
              <w:rPr>
                <w:sz w:val="15"/>
                <w:szCs w:val="15"/>
                <w:color w:val="auto"/>
              </w:rPr>
            </w:pPr>
          </w:p>
        </w:tc>
        <w:tc>
          <w:tcPr>
            <w:tcW w:w="740" w:type="dxa"/>
            <w:vAlign w:val="bottom"/>
            <w:tcBorders>
              <w:right w:val="single" w:sz="8" w:color="007CBA"/>
            </w:tcBorders>
            <w:shd w:val="clear" w:color="auto" w:fill="007CBA"/>
          </w:tcPr>
          <w:p>
            <w:pPr>
              <w:jc w:val="right"/>
              <w:ind w:right="289"/>
              <w:spacing w:after="0"/>
              <w:rPr>
                <w:sz w:val="20"/>
                <w:szCs w:val="20"/>
                <w:color w:val="auto"/>
              </w:rPr>
            </w:pPr>
            <w:r>
              <w:rPr>
                <w:rFonts w:ascii="Arial" w:cs="Arial" w:eastAsia="Arial" w:hAnsi="Arial"/>
                <w:sz w:val="13"/>
                <w:szCs w:val="13"/>
                <w:b w:val="1"/>
                <w:bCs w:val="1"/>
                <w:color w:val="FFFFFF"/>
              </w:rPr>
              <w:t>(#)</w:t>
            </w:r>
          </w:p>
        </w:tc>
        <w:tc>
          <w:tcPr>
            <w:tcW w:w="8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rPr>
              <w:t>(#)</w:t>
            </w:r>
          </w:p>
        </w:tc>
        <w:tc>
          <w:tcPr>
            <w:tcW w:w="880" w:type="dxa"/>
            <w:vAlign w:val="bottom"/>
            <w:shd w:val="clear" w:color="auto" w:fill="007CBA"/>
          </w:tcPr>
          <w:p>
            <w:pPr>
              <w:jc w:val="center"/>
              <w:spacing w:after="0"/>
              <w:rPr>
                <w:sz w:val="20"/>
                <w:szCs w:val="20"/>
                <w:color w:val="auto"/>
              </w:rPr>
            </w:pPr>
            <w:r>
              <w:rPr>
                <w:rFonts w:ascii="Arial" w:cs="Arial" w:eastAsia="Arial" w:hAnsi="Arial"/>
                <w:sz w:val="13"/>
                <w:szCs w:val="13"/>
                <w:b w:val="1"/>
                <w:bCs w:val="1"/>
                <w:color w:val="FFFFFF"/>
              </w:rPr>
              <w:t>Awards</w:t>
            </w:r>
            <w:r>
              <w:rPr>
                <w:rFonts w:ascii="Arial" w:cs="Arial" w:eastAsia="Arial" w:hAnsi="Arial"/>
                <w:sz w:val="11"/>
                <w:szCs w:val="11"/>
                <w:b w:val="1"/>
                <w:bCs w:val="1"/>
                <w:color w:val="FFFFFF"/>
              </w:rPr>
              <w:t>4</w:t>
            </w:r>
          </w:p>
        </w:tc>
        <w:tc>
          <w:tcPr>
            <w:tcW w:w="0" w:type="dxa"/>
            <w:vAlign w:val="bottom"/>
          </w:tcPr>
          <w:p>
            <w:pPr>
              <w:spacing w:after="0"/>
              <w:rPr>
                <w:sz w:val="1"/>
                <w:szCs w:val="1"/>
                <w:color w:val="auto"/>
              </w:rPr>
            </w:pPr>
          </w:p>
        </w:tc>
      </w:tr>
      <w:tr>
        <w:trPr>
          <w:trHeight w:val="175"/>
        </w:trPr>
        <w:tc>
          <w:tcPr>
            <w:tcW w:w="382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3"/>
                <w:szCs w:val="13"/>
                <w:b w:val="1"/>
                <w:bCs w:val="1"/>
                <w:color w:val="FFFFFF"/>
              </w:rPr>
              <w:t>(a)</w:t>
            </w:r>
          </w:p>
        </w:tc>
        <w:tc>
          <w:tcPr>
            <w:tcW w:w="7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rPr>
              <w:t>(b)</w:t>
            </w:r>
          </w:p>
        </w:tc>
        <w:tc>
          <w:tcPr>
            <w:tcW w:w="8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rPr>
              <w:t>(c)</w:t>
            </w:r>
          </w:p>
        </w:tc>
        <w:tc>
          <w:tcPr>
            <w:tcW w:w="820" w:type="dxa"/>
            <w:vAlign w:val="bottom"/>
            <w:gridSpan w:val="2"/>
            <w:shd w:val="clear" w:color="auto" w:fill="007CBA"/>
          </w:tcPr>
          <w:p>
            <w:pPr>
              <w:jc w:val="center"/>
              <w:ind w:right="100"/>
              <w:spacing w:after="0"/>
              <w:rPr>
                <w:sz w:val="20"/>
                <w:szCs w:val="20"/>
                <w:color w:val="auto"/>
              </w:rPr>
            </w:pPr>
            <w:r>
              <w:rPr>
                <w:rFonts w:ascii="Arial" w:cs="Arial" w:eastAsia="Arial" w:hAnsi="Arial"/>
                <w:sz w:val="13"/>
                <w:szCs w:val="13"/>
                <w:b w:val="1"/>
                <w:bCs w:val="1"/>
                <w:color w:val="FFFFFF"/>
                <w:w w:val="96"/>
              </w:rPr>
              <w:t>(d)</w:t>
            </w:r>
          </w:p>
        </w:tc>
        <w:tc>
          <w:tcPr>
            <w:tcW w:w="820" w:type="dxa"/>
            <w:vAlign w:val="bottom"/>
            <w:tcBorders>
              <w:right w:val="single" w:sz="8" w:color="007CBA"/>
            </w:tcBorders>
            <w:shd w:val="clear" w:color="auto" w:fill="007CBA"/>
          </w:tcPr>
          <w:p>
            <w:pPr>
              <w:ind w:left="280"/>
              <w:spacing w:after="0"/>
              <w:rPr>
                <w:sz w:val="20"/>
                <w:szCs w:val="20"/>
                <w:color w:val="auto"/>
              </w:rPr>
            </w:pPr>
            <w:r>
              <w:rPr>
                <w:rFonts w:ascii="Arial" w:cs="Arial" w:eastAsia="Arial" w:hAnsi="Arial"/>
                <w:sz w:val="13"/>
                <w:szCs w:val="13"/>
                <w:b w:val="1"/>
                <w:bCs w:val="1"/>
                <w:color w:val="FFFFFF"/>
              </w:rPr>
              <w:t>(e)</w:t>
            </w:r>
          </w:p>
        </w:tc>
        <w:tc>
          <w:tcPr>
            <w:tcW w:w="8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rPr>
              <w:t>(f)</w:t>
            </w:r>
          </w:p>
        </w:tc>
        <w:tc>
          <w:tcPr>
            <w:tcW w:w="680" w:type="dxa"/>
            <w:vAlign w:val="bottom"/>
            <w:gridSpan w:val="2"/>
            <w:shd w:val="clear" w:color="auto" w:fill="007CBA"/>
          </w:tcPr>
          <w:p>
            <w:pPr>
              <w:jc w:val="center"/>
              <w:ind w:right="120"/>
              <w:spacing w:after="0"/>
              <w:rPr>
                <w:sz w:val="20"/>
                <w:szCs w:val="20"/>
                <w:color w:val="auto"/>
              </w:rPr>
            </w:pPr>
            <w:r>
              <w:rPr>
                <w:rFonts w:ascii="Arial" w:cs="Arial" w:eastAsia="Arial" w:hAnsi="Arial"/>
                <w:sz w:val="13"/>
                <w:szCs w:val="13"/>
                <w:b w:val="1"/>
                <w:bCs w:val="1"/>
                <w:color w:val="FFFFFF"/>
                <w:w w:val="96"/>
              </w:rPr>
              <w:t>(g)</w:t>
            </w:r>
          </w:p>
        </w:tc>
        <w:tc>
          <w:tcPr>
            <w:tcW w:w="740" w:type="dxa"/>
            <w:vAlign w:val="bottom"/>
            <w:tcBorders>
              <w:right w:val="single" w:sz="8" w:color="007CBA"/>
            </w:tcBorders>
            <w:shd w:val="clear" w:color="auto" w:fill="007CBA"/>
          </w:tcPr>
          <w:p>
            <w:pPr>
              <w:jc w:val="right"/>
              <w:ind w:right="269"/>
              <w:spacing w:after="0"/>
              <w:rPr>
                <w:sz w:val="20"/>
                <w:szCs w:val="20"/>
                <w:color w:val="auto"/>
              </w:rPr>
            </w:pPr>
            <w:r>
              <w:rPr>
                <w:rFonts w:ascii="Arial" w:cs="Arial" w:eastAsia="Arial" w:hAnsi="Arial"/>
                <w:sz w:val="13"/>
                <w:szCs w:val="13"/>
                <w:b w:val="1"/>
                <w:bCs w:val="1"/>
                <w:color w:val="FFFFFF"/>
              </w:rPr>
              <w:t>(h)</w:t>
            </w:r>
          </w:p>
        </w:tc>
        <w:tc>
          <w:tcPr>
            <w:tcW w:w="8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w w:val="97"/>
              </w:rPr>
              <w:t>(i)</w:t>
            </w:r>
          </w:p>
        </w:tc>
        <w:tc>
          <w:tcPr>
            <w:tcW w:w="880" w:type="dxa"/>
            <w:vAlign w:val="bottom"/>
            <w:shd w:val="clear" w:color="auto" w:fill="007CBA"/>
          </w:tcPr>
          <w:p>
            <w:pPr>
              <w:jc w:val="center"/>
              <w:spacing w:after="0"/>
              <w:rPr>
                <w:sz w:val="20"/>
                <w:szCs w:val="20"/>
                <w:color w:val="auto"/>
              </w:rPr>
            </w:pPr>
            <w:r>
              <w:rPr>
                <w:rFonts w:ascii="Arial" w:cs="Arial" w:eastAsia="Arial" w:hAnsi="Arial"/>
                <w:sz w:val="13"/>
                <w:szCs w:val="13"/>
                <w:b w:val="1"/>
                <w:bCs w:val="1"/>
                <w:color w:val="FFFFFF"/>
              </w:rPr>
              <w:t>(l)</w:t>
            </w:r>
          </w:p>
        </w:tc>
        <w:tc>
          <w:tcPr>
            <w:tcW w:w="0" w:type="dxa"/>
            <w:vAlign w:val="bottom"/>
          </w:tcPr>
          <w:p>
            <w:pPr>
              <w:spacing w:after="0"/>
              <w:rPr>
                <w:sz w:val="1"/>
                <w:szCs w:val="1"/>
                <w:color w:val="auto"/>
              </w:rPr>
            </w:pPr>
          </w:p>
        </w:tc>
      </w:tr>
      <w:tr>
        <w:trPr>
          <w:trHeight w:val="243"/>
        </w:trPr>
        <w:tc>
          <w:tcPr>
            <w:tcW w:w="38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b w:val="1"/>
                <w:bCs w:val="1"/>
                <w:color w:val="auto"/>
              </w:rPr>
              <w:t>C. Howard Nye</w:t>
            </w:r>
          </w:p>
        </w:tc>
        <w:tc>
          <w:tcPr>
            <w:tcW w:w="740" w:type="dxa"/>
            <w:vAlign w:val="bottom"/>
            <w:tcBorders>
              <w:right w:val="single" w:sz="8" w:color="007CBA"/>
            </w:tcBorders>
            <w:shd w:val="clear" w:color="auto" w:fill="E5F1F8"/>
          </w:tcPr>
          <w:p>
            <w:pPr>
              <w:jc w:val="right"/>
              <w:spacing w:after="0" w:line="243" w:lineRule="exact"/>
              <w:rPr>
                <w:sz w:val="20"/>
                <w:szCs w:val="20"/>
                <w:color w:val="auto"/>
              </w:rPr>
            </w:pPr>
            <w:r>
              <w:rPr>
                <w:rFonts w:ascii="Arial" w:cs="Arial" w:eastAsia="Arial" w:hAnsi="Arial"/>
                <w:sz w:val="14"/>
                <w:szCs w:val="14"/>
                <w:color w:val="auto"/>
              </w:rPr>
              <w:t>2/20/19</w:t>
            </w:r>
            <w:r>
              <w:rPr>
                <w:rFonts w:ascii="Arial" w:cs="Arial" w:eastAsia="Arial" w:hAnsi="Arial"/>
                <w:sz w:val="24"/>
                <w:szCs w:val="24"/>
                <w:color w:val="auto"/>
                <w:vertAlign w:val="superscript"/>
              </w:rPr>
              <w:t>1</w:t>
            </w:r>
          </w:p>
        </w:tc>
        <w:tc>
          <w:tcPr>
            <w:tcW w:w="860" w:type="dxa"/>
            <w:vAlign w:val="bottom"/>
            <w:tcBorders>
              <w:right w:val="single" w:sz="8" w:color="007CBA"/>
            </w:tcBorders>
            <w:shd w:val="clear" w:color="auto" w:fill="E5F1F8"/>
          </w:tcPr>
          <w:p>
            <w:pPr>
              <w:spacing w:after="0"/>
              <w:rPr>
                <w:sz w:val="21"/>
                <w:szCs w:val="21"/>
                <w:color w:val="auto"/>
              </w:rPr>
            </w:pPr>
          </w:p>
        </w:tc>
        <w:tc>
          <w:tcPr>
            <w:tcW w:w="7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599,958</w:t>
            </w:r>
          </w:p>
        </w:tc>
        <w:tc>
          <w:tcPr>
            <w:tcW w:w="60" w:type="dxa"/>
            <w:vAlign w:val="bottom"/>
            <w:shd w:val="clear" w:color="auto" w:fill="E5F1F8"/>
          </w:tcPr>
          <w:p>
            <w:pPr>
              <w:spacing w:after="0"/>
              <w:rPr>
                <w:sz w:val="21"/>
                <w:szCs w:val="21"/>
                <w:color w:val="auto"/>
              </w:rPr>
            </w:pPr>
          </w:p>
        </w:tc>
        <w:tc>
          <w:tcPr>
            <w:tcW w:w="82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3,750,000</w:t>
            </w:r>
          </w:p>
        </w:tc>
        <w:tc>
          <w:tcPr>
            <w:tcW w:w="840" w:type="dxa"/>
            <w:vAlign w:val="bottom"/>
            <w:tcBorders>
              <w:right w:val="single" w:sz="8" w:color="007CBA"/>
            </w:tcBorders>
            <w:shd w:val="clear" w:color="auto" w:fill="E5F1F8"/>
          </w:tcPr>
          <w:p>
            <w:pPr>
              <w:spacing w:after="0"/>
              <w:rPr>
                <w:sz w:val="21"/>
                <w:szCs w:val="21"/>
                <w:color w:val="auto"/>
              </w:rPr>
            </w:pPr>
          </w:p>
        </w:tc>
        <w:tc>
          <w:tcPr>
            <w:tcW w:w="60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3,901</w:t>
            </w:r>
          </w:p>
        </w:tc>
        <w:tc>
          <w:tcPr>
            <w:tcW w:w="80" w:type="dxa"/>
            <w:vAlign w:val="bottom"/>
            <w:shd w:val="clear" w:color="auto" w:fill="E5F1F8"/>
          </w:tcPr>
          <w:p>
            <w:pPr>
              <w:spacing w:after="0"/>
              <w:rPr>
                <w:sz w:val="21"/>
                <w:szCs w:val="21"/>
                <w:color w:val="auto"/>
              </w:rPr>
            </w:pPr>
          </w:p>
        </w:tc>
        <w:tc>
          <w:tcPr>
            <w:tcW w:w="74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24,380</w:t>
            </w:r>
          </w:p>
        </w:tc>
        <w:tc>
          <w:tcPr>
            <w:tcW w:w="800" w:type="dxa"/>
            <w:vAlign w:val="bottom"/>
            <w:tcBorders>
              <w:right w:val="single" w:sz="8" w:color="007CBA"/>
            </w:tcBorders>
            <w:shd w:val="clear" w:color="auto" w:fill="E5F1F8"/>
          </w:tcPr>
          <w:p>
            <w:pPr>
              <w:spacing w:after="0"/>
              <w:rPr>
                <w:sz w:val="21"/>
                <w:szCs w:val="21"/>
                <w:color w:val="auto"/>
              </w:rPr>
            </w:pPr>
          </w:p>
        </w:tc>
        <w:tc>
          <w:tcPr>
            <w:tcW w:w="880" w:type="dxa"/>
            <w:vAlign w:val="bottom"/>
            <w:shd w:val="clear" w:color="auto" w:fill="E5F1F8"/>
          </w:tcPr>
          <w:p>
            <w:pPr>
              <w:jc w:val="right"/>
              <w:ind w:right="30"/>
              <w:spacing w:after="0"/>
              <w:rPr>
                <w:sz w:val="20"/>
                <w:szCs w:val="20"/>
                <w:color w:val="auto"/>
              </w:rPr>
            </w:pPr>
            <w:r>
              <w:rPr>
                <w:rFonts w:ascii="Arial" w:cs="Arial" w:eastAsia="Arial" w:hAnsi="Arial"/>
                <w:sz w:val="14"/>
                <w:szCs w:val="14"/>
                <w:color w:val="auto"/>
              </w:rPr>
              <w:t>750,045</w:t>
            </w:r>
          </w:p>
        </w:tc>
        <w:tc>
          <w:tcPr>
            <w:tcW w:w="0" w:type="dxa"/>
            <w:vAlign w:val="bottom"/>
          </w:tcPr>
          <w:p>
            <w:pPr>
              <w:spacing w:after="0"/>
              <w:rPr>
                <w:sz w:val="1"/>
                <w:szCs w:val="1"/>
                <w:color w:val="auto"/>
              </w:rPr>
            </w:pPr>
          </w:p>
        </w:tc>
      </w:tr>
      <w:tr>
        <w:trPr>
          <w:trHeight w:val="216"/>
        </w:trPr>
        <w:tc>
          <w:tcPr>
            <w:tcW w:w="3820" w:type="dxa"/>
            <w:vAlign w:val="bottom"/>
            <w:tcBorders>
              <w:right w:val="single" w:sz="8" w:color="007CBA"/>
            </w:tcBorders>
            <w:shd w:val="clear" w:color="auto" w:fill="E5F1F8"/>
          </w:tcPr>
          <w:p>
            <w:pPr>
              <w:spacing w:after="0"/>
              <w:rPr>
                <w:sz w:val="18"/>
                <w:szCs w:val="18"/>
                <w:color w:val="auto"/>
              </w:rPr>
            </w:pPr>
          </w:p>
        </w:tc>
        <w:tc>
          <w:tcPr>
            <w:tcW w:w="740" w:type="dxa"/>
            <w:vAlign w:val="bottom"/>
            <w:tcBorders>
              <w:right w:val="single" w:sz="8" w:color="007CBA"/>
            </w:tcBorders>
            <w:shd w:val="clear" w:color="auto" w:fill="E5F1F8"/>
          </w:tcPr>
          <w:p>
            <w:pPr>
              <w:jc w:val="right"/>
              <w:spacing w:after="0" w:line="216" w:lineRule="exact"/>
              <w:rPr>
                <w:sz w:val="20"/>
                <w:szCs w:val="20"/>
                <w:color w:val="auto"/>
              </w:rPr>
            </w:pPr>
            <w:r>
              <w:rPr>
                <w:rFonts w:ascii="Arial" w:cs="Arial" w:eastAsia="Arial" w:hAnsi="Arial"/>
                <w:sz w:val="14"/>
                <w:szCs w:val="14"/>
                <w:color w:val="auto"/>
              </w:rPr>
              <w:t>2/22/18</w:t>
            </w:r>
            <w:r>
              <w:rPr>
                <w:rFonts w:ascii="Arial" w:cs="Arial" w:eastAsia="Arial" w:hAnsi="Arial"/>
                <w:sz w:val="24"/>
                <w:szCs w:val="24"/>
                <w:color w:val="auto"/>
                <w:vertAlign w:val="superscript"/>
              </w:rPr>
              <w:t>3</w:t>
            </w:r>
          </w:p>
        </w:tc>
        <w:tc>
          <w:tcPr>
            <w:tcW w:w="860" w:type="dxa"/>
            <w:vAlign w:val="bottom"/>
            <w:tcBorders>
              <w:right w:val="single" w:sz="8" w:color="007CBA"/>
            </w:tcBorders>
            <w:shd w:val="clear" w:color="auto" w:fill="E5F1F8"/>
          </w:tcPr>
          <w:p>
            <w:pPr>
              <w:spacing w:after="0"/>
              <w:rPr>
                <w:sz w:val="18"/>
                <w:szCs w:val="18"/>
                <w:color w:val="auto"/>
              </w:rPr>
            </w:pPr>
          </w:p>
        </w:tc>
        <w:tc>
          <w:tcPr>
            <w:tcW w:w="760" w:type="dxa"/>
            <w:vAlign w:val="bottom"/>
            <w:tcBorders>
              <w:right w:val="single" w:sz="8" w:color="007CBA"/>
            </w:tcBorders>
            <w:shd w:val="clear" w:color="auto" w:fill="E5F1F8"/>
          </w:tcPr>
          <w:p>
            <w:pPr>
              <w:spacing w:after="0"/>
              <w:rPr>
                <w:sz w:val="18"/>
                <w:szCs w:val="18"/>
                <w:color w:val="auto"/>
              </w:rPr>
            </w:pPr>
          </w:p>
        </w:tc>
        <w:tc>
          <w:tcPr>
            <w:tcW w:w="60" w:type="dxa"/>
            <w:vAlign w:val="bottom"/>
            <w:shd w:val="clear" w:color="auto" w:fill="E5F1F8"/>
          </w:tcPr>
          <w:p>
            <w:pPr>
              <w:spacing w:after="0"/>
              <w:rPr>
                <w:sz w:val="18"/>
                <w:szCs w:val="18"/>
                <w:color w:val="auto"/>
              </w:rPr>
            </w:pPr>
          </w:p>
        </w:tc>
        <w:tc>
          <w:tcPr>
            <w:tcW w:w="820" w:type="dxa"/>
            <w:vAlign w:val="bottom"/>
            <w:tcBorders>
              <w:right w:val="single" w:sz="8" w:color="007CBA"/>
            </w:tcBorders>
            <w:shd w:val="clear" w:color="auto" w:fill="E5F1F8"/>
          </w:tcPr>
          <w:p>
            <w:pPr>
              <w:spacing w:after="0"/>
              <w:rPr>
                <w:sz w:val="18"/>
                <w:szCs w:val="18"/>
                <w:color w:val="auto"/>
              </w:rPr>
            </w:pPr>
          </w:p>
        </w:tc>
        <w:tc>
          <w:tcPr>
            <w:tcW w:w="840" w:type="dxa"/>
            <w:vAlign w:val="bottom"/>
            <w:tcBorders>
              <w:right w:val="single" w:sz="8" w:color="007CBA"/>
            </w:tcBorders>
            <w:shd w:val="clear" w:color="auto" w:fill="E5F1F8"/>
          </w:tcPr>
          <w:p>
            <w:pPr>
              <w:jc w:val="right"/>
              <w:ind w:right="51"/>
              <w:spacing w:after="0"/>
              <w:rPr>
                <w:sz w:val="20"/>
                <w:szCs w:val="20"/>
                <w:color w:val="auto"/>
              </w:rPr>
            </w:pPr>
            <w:r>
              <w:rPr>
                <w:rFonts w:ascii="Arial" w:cs="Arial" w:eastAsia="Arial" w:hAnsi="Arial"/>
                <w:sz w:val="14"/>
                <w:szCs w:val="14"/>
                <w:color w:val="auto"/>
              </w:rPr>
              <w:t>3,976</w:t>
            </w:r>
          </w:p>
        </w:tc>
        <w:tc>
          <w:tcPr>
            <w:tcW w:w="60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9,940</w:t>
            </w:r>
          </w:p>
        </w:tc>
        <w:tc>
          <w:tcPr>
            <w:tcW w:w="80" w:type="dxa"/>
            <w:vAlign w:val="bottom"/>
            <w:shd w:val="clear" w:color="auto" w:fill="E5F1F8"/>
          </w:tcPr>
          <w:p>
            <w:pPr>
              <w:spacing w:after="0"/>
              <w:rPr>
                <w:sz w:val="18"/>
                <w:szCs w:val="18"/>
                <w:color w:val="auto"/>
              </w:rPr>
            </w:pPr>
          </w:p>
        </w:tc>
        <w:tc>
          <w:tcPr>
            <w:tcW w:w="74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23,856</w:t>
            </w:r>
          </w:p>
        </w:tc>
        <w:tc>
          <w:tcPr>
            <w:tcW w:w="800" w:type="dxa"/>
            <w:vAlign w:val="bottom"/>
            <w:tcBorders>
              <w:right w:val="single" w:sz="8" w:color="007CBA"/>
            </w:tcBorders>
            <w:shd w:val="clear" w:color="auto" w:fill="E5F1F8"/>
          </w:tcPr>
          <w:p>
            <w:pPr>
              <w:spacing w:after="0"/>
              <w:rPr>
                <w:sz w:val="18"/>
                <w:szCs w:val="18"/>
                <w:color w:val="auto"/>
              </w:rPr>
            </w:pPr>
          </w:p>
        </w:tc>
        <w:tc>
          <w:tcPr>
            <w:tcW w:w="880" w:type="dxa"/>
            <w:vAlign w:val="bottom"/>
            <w:shd w:val="clear" w:color="auto" w:fill="E5F1F8"/>
          </w:tcPr>
          <w:p>
            <w:pPr>
              <w:jc w:val="right"/>
              <w:ind w:right="30"/>
              <w:spacing w:after="0"/>
              <w:rPr>
                <w:sz w:val="20"/>
                <w:szCs w:val="20"/>
                <w:color w:val="auto"/>
              </w:rPr>
            </w:pPr>
            <w:r>
              <w:rPr>
                <w:rFonts w:ascii="Arial" w:cs="Arial" w:eastAsia="Arial" w:hAnsi="Arial"/>
                <w:sz w:val="14"/>
                <w:szCs w:val="14"/>
                <w:color w:val="auto"/>
              </w:rPr>
              <w:t>2,185,607</w:t>
            </w:r>
          </w:p>
        </w:tc>
        <w:tc>
          <w:tcPr>
            <w:tcW w:w="0" w:type="dxa"/>
            <w:vAlign w:val="bottom"/>
          </w:tcPr>
          <w:p>
            <w:pPr>
              <w:spacing w:after="0"/>
              <w:rPr>
                <w:sz w:val="1"/>
                <w:szCs w:val="1"/>
                <w:color w:val="auto"/>
              </w:rPr>
            </w:pPr>
          </w:p>
        </w:tc>
      </w:tr>
      <w:tr>
        <w:trPr>
          <w:trHeight w:val="216"/>
        </w:trPr>
        <w:tc>
          <w:tcPr>
            <w:tcW w:w="3820" w:type="dxa"/>
            <w:vAlign w:val="bottom"/>
            <w:tcBorders>
              <w:right w:val="single" w:sz="8" w:color="007CBA"/>
            </w:tcBorders>
            <w:shd w:val="clear" w:color="auto" w:fill="E5F1F8"/>
          </w:tcPr>
          <w:p>
            <w:pPr>
              <w:spacing w:after="0"/>
              <w:rPr>
                <w:sz w:val="18"/>
                <w:szCs w:val="18"/>
                <w:color w:val="auto"/>
              </w:rPr>
            </w:pPr>
          </w:p>
        </w:tc>
        <w:tc>
          <w:tcPr>
            <w:tcW w:w="740" w:type="dxa"/>
            <w:vAlign w:val="bottom"/>
            <w:tcBorders>
              <w:right w:val="single" w:sz="8" w:color="007CBA"/>
            </w:tcBorders>
            <w:shd w:val="clear" w:color="auto" w:fill="E5F1F8"/>
          </w:tcPr>
          <w:p>
            <w:pPr>
              <w:jc w:val="right"/>
              <w:spacing w:after="0" w:line="216" w:lineRule="exact"/>
              <w:rPr>
                <w:sz w:val="20"/>
                <w:szCs w:val="20"/>
                <w:color w:val="auto"/>
              </w:rPr>
            </w:pPr>
            <w:r>
              <w:rPr>
                <w:rFonts w:ascii="Arial" w:cs="Arial" w:eastAsia="Arial" w:hAnsi="Arial"/>
                <w:sz w:val="14"/>
                <w:szCs w:val="14"/>
                <w:color w:val="auto"/>
              </w:rPr>
              <w:t>2/22/18</w:t>
            </w:r>
            <w:r>
              <w:rPr>
                <w:rFonts w:ascii="Arial" w:cs="Arial" w:eastAsia="Arial" w:hAnsi="Arial"/>
                <w:sz w:val="24"/>
                <w:szCs w:val="24"/>
                <w:color w:val="auto"/>
                <w:vertAlign w:val="superscript"/>
              </w:rPr>
              <w:t>2</w:t>
            </w:r>
          </w:p>
        </w:tc>
        <w:tc>
          <w:tcPr>
            <w:tcW w:w="860" w:type="dxa"/>
            <w:vAlign w:val="bottom"/>
            <w:tcBorders>
              <w:right w:val="single" w:sz="8" w:color="007CBA"/>
            </w:tcBorders>
            <w:shd w:val="clear" w:color="auto" w:fill="E5F1F8"/>
          </w:tcPr>
          <w:p>
            <w:pPr>
              <w:spacing w:after="0"/>
              <w:rPr>
                <w:sz w:val="18"/>
                <w:szCs w:val="18"/>
                <w:color w:val="auto"/>
              </w:rPr>
            </w:pPr>
          </w:p>
        </w:tc>
        <w:tc>
          <w:tcPr>
            <w:tcW w:w="760" w:type="dxa"/>
            <w:vAlign w:val="bottom"/>
            <w:tcBorders>
              <w:right w:val="single" w:sz="8" w:color="007CBA"/>
            </w:tcBorders>
            <w:shd w:val="clear" w:color="auto" w:fill="E5F1F8"/>
          </w:tcPr>
          <w:p>
            <w:pPr>
              <w:spacing w:after="0"/>
              <w:rPr>
                <w:sz w:val="18"/>
                <w:szCs w:val="18"/>
                <w:color w:val="auto"/>
              </w:rPr>
            </w:pPr>
          </w:p>
        </w:tc>
        <w:tc>
          <w:tcPr>
            <w:tcW w:w="60" w:type="dxa"/>
            <w:vAlign w:val="bottom"/>
            <w:shd w:val="clear" w:color="auto" w:fill="E5F1F8"/>
          </w:tcPr>
          <w:p>
            <w:pPr>
              <w:spacing w:after="0"/>
              <w:rPr>
                <w:sz w:val="18"/>
                <w:szCs w:val="18"/>
                <w:color w:val="auto"/>
              </w:rPr>
            </w:pPr>
          </w:p>
        </w:tc>
        <w:tc>
          <w:tcPr>
            <w:tcW w:w="820" w:type="dxa"/>
            <w:vAlign w:val="bottom"/>
            <w:tcBorders>
              <w:right w:val="single" w:sz="8" w:color="007CBA"/>
            </w:tcBorders>
            <w:shd w:val="clear" w:color="auto" w:fill="E5F1F8"/>
          </w:tcPr>
          <w:p>
            <w:pPr>
              <w:spacing w:after="0"/>
              <w:rPr>
                <w:sz w:val="18"/>
                <w:szCs w:val="18"/>
                <w:color w:val="auto"/>
              </w:rPr>
            </w:pPr>
          </w:p>
        </w:tc>
        <w:tc>
          <w:tcPr>
            <w:tcW w:w="840" w:type="dxa"/>
            <w:vAlign w:val="bottom"/>
            <w:tcBorders>
              <w:right w:val="single" w:sz="8" w:color="007CBA"/>
            </w:tcBorders>
            <w:shd w:val="clear" w:color="auto" w:fill="E5F1F8"/>
          </w:tcPr>
          <w:p>
            <w:pPr>
              <w:spacing w:after="0"/>
              <w:rPr>
                <w:sz w:val="18"/>
                <w:szCs w:val="18"/>
                <w:color w:val="auto"/>
              </w:rPr>
            </w:pPr>
          </w:p>
        </w:tc>
        <w:tc>
          <w:tcPr>
            <w:tcW w:w="600" w:type="dxa"/>
            <w:vAlign w:val="bottom"/>
            <w:tcBorders>
              <w:right w:val="single" w:sz="8" w:color="007CBA"/>
            </w:tcBorders>
            <w:shd w:val="clear" w:color="auto" w:fill="E5F1F8"/>
          </w:tcPr>
          <w:p>
            <w:pPr>
              <w:spacing w:after="0"/>
              <w:rPr>
                <w:sz w:val="18"/>
                <w:szCs w:val="18"/>
                <w:color w:val="auto"/>
              </w:rPr>
            </w:pPr>
          </w:p>
        </w:tc>
        <w:tc>
          <w:tcPr>
            <w:tcW w:w="80" w:type="dxa"/>
            <w:vAlign w:val="bottom"/>
            <w:shd w:val="clear" w:color="auto" w:fill="E5F1F8"/>
          </w:tcPr>
          <w:p>
            <w:pPr>
              <w:spacing w:after="0"/>
              <w:rPr>
                <w:sz w:val="18"/>
                <w:szCs w:val="18"/>
                <w:color w:val="auto"/>
              </w:rPr>
            </w:pPr>
          </w:p>
        </w:tc>
        <w:tc>
          <w:tcPr>
            <w:tcW w:w="740" w:type="dxa"/>
            <w:vAlign w:val="bottom"/>
            <w:tcBorders>
              <w:right w:val="single" w:sz="8" w:color="007CBA"/>
            </w:tcBorders>
            <w:shd w:val="clear" w:color="auto" w:fill="E5F1F8"/>
          </w:tcPr>
          <w:p>
            <w:pPr>
              <w:spacing w:after="0"/>
              <w:rPr>
                <w:sz w:val="18"/>
                <w:szCs w:val="18"/>
                <w:color w:val="auto"/>
              </w:rPr>
            </w:pPr>
          </w:p>
        </w:tc>
        <w:tc>
          <w:tcPr>
            <w:tcW w:w="800" w:type="dxa"/>
            <w:vAlign w:val="bottom"/>
            <w:tcBorders>
              <w:right w:val="single" w:sz="8" w:color="007CBA"/>
            </w:tcBorders>
            <w:shd w:val="clear" w:color="auto" w:fill="E5F1F8"/>
          </w:tcPr>
          <w:p>
            <w:pPr>
              <w:jc w:val="right"/>
              <w:ind w:right="31"/>
              <w:spacing w:after="0"/>
              <w:rPr>
                <w:sz w:val="20"/>
                <w:szCs w:val="20"/>
                <w:color w:val="auto"/>
              </w:rPr>
            </w:pPr>
            <w:r>
              <w:rPr>
                <w:rFonts w:ascii="Arial" w:cs="Arial" w:eastAsia="Arial" w:hAnsi="Arial"/>
                <w:sz w:val="14"/>
                <w:szCs w:val="14"/>
                <w:color w:val="auto"/>
              </w:rPr>
              <w:t>8,539</w:t>
            </w:r>
          </w:p>
        </w:tc>
        <w:tc>
          <w:tcPr>
            <w:tcW w:w="880" w:type="dxa"/>
            <w:vAlign w:val="bottom"/>
            <w:shd w:val="clear" w:color="auto" w:fill="E5F1F8"/>
          </w:tcPr>
          <w:p>
            <w:pPr>
              <w:jc w:val="right"/>
              <w:ind w:right="30"/>
              <w:spacing w:after="0"/>
              <w:rPr>
                <w:sz w:val="20"/>
                <w:szCs w:val="20"/>
                <w:color w:val="auto"/>
              </w:rPr>
            </w:pPr>
            <w:r>
              <w:rPr>
                <w:rFonts w:ascii="Arial" w:cs="Arial" w:eastAsia="Arial" w:hAnsi="Arial"/>
                <w:sz w:val="14"/>
                <w:szCs w:val="14"/>
                <w:color w:val="auto"/>
              </w:rPr>
              <w:t>1,811,293</w:t>
            </w:r>
          </w:p>
        </w:tc>
        <w:tc>
          <w:tcPr>
            <w:tcW w:w="0" w:type="dxa"/>
            <w:vAlign w:val="bottom"/>
          </w:tcPr>
          <w:p>
            <w:pPr>
              <w:spacing w:after="0"/>
              <w:rPr>
                <w:sz w:val="1"/>
                <w:szCs w:val="1"/>
                <w:color w:val="auto"/>
              </w:rPr>
            </w:pPr>
          </w:p>
        </w:tc>
      </w:tr>
      <w:tr>
        <w:trPr>
          <w:trHeight w:val="254"/>
        </w:trPr>
        <w:tc>
          <w:tcPr>
            <w:tcW w:w="3820" w:type="dxa"/>
            <w:vAlign w:val="bottom"/>
            <w:tcBorders>
              <w:right w:val="single" w:sz="8" w:color="007CBA"/>
            </w:tcBorders>
          </w:tcPr>
          <w:p>
            <w:pPr>
              <w:ind w:left="80"/>
              <w:spacing w:after="0"/>
              <w:rPr>
                <w:sz w:val="20"/>
                <w:szCs w:val="20"/>
                <w:color w:val="auto"/>
              </w:rPr>
            </w:pPr>
            <w:r>
              <w:rPr>
                <w:rFonts w:ascii="Arial" w:cs="Arial" w:eastAsia="Arial" w:hAnsi="Arial"/>
                <w:sz w:val="14"/>
                <w:szCs w:val="14"/>
                <w:b w:val="1"/>
                <w:bCs w:val="1"/>
                <w:color w:val="auto"/>
              </w:rPr>
              <w:t>James A. J. Nickolas</w:t>
            </w:r>
          </w:p>
        </w:tc>
        <w:tc>
          <w:tcPr>
            <w:tcW w:w="740" w:type="dxa"/>
            <w:vAlign w:val="bottom"/>
            <w:tcBorders>
              <w:right w:val="single" w:sz="8" w:color="007CBA"/>
            </w:tcBorders>
          </w:tcPr>
          <w:p>
            <w:pPr>
              <w:jc w:val="right"/>
              <w:spacing w:after="0" w:line="253" w:lineRule="exact"/>
              <w:rPr>
                <w:sz w:val="20"/>
                <w:szCs w:val="20"/>
                <w:color w:val="auto"/>
              </w:rPr>
            </w:pPr>
            <w:r>
              <w:rPr>
                <w:rFonts w:ascii="Arial" w:cs="Arial" w:eastAsia="Arial" w:hAnsi="Arial"/>
                <w:sz w:val="14"/>
                <w:szCs w:val="14"/>
                <w:color w:val="auto"/>
              </w:rPr>
              <w:t>2/20/19</w:t>
            </w:r>
            <w:r>
              <w:rPr>
                <w:rFonts w:ascii="Arial" w:cs="Arial" w:eastAsia="Arial" w:hAnsi="Arial"/>
                <w:sz w:val="24"/>
                <w:szCs w:val="24"/>
                <w:color w:val="auto"/>
                <w:vertAlign w:val="superscript"/>
              </w:rPr>
              <w:t>1</w:t>
            </w:r>
          </w:p>
        </w:tc>
        <w:tc>
          <w:tcPr>
            <w:tcW w:w="860" w:type="dxa"/>
            <w:vAlign w:val="bottom"/>
            <w:tcBorders>
              <w:right w:val="single" w:sz="8" w:color="007CBA"/>
            </w:tcBorders>
          </w:tcPr>
          <w:p>
            <w:pPr>
              <w:spacing w:after="0"/>
              <w:rPr>
                <w:sz w:val="22"/>
                <w:szCs w:val="22"/>
                <w:color w:val="auto"/>
              </w:rPr>
            </w:pPr>
          </w:p>
        </w:tc>
        <w:tc>
          <w:tcPr>
            <w:tcW w:w="7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291,400</w:t>
            </w:r>
          </w:p>
        </w:tc>
        <w:tc>
          <w:tcPr>
            <w:tcW w:w="60" w:type="dxa"/>
            <w:vAlign w:val="bottom"/>
          </w:tcPr>
          <w:p>
            <w:pPr>
              <w:spacing w:after="0"/>
              <w:rPr>
                <w:sz w:val="22"/>
                <w:szCs w:val="22"/>
                <w:color w:val="auto"/>
              </w:rPr>
            </w:pPr>
          </w:p>
        </w:tc>
        <w:tc>
          <w:tcPr>
            <w:tcW w:w="82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6,000,000</w:t>
            </w:r>
          </w:p>
        </w:tc>
        <w:tc>
          <w:tcPr>
            <w:tcW w:w="840" w:type="dxa"/>
            <w:vAlign w:val="bottom"/>
            <w:tcBorders>
              <w:right w:val="single" w:sz="8" w:color="007CBA"/>
            </w:tcBorders>
          </w:tcPr>
          <w:p>
            <w:pPr>
              <w:spacing w:after="0"/>
              <w:rPr>
                <w:sz w:val="22"/>
                <w:szCs w:val="22"/>
                <w:color w:val="auto"/>
              </w:rPr>
            </w:pPr>
          </w:p>
        </w:tc>
        <w:tc>
          <w:tcPr>
            <w:tcW w:w="60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474</w:t>
            </w:r>
          </w:p>
        </w:tc>
        <w:tc>
          <w:tcPr>
            <w:tcW w:w="80" w:type="dxa"/>
            <w:vAlign w:val="bottom"/>
          </w:tcPr>
          <w:p>
            <w:pPr>
              <w:spacing w:after="0"/>
              <w:rPr>
                <w:sz w:val="22"/>
                <w:szCs w:val="22"/>
                <w:color w:val="auto"/>
              </w:rPr>
            </w:pPr>
          </w:p>
        </w:tc>
        <w:tc>
          <w:tcPr>
            <w:tcW w:w="74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9,752</w:t>
            </w:r>
          </w:p>
        </w:tc>
        <w:tc>
          <w:tcPr>
            <w:tcW w:w="800" w:type="dxa"/>
            <w:vAlign w:val="bottom"/>
            <w:tcBorders>
              <w:right w:val="single" w:sz="8" w:color="007CBA"/>
            </w:tcBorders>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91,136</w:t>
            </w:r>
          </w:p>
        </w:tc>
        <w:tc>
          <w:tcPr>
            <w:tcW w:w="0" w:type="dxa"/>
            <w:vAlign w:val="bottom"/>
          </w:tcPr>
          <w:p>
            <w:pPr>
              <w:spacing w:after="0"/>
              <w:rPr>
                <w:sz w:val="1"/>
                <w:szCs w:val="1"/>
                <w:color w:val="auto"/>
              </w:rPr>
            </w:pPr>
          </w:p>
        </w:tc>
      </w:tr>
      <w:tr>
        <w:trPr>
          <w:trHeight w:val="216"/>
        </w:trPr>
        <w:tc>
          <w:tcPr>
            <w:tcW w:w="3820" w:type="dxa"/>
            <w:vAlign w:val="bottom"/>
            <w:tcBorders>
              <w:right w:val="single" w:sz="8" w:color="007CBA"/>
            </w:tcBorders>
          </w:tcPr>
          <w:p>
            <w:pPr>
              <w:spacing w:after="0"/>
              <w:rPr>
                <w:sz w:val="18"/>
                <w:szCs w:val="18"/>
                <w:color w:val="auto"/>
              </w:rPr>
            </w:pPr>
          </w:p>
        </w:tc>
        <w:tc>
          <w:tcPr>
            <w:tcW w:w="740" w:type="dxa"/>
            <w:vAlign w:val="bottom"/>
            <w:tcBorders>
              <w:right w:val="single" w:sz="8" w:color="007CBA"/>
            </w:tcBorders>
          </w:tcPr>
          <w:p>
            <w:pPr>
              <w:jc w:val="right"/>
              <w:spacing w:after="0" w:line="216" w:lineRule="exact"/>
              <w:rPr>
                <w:sz w:val="20"/>
                <w:szCs w:val="20"/>
                <w:color w:val="auto"/>
              </w:rPr>
            </w:pPr>
            <w:r>
              <w:rPr>
                <w:rFonts w:ascii="Arial" w:cs="Arial" w:eastAsia="Arial" w:hAnsi="Arial"/>
                <w:sz w:val="14"/>
                <w:szCs w:val="14"/>
                <w:color w:val="auto"/>
              </w:rPr>
              <w:t>2/22/18</w:t>
            </w:r>
            <w:r>
              <w:rPr>
                <w:rFonts w:ascii="Arial" w:cs="Arial" w:eastAsia="Arial" w:hAnsi="Arial"/>
                <w:sz w:val="24"/>
                <w:szCs w:val="24"/>
                <w:color w:val="auto"/>
                <w:vertAlign w:val="superscript"/>
              </w:rPr>
              <w:t>3</w:t>
            </w:r>
          </w:p>
        </w:tc>
        <w:tc>
          <w:tcPr>
            <w:tcW w:w="860" w:type="dxa"/>
            <w:vAlign w:val="bottom"/>
            <w:tcBorders>
              <w:right w:val="single" w:sz="8" w:color="007CBA"/>
            </w:tcBorders>
          </w:tcPr>
          <w:p>
            <w:pPr>
              <w:spacing w:after="0"/>
              <w:rPr>
                <w:sz w:val="18"/>
                <w:szCs w:val="18"/>
                <w:color w:val="auto"/>
              </w:rPr>
            </w:pPr>
          </w:p>
        </w:tc>
        <w:tc>
          <w:tcPr>
            <w:tcW w:w="760" w:type="dxa"/>
            <w:vAlign w:val="bottom"/>
            <w:tcBorders>
              <w:right w:val="single" w:sz="8" w:color="007CBA"/>
            </w:tcBorders>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right w:val="single" w:sz="8" w:color="007CBA"/>
            </w:tcBorders>
          </w:tcPr>
          <w:p>
            <w:pPr>
              <w:spacing w:after="0"/>
              <w:rPr>
                <w:sz w:val="18"/>
                <w:szCs w:val="18"/>
                <w:color w:val="auto"/>
              </w:rPr>
            </w:pPr>
          </w:p>
        </w:tc>
        <w:tc>
          <w:tcPr>
            <w:tcW w:w="840" w:type="dxa"/>
            <w:vAlign w:val="bottom"/>
            <w:tcBorders>
              <w:right w:val="single" w:sz="8" w:color="007CBA"/>
            </w:tcBorders>
          </w:tcPr>
          <w:p>
            <w:pPr>
              <w:jc w:val="right"/>
              <w:ind w:right="51"/>
              <w:spacing w:after="0"/>
              <w:rPr>
                <w:sz w:val="20"/>
                <w:szCs w:val="20"/>
                <w:color w:val="auto"/>
              </w:rPr>
            </w:pPr>
            <w:r>
              <w:rPr>
                <w:rFonts w:ascii="Arial" w:cs="Arial" w:eastAsia="Arial" w:hAnsi="Arial"/>
                <w:sz w:val="14"/>
                <w:szCs w:val="14"/>
                <w:color w:val="auto"/>
              </w:rPr>
              <w:t>783</w:t>
            </w:r>
          </w:p>
        </w:tc>
        <w:tc>
          <w:tcPr>
            <w:tcW w:w="60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1,956</w:t>
            </w:r>
          </w:p>
        </w:tc>
        <w:tc>
          <w:tcPr>
            <w:tcW w:w="80" w:type="dxa"/>
            <w:vAlign w:val="bottom"/>
          </w:tcPr>
          <w:p>
            <w:pPr>
              <w:spacing w:after="0"/>
              <w:rPr>
                <w:sz w:val="18"/>
                <w:szCs w:val="18"/>
                <w:color w:val="auto"/>
              </w:rPr>
            </w:pPr>
          </w:p>
        </w:tc>
        <w:tc>
          <w:tcPr>
            <w:tcW w:w="74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4,695</w:t>
            </w:r>
          </w:p>
        </w:tc>
        <w:tc>
          <w:tcPr>
            <w:tcW w:w="800" w:type="dxa"/>
            <w:vAlign w:val="bottom"/>
            <w:tcBorders>
              <w:right w:val="single" w:sz="8" w:color="007CBA"/>
            </w:tcBorders>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430,085</w:t>
            </w:r>
          </w:p>
        </w:tc>
        <w:tc>
          <w:tcPr>
            <w:tcW w:w="0" w:type="dxa"/>
            <w:vAlign w:val="bottom"/>
          </w:tcPr>
          <w:p>
            <w:pPr>
              <w:spacing w:after="0"/>
              <w:rPr>
                <w:sz w:val="1"/>
                <w:szCs w:val="1"/>
                <w:color w:val="auto"/>
              </w:rPr>
            </w:pPr>
          </w:p>
        </w:tc>
      </w:tr>
      <w:tr>
        <w:trPr>
          <w:trHeight w:val="205"/>
        </w:trPr>
        <w:tc>
          <w:tcPr>
            <w:tcW w:w="3820" w:type="dxa"/>
            <w:vAlign w:val="bottom"/>
            <w:tcBorders>
              <w:right w:val="single" w:sz="8" w:color="007CBA"/>
            </w:tcBorders>
          </w:tcPr>
          <w:p>
            <w:pPr>
              <w:spacing w:after="0"/>
              <w:rPr>
                <w:sz w:val="17"/>
                <w:szCs w:val="17"/>
                <w:color w:val="auto"/>
              </w:rPr>
            </w:pPr>
          </w:p>
        </w:tc>
        <w:tc>
          <w:tcPr>
            <w:tcW w:w="740" w:type="dxa"/>
            <w:vAlign w:val="bottom"/>
            <w:tcBorders>
              <w:right w:val="single" w:sz="8" w:color="007CBA"/>
            </w:tcBorders>
          </w:tcPr>
          <w:p>
            <w:pPr>
              <w:jc w:val="right"/>
              <w:spacing w:after="0" w:line="205" w:lineRule="exact"/>
              <w:rPr>
                <w:sz w:val="20"/>
                <w:szCs w:val="20"/>
                <w:color w:val="auto"/>
              </w:rPr>
            </w:pPr>
            <w:r>
              <w:rPr>
                <w:rFonts w:ascii="Arial" w:cs="Arial" w:eastAsia="Arial" w:hAnsi="Arial"/>
                <w:sz w:val="14"/>
                <w:szCs w:val="14"/>
                <w:color w:val="auto"/>
              </w:rPr>
              <w:t>2/22/18</w:t>
            </w:r>
            <w:r>
              <w:rPr>
                <w:rFonts w:ascii="Arial" w:cs="Arial" w:eastAsia="Arial" w:hAnsi="Arial"/>
                <w:sz w:val="23"/>
                <w:szCs w:val="23"/>
                <w:color w:val="auto"/>
                <w:vertAlign w:val="superscript"/>
              </w:rPr>
              <w:t>2</w:t>
            </w:r>
          </w:p>
        </w:tc>
        <w:tc>
          <w:tcPr>
            <w:tcW w:w="860" w:type="dxa"/>
            <w:vAlign w:val="bottom"/>
            <w:tcBorders>
              <w:right w:val="single" w:sz="8" w:color="007CBA"/>
            </w:tcBorders>
          </w:tcPr>
          <w:p>
            <w:pPr>
              <w:spacing w:after="0"/>
              <w:rPr>
                <w:sz w:val="17"/>
                <w:szCs w:val="17"/>
                <w:color w:val="auto"/>
              </w:rPr>
            </w:pPr>
          </w:p>
        </w:tc>
        <w:tc>
          <w:tcPr>
            <w:tcW w:w="760" w:type="dxa"/>
            <w:vAlign w:val="bottom"/>
            <w:tcBorders>
              <w:right w:val="single" w:sz="8" w:color="007CBA"/>
            </w:tcBorders>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Borders>
              <w:right w:val="single" w:sz="8" w:color="007CBA"/>
            </w:tcBorders>
          </w:tcPr>
          <w:p>
            <w:pPr>
              <w:spacing w:after="0"/>
              <w:rPr>
                <w:sz w:val="17"/>
                <w:szCs w:val="17"/>
                <w:color w:val="auto"/>
              </w:rPr>
            </w:pPr>
          </w:p>
        </w:tc>
        <w:tc>
          <w:tcPr>
            <w:tcW w:w="840" w:type="dxa"/>
            <w:vAlign w:val="bottom"/>
            <w:tcBorders>
              <w:right w:val="single" w:sz="8" w:color="007CBA"/>
            </w:tcBorders>
          </w:tcPr>
          <w:p>
            <w:pPr>
              <w:spacing w:after="0"/>
              <w:rPr>
                <w:sz w:val="17"/>
                <w:szCs w:val="17"/>
                <w:color w:val="auto"/>
              </w:rPr>
            </w:pPr>
          </w:p>
        </w:tc>
        <w:tc>
          <w:tcPr>
            <w:tcW w:w="600" w:type="dxa"/>
            <w:vAlign w:val="bottom"/>
            <w:tcBorders>
              <w:right w:val="single" w:sz="8" w:color="007CBA"/>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right w:val="single" w:sz="8" w:color="007CBA"/>
            </w:tcBorders>
          </w:tcPr>
          <w:p>
            <w:pPr>
              <w:spacing w:after="0"/>
              <w:rPr>
                <w:sz w:val="17"/>
                <w:szCs w:val="17"/>
                <w:color w:val="auto"/>
              </w:rPr>
            </w:pPr>
          </w:p>
        </w:tc>
        <w:tc>
          <w:tcPr>
            <w:tcW w:w="800" w:type="dxa"/>
            <w:vAlign w:val="bottom"/>
            <w:tcBorders>
              <w:right w:val="single" w:sz="8" w:color="007CBA"/>
            </w:tcBorders>
          </w:tcPr>
          <w:p>
            <w:pPr>
              <w:jc w:val="right"/>
              <w:ind w:right="31"/>
              <w:spacing w:after="0"/>
              <w:rPr>
                <w:sz w:val="20"/>
                <w:szCs w:val="20"/>
                <w:color w:val="auto"/>
              </w:rPr>
            </w:pPr>
            <w:r>
              <w:rPr>
                <w:rFonts w:ascii="Arial" w:cs="Arial" w:eastAsia="Arial" w:hAnsi="Arial"/>
                <w:sz w:val="14"/>
                <w:szCs w:val="14"/>
                <w:color w:val="auto"/>
              </w:rPr>
              <w:t>1,681</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356,574</w:t>
            </w:r>
          </w:p>
        </w:tc>
        <w:tc>
          <w:tcPr>
            <w:tcW w:w="0" w:type="dxa"/>
            <w:vAlign w:val="bottom"/>
          </w:tcPr>
          <w:p>
            <w:pPr>
              <w:spacing w:after="0"/>
              <w:rPr>
                <w:sz w:val="1"/>
                <w:szCs w:val="1"/>
                <w:color w:val="auto"/>
              </w:rPr>
            </w:pPr>
          </w:p>
        </w:tc>
      </w:tr>
      <w:tr>
        <w:trPr>
          <w:trHeight w:val="243"/>
        </w:trPr>
        <w:tc>
          <w:tcPr>
            <w:tcW w:w="38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b w:val="1"/>
                <w:bCs w:val="1"/>
                <w:color w:val="auto"/>
              </w:rPr>
              <w:t>Roselyn R. Bar</w:t>
            </w:r>
          </w:p>
        </w:tc>
        <w:tc>
          <w:tcPr>
            <w:tcW w:w="740" w:type="dxa"/>
            <w:vAlign w:val="bottom"/>
            <w:tcBorders>
              <w:right w:val="single" w:sz="8" w:color="007CBA"/>
            </w:tcBorders>
            <w:shd w:val="clear" w:color="auto" w:fill="E5F1F8"/>
          </w:tcPr>
          <w:p>
            <w:pPr>
              <w:jc w:val="right"/>
              <w:spacing w:after="0" w:line="243" w:lineRule="exact"/>
              <w:rPr>
                <w:sz w:val="20"/>
                <w:szCs w:val="20"/>
                <w:color w:val="auto"/>
              </w:rPr>
            </w:pPr>
            <w:r>
              <w:rPr>
                <w:rFonts w:ascii="Arial" w:cs="Arial" w:eastAsia="Arial" w:hAnsi="Arial"/>
                <w:sz w:val="14"/>
                <w:szCs w:val="14"/>
                <w:color w:val="auto"/>
              </w:rPr>
              <w:t>2/20/19</w:t>
            </w:r>
            <w:r>
              <w:rPr>
                <w:rFonts w:ascii="Arial" w:cs="Arial" w:eastAsia="Arial" w:hAnsi="Arial"/>
                <w:sz w:val="24"/>
                <w:szCs w:val="24"/>
                <w:color w:val="auto"/>
                <w:vertAlign w:val="superscript"/>
              </w:rPr>
              <w:t>1</w:t>
            </w:r>
          </w:p>
        </w:tc>
        <w:tc>
          <w:tcPr>
            <w:tcW w:w="860" w:type="dxa"/>
            <w:vAlign w:val="bottom"/>
            <w:tcBorders>
              <w:right w:val="single" w:sz="8" w:color="007CBA"/>
            </w:tcBorders>
            <w:shd w:val="clear" w:color="auto" w:fill="E5F1F8"/>
          </w:tcPr>
          <w:p>
            <w:pPr>
              <w:spacing w:after="0"/>
              <w:rPr>
                <w:sz w:val="21"/>
                <w:szCs w:val="21"/>
                <w:color w:val="auto"/>
              </w:rPr>
            </w:pPr>
          </w:p>
        </w:tc>
        <w:tc>
          <w:tcPr>
            <w:tcW w:w="7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301,158</w:t>
            </w:r>
          </w:p>
        </w:tc>
        <w:tc>
          <w:tcPr>
            <w:tcW w:w="60" w:type="dxa"/>
            <w:vAlign w:val="bottom"/>
            <w:shd w:val="clear" w:color="auto" w:fill="E5F1F8"/>
          </w:tcPr>
          <w:p>
            <w:pPr>
              <w:spacing w:after="0"/>
              <w:rPr>
                <w:sz w:val="21"/>
                <w:szCs w:val="21"/>
                <w:color w:val="auto"/>
              </w:rPr>
            </w:pPr>
          </w:p>
        </w:tc>
        <w:tc>
          <w:tcPr>
            <w:tcW w:w="82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5,250,000</w:t>
            </w:r>
          </w:p>
        </w:tc>
        <w:tc>
          <w:tcPr>
            <w:tcW w:w="840" w:type="dxa"/>
            <w:vAlign w:val="bottom"/>
            <w:tcBorders>
              <w:right w:val="single" w:sz="8" w:color="007CBA"/>
            </w:tcBorders>
            <w:shd w:val="clear" w:color="auto" w:fill="E5F1F8"/>
          </w:tcPr>
          <w:p>
            <w:pPr>
              <w:spacing w:after="0"/>
              <w:rPr>
                <w:sz w:val="21"/>
                <w:szCs w:val="21"/>
                <w:color w:val="auto"/>
              </w:rPr>
            </w:pPr>
          </w:p>
        </w:tc>
        <w:tc>
          <w:tcPr>
            <w:tcW w:w="60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840</w:t>
            </w:r>
          </w:p>
        </w:tc>
        <w:tc>
          <w:tcPr>
            <w:tcW w:w="80" w:type="dxa"/>
            <w:vAlign w:val="bottom"/>
            <w:shd w:val="clear" w:color="auto" w:fill="E5F1F8"/>
          </w:tcPr>
          <w:p>
            <w:pPr>
              <w:spacing w:after="0"/>
              <w:rPr>
                <w:sz w:val="21"/>
                <w:szCs w:val="21"/>
                <w:color w:val="auto"/>
              </w:rPr>
            </w:pPr>
          </w:p>
        </w:tc>
        <w:tc>
          <w:tcPr>
            <w:tcW w:w="74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14,628</w:t>
            </w:r>
          </w:p>
        </w:tc>
        <w:tc>
          <w:tcPr>
            <w:tcW w:w="800" w:type="dxa"/>
            <w:vAlign w:val="bottom"/>
            <w:tcBorders>
              <w:right w:val="single" w:sz="8" w:color="007CBA"/>
            </w:tcBorders>
            <w:shd w:val="clear" w:color="auto" w:fill="E5F1F8"/>
          </w:tcPr>
          <w:p>
            <w:pPr>
              <w:spacing w:after="0"/>
              <w:rPr>
                <w:sz w:val="21"/>
                <w:szCs w:val="21"/>
                <w:color w:val="auto"/>
              </w:rPr>
            </w:pPr>
          </w:p>
        </w:tc>
        <w:tc>
          <w:tcPr>
            <w:tcW w:w="880" w:type="dxa"/>
            <w:vAlign w:val="bottom"/>
            <w:shd w:val="clear" w:color="auto" w:fill="E5F1F8"/>
          </w:tcPr>
          <w:p>
            <w:pPr>
              <w:jc w:val="right"/>
              <w:ind w:right="30"/>
              <w:spacing w:after="0"/>
              <w:rPr>
                <w:sz w:val="20"/>
                <w:szCs w:val="20"/>
                <w:color w:val="auto"/>
              </w:rPr>
            </w:pPr>
            <w:r>
              <w:rPr>
                <w:rFonts w:ascii="Arial" w:cs="Arial" w:eastAsia="Arial" w:hAnsi="Arial"/>
                <w:sz w:val="14"/>
                <w:szCs w:val="14"/>
                <w:color w:val="auto"/>
              </w:rPr>
              <w:t>161,507</w:t>
            </w:r>
          </w:p>
        </w:tc>
        <w:tc>
          <w:tcPr>
            <w:tcW w:w="0" w:type="dxa"/>
            <w:vAlign w:val="bottom"/>
          </w:tcPr>
          <w:p>
            <w:pPr>
              <w:spacing w:after="0"/>
              <w:rPr>
                <w:sz w:val="1"/>
                <w:szCs w:val="1"/>
                <w:color w:val="auto"/>
              </w:rPr>
            </w:pPr>
          </w:p>
        </w:tc>
      </w:tr>
      <w:tr>
        <w:trPr>
          <w:trHeight w:val="216"/>
        </w:trPr>
        <w:tc>
          <w:tcPr>
            <w:tcW w:w="3820" w:type="dxa"/>
            <w:vAlign w:val="bottom"/>
            <w:tcBorders>
              <w:right w:val="single" w:sz="8" w:color="007CBA"/>
            </w:tcBorders>
            <w:shd w:val="clear" w:color="auto" w:fill="E5F1F8"/>
          </w:tcPr>
          <w:p>
            <w:pPr>
              <w:spacing w:after="0"/>
              <w:rPr>
                <w:sz w:val="18"/>
                <w:szCs w:val="18"/>
                <w:color w:val="auto"/>
              </w:rPr>
            </w:pPr>
          </w:p>
        </w:tc>
        <w:tc>
          <w:tcPr>
            <w:tcW w:w="740" w:type="dxa"/>
            <w:vAlign w:val="bottom"/>
            <w:tcBorders>
              <w:right w:val="single" w:sz="8" w:color="007CBA"/>
            </w:tcBorders>
            <w:shd w:val="clear" w:color="auto" w:fill="E5F1F8"/>
          </w:tcPr>
          <w:p>
            <w:pPr>
              <w:jc w:val="right"/>
              <w:spacing w:after="0" w:line="216" w:lineRule="exact"/>
              <w:rPr>
                <w:sz w:val="20"/>
                <w:szCs w:val="20"/>
                <w:color w:val="auto"/>
              </w:rPr>
            </w:pPr>
            <w:r>
              <w:rPr>
                <w:rFonts w:ascii="Arial" w:cs="Arial" w:eastAsia="Arial" w:hAnsi="Arial"/>
                <w:sz w:val="14"/>
                <w:szCs w:val="14"/>
                <w:color w:val="auto"/>
              </w:rPr>
              <w:t>2/22/18</w:t>
            </w:r>
            <w:r>
              <w:rPr>
                <w:rFonts w:ascii="Arial" w:cs="Arial" w:eastAsia="Arial" w:hAnsi="Arial"/>
                <w:sz w:val="24"/>
                <w:szCs w:val="24"/>
                <w:color w:val="auto"/>
                <w:vertAlign w:val="superscript"/>
              </w:rPr>
              <w:t>3</w:t>
            </w:r>
          </w:p>
        </w:tc>
        <w:tc>
          <w:tcPr>
            <w:tcW w:w="860" w:type="dxa"/>
            <w:vAlign w:val="bottom"/>
            <w:tcBorders>
              <w:right w:val="single" w:sz="8" w:color="007CBA"/>
            </w:tcBorders>
            <w:shd w:val="clear" w:color="auto" w:fill="E5F1F8"/>
          </w:tcPr>
          <w:p>
            <w:pPr>
              <w:spacing w:after="0"/>
              <w:rPr>
                <w:sz w:val="18"/>
                <w:szCs w:val="18"/>
                <w:color w:val="auto"/>
              </w:rPr>
            </w:pPr>
          </w:p>
        </w:tc>
        <w:tc>
          <w:tcPr>
            <w:tcW w:w="760" w:type="dxa"/>
            <w:vAlign w:val="bottom"/>
            <w:tcBorders>
              <w:right w:val="single" w:sz="8" w:color="007CBA"/>
            </w:tcBorders>
            <w:shd w:val="clear" w:color="auto" w:fill="E5F1F8"/>
          </w:tcPr>
          <w:p>
            <w:pPr>
              <w:spacing w:after="0"/>
              <w:rPr>
                <w:sz w:val="18"/>
                <w:szCs w:val="18"/>
                <w:color w:val="auto"/>
              </w:rPr>
            </w:pPr>
          </w:p>
        </w:tc>
        <w:tc>
          <w:tcPr>
            <w:tcW w:w="60" w:type="dxa"/>
            <w:vAlign w:val="bottom"/>
            <w:shd w:val="clear" w:color="auto" w:fill="E5F1F8"/>
          </w:tcPr>
          <w:p>
            <w:pPr>
              <w:spacing w:after="0"/>
              <w:rPr>
                <w:sz w:val="18"/>
                <w:szCs w:val="18"/>
                <w:color w:val="auto"/>
              </w:rPr>
            </w:pPr>
          </w:p>
        </w:tc>
        <w:tc>
          <w:tcPr>
            <w:tcW w:w="820" w:type="dxa"/>
            <w:vAlign w:val="bottom"/>
            <w:tcBorders>
              <w:right w:val="single" w:sz="8" w:color="007CBA"/>
            </w:tcBorders>
            <w:shd w:val="clear" w:color="auto" w:fill="E5F1F8"/>
          </w:tcPr>
          <w:p>
            <w:pPr>
              <w:spacing w:after="0"/>
              <w:rPr>
                <w:sz w:val="18"/>
                <w:szCs w:val="18"/>
                <w:color w:val="auto"/>
              </w:rPr>
            </w:pPr>
          </w:p>
        </w:tc>
        <w:tc>
          <w:tcPr>
            <w:tcW w:w="840" w:type="dxa"/>
            <w:vAlign w:val="bottom"/>
            <w:tcBorders>
              <w:right w:val="single" w:sz="8" w:color="007CBA"/>
            </w:tcBorders>
            <w:shd w:val="clear" w:color="auto" w:fill="E5F1F8"/>
          </w:tcPr>
          <w:p>
            <w:pPr>
              <w:jc w:val="right"/>
              <w:ind w:right="51"/>
              <w:spacing w:after="0"/>
              <w:rPr>
                <w:sz w:val="20"/>
                <w:szCs w:val="20"/>
                <w:color w:val="auto"/>
              </w:rPr>
            </w:pPr>
            <w:r>
              <w:rPr>
                <w:rFonts w:ascii="Arial" w:cs="Arial" w:eastAsia="Arial" w:hAnsi="Arial"/>
                <w:sz w:val="14"/>
                <w:szCs w:val="14"/>
                <w:color w:val="auto"/>
              </w:rPr>
              <w:t>856</w:t>
            </w:r>
          </w:p>
        </w:tc>
        <w:tc>
          <w:tcPr>
            <w:tcW w:w="60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2,140</w:t>
            </w:r>
          </w:p>
        </w:tc>
        <w:tc>
          <w:tcPr>
            <w:tcW w:w="80" w:type="dxa"/>
            <w:vAlign w:val="bottom"/>
            <w:shd w:val="clear" w:color="auto" w:fill="E5F1F8"/>
          </w:tcPr>
          <w:p>
            <w:pPr>
              <w:spacing w:after="0"/>
              <w:rPr>
                <w:sz w:val="18"/>
                <w:szCs w:val="18"/>
                <w:color w:val="auto"/>
              </w:rPr>
            </w:pPr>
          </w:p>
        </w:tc>
        <w:tc>
          <w:tcPr>
            <w:tcW w:w="74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5,136</w:t>
            </w:r>
          </w:p>
        </w:tc>
        <w:tc>
          <w:tcPr>
            <w:tcW w:w="800" w:type="dxa"/>
            <w:vAlign w:val="bottom"/>
            <w:tcBorders>
              <w:right w:val="single" w:sz="8" w:color="007CBA"/>
            </w:tcBorders>
            <w:shd w:val="clear" w:color="auto" w:fill="E5F1F8"/>
          </w:tcPr>
          <w:p>
            <w:pPr>
              <w:spacing w:after="0"/>
              <w:rPr>
                <w:sz w:val="18"/>
                <w:szCs w:val="18"/>
                <w:color w:val="auto"/>
              </w:rPr>
            </w:pPr>
          </w:p>
        </w:tc>
        <w:tc>
          <w:tcPr>
            <w:tcW w:w="880" w:type="dxa"/>
            <w:vAlign w:val="bottom"/>
            <w:shd w:val="clear" w:color="auto" w:fill="E5F1F8"/>
          </w:tcPr>
          <w:p>
            <w:pPr>
              <w:jc w:val="right"/>
              <w:ind w:right="30"/>
              <w:spacing w:after="0"/>
              <w:rPr>
                <w:sz w:val="20"/>
                <w:szCs w:val="20"/>
                <w:color w:val="auto"/>
              </w:rPr>
            </w:pPr>
            <w:r>
              <w:rPr>
                <w:rFonts w:ascii="Arial" w:cs="Arial" w:eastAsia="Arial" w:hAnsi="Arial"/>
                <w:sz w:val="14"/>
                <w:szCs w:val="14"/>
                <w:color w:val="auto"/>
              </w:rPr>
              <w:t>470,543</w:t>
            </w:r>
          </w:p>
        </w:tc>
        <w:tc>
          <w:tcPr>
            <w:tcW w:w="0" w:type="dxa"/>
            <w:vAlign w:val="bottom"/>
          </w:tcPr>
          <w:p>
            <w:pPr>
              <w:spacing w:after="0"/>
              <w:rPr>
                <w:sz w:val="1"/>
                <w:szCs w:val="1"/>
                <w:color w:val="auto"/>
              </w:rPr>
            </w:pPr>
          </w:p>
        </w:tc>
      </w:tr>
      <w:tr>
        <w:trPr>
          <w:trHeight w:val="216"/>
        </w:trPr>
        <w:tc>
          <w:tcPr>
            <w:tcW w:w="3820" w:type="dxa"/>
            <w:vAlign w:val="bottom"/>
            <w:tcBorders>
              <w:right w:val="single" w:sz="8" w:color="007CBA"/>
            </w:tcBorders>
            <w:shd w:val="clear" w:color="auto" w:fill="E5F1F8"/>
          </w:tcPr>
          <w:p>
            <w:pPr>
              <w:spacing w:after="0"/>
              <w:rPr>
                <w:sz w:val="18"/>
                <w:szCs w:val="18"/>
                <w:color w:val="auto"/>
              </w:rPr>
            </w:pPr>
          </w:p>
        </w:tc>
        <w:tc>
          <w:tcPr>
            <w:tcW w:w="740" w:type="dxa"/>
            <w:vAlign w:val="bottom"/>
            <w:tcBorders>
              <w:right w:val="single" w:sz="8" w:color="007CBA"/>
            </w:tcBorders>
            <w:shd w:val="clear" w:color="auto" w:fill="E5F1F8"/>
          </w:tcPr>
          <w:p>
            <w:pPr>
              <w:jc w:val="right"/>
              <w:spacing w:after="0" w:line="216" w:lineRule="exact"/>
              <w:rPr>
                <w:sz w:val="20"/>
                <w:szCs w:val="20"/>
                <w:color w:val="auto"/>
              </w:rPr>
            </w:pPr>
            <w:r>
              <w:rPr>
                <w:rFonts w:ascii="Arial" w:cs="Arial" w:eastAsia="Arial" w:hAnsi="Arial"/>
                <w:sz w:val="14"/>
                <w:szCs w:val="14"/>
                <w:color w:val="auto"/>
              </w:rPr>
              <w:t>2/22/18</w:t>
            </w:r>
            <w:r>
              <w:rPr>
                <w:rFonts w:ascii="Arial" w:cs="Arial" w:eastAsia="Arial" w:hAnsi="Arial"/>
                <w:sz w:val="24"/>
                <w:szCs w:val="24"/>
                <w:color w:val="auto"/>
                <w:vertAlign w:val="superscript"/>
              </w:rPr>
              <w:t>2</w:t>
            </w:r>
          </w:p>
        </w:tc>
        <w:tc>
          <w:tcPr>
            <w:tcW w:w="860" w:type="dxa"/>
            <w:vAlign w:val="bottom"/>
            <w:tcBorders>
              <w:right w:val="single" w:sz="8" w:color="007CBA"/>
            </w:tcBorders>
            <w:shd w:val="clear" w:color="auto" w:fill="E5F1F8"/>
          </w:tcPr>
          <w:p>
            <w:pPr>
              <w:spacing w:after="0"/>
              <w:rPr>
                <w:sz w:val="18"/>
                <w:szCs w:val="18"/>
                <w:color w:val="auto"/>
              </w:rPr>
            </w:pPr>
          </w:p>
        </w:tc>
        <w:tc>
          <w:tcPr>
            <w:tcW w:w="760" w:type="dxa"/>
            <w:vAlign w:val="bottom"/>
            <w:tcBorders>
              <w:right w:val="single" w:sz="8" w:color="007CBA"/>
            </w:tcBorders>
            <w:shd w:val="clear" w:color="auto" w:fill="E5F1F8"/>
          </w:tcPr>
          <w:p>
            <w:pPr>
              <w:spacing w:after="0"/>
              <w:rPr>
                <w:sz w:val="18"/>
                <w:szCs w:val="18"/>
                <w:color w:val="auto"/>
              </w:rPr>
            </w:pPr>
          </w:p>
        </w:tc>
        <w:tc>
          <w:tcPr>
            <w:tcW w:w="60" w:type="dxa"/>
            <w:vAlign w:val="bottom"/>
            <w:shd w:val="clear" w:color="auto" w:fill="E5F1F8"/>
          </w:tcPr>
          <w:p>
            <w:pPr>
              <w:spacing w:after="0"/>
              <w:rPr>
                <w:sz w:val="18"/>
                <w:szCs w:val="18"/>
                <w:color w:val="auto"/>
              </w:rPr>
            </w:pPr>
          </w:p>
        </w:tc>
        <w:tc>
          <w:tcPr>
            <w:tcW w:w="820" w:type="dxa"/>
            <w:vAlign w:val="bottom"/>
            <w:tcBorders>
              <w:right w:val="single" w:sz="8" w:color="007CBA"/>
            </w:tcBorders>
            <w:shd w:val="clear" w:color="auto" w:fill="E5F1F8"/>
          </w:tcPr>
          <w:p>
            <w:pPr>
              <w:spacing w:after="0"/>
              <w:rPr>
                <w:sz w:val="18"/>
                <w:szCs w:val="18"/>
                <w:color w:val="auto"/>
              </w:rPr>
            </w:pPr>
          </w:p>
        </w:tc>
        <w:tc>
          <w:tcPr>
            <w:tcW w:w="840" w:type="dxa"/>
            <w:vAlign w:val="bottom"/>
            <w:tcBorders>
              <w:right w:val="single" w:sz="8" w:color="007CBA"/>
            </w:tcBorders>
            <w:shd w:val="clear" w:color="auto" w:fill="E5F1F8"/>
          </w:tcPr>
          <w:p>
            <w:pPr>
              <w:spacing w:after="0"/>
              <w:rPr>
                <w:sz w:val="18"/>
                <w:szCs w:val="18"/>
                <w:color w:val="auto"/>
              </w:rPr>
            </w:pPr>
          </w:p>
        </w:tc>
        <w:tc>
          <w:tcPr>
            <w:tcW w:w="600" w:type="dxa"/>
            <w:vAlign w:val="bottom"/>
            <w:tcBorders>
              <w:right w:val="single" w:sz="8" w:color="007CBA"/>
            </w:tcBorders>
            <w:shd w:val="clear" w:color="auto" w:fill="E5F1F8"/>
          </w:tcPr>
          <w:p>
            <w:pPr>
              <w:spacing w:after="0"/>
              <w:rPr>
                <w:sz w:val="18"/>
                <w:szCs w:val="18"/>
                <w:color w:val="auto"/>
              </w:rPr>
            </w:pPr>
          </w:p>
        </w:tc>
        <w:tc>
          <w:tcPr>
            <w:tcW w:w="80" w:type="dxa"/>
            <w:vAlign w:val="bottom"/>
            <w:shd w:val="clear" w:color="auto" w:fill="E5F1F8"/>
          </w:tcPr>
          <w:p>
            <w:pPr>
              <w:spacing w:after="0"/>
              <w:rPr>
                <w:sz w:val="18"/>
                <w:szCs w:val="18"/>
                <w:color w:val="auto"/>
              </w:rPr>
            </w:pPr>
          </w:p>
        </w:tc>
        <w:tc>
          <w:tcPr>
            <w:tcW w:w="740" w:type="dxa"/>
            <w:vAlign w:val="bottom"/>
            <w:tcBorders>
              <w:right w:val="single" w:sz="8" w:color="007CBA"/>
            </w:tcBorders>
            <w:shd w:val="clear" w:color="auto" w:fill="E5F1F8"/>
          </w:tcPr>
          <w:p>
            <w:pPr>
              <w:spacing w:after="0"/>
              <w:rPr>
                <w:sz w:val="18"/>
                <w:szCs w:val="18"/>
                <w:color w:val="auto"/>
              </w:rPr>
            </w:pPr>
          </w:p>
        </w:tc>
        <w:tc>
          <w:tcPr>
            <w:tcW w:w="800" w:type="dxa"/>
            <w:vAlign w:val="bottom"/>
            <w:tcBorders>
              <w:right w:val="single" w:sz="8" w:color="007CBA"/>
            </w:tcBorders>
            <w:shd w:val="clear" w:color="auto" w:fill="E5F1F8"/>
          </w:tcPr>
          <w:p>
            <w:pPr>
              <w:jc w:val="right"/>
              <w:ind w:right="31"/>
              <w:spacing w:after="0"/>
              <w:rPr>
                <w:sz w:val="20"/>
                <w:szCs w:val="20"/>
                <w:color w:val="auto"/>
              </w:rPr>
            </w:pPr>
            <w:r>
              <w:rPr>
                <w:rFonts w:ascii="Arial" w:cs="Arial" w:eastAsia="Arial" w:hAnsi="Arial"/>
                <w:sz w:val="14"/>
                <w:szCs w:val="14"/>
                <w:color w:val="auto"/>
              </w:rPr>
              <w:t>1,839</w:t>
            </w:r>
          </w:p>
        </w:tc>
        <w:tc>
          <w:tcPr>
            <w:tcW w:w="880" w:type="dxa"/>
            <w:vAlign w:val="bottom"/>
            <w:shd w:val="clear" w:color="auto" w:fill="E5F1F8"/>
          </w:tcPr>
          <w:p>
            <w:pPr>
              <w:jc w:val="right"/>
              <w:ind w:right="30"/>
              <w:spacing w:after="0"/>
              <w:rPr>
                <w:sz w:val="20"/>
                <w:szCs w:val="20"/>
                <w:color w:val="auto"/>
              </w:rPr>
            </w:pPr>
            <w:r>
              <w:rPr>
                <w:rFonts w:ascii="Arial" w:cs="Arial" w:eastAsia="Arial" w:hAnsi="Arial"/>
                <w:sz w:val="14"/>
                <w:szCs w:val="14"/>
                <w:color w:val="auto"/>
              </w:rPr>
              <w:t>390,089</w:t>
            </w:r>
          </w:p>
        </w:tc>
        <w:tc>
          <w:tcPr>
            <w:tcW w:w="0" w:type="dxa"/>
            <w:vAlign w:val="bottom"/>
          </w:tcPr>
          <w:p>
            <w:pPr>
              <w:spacing w:after="0"/>
              <w:rPr>
                <w:sz w:val="1"/>
                <w:szCs w:val="1"/>
                <w:color w:val="auto"/>
              </w:rPr>
            </w:pPr>
          </w:p>
        </w:tc>
      </w:tr>
      <w:tr>
        <w:trPr>
          <w:trHeight w:val="254"/>
        </w:trPr>
        <w:tc>
          <w:tcPr>
            <w:tcW w:w="3820" w:type="dxa"/>
            <w:vAlign w:val="bottom"/>
            <w:tcBorders>
              <w:right w:val="single" w:sz="8" w:color="007CBA"/>
            </w:tcBorders>
          </w:tcPr>
          <w:p>
            <w:pPr>
              <w:ind w:left="80"/>
              <w:spacing w:after="0"/>
              <w:rPr>
                <w:sz w:val="20"/>
                <w:szCs w:val="20"/>
                <w:color w:val="auto"/>
              </w:rPr>
            </w:pPr>
            <w:r>
              <w:rPr>
                <w:rFonts w:ascii="Arial" w:cs="Arial" w:eastAsia="Arial" w:hAnsi="Arial"/>
                <w:sz w:val="14"/>
                <w:szCs w:val="14"/>
                <w:b w:val="1"/>
                <w:bCs w:val="1"/>
                <w:color w:val="auto"/>
              </w:rPr>
              <w:t>Donald A. McCunniff</w:t>
            </w:r>
          </w:p>
        </w:tc>
        <w:tc>
          <w:tcPr>
            <w:tcW w:w="740" w:type="dxa"/>
            <w:vAlign w:val="bottom"/>
            <w:tcBorders>
              <w:right w:val="single" w:sz="8" w:color="007CBA"/>
            </w:tcBorders>
          </w:tcPr>
          <w:p>
            <w:pPr>
              <w:jc w:val="right"/>
              <w:spacing w:after="0" w:line="253" w:lineRule="exact"/>
              <w:rPr>
                <w:sz w:val="20"/>
                <w:szCs w:val="20"/>
                <w:color w:val="auto"/>
              </w:rPr>
            </w:pPr>
            <w:r>
              <w:rPr>
                <w:rFonts w:ascii="Arial" w:cs="Arial" w:eastAsia="Arial" w:hAnsi="Arial"/>
                <w:sz w:val="14"/>
                <w:szCs w:val="14"/>
                <w:color w:val="auto"/>
              </w:rPr>
              <w:t>2/20/19</w:t>
            </w:r>
            <w:r>
              <w:rPr>
                <w:rFonts w:ascii="Arial" w:cs="Arial" w:eastAsia="Arial" w:hAnsi="Arial"/>
                <w:sz w:val="24"/>
                <w:szCs w:val="24"/>
                <w:color w:val="auto"/>
                <w:vertAlign w:val="superscript"/>
              </w:rPr>
              <w:t>1</w:t>
            </w:r>
          </w:p>
        </w:tc>
        <w:tc>
          <w:tcPr>
            <w:tcW w:w="860" w:type="dxa"/>
            <w:vAlign w:val="bottom"/>
            <w:tcBorders>
              <w:right w:val="single" w:sz="8" w:color="007CBA"/>
            </w:tcBorders>
          </w:tcPr>
          <w:p>
            <w:pPr>
              <w:spacing w:after="0"/>
              <w:rPr>
                <w:sz w:val="22"/>
                <w:szCs w:val="22"/>
                <w:color w:val="auto"/>
              </w:rPr>
            </w:pPr>
          </w:p>
        </w:tc>
        <w:tc>
          <w:tcPr>
            <w:tcW w:w="7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231,354</w:t>
            </w:r>
          </w:p>
        </w:tc>
        <w:tc>
          <w:tcPr>
            <w:tcW w:w="60" w:type="dxa"/>
            <w:vAlign w:val="bottom"/>
          </w:tcPr>
          <w:p>
            <w:pPr>
              <w:spacing w:after="0"/>
              <w:rPr>
                <w:sz w:val="22"/>
                <w:szCs w:val="22"/>
                <w:color w:val="auto"/>
              </w:rPr>
            </w:pPr>
          </w:p>
        </w:tc>
        <w:tc>
          <w:tcPr>
            <w:tcW w:w="82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6,000,000</w:t>
            </w:r>
          </w:p>
        </w:tc>
        <w:tc>
          <w:tcPr>
            <w:tcW w:w="840" w:type="dxa"/>
            <w:vAlign w:val="bottom"/>
            <w:tcBorders>
              <w:right w:val="single" w:sz="8" w:color="007CBA"/>
            </w:tcBorders>
          </w:tcPr>
          <w:p>
            <w:pPr>
              <w:spacing w:after="0"/>
              <w:rPr>
                <w:sz w:val="22"/>
                <w:szCs w:val="22"/>
                <w:color w:val="auto"/>
              </w:rPr>
            </w:pPr>
          </w:p>
        </w:tc>
        <w:tc>
          <w:tcPr>
            <w:tcW w:w="60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377</w:t>
            </w:r>
          </w:p>
        </w:tc>
        <w:tc>
          <w:tcPr>
            <w:tcW w:w="80" w:type="dxa"/>
            <w:vAlign w:val="bottom"/>
          </w:tcPr>
          <w:p>
            <w:pPr>
              <w:spacing w:after="0"/>
              <w:rPr>
                <w:sz w:val="22"/>
                <w:szCs w:val="22"/>
                <w:color w:val="auto"/>
              </w:rPr>
            </w:pPr>
          </w:p>
        </w:tc>
        <w:tc>
          <w:tcPr>
            <w:tcW w:w="74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9,752</w:t>
            </w:r>
          </w:p>
        </w:tc>
        <w:tc>
          <w:tcPr>
            <w:tcW w:w="800" w:type="dxa"/>
            <w:vAlign w:val="bottom"/>
            <w:tcBorders>
              <w:right w:val="single" w:sz="8" w:color="007CBA"/>
            </w:tcBorders>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72,486</w:t>
            </w:r>
          </w:p>
        </w:tc>
        <w:tc>
          <w:tcPr>
            <w:tcW w:w="0" w:type="dxa"/>
            <w:vAlign w:val="bottom"/>
          </w:tcPr>
          <w:p>
            <w:pPr>
              <w:spacing w:after="0"/>
              <w:rPr>
                <w:sz w:val="1"/>
                <w:szCs w:val="1"/>
                <w:color w:val="auto"/>
              </w:rPr>
            </w:pPr>
          </w:p>
        </w:tc>
      </w:tr>
      <w:tr>
        <w:trPr>
          <w:trHeight w:val="216"/>
        </w:trPr>
        <w:tc>
          <w:tcPr>
            <w:tcW w:w="3820" w:type="dxa"/>
            <w:vAlign w:val="bottom"/>
            <w:tcBorders>
              <w:right w:val="single" w:sz="8" w:color="007CBA"/>
            </w:tcBorders>
          </w:tcPr>
          <w:p>
            <w:pPr>
              <w:spacing w:after="0"/>
              <w:rPr>
                <w:sz w:val="18"/>
                <w:szCs w:val="18"/>
                <w:color w:val="auto"/>
              </w:rPr>
            </w:pPr>
          </w:p>
        </w:tc>
        <w:tc>
          <w:tcPr>
            <w:tcW w:w="740" w:type="dxa"/>
            <w:vAlign w:val="bottom"/>
            <w:tcBorders>
              <w:right w:val="single" w:sz="8" w:color="007CBA"/>
            </w:tcBorders>
          </w:tcPr>
          <w:p>
            <w:pPr>
              <w:jc w:val="right"/>
              <w:spacing w:after="0" w:line="216" w:lineRule="exact"/>
              <w:rPr>
                <w:sz w:val="20"/>
                <w:szCs w:val="20"/>
                <w:color w:val="auto"/>
              </w:rPr>
            </w:pPr>
            <w:r>
              <w:rPr>
                <w:rFonts w:ascii="Arial" w:cs="Arial" w:eastAsia="Arial" w:hAnsi="Arial"/>
                <w:sz w:val="14"/>
                <w:szCs w:val="14"/>
                <w:color w:val="auto"/>
              </w:rPr>
              <w:t>2/22/18</w:t>
            </w:r>
            <w:r>
              <w:rPr>
                <w:rFonts w:ascii="Arial" w:cs="Arial" w:eastAsia="Arial" w:hAnsi="Arial"/>
                <w:sz w:val="24"/>
                <w:szCs w:val="24"/>
                <w:color w:val="auto"/>
                <w:vertAlign w:val="superscript"/>
              </w:rPr>
              <w:t>3</w:t>
            </w:r>
          </w:p>
        </w:tc>
        <w:tc>
          <w:tcPr>
            <w:tcW w:w="860" w:type="dxa"/>
            <w:vAlign w:val="bottom"/>
            <w:tcBorders>
              <w:right w:val="single" w:sz="8" w:color="007CBA"/>
            </w:tcBorders>
          </w:tcPr>
          <w:p>
            <w:pPr>
              <w:spacing w:after="0"/>
              <w:rPr>
                <w:sz w:val="18"/>
                <w:szCs w:val="18"/>
                <w:color w:val="auto"/>
              </w:rPr>
            </w:pPr>
          </w:p>
        </w:tc>
        <w:tc>
          <w:tcPr>
            <w:tcW w:w="760" w:type="dxa"/>
            <w:vAlign w:val="bottom"/>
            <w:tcBorders>
              <w:right w:val="single" w:sz="8" w:color="007CBA"/>
            </w:tcBorders>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right w:val="single" w:sz="8" w:color="007CBA"/>
            </w:tcBorders>
          </w:tcPr>
          <w:p>
            <w:pPr>
              <w:spacing w:after="0"/>
              <w:rPr>
                <w:sz w:val="18"/>
                <w:szCs w:val="18"/>
                <w:color w:val="auto"/>
              </w:rPr>
            </w:pPr>
          </w:p>
        </w:tc>
        <w:tc>
          <w:tcPr>
            <w:tcW w:w="840" w:type="dxa"/>
            <w:vAlign w:val="bottom"/>
            <w:tcBorders>
              <w:right w:val="single" w:sz="8" w:color="007CBA"/>
            </w:tcBorders>
          </w:tcPr>
          <w:p>
            <w:pPr>
              <w:jc w:val="right"/>
              <w:ind w:right="51"/>
              <w:spacing w:after="0"/>
              <w:rPr>
                <w:sz w:val="20"/>
                <w:szCs w:val="20"/>
                <w:color w:val="auto"/>
              </w:rPr>
            </w:pPr>
            <w:r>
              <w:rPr>
                <w:rFonts w:ascii="Arial" w:cs="Arial" w:eastAsia="Arial" w:hAnsi="Arial"/>
                <w:sz w:val="14"/>
                <w:szCs w:val="14"/>
                <w:color w:val="auto"/>
              </w:rPr>
              <w:t>549</w:t>
            </w:r>
          </w:p>
        </w:tc>
        <w:tc>
          <w:tcPr>
            <w:tcW w:w="60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1,371</w:t>
            </w:r>
          </w:p>
        </w:tc>
        <w:tc>
          <w:tcPr>
            <w:tcW w:w="80" w:type="dxa"/>
            <w:vAlign w:val="bottom"/>
          </w:tcPr>
          <w:p>
            <w:pPr>
              <w:spacing w:after="0"/>
              <w:rPr>
                <w:sz w:val="18"/>
                <w:szCs w:val="18"/>
                <w:color w:val="auto"/>
              </w:rPr>
            </w:pPr>
          </w:p>
        </w:tc>
        <w:tc>
          <w:tcPr>
            <w:tcW w:w="74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3,291</w:t>
            </w:r>
          </w:p>
        </w:tc>
        <w:tc>
          <w:tcPr>
            <w:tcW w:w="800" w:type="dxa"/>
            <w:vAlign w:val="bottom"/>
            <w:tcBorders>
              <w:right w:val="single" w:sz="8" w:color="007CBA"/>
            </w:tcBorders>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301,455</w:t>
            </w:r>
          </w:p>
        </w:tc>
        <w:tc>
          <w:tcPr>
            <w:tcW w:w="0" w:type="dxa"/>
            <w:vAlign w:val="bottom"/>
          </w:tcPr>
          <w:p>
            <w:pPr>
              <w:spacing w:after="0"/>
              <w:rPr>
                <w:sz w:val="1"/>
                <w:szCs w:val="1"/>
                <w:color w:val="auto"/>
              </w:rPr>
            </w:pPr>
          </w:p>
        </w:tc>
      </w:tr>
      <w:tr>
        <w:trPr>
          <w:trHeight w:val="205"/>
        </w:trPr>
        <w:tc>
          <w:tcPr>
            <w:tcW w:w="3820" w:type="dxa"/>
            <w:vAlign w:val="bottom"/>
            <w:tcBorders>
              <w:right w:val="single" w:sz="8" w:color="007CBA"/>
            </w:tcBorders>
          </w:tcPr>
          <w:p>
            <w:pPr>
              <w:spacing w:after="0"/>
              <w:rPr>
                <w:sz w:val="17"/>
                <w:szCs w:val="17"/>
                <w:color w:val="auto"/>
              </w:rPr>
            </w:pPr>
          </w:p>
        </w:tc>
        <w:tc>
          <w:tcPr>
            <w:tcW w:w="740" w:type="dxa"/>
            <w:vAlign w:val="bottom"/>
            <w:tcBorders>
              <w:right w:val="single" w:sz="8" w:color="007CBA"/>
            </w:tcBorders>
          </w:tcPr>
          <w:p>
            <w:pPr>
              <w:jc w:val="right"/>
              <w:spacing w:after="0" w:line="205" w:lineRule="exact"/>
              <w:rPr>
                <w:sz w:val="20"/>
                <w:szCs w:val="20"/>
                <w:color w:val="auto"/>
              </w:rPr>
            </w:pPr>
            <w:r>
              <w:rPr>
                <w:rFonts w:ascii="Arial" w:cs="Arial" w:eastAsia="Arial" w:hAnsi="Arial"/>
                <w:sz w:val="14"/>
                <w:szCs w:val="14"/>
                <w:color w:val="auto"/>
              </w:rPr>
              <w:t>2/22/18</w:t>
            </w:r>
            <w:r>
              <w:rPr>
                <w:rFonts w:ascii="Arial" w:cs="Arial" w:eastAsia="Arial" w:hAnsi="Arial"/>
                <w:sz w:val="23"/>
                <w:szCs w:val="23"/>
                <w:color w:val="auto"/>
                <w:vertAlign w:val="superscript"/>
              </w:rPr>
              <w:t>2</w:t>
            </w:r>
          </w:p>
        </w:tc>
        <w:tc>
          <w:tcPr>
            <w:tcW w:w="860" w:type="dxa"/>
            <w:vAlign w:val="bottom"/>
            <w:tcBorders>
              <w:right w:val="single" w:sz="8" w:color="007CBA"/>
            </w:tcBorders>
          </w:tcPr>
          <w:p>
            <w:pPr>
              <w:spacing w:after="0"/>
              <w:rPr>
                <w:sz w:val="17"/>
                <w:szCs w:val="17"/>
                <w:color w:val="auto"/>
              </w:rPr>
            </w:pPr>
          </w:p>
        </w:tc>
        <w:tc>
          <w:tcPr>
            <w:tcW w:w="760" w:type="dxa"/>
            <w:vAlign w:val="bottom"/>
            <w:tcBorders>
              <w:right w:val="single" w:sz="8" w:color="007CBA"/>
            </w:tcBorders>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Borders>
              <w:right w:val="single" w:sz="8" w:color="007CBA"/>
            </w:tcBorders>
          </w:tcPr>
          <w:p>
            <w:pPr>
              <w:spacing w:after="0"/>
              <w:rPr>
                <w:sz w:val="17"/>
                <w:szCs w:val="17"/>
                <w:color w:val="auto"/>
              </w:rPr>
            </w:pPr>
          </w:p>
        </w:tc>
        <w:tc>
          <w:tcPr>
            <w:tcW w:w="840" w:type="dxa"/>
            <w:vAlign w:val="bottom"/>
            <w:tcBorders>
              <w:right w:val="single" w:sz="8" w:color="007CBA"/>
            </w:tcBorders>
          </w:tcPr>
          <w:p>
            <w:pPr>
              <w:spacing w:after="0"/>
              <w:rPr>
                <w:sz w:val="17"/>
                <w:szCs w:val="17"/>
                <w:color w:val="auto"/>
              </w:rPr>
            </w:pPr>
          </w:p>
        </w:tc>
        <w:tc>
          <w:tcPr>
            <w:tcW w:w="600" w:type="dxa"/>
            <w:vAlign w:val="bottom"/>
            <w:tcBorders>
              <w:right w:val="single" w:sz="8" w:color="007CBA"/>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right w:val="single" w:sz="8" w:color="007CBA"/>
            </w:tcBorders>
          </w:tcPr>
          <w:p>
            <w:pPr>
              <w:spacing w:after="0"/>
              <w:rPr>
                <w:sz w:val="17"/>
                <w:szCs w:val="17"/>
                <w:color w:val="auto"/>
              </w:rPr>
            </w:pPr>
          </w:p>
        </w:tc>
        <w:tc>
          <w:tcPr>
            <w:tcW w:w="800" w:type="dxa"/>
            <w:vAlign w:val="bottom"/>
            <w:tcBorders>
              <w:right w:val="single" w:sz="8" w:color="007CBA"/>
            </w:tcBorders>
          </w:tcPr>
          <w:p>
            <w:pPr>
              <w:jc w:val="right"/>
              <w:ind w:right="31"/>
              <w:spacing w:after="0"/>
              <w:rPr>
                <w:sz w:val="20"/>
                <w:szCs w:val="20"/>
                <w:color w:val="auto"/>
              </w:rPr>
            </w:pPr>
            <w:r>
              <w:rPr>
                <w:rFonts w:ascii="Arial" w:cs="Arial" w:eastAsia="Arial" w:hAnsi="Arial"/>
                <w:sz w:val="14"/>
                <w:szCs w:val="14"/>
                <w:color w:val="auto"/>
              </w:rPr>
              <w:t>1,178</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249,877</w:t>
            </w:r>
          </w:p>
        </w:tc>
        <w:tc>
          <w:tcPr>
            <w:tcW w:w="0" w:type="dxa"/>
            <w:vAlign w:val="bottom"/>
          </w:tcPr>
          <w:p>
            <w:pPr>
              <w:spacing w:after="0"/>
              <w:rPr>
                <w:sz w:val="1"/>
                <w:szCs w:val="1"/>
                <w:color w:val="auto"/>
              </w:rPr>
            </w:pPr>
          </w:p>
        </w:tc>
      </w:tr>
      <w:tr>
        <w:trPr>
          <w:trHeight w:val="243"/>
        </w:trPr>
        <w:tc>
          <w:tcPr>
            <w:tcW w:w="38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b w:val="1"/>
                <w:bCs w:val="1"/>
                <w:color w:val="auto"/>
              </w:rPr>
              <w:t>Daniel L. Grant</w:t>
            </w:r>
          </w:p>
        </w:tc>
        <w:tc>
          <w:tcPr>
            <w:tcW w:w="740" w:type="dxa"/>
            <w:vAlign w:val="bottom"/>
            <w:tcBorders>
              <w:right w:val="single" w:sz="8" w:color="007CBA"/>
            </w:tcBorders>
            <w:shd w:val="clear" w:color="auto" w:fill="E5F1F8"/>
          </w:tcPr>
          <w:p>
            <w:pPr>
              <w:jc w:val="right"/>
              <w:spacing w:after="0" w:line="243" w:lineRule="exact"/>
              <w:rPr>
                <w:sz w:val="20"/>
                <w:szCs w:val="20"/>
                <w:color w:val="auto"/>
              </w:rPr>
            </w:pPr>
            <w:r>
              <w:rPr>
                <w:rFonts w:ascii="Arial" w:cs="Arial" w:eastAsia="Arial" w:hAnsi="Arial"/>
                <w:sz w:val="14"/>
                <w:szCs w:val="14"/>
                <w:color w:val="auto"/>
              </w:rPr>
              <w:t>2/20/19</w:t>
            </w:r>
            <w:r>
              <w:rPr>
                <w:rFonts w:ascii="Arial" w:cs="Arial" w:eastAsia="Arial" w:hAnsi="Arial"/>
                <w:sz w:val="24"/>
                <w:szCs w:val="24"/>
                <w:color w:val="auto"/>
                <w:vertAlign w:val="superscript"/>
              </w:rPr>
              <w:t>1</w:t>
            </w:r>
          </w:p>
        </w:tc>
        <w:tc>
          <w:tcPr>
            <w:tcW w:w="860" w:type="dxa"/>
            <w:vAlign w:val="bottom"/>
            <w:tcBorders>
              <w:right w:val="single" w:sz="8" w:color="007CBA"/>
            </w:tcBorders>
            <w:shd w:val="clear" w:color="auto" w:fill="E5F1F8"/>
          </w:tcPr>
          <w:p>
            <w:pPr>
              <w:spacing w:after="0"/>
              <w:rPr>
                <w:sz w:val="21"/>
                <w:szCs w:val="21"/>
                <w:color w:val="auto"/>
              </w:rPr>
            </w:pPr>
          </w:p>
        </w:tc>
        <w:tc>
          <w:tcPr>
            <w:tcW w:w="7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213,014</w:t>
            </w:r>
          </w:p>
        </w:tc>
        <w:tc>
          <w:tcPr>
            <w:tcW w:w="60" w:type="dxa"/>
            <w:vAlign w:val="bottom"/>
            <w:shd w:val="clear" w:color="auto" w:fill="E5F1F8"/>
          </w:tcPr>
          <w:p>
            <w:pPr>
              <w:spacing w:after="0"/>
              <w:rPr>
                <w:sz w:val="21"/>
                <w:szCs w:val="21"/>
                <w:color w:val="auto"/>
              </w:rPr>
            </w:pPr>
          </w:p>
        </w:tc>
        <w:tc>
          <w:tcPr>
            <w:tcW w:w="82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6,000,000</w:t>
            </w:r>
          </w:p>
        </w:tc>
        <w:tc>
          <w:tcPr>
            <w:tcW w:w="840" w:type="dxa"/>
            <w:vAlign w:val="bottom"/>
            <w:tcBorders>
              <w:right w:val="single" w:sz="8" w:color="007CBA"/>
            </w:tcBorders>
            <w:shd w:val="clear" w:color="auto" w:fill="E5F1F8"/>
          </w:tcPr>
          <w:p>
            <w:pPr>
              <w:spacing w:after="0"/>
              <w:rPr>
                <w:sz w:val="21"/>
                <w:szCs w:val="21"/>
                <w:color w:val="auto"/>
              </w:rPr>
            </w:pPr>
          </w:p>
        </w:tc>
        <w:tc>
          <w:tcPr>
            <w:tcW w:w="60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347</w:t>
            </w:r>
          </w:p>
        </w:tc>
        <w:tc>
          <w:tcPr>
            <w:tcW w:w="80" w:type="dxa"/>
            <w:vAlign w:val="bottom"/>
            <w:shd w:val="clear" w:color="auto" w:fill="E5F1F8"/>
          </w:tcPr>
          <w:p>
            <w:pPr>
              <w:spacing w:after="0"/>
              <w:rPr>
                <w:sz w:val="21"/>
                <w:szCs w:val="21"/>
                <w:color w:val="auto"/>
              </w:rPr>
            </w:pPr>
          </w:p>
        </w:tc>
        <w:tc>
          <w:tcPr>
            <w:tcW w:w="74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9,752</w:t>
            </w:r>
          </w:p>
        </w:tc>
        <w:tc>
          <w:tcPr>
            <w:tcW w:w="800" w:type="dxa"/>
            <w:vAlign w:val="bottom"/>
            <w:tcBorders>
              <w:right w:val="single" w:sz="8" w:color="007CBA"/>
            </w:tcBorders>
            <w:shd w:val="clear" w:color="auto" w:fill="E5F1F8"/>
          </w:tcPr>
          <w:p>
            <w:pPr>
              <w:spacing w:after="0"/>
              <w:rPr>
                <w:sz w:val="21"/>
                <w:szCs w:val="21"/>
                <w:color w:val="auto"/>
              </w:rPr>
            </w:pPr>
          </w:p>
        </w:tc>
        <w:tc>
          <w:tcPr>
            <w:tcW w:w="880" w:type="dxa"/>
            <w:vAlign w:val="bottom"/>
            <w:shd w:val="clear" w:color="auto" w:fill="E5F1F8"/>
          </w:tcPr>
          <w:p>
            <w:pPr>
              <w:jc w:val="right"/>
              <w:ind w:right="30"/>
              <w:spacing w:after="0"/>
              <w:rPr>
                <w:sz w:val="20"/>
                <w:szCs w:val="20"/>
                <w:color w:val="auto"/>
              </w:rPr>
            </w:pPr>
            <w:r>
              <w:rPr>
                <w:rFonts w:ascii="Arial" w:cs="Arial" w:eastAsia="Arial" w:hAnsi="Arial"/>
                <w:sz w:val="14"/>
                <w:szCs w:val="14"/>
                <w:color w:val="auto"/>
              </w:rPr>
              <w:t>66,718</w:t>
            </w:r>
          </w:p>
        </w:tc>
        <w:tc>
          <w:tcPr>
            <w:tcW w:w="0" w:type="dxa"/>
            <w:vAlign w:val="bottom"/>
          </w:tcPr>
          <w:p>
            <w:pPr>
              <w:spacing w:after="0"/>
              <w:rPr>
                <w:sz w:val="1"/>
                <w:szCs w:val="1"/>
                <w:color w:val="auto"/>
              </w:rPr>
            </w:pPr>
          </w:p>
        </w:tc>
      </w:tr>
      <w:tr>
        <w:trPr>
          <w:trHeight w:val="216"/>
        </w:trPr>
        <w:tc>
          <w:tcPr>
            <w:tcW w:w="3820" w:type="dxa"/>
            <w:vAlign w:val="bottom"/>
            <w:tcBorders>
              <w:right w:val="single" w:sz="8" w:color="007CBA"/>
            </w:tcBorders>
            <w:shd w:val="clear" w:color="auto" w:fill="E5F1F8"/>
          </w:tcPr>
          <w:p>
            <w:pPr>
              <w:spacing w:after="0"/>
              <w:rPr>
                <w:sz w:val="18"/>
                <w:szCs w:val="18"/>
                <w:color w:val="auto"/>
              </w:rPr>
            </w:pPr>
          </w:p>
        </w:tc>
        <w:tc>
          <w:tcPr>
            <w:tcW w:w="740" w:type="dxa"/>
            <w:vAlign w:val="bottom"/>
            <w:tcBorders>
              <w:right w:val="single" w:sz="8" w:color="007CBA"/>
            </w:tcBorders>
            <w:shd w:val="clear" w:color="auto" w:fill="E5F1F8"/>
          </w:tcPr>
          <w:p>
            <w:pPr>
              <w:jc w:val="right"/>
              <w:spacing w:after="0" w:line="216" w:lineRule="exact"/>
              <w:rPr>
                <w:sz w:val="20"/>
                <w:szCs w:val="20"/>
                <w:color w:val="auto"/>
              </w:rPr>
            </w:pPr>
            <w:r>
              <w:rPr>
                <w:rFonts w:ascii="Arial" w:cs="Arial" w:eastAsia="Arial" w:hAnsi="Arial"/>
                <w:sz w:val="14"/>
                <w:szCs w:val="14"/>
                <w:color w:val="auto"/>
              </w:rPr>
              <w:t>2/22/18</w:t>
            </w:r>
            <w:r>
              <w:rPr>
                <w:rFonts w:ascii="Arial" w:cs="Arial" w:eastAsia="Arial" w:hAnsi="Arial"/>
                <w:sz w:val="24"/>
                <w:szCs w:val="24"/>
                <w:color w:val="auto"/>
                <w:vertAlign w:val="superscript"/>
              </w:rPr>
              <w:t>3</w:t>
            </w:r>
          </w:p>
        </w:tc>
        <w:tc>
          <w:tcPr>
            <w:tcW w:w="860" w:type="dxa"/>
            <w:vAlign w:val="bottom"/>
            <w:tcBorders>
              <w:right w:val="single" w:sz="8" w:color="007CBA"/>
            </w:tcBorders>
            <w:shd w:val="clear" w:color="auto" w:fill="E5F1F8"/>
          </w:tcPr>
          <w:p>
            <w:pPr>
              <w:spacing w:after="0"/>
              <w:rPr>
                <w:sz w:val="18"/>
                <w:szCs w:val="18"/>
                <w:color w:val="auto"/>
              </w:rPr>
            </w:pPr>
          </w:p>
        </w:tc>
        <w:tc>
          <w:tcPr>
            <w:tcW w:w="760" w:type="dxa"/>
            <w:vAlign w:val="bottom"/>
            <w:tcBorders>
              <w:right w:val="single" w:sz="8" w:color="007CBA"/>
            </w:tcBorders>
            <w:shd w:val="clear" w:color="auto" w:fill="E5F1F8"/>
          </w:tcPr>
          <w:p>
            <w:pPr>
              <w:spacing w:after="0"/>
              <w:rPr>
                <w:sz w:val="18"/>
                <w:szCs w:val="18"/>
                <w:color w:val="auto"/>
              </w:rPr>
            </w:pPr>
          </w:p>
        </w:tc>
        <w:tc>
          <w:tcPr>
            <w:tcW w:w="60" w:type="dxa"/>
            <w:vAlign w:val="bottom"/>
            <w:shd w:val="clear" w:color="auto" w:fill="E5F1F8"/>
          </w:tcPr>
          <w:p>
            <w:pPr>
              <w:spacing w:after="0"/>
              <w:rPr>
                <w:sz w:val="18"/>
                <w:szCs w:val="18"/>
                <w:color w:val="auto"/>
              </w:rPr>
            </w:pPr>
          </w:p>
        </w:tc>
        <w:tc>
          <w:tcPr>
            <w:tcW w:w="820" w:type="dxa"/>
            <w:vAlign w:val="bottom"/>
            <w:tcBorders>
              <w:right w:val="single" w:sz="8" w:color="007CBA"/>
            </w:tcBorders>
            <w:shd w:val="clear" w:color="auto" w:fill="E5F1F8"/>
          </w:tcPr>
          <w:p>
            <w:pPr>
              <w:spacing w:after="0"/>
              <w:rPr>
                <w:sz w:val="18"/>
                <w:szCs w:val="18"/>
                <w:color w:val="auto"/>
              </w:rPr>
            </w:pPr>
          </w:p>
        </w:tc>
        <w:tc>
          <w:tcPr>
            <w:tcW w:w="840" w:type="dxa"/>
            <w:vAlign w:val="bottom"/>
            <w:tcBorders>
              <w:right w:val="single" w:sz="8" w:color="007CBA"/>
            </w:tcBorders>
            <w:shd w:val="clear" w:color="auto" w:fill="E5F1F8"/>
          </w:tcPr>
          <w:p>
            <w:pPr>
              <w:jc w:val="right"/>
              <w:ind w:right="51"/>
              <w:spacing w:after="0"/>
              <w:rPr>
                <w:sz w:val="20"/>
                <w:szCs w:val="20"/>
                <w:color w:val="auto"/>
              </w:rPr>
            </w:pPr>
            <w:r>
              <w:rPr>
                <w:rFonts w:ascii="Arial" w:cs="Arial" w:eastAsia="Arial" w:hAnsi="Arial"/>
                <w:sz w:val="14"/>
                <w:szCs w:val="14"/>
                <w:color w:val="auto"/>
              </w:rPr>
              <w:t>448</w:t>
            </w:r>
          </w:p>
        </w:tc>
        <w:tc>
          <w:tcPr>
            <w:tcW w:w="60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1,120</w:t>
            </w:r>
          </w:p>
        </w:tc>
        <w:tc>
          <w:tcPr>
            <w:tcW w:w="80" w:type="dxa"/>
            <w:vAlign w:val="bottom"/>
            <w:shd w:val="clear" w:color="auto" w:fill="E5F1F8"/>
          </w:tcPr>
          <w:p>
            <w:pPr>
              <w:spacing w:after="0"/>
              <w:rPr>
                <w:sz w:val="18"/>
                <w:szCs w:val="18"/>
                <w:color w:val="auto"/>
              </w:rPr>
            </w:pPr>
          </w:p>
        </w:tc>
        <w:tc>
          <w:tcPr>
            <w:tcW w:w="74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2,688</w:t>
            </w:r>
          </w:p>
        </w:tc>
        <w:tc>
          <w:tcPr>
            <w:tcW w:w="800" w:type="dxa"/>
            <w:vAlign w:val="bottom"/>
            <w:tcBorders>
              <w:right w:val="single" w:sz="8" w:color="007CBA"/>
            </w:tcBorders>
            <w:shd w:val="clear" w:color="auto" w:fill="E5F1F8"/>
          </w:tcPr>
          <w:p>
            <w:pPr>
              <w:spacing w:after="0"/>
              <w:rPr>
                <w:sz w:val="18"/>
                <w:szCs w:val="18"/>
                <w:color w:val="auto"/>
              </w:rPr>
            </w:pPr>
          </w:p>
        </w:tc>
        <w:tc>
          <w:tcPr>
            <w:tcW w:w="880" w:type="dxa"/>
            <w:vAlign w:val="bottom"/>
            <w:shd w:val="clear" w:color="auto" w:fill="E5F1F8"/>
          </w:tcPr>
          <w:p>
            <w:pPr>
              <w:jc w:val="right"/>
              <w:ind w:right="30"/>
              <w:spacing w:after="0"/>
              <w:rPr>
                <w:sz w:val="20"/>
                <w:szCs w:val="20"/>
                <w:color w:val="auto"/>
              </w:rPr>
            </w:pPr>
            <w:r>
              <w:rPr>
                <w:rFonts w:ascii="Arial" w:cs="Arial" w:eastAsia="Arial" w:hAnsi="Arial"/>
                <w:sz w:val="14"/>
                <w:szCs w:val="14"/>
                <w:color w:val="auto"/>
              </w:rPr>
              <w:t>246,266</w:t>
            </w:r>
          </w:p>
        </w:tc>
        <w:tc>
          <w:tcPr>
            <w:tcW w:w="0" w:type="dxa"/>
            <w:vAlign w:val="bottom"/>
          </w:tcPr>
          <w:p>
            <w:pPr>
              <w:spacing w:after="0"/>
              <w:rPr>
                <w:sz w:val="1"/>
                <w:szCs w:val="1"/>
                <w:color w:val="auto"/>
              </w:rPr>
            </w:pPr>
          </w:p>
        </w:tc>
      </w:tr>
      <w:tr>
        <w:trPr>
          <w:trHeight w:val="216"/>
        </w:trPr>
        <w:tc>
          <w:tcPr>
            <w:tcW w:w="3820" w:type="dxa"/>
            <w:vAlign w:val="bottom"/>
            <w:tcBorders>
              <w:bottom w:val="single" w:sz="8" w:color="007CBA"/>
              <w:right w:val="single" w:sz="8" w:color="007CBA"/>
            </w:tcBorders>
            <w:shd w:val="clear" w:color="auto" w:fill="E5F1F8"/>
          </w:tcPr>
          <w:p>
            <w:pPr>
              <w:spacing w:after="0"/>
              <w:rPr>
                <w:sz w:val="18"/>
                <w:szCs w:val="18"/>
                <w:color w:val="auto"/>
              </w:rPr>
            </w:pPr>
          </w:p>
        </w:tc>
        <w:tc>
          <w:tcPr>
            <w:tcW w:w="740" w:type="dxa"/>
            <w:vAlign w:val="bottom"/>
            <w:tcBorders>
              <w:bottom w:val="single" w:sz="8" w:color="007CBA"/>
              <w:right w:val="single" w:sz="8" w:color="007CBA"/>
            </w:tcBorders>
            <w:shd w:val="clear" w:color="auto" w:fill="E5F1F8"/>
          </w:tcPr>
          <w:p>
            <w:pPr>
              <w:jc w:val="right"/>
              <w:spacing w:after="0" w:line="216" w:lineRule="exact"/>
              <w:rPr>
                <w:sz w:val="20"/>
                <w:szCs w:val="20"/>
                <w:color w:val="auto"/>
              </w:rPr>
            </w:pPr>
            <w:r>
              <w:rPr>
                <w:rFonts w:ascii="Arial" w:cs="Arial" w:eastAsia="Arial" w:hAnsi="Arial"/>
                <w:sz w:val="14"/>
                <w:szCs w:val="14"/>
                <w:color w:val="auto"/>
              </w:rPr>
              <w:t>2/22/18</w:t>
            </w:r>
            <w:r>
              <w:rPr>
                <w:rFonts w:ascii="Arial" w:cs="Arial" w:eastAsia="Arial" w:hAnsi="Arial"/>
                <w:sz w:val="24"/>
                <w:szCs w:val="24"/>
                <w:color w:val="auto"/>
                <w:vertAlign w:val="superscript"/>
              </w:rPr>
              <w:t>2</w:t>
            </w:r>
          </w:p>
        </w:tc>
        <w:tc>
          <w:tcPr>
            <w:tcW w:w="860" w:type="dxa"/>
            <w:vAlign w:val="bottom"/>
            <w:tcBorders>
              <w:bottom w:val="single" w:sz="8" w:color="007CBA"/>
              <w:right w:val="single" w:sz="8" w:color="007CBA"/>
            </w:tcBorders>
            <w:shd w:val="clear" w:color="auto" w:fill="E5F1F8"/>
          </w:tcPr>
          <w:p>
            <w:pPr>
              <w:spacing w:after="0"/>
              <w:rPr>
                <w:sz w:val="18"/>
                <w:szCs w:val="18"/>
                <w:color w:val="auto"/>
              </w:rPr>
            </w:pPr>
          </w:p>
        </w:tc>
        <w:tc>
          <w:tcPr>
            <w:tcW w:w="760" w:type="dxa"/>
            <w:vAlign w:val="bottom"/>
            <w:tcBorders>
              <w:bottom w:val="single" w:sz="8" w:color="007CBA"/>
              <w:right w:val="single" w:sz="8" w:color="007CBA"/>
            </w:tcBorders>
            <w:shd w:val="clear" w:color="auto" w:fill="E5F1F8"/>
          </w:tcPr>
          <w:p>
            <w:pPr>
              <w:spacing w:after="0"/>
              <w:rPr>
                <w:sz w:val="18"/>
                <w:szCs w:val="18"/>
                <w:color w:val="auto"/>
              </w:rPr>
            </w:pPr>
          </w:p>
        </w:tc>
        <w:tc>
          <w:tcPr>
            <w:tcW w:w="60" w:type="dxa"/>
            <w:vAlign w:val="bottom"/>
            <w:tcBorders>
              <w:bottom w:val="single" w:sz="8" w:color="007CBA"/>
            </w:tcBorders>
            <w:shd w:val="clear" w:color="auto" w:fill="E5F1F8"/>
          </w:tcPr>
          <w:p>
            <w:pPr>
              <w:spacing w:after="0"/>
              <w:rPr>
                <w:sz w:val="18"/>
                <w:szCs w:val="18"/>
                <w:color w:val="auto"/>
              </w:rPr>
            </w:pPr>
          </w:p>
        </w:tc>
        <w:tc>
          <w:tcPr>
            <w:tcW w:w="820" w:type="dxa"/>
            <w:vAlign w:val="bottom"/>
            <w:tcBorders>
              <w:bottom w:val="single" w:sz="8" w:color="007CBA"/>
              <w:right w:val="single" w:sz="8" w:color="007CBA"/>
            </w:tcBorders>
            <w:shd w:val="clear" w:color="auto" w:fill="E5F1F8"/>
          </w:tcPr>
          <w:p>
            <w:pPr>
              <w:spacing w:after="0"/>
              <w:rPr>
                <w:sz w:val="18"/>
                <w:szCs w:val="18"/>
                <w:color w:val="auto"/>
              </w:rPr>
            </w:pPr>
          </w:p>
        </w:tc>
        <w:tc>
          <w:tcPr>
            <w:tcW w:w="840" w:type="dxa"/>
            <w:vAlign w:val="bottom"/>
            <w:tcBorders>
              <w:bottom w:val="single" w:sz="8" w:color="007CBA"/>
              <w:right w:val="single" w:sz="8" w:color="007CBA"/>
            </w:tcBorders>
            <w:shd w:val="clear" w:color="auto" w:fill="E5F1F8"/>
          </w:tcPr>
          <w:p>
            <w:pPr>
              <w:spacing w:after="0"/>
              <w:rPr>
                <w:sz w:val="18"/>
                <w:szCs w:val="18"/>
                <w:color w:val="auto"/>
              </w:rPr>
            </w:pPr>
          </w:p>
        </w:tc>
        <w:tc>
          <w:tcPr>
            <w:tcW w:w="600" w:type="dxa"/>
            <w:vAlign w:val="bottom"/>
            <w:tcBorders>
              <w:bottom w:val="single" w:sz="8" w:color="007CBA"/>
              <w:right w:val="single" w:sz="8" w:color="007CBA"/>
            </w:tcBorders>
            <w:shd w:val="clear" w:color="auto" w:fill="E5F1F8"/>
          </w:tcPr>
          <w:p>
            <w:pPr>
              <w:spacing w:after="0"/>
              <w:rPr>
                <w:sz w:val="18"/>
                <w:szCs w:val="18"/>
                <w:color w:val="auto"/>
              </w:rPr>
            </w:pPr>
          </w:p>
        </w:tc>
        <w:tc>
          <w:tcPr>
            <w:tcW w:w="80" w:type="dxa"/>
            <w:vAlign w:val="bottom"/>
            <w:tcBorders>
              <w:bottom w:val="single" w:sz="8" w:color="007CBA"/>
            </w:tcBorders>
            <w:shd w:val="clear" w:color="auto" w:fill="E5F1F8"/>
          </w:tcPr>
          <w:p>
            <w:pPr>
              <w:spacing w:after="0"/>
              <w:rPr>
                <w:sz w:val="18"/>
                <w:szCs w:val="18"/>
                <w:color w:val="auto"/>
              </w:rPr>
            </w:pPr>
          </w:p>
        </w:tc>
        <w:tc>
          <w:tcPr>
            <w:tcW w:w="740" w:type="dxa"/>
            <w:vAlign w:val="bottom"/>
            <w:tcBorders>
              <w:bottom w:val="single" w:sz="8" w:color="007CBA"/>
              <w:right w:val="single" w:sz="8" w:color="007CBA"/>
            </w:tcBorders>
            <w:shd w:val="clear" w:color="auto" w:fill="E5F1F8"/>
          </w:tcPr>
          <w:p>
            <w:pPr>
              <w:spacing w:after="0"/>
              <w:rPr>
                <w:sz w:val="18"/>
                <w:szCs w:val="18"/>
                <w:color w:val="auto"/>
              </w:rPr>
            </w:pPr>
          </w:p>
        </w:tc>
        <w:tc>
          <w:tcPr>
            <w:tcW w:w="800" w:type="dxa"/>
            <w:vAlign w:val="bottom"/>
            <w:tcBorders>
              <w:bottom w:val="single" w:sz="8" w:color="007CBA"/>
              <w:right w:val="single" w:sz="8" w:color="007CBA"/>
            </w:tcBorders>
            <w:shd w:val="clear" w:color="auto" w:fill="E5F1F8"/>
          </w:tcPr>
          <w:p>
            <w:pPr>
              <w:jc w:val="right"/>
              <w:ind w:right="31"/>
              <w:spacing w:after="0"/>
              <w:rPr>
                <w:sz w:val="20"/>
                <w:szCs w:val="20"/>
                <w:color w:val="auto"/>
              </w:rPr>
            </w:pPr>
            <w:r>
              <w:rPr>
                <w:rFonts w:ascii="Arial" w:cs="Arial" w:eastAsia="Arial" w:hAnsi="Arial"/>
                <w:sz w:val="14"/>
                <w:szCs w:val="14"/>
                <w:color w:val="auto"/>
              </w:rPr>
              <w:t>963</w:t>
            </w:r>
          </w:p>
        </w:tc>
        <w:tc>
          <w:tcPr>
            <w:tcW w:w="880" w:type="dxa"/>
            <w:vAlign w:val="bottom"/>
            <w:tcBorders>
              <w:bottom w:val="single" w:sz="8" w:color="007CBA"/>
            </w:tcBorders>
            <w:shd w:val="clear" w:color="auto" w:fill="E5F1F8"/>
          </w:tcPr>
          <w:p>
            <w:pPr>
              <w:jc w:val="right"/>
              <w:ind w:right="30"/>
              <w:spacing w:after="0"/>
              <w:rPr>
                <w:sz w:val="20"/>
                <w:szCs w:val="20"/>
                <w:color w:val="auto"/>
              </w:rPr>
            </w:pPr>
            <w:r>
              <w:rPr>
                <w:rFonts w:ascii="Arial" w:cs="Arial" w:eastAsia="Arial" w:hAnsi="Arial"/>
                <w:sz w:val="14"/>
                <w:szCs w:val="14"/>
                <w:color w:val="auto"/>
              </w:rPr>
              <w:t>204,272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3088640</wp:posOffset>
            </wp:positionH>
            <wp:positionV relativeFrom="paragraph">
              <wp:posOffset>-2483485</wp:posOffset>
            </wp:positionV>
            <wp:extent cx="289496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894965" cy="8255"/>
                    </a:xfrm>
                    <a:prstGeom prst="rect">
                      <a:avLst/>
                    </a:prstGeom>
                    <a:noFill/>
                  </pic:spPr>
                </pic:pic>
              </a:graphicData>
            </a:graphic>
          </wp:anchor>
        </w:drawing>
      </w:r>
    </w:p>
    <w:p>
      <w:pPr>
        <w:spacing w:after="0" w:line="66" w:lineRule="exact"/>
        <w:rPr>
          <w:sz w:val="20"/>
          <w:szCs w:val="20"/>
          <w:color w:val="auto"/>
        </w:rPr>
      </w:pPr>
    </w:p>
    <w:p>
      <w:pPr>
        <w:jc w:val="both"/>
        <w:ind w:left="340" w:hanging="130"/>
        <w:spacing w:after="0" w:line="220" w:lineRule="auto"/>
        <w:tabs>
          <w:tab w:leader="none" w:pos="340" w:val="left"/>
        </w:tabs>
        <w:numPr>
          <w:ilvl w:val="0"/>
          <w:numId w:val="130"/>
        </w:numPr>
        <w:rPr>
          <w:rFonts w:ascii="Arial" w:cs="Arial" w:eastAsia="Arial" w:hAnsi="Arial"/>
          <w:sz w:val="24"/>
          <w:szCs w:val="24"/>
          <w:color w:val="auto"/>
          <w:vertAlign w:val="superscript"/>
        </w:rPr>
      </w:pPr>
      <w:r>
        <w:rPr>
          <w:rFonts w:ascii="Arial" w:cs="Arial" w:eastAsia="Arial" w:hAnsi="Arial"/>
          <w:sz w:val="14"/>
          <w:szCs w:val="14"/>
          <w:color w:val="auto"/>
        </w:rPr>
        <w:t>The amounts shown in this row reflect the annual bonus that could have been earned in 2018, payable in 2019, pursuant to the Executive Cash Incentive Plan. For each named executive officer, the amounts shown in columns (d) and (e) reflect the portion of the annual bonus that would have been paid in cash if, respectively, target and maximum performance was achieved for the year (i.e., after reduction for the total portion that would be deferred pursuant to the Incentive Stock Plan pursuant to both mandatory and voluntary deferrals). The amounts shown in columns (g) and (h) reflect the portion of the annual bonus that would have been deferred pursuant to the Incentive Stock Plan if, respectively, target and maximum performance was achieved for the year, inclusive of the 20% discount. Participants in the Incentive Stock Plan for 2018 were approved on May 17, 2018. These awards are discussed under the heading “</w:t>
      </w:r>
      <w:r>
        <w:rPr>
          <w:rFonts w:ascii="Arial" w:cs="Arial" w:eastAsia="Arial" w:hAnsi="Arial"/>
          <w:sz w:val="14"/>
          <w:szCs w:val="14"/>
          <w:i w:val="1"/>
          <w:iCs w:val="1"/>
          <w:color w:val="auto"/>
        </w:rPr>
        <w:t>Annual Incentive Feature: Performance-Based Stock Purchase Plan</w:t>
      </w:r>
      <w:r>
        <w:rPr>
          <w:rFonts w:ascii="Arial" w:cs="Arial" w:eastAsia="Arial" w:hAnsi="Arial"/>
          <w:sz w:val="14"/>
          <w:szCs w:val="14"/>
          <w:color w:val="auto"/>
        </w:rPr>
        <w:t>” on page 45. The actual amounts paid are reflected in the Summary Compensation Table on page 54.</w:t>
      </w:r>
    </w:p>
    <w:p>
      <w:pPr>
        <w:spacing w:after="0" w:line="76" w:lineRule="exact"/>
        <w:rPr>
          <w:sz w:val="20"/>
          <w:szCs w:val="20"/>
          <w:color w:val="auto"/>
        </w:rPr>
      </w:pPr>
    </w:p>
    <w:p>
      <w:pPr>
        <w:jc w:val="both"/>
        <w:ind w:left="340" w:hanging="130"/>
        <w:spacing w:after="0" w:line="199" w:lineRule="auto"/>
        <w:tabs>
          <w:tab w:leader="none" w:pos="340" w:val="left"/>
        </w:tabs>
        <w:numPr>
          <w:ilvl w:val="0"/>
          <w:numId w:val="131"/>
        </w:numPr>
        <w:rPr>
          <w:rFonts w:ascii="Arial" w:cs="Arial" w:eastAsia="Arial" w:hAnsi="Arial"/>
          <w:sz w:val="24"/>
          <w:szCs w:val="24"/>
          <w:color w:val="auto"/>
          <w:vertAlign w:val="superscript"/>
        </w:rPr>
      </w:pPr>
      <w:r>
        <w:rPr>
          <w:rFonts w:ascii="Arial" w:cs="Arial" w:eastAsia="Arial" w:hAnsi="Arial"/>
          <w:sz w:val="14"/>
          <w:szCs w:val="14"/>
          <w:color w:val="auto"/>
        </w:rPr>
        <w:t>The amounts shown in column (i) reflect the number of RSUs granted in 2018 to each of the named executive officers pursuant to the Stock-Based Award Plan. These awards are discussed under the heading “</w:t>
      </w:r>
      <w:r>
        <w:rPr>
          <w:rFonts w:ascii="Arial" w:cs="Arial" w:eastAsia="Arial" w:hAnsi="Arial"/>
          <w:sz w:val="14"/>
          <w:szCs w:val="14"/>
          <w:i w:val="1"/>
          <w:iCs w:val="1"/>
          <w:color w:val="auto"/>
        </w:rPr>
        <w:t>2018 Long-Term Incentive Compensation”</w:t>
      </w:r>
      <w:r>
        <w:rPr>
          <w:rFonts w:ascii="Arial" w:cs="Arial" w:eastAsia="Arial" w:hAnsi="Arial"/>
          <w:sz w:val="14"/>
          <w:szCs w:val="14"/>
          <w:color w:val="auto"/>
        </w:rPr>
        <w:t xml:space="preserve"> on pages 46 to 48. These awards are also included in column (e) of the Summary Compensation Table on page 54.</w:t>
      </w:r>
    </w:p>
    <w:p>
      <w:pPr>
        <w:spacing w:after="0" w:line="71" w:lineRule="exact"/>
        <w:rPr>
          <w:sz w:val="20"/>
          <w:szCs w:val="20"/>
          <w:color w:val="auto"/>
        </w:rPr>
      </w:pPr>
    </w:p>
    <w:p>
      <w:pPr>
        <w:ind w:left="340" w:hanging="130"/>
        <w:spacing w:after="0" w:line="183" w:lineRule="auto"/>
        <w:tabs>
          <w:tab w:leader="none" w:pos="340" w:val="left"/>
        </w:tabs>
        <w:numPr>
          <w:ilvl w:val="0"/>
          <w:numId w:val="132"/>
        </w:numPr>
        <w:rPr>
          <w:rFonts w:ascii="Arial" w:cs="Arial" w:eastAsia="Arial" w:hAnsi="Arial"/>
          <w:sz w:val="24"/>
          <w:szCs w:val="24"/>
          <w:color w:val="auto"/>
          <w:vertAlign w:val="superscript"/>
        </w:rPr>
      </w:pPr>
      <w:r>
        <w:rPr>
          <w:rFonts w:ascii="Arial" w:cs="Arial" w:eastAsia="Arial" w:hAnsi="Arial"/>
          <w:sz w:val="14"/>
          <w:szCs w:val="14"/>
          <w:color w:val="auto"/>
        </w:rPr>
        <w:t>The amounts shown in columns (f), (g) and (h) reflect the threshold, target and maximum, respectively, levels of PSUs payable if the performance measurements are satisfied in the period 2018-2020. These awards are discussed under the heading “</w:t>
      </w:r>
      <w:r>
        <w:rPr>
          <w:rFonts w:ascii="Arial" w:cs="Arial" w:eastAsia="Arial" w:hAnsi="Arial"/>
          <w:sz w:val="14"/>
          <w:szCs w:val="14"/>
          <w:i w:val="1"/>
          <w:iCs w:val="1"/>
          <w:color w:val="auto"/>
        </w:rPr>
        <w:t>2018 Long-Term Incentive Compensation</w:t>
      </w:r>
      <w:r>
        <w:rPr>
          <w:rFonts w:ascii="Arial" w:cs="Arial" w:eastAsia="Arial" w:hAnsi="Arial"/>
          <w:sz w:val="14"/>
          <w:szCs w:val="14"/>
          <w:color w:val="auto"/>
        </w:rPr>
        <w:t>” on pages 46 to 48.</w:t>
      </w:r>
    </w:p>
    <w:p>
      <w:pPr>
        <w:spacing w:after="0" w:line="71" w:lineRule="exact"/>
        <w:rPr>
          <w:sz w:val="20"/>
          <w:szCs w:val="20"/>
          <w:color w:val="auto"/>
        </w:rPr>
      </w:pPr>
    </w:p>
    <w:p>
      <w:pPr>
        <w:ind w:left="340" w:right="20" w:hanging="130"/>
        <w:spacing w:after="0" w:line="183" w:lineRule="auto"/>
        <w:tabs>
          <w:tab w:leader="none" w:pos="340" w:val="left"/>
        </w:tabs>
        <w:numPr>
          <w:ilvl w:val="0"/>
          <w:numId w:val="133"/>
        </w:numPr>
        <w:rPr>
          <w:rFonts w:ascii="Arial" w:cs="Arial" w:eastAsia="Arial" w:hAnsi="Arial"/>
          <w:sz w:val="24"/>
          <w:szCs w:val="24"/>
          <w:color w:val="auto"/>
          <w:vertAlign w:val="superscript"/>
        </w:rPr>
      </w:pPr>
      <w:r>
        <w:rPr>
          <w:rFonts w:ascii="Arial" w:cs="Arial" w:eastAsia="Arial" w:hAnsi="Arial"/>
          <w:sz w:val="14"/>
          <w:szCs w:val="14"/>
          <w:color w:val="auto"/>
        </w:rPr>
        <w:t>The amounts shown in column (l) reflect the grant date fair value of each equity award computed in accordance with FASB ASC Topic 718. No options to purchase shares of Martin Marietta’s common stock were granted in 2018.</w:t>
      </w:r>
    </w:p>
    <w:p>
      <w:pPr>
        <w:sectPr>
          <w:pgSz w:w="11900" w:h="16838" w:orient="portrait"/>
          <w:cols w:equalWidth="0" w:num="1">
            <w:col w:w="11220"/>
          </w:cols>
          <w:pgMar w:left="240" w:top="459" w:right="439" w:bottom="1440" w:gutter="0" w:footer="0" w:header="0"/>
        </w:sectPr>
      </w:pPr>
    </w:p>
    <w:p>
      <w:pPr>
        <w:spacing w:after="0" w:line="257"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Stock-based incentive awards have been a significant component of Martin Marietta’s management compensation. In 1998, the Board of Directors adopted and Martin Marietta’s shareholders approved the Stock Plan. In 2016, the Board of Directors and the shareholders approved amendments to the plan increasing the number of shares of Martin Marietta’s common stock available for equity awards. They also approved amendments to the plan designed to more directly tie long-term compensation incentives to Martin Marietta’s performance and enhance flexibility in structuring long-term incentive</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compensation packages by providing a mix of different types of long-term stock-based incentives. In addition, dividend equivalents that would have been paid in cash during the vesting period will be paid only if and when an award vests.</w:t>
      </w:r>
    </w:p>
    <w:p>
      <w:pPr>
        <w:spacing w:after="0" w:line="178"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As amended, the plan authorizes the Management Development and Compensation Committee to award stock options, restricted stock and other stock-based incentive awards to employees of Martin Marietta for the purpose of attracting, motivating, retaining and rewarding talented and experienced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172085</wp:posOffset>
            </wp:positionV>
            <wp:extent cx="410845" cy="2482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106" w:lineRule="exact"/>
        <w:rPr>
          <w:sz w:val="20"/>
          <w:szCs w:val="20"/>
          <w:color w:val="auto"/>
        </w:rPr>
      </w:pPr>
    </w:p>
    <w:p>
      <w:pPr>
        <w:ind w:left="640" w:hanging="430"/>
        <w:spacing w:after="0"/>
        <w:tabs>
          <w:tab w:leader="none" w:pos="640" w:val="left"/>
        </w:tabs>
        <w:numPr>
          <w:ilvl w:val="0"/>
          <w:numId w:val="134"/>
        </w:numPr>
        <w:rPr>
          <w:rFonts w:ascii="Arial" w:cs="Arial" w:eastAsia="Arial" w:hAnsi="Arial"/>
          <w:sz w:val="12"/>
          <w:szCs w:val="12"/>
          <w:b w:val="1"/>
          <w:bCs w:val="1"/>
          <w:color w:val="auto"/>
        </w:rPr>
      </w:pPr>
      <w:r>
        <w:rPr>
          <w:rFonts w:ascii="Arial" w:cs="Arial" w:eastAsia="Arial" w:hAnsi="Arial"/>
          <w:sz w:val="12"/>
          <w:szCs w:val="12"/>
          <w:color w:val="007CBA"/>
        </w:rPr>
        <w:t>2019 PROXY STATEMENT</w:t>
      </w:r>
    </w:p>
    <w:p>
      <w:pPr>
        <w:sectPr>
          <w:pgSz w:w="11900" w:h="16838" w:orient="portrait"/>
          <w:cols w:equalWidth="0" w:num="1">
            <w:col w:w="11220"/>
          </w:cols>
          <w:pgMar w:left="240" w:top="459" w:right="4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9" w:lineRule="exact"/>
        <w:rPr>
          <w:sz w:val="20"/>
          <w:szCs w:val="20"/>
          <w:color w:val="auto"/>
        </w:rPr>
      </w:pPr>
    </w:p>
    <w:p>
      <w:pPr>
        <w:jc w:val="right"/>
        <w:spacing w:after="0" w:line="251" w:lineRule="exact"/>
        <w:tabs>
          <w:tab w:leader="none" w:pos="1760" w:val="left"/>
        </w:tabs>
        <w:rPr>
          <w:sz w:val="20"/>
          <w:szCs w:val="20"/>
          <w:color w:val="auto"/>
        </w:rPr>
      </w:pPr>
      <w:r>
        <w:rPr>
          <w:rFonts w:ascii="Arial" w:cs="Arial" w:eastAsia="Arial" w:hAnsi="Arial"/>
          <w:sz w:val="13"/>
          <w:szCs w:val="13"/>
          <w:color w:val="auto"/>
        </w:rPr>
        <w:t>Grants of Plan-Based Awards</w:t>
      </w:r>
      <w:r>
        <w:rPr>
          <w:sz w:val="20"/>
          <w:szCs w:val="20"/>
          <w:color w:val="auto"/>
        </w:rPr>
        <w:tab/>
      </w:r>
      <w:r>
        <w:rPr>
          <w:rFonts w:ascii="MS PGothic" w:cs="MS PGothic" w:eastAsia="MS PGothic" w:hAnsi="MS PGothic"/>
          <w:sz w:val="25"/>
          <w:szCs w:val="25"/>
          <w:color w:val="007CBA"/>
        </w:rPr>
        <w:t xml:space="preserve">◆ </w:t>
      </w:r>
      <w:r>
        <w:rPr>
          <w:rFonts w:ascii="Arial" w:cs="Arial" w:eastAsia="Arial" w:hAnsi="Arial"/>
          <w:sz w:val="13"/>
          <w:szCs w:val="13"/>
          <w:color w:val="007CBA"/>
        </w:rPr>
        <w:t>Executive Compensation</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both"/>
        <w:ind w:left="220" w:right="20"/>
        <w:spacing w:after="0" w:line="253" w:lineRule="auto"/>
        <w:rPr>
          <w:sz w:val="20"/>
          <w:szCs w:val="20"/>
          <w:color w:val="auto"/>
        </w:rPr>
      </w:pPr>
      <w:r>
        <w:rPr>
          <w:rFonts w:ascii="Arial" w:cs="Arial" w:eastAsia="Arial" w:hAnsi="Arial"/>
          <w:sz w:val="16"/>
          <w:szCs w:val="16"/>
          <w:color w:val="auto"/>
        </w:rPr>
        <w:t>employees. Since 2016, Martin Marietta’s long-term compensation program consists of a mix of RSUs and PSUs for senior level employees and other select employees.</w:t>
      </w:r>
    </w:p>
    <w:p>
      <w:pPr>
        <w:spacing w:after="0" w:line="174" w:lineRule="exact"/>
        <w:rPr>
          <w:sz w:val="20"/>
          <w:szCs w:val="20"/>
          <w:color w:val="auto"/>
        </w:rPr>
      </w:pPr>
    </w:p>
    <w:p>
      <w:pPr>
        <w:jc w:val="both"/>
        <w:ind w:left="220"/>
        <w:spacing w:after="0" w:line="253" w:lineRule="auto"/>
        <w:rPr>
          <w:sz w:val="20"/>
          <w:szCs w:val="20"/>
          <w:color w:val="auto"/>
        </w:rPr>
      </w:pPr>
      <w:r>
        <w:rPr>
          <w:rFonts w:ascii="Arial" w:cs="Arial" w:eastAsia="Arial" w:hAnsi="Arial"/>
          <w:sz w:val="16"/>
          <w:szCs w:val="16"/>
          <w:color w:val="auto"/>
        </w:rPr>
        <w:t xml:space="preserve">Vesting of the awards granted in 2018 is based on the achievement by Martin Marietta of performance measures described under </w:t>
      </w:r>
      <w:r>
        <w:rPr>
          <w:rFonts w:ascii="Arial" w:cs="Arial" w:eastAsia="Arial" w:hAnsi="Arial"/>
          <w:sz w:val="16"/>
          <w:szCs w:val="16"/>
          <w:i w:val="1"/>
          <w:iCs w:val="1"/>
          <w:color w:val="auto"/>
        </w:rPr>
        <w:t xml:space="preserve">“2018 Long-Term Incentive Compensation” </w:t>
      </w:r>
      <w:r>
        <w:rPr>
          <w:rFonts w:ascii="Arial" w:cs="Arial" w:eastAsia="Arial" w:hAnsi="Arial"/>
          <w:sz w:val="16"/>
          <w:szCs w:val="16"/>
          <w:color w:val="auto"/>
        </w:rPr>
        <w:t>on pages 46 to 48.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 maximum of 5,800,000 shares of Martin Marietta’s common stock are authorized under the plan for grants to key employees. Each award under the plan is evidenced by an award agreement setting forth the number and type of stock-based incentives subject to the award and such other terms and conditions applicable to the award as determined by the Committee. No employee may receive annual grants for more than 300,000 shares of common stock with respect to (i) full-value awards or (ii) stock options or stock appreciation rights.</w:t>
      </w:r>
    </w:p>
    <w:p>
      <w:pPr>
        <w:spacing w:after="0" w:line="200"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14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7CBA"/>
        </w:rPr>
        <w:t>Outstanding Equity Awards at Fiscal Year-End</w:t>
      </w:r>
    </w:p>
    <w:p>
      <w:pPr>
        <w:spacing w:after="0" w:line="150" w:lineRule="exact"/>
        <w:rPr>
          <w:sz w:val="20"/>
          <w:szCs w:val="20"/>
          <w:color w:val="auto"/>
        </w:rPr>
      </w:pPr>
    </w:p>
    <w:p>
      <w:pPr>
        <w:jc w:val="both"/>
        <w:ind w:left="220"/>
        <w:spacing w:after="0" w:line="253" w:lineRule="auto"/>
        <w:rPr>
          <w:sz w:val="20"/>
          <w:szCs w:val="20"/>
          <w:color w:val="auto"/>
        </w:rPr>
      </w:pPr>
      <w:r>
        <w:rPr>
          <w:rFonts w:ascii="Arial" w:cs="Arial" w:eastAsia="Arial" w:hAnsi="Arial"/>
          <w:sz w:val="16"/>
          <w:szCs w:val="16"/>
          <w:color w:val="auto"/>
        </w:rPr>
        <w:t>The table below shows for each of the named executive officers information with respect to the unexercised stock options (columns (b), (c), (e), and (f)), stock unit awards (columns (g) and (h)) that have not vested, and equity incentive plan awards (columns (d), (i), and (j)) outstanding on December 31, 2018.</w:t>
      </w:r>
    </w:p>
    <w:p>
      <w:pPr>
        <w:spacing w:after="0" w:line="172"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OUTSTANDING EQUITY AWARDS AT FISCAL YEAR-END TABLE</w:t>
      </w:r>
    </w:p>
    <w:p>
      <w:pPr>
        <w:spacing w:after="0" w:line="262" w:lineRule="exact"/>
        <w:rPr>
          <w:sz w:val="20"/>
          <w:szCs w:val="20"/>
          <w:color w:val="auto"/>
        </w:rPr>
      </w:pPr>
    </w:p>
    <w:tbl>
      <w:tblPr>
        <w:tblLayout w:type="fixed"/>
        <w:tblInd w:w="220" w:type="dxa"/>
        <w:tblCellMar>
          <w:top w:w="0" w:type="dxa"/>
          <w:left w:w="0" w:type="dxa"/>
          <w:bottom w:w="0" w:type="dxa"/>
          <w:right w:w="0" w:type="dxa"/>
        </w:tblCellMar>
      </w:tblPr>
      <w:tr>
        <w:trPr>
          <w:trHeight w:val="324"/>
        </w:trPr>
        <w:tc>
          <w:tcPr>
            <w:tcW w:w="3260" w:type="dxa"/>
            <w:vAlign w:val="bottom"/>
            <w:tcBorders>
              <w:right w:val="single" w:sz="8" w:color="007CBA"/>
            </w:tcBorders>
            <w:shd w:val="clear" w:color="auto" w:fill="007CBA"/>
          </w:tcPr>
          <w:p>
            <w:pPr>
              <w:spacing w:after="0"/>
              <w:rPr>
                <w:sz w:val="24"/>
                <w:szCs w:val="24"/>
                <w:color w:val="auto"/>
              </w:rPr>
            </w:pPr>
          </w:p>
        </w:tc>
        <w:tc>
          <w:tcPr>
            <w:tcW w:w="1920" w:type="dxa"/>
            <w:vAlign w:val="bottom"/>
            <w:tcBorders>
              <w:right w:val="single" w:sz="8" w:color="007CBA"/>
            </w:tcBorders>
            <w:gridSpan w:val="2"/>
            <w:shd w:val="clear" w:color="auto" w:fill="007CBA"/>
          </w:tcPr>
          <w:p>
            <w:pPr>
              <w:jc w:val="right"/>
              <w:ind w:right="12"/>
              <w:spacing w:after="0"/>
              <w:rPr>
                <w:sz w:val="20"/>
                <w:szCs w:val="20"/>
                <w:color w:val="auto"/>
              </w:rPr>
            </w:pPr>
            <w:r>
              <w:rPr>
                <w:rFonts w:ascii="Arial" w:cs="Arial" w:eastAsia="Arial" w:hAnsi="Arial"/>
                <w:sz w:val="13"/>
                <w:szCs w:val="13"/>
                <w:b w:val="1"/>
                <w:bCs w:val="1"/>
                <w:color w:val="FFFFFF"/>
              </w:rPr>
              <w:t>OPTION AWARDS</w:t>
            </w:r>
          </w:p>
        </w:tc>
        <w:tc>
          <w:tcPr>
            <w:tcW w:w="760" w:type="dxa"/>
            <w:vAlign w:val="bottom"/>
            <w:tcBorders>
              <w:right w:val="single" w:sz="8" w:color="007CBA"/>
            </w:tcBorders>
            <w:shd w:val="clear" w:color="auto" w:fill="007CBA"/>
          </w:tcPr>
          <w:p>
            <w:pPr>
              <w:spacing w:after="0"/>
              <w:rPr>
                <w:sz w:val="24"/>
                <w:szCs w:val="24"/>
                <w:color w:val="auto"/>
              </w:rPr>
            </w:pPr>
          </w:p>
        </w:tc>
        <w:tc>
          <w:tcPr>
            <w:tcW w:w="860" w:type="dxa"/>
            <w:vAlign w:val="bottom"/>
            <w:tcBorders>
              <w:right w:val="single" w:sz="8" w:color="007CBA"/>
            </w:tcBorders>
            <w:shd w:val="clear" w:color="auto" w:fill="007CBA"/>
          </w:tcPr>
          <w:p>
            <w:pPr>
              <w:spacing w:after="0"/>
              <w:rPr>
                <w:sz w:val="24"/>
                <w:szCs w:val="24"/>
                <w:color w:val="auto"/>
              </w:rPr>
            </w:pPr>
          </w:p>
        </w:tc>
        <w:tc>
          <w:tcPr>
            <w:tcW w:w="1020" w:type="dxa"/>
            <w:vAlign w:val="bottom"/>
            <w:tcBorders>
              <w:right w:val="single" w:sz="8" w:color="007CBA"/>
            </w:tcBorders>
            <w:shd w:val="clear" w:color="auto" w:fill="007CBA"/>
          </w:tcPr>
          <w:p>
            <w:pPr>
              <w:spacing w:after="0"/>
              <w:rPr>
                <w:sz w:val="24"/>
                <w:szCs w:val="24"/>
                <w:color w:val="auto"/>
              </w:rPr>
            </w:pPr>
          </w:p>
        </w:tc>
        <w:tc>
          <w:tcPr>
            <w:tcW w:w="2260" w:type="dxa"/>
            <w:vAlign w:val="bottom"/>
            <w:tcBorders>
              <w:right w:val="single" w:sz="8" w:color="007CBA"/>
            </w:tcBorders>
            <w:gridSpan w:val="2"/>
            <w:shd w:val="clear" w:color="auto" w:fill="007CBA"/>
          </w:tcPr>
          <w:p>
            <w:pPr>
              <w:ind w:left="540"/>
              <w:spacing w:after="0"/>
              <w:rPr>
                <w:sz w:val="20"/>
                <w:szCs w:val="20"/>
                <w:color w:val="auto"/>
              </w:rPr>
            </w:pPr>
            <w:r>
              <w:rPr>
                <w:rFonts w:ascii="Arial" w:cs="Arial" w:eastAsia="Arial" w:hAnsi="Arial"/>
                <w:sz w:val="13"/>
                <w:szCs w:val="13"/>
                <w:b w:val="1"/>
                <w:bCs w:val="1"/>
                <w:color w:val="FFFFFF"/>
              </w:rPr>
              <w:t>STOCK AWARDS</w:t>
            </w:r>
          </w:p>
        </w:tc>
        <w:tc>
          <w:tcPr>
            <w:tcW w:w="780" w:type="dxa"/>
            <w:vAlign w:val="bottom"/>
            <w:vMerge w:val="restart"/>
            <w:shd w:val="clear" w:color="auto" w:fill="007CBA"/>
          </w:tcPr>
          <w:p>
            <w:pPr>
              <w:jc w:val="center"/>
              <w:ind w:left="51"/>
              <w:spacing w:after="0"/>
              <w:rPr>
                <w:sz w:val="20"/>
                <w:szCs w:val="20"/>
                <w:color w:val="auto"/>
              </w:rPr>
            </w:pPr>
            <w:r>
              <w:rPr>
                <w:rFonts w:ascii="Arial" w:cs="Arial" w:eastAsia="Arial" w:hAnsi="Arial"/>
                <w:sz w:val="13"/>
                <w:szCs w:val="13"/>
                <w:b w:val="1"/>
                <w:bCs w:val="1"/>
                <w:color w:val="FFFFFF"/>
              </w:rPr>
              <w:t>Equity</w:t>
            </w:r>
          </w:p>
        </w:tc>
        <w:tc>
          <w:tcPr>
            <w:tcW w:w="140" w:type="dxa"/>
            <w:vAlign w:val="bottom"/>
            <w:shd w:val="clear" w:color="auto" w:fill="007CBA"/>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260" w:type="dxa"/>
            <w:vAlign w:val="bottom"/>
            <w:tcBorders>
              <w:right w:val="single" w:sz="8" w:color="007CBA"/>
            </w:tcBorders>
            <w:shd w:val="clear" w:color="auto" w:fill="007CBA"/>
          </w:tcPr>
          <w:p>
            <w:pPr>
              <w:spacing w:after="0"/>
              <w:rPr>
                <w:sz w:val="11"/>
                <w:szCs w:val="11"/>
                <w:color w:val="auto"/>
              </w:rPr>
            </w:pPr>
          </w:p>
        </w:tc>
        <w:tc>
          <w:tcPr>
            <w:tcW w:w="900" w:type="dxa"/>
            <w:vAlign w:val="bottom"/>
            <w:tcBorders>
              <w:right w:val="single" w:sz="8" w:color="007CBA"/>
            </w:tcBorders>
            <w:shd w:val="clear" w:color="auto" w:fill="007CBA"/>
          </w:tcPr>
          <w:p>
            <w:pPr>
              <w:spacing w:after="0"/>
              <w:rPr>
                <w:sz w:val="11"/>
                <w:szCs w:val="11"/>
                <w:color w:val="auto"/>
              </w:rPr>
            </w:pPr>
          </w:p>
        </w:tc>
        <w:tc>
          <w:tcPr>
            <w:tcW w:w="1020" w:type="dxa"/>
            <w:vAlign w:val="bottom"/>
            <w:tcBorders>
              <w:right w:val="single" w:sz="8" w:color="007CBA"/>
            </w:tcBorders>
            <w:shd w:val="clear" w:color="auto" w:fill="007CBA"/>
          </w:tcPr>
          <w:p>
            <w:pPr>
              <w:spacing w:after="0"/>
              <w:rPr>
                <w:sz w:val="11"/>
                <w:szCs w:val="11"/>
                <w:color w:val="auto"/>
              </w:rPr>
            </w:pPr>
          </w:p>
        </w:tc>
        <w:tc>
          <w:tcPr>
            <w:tcW w:w="760" w:type="dxa"/>
            <w:vAlign w:val="bottom"/>
            <w:tcBorders>
              <w:right w:val="single" w:sz="8" w:color="007CBA"/>
            </w:tcBorders>
            <w:shd w:val="clear" w:color="auto" w:fill="007CBA"/>
          </w:tcPr>
          <w:p>
            <w:pPr>
              <w:spacing w:after="0"/>
              <w:rPr>
                <w:sz w:val="11"/>
                <w:szCs w:val="11"/>
                <w:color w:val="auto"/>
              </w:rPr>
            </w:pPr>
          </w:p>
        </w:tc>
        <w:tc>
          <w:tcPr>
            <w:tcW w:w="860" w:type="dxa"/>
            <w:vAlign w:val="bottom"/>
            <w:tcBorders>
              <w:right w:val="single" w:sz="8" w:color="007CBA"/>
            </w:tcBorders>
            <w:shd w:val="clear" w:color="auto" w:fill="007CBA"/>
          </w:tcPr>
          <w:p>
            <w:pPr>
              <w:spacing w:after="0"/>
              <w:rPr>
                <w:sz w:val="11"/>
                <w:szCs w:val="11"/>
                <w:color w:val="auto"/>
              </w:rPr>
            </w:pPr>
          </w:p>
        </w:tc>
        <w:tc>
          <w:tcPr>
            <w:tcW w:w="1020" w:type="dxa"/>
            <w:vAlign w:val="bottom"/>
            <w:tcBorders>
              <w:right w:val="single" w:sz="8" w:color="007CBA"/>
            </w:tcBorders>
            <w:shd w:val="clear" w:color="auto" w:fill="007CBA"/>
          </w:tcPr>
          <w:p>
            <w:pPr>
              <w:spacing w:after="0"/>
              <w:rPr>
                <w:sz w:val="11"/>
                <w:szCs w:val="11"/>
                <w:color w:val="auto"/>
              </w:rPr>
            </w:pPr>
          </w:p>
        </w:tc>
        <w:tc>
          <w:tcPr>
            <w:tcW w:w="1000" w:type="dxa"/>
            <w:vAlign w:val="bottom"/>
            <w:tcBorders>
              <w:right w:val="single" w:sz="8" w:color="007CBA"/>
            </w:tcBorders>
            <w:shd w:val="clear" w:color="auto" w:fill="007CBA"/>
          </w:tcPr>
          <w:p>
            <w:pPr>
              <w:spacing w:after="0"/>
              <w:rPr>
                <w:sz w:val="11"/>
                <w:szCs w:val="11"/>
                <w:color w:val="auto"/>
              </w:rPr>
            </w:pPr>
          </w:p>
        </w:tc>
        <w:tc>
          <w:tcPr>
            <w:tcW w:w="1260" w:type="dxa"/>
            <w:vAlign w:val="bottom"/>
            <w:tcBorders>
              <w:right w:val="single" w:sz="8" w:color="007CBA"/>
            </w:tcBorders>
            <w:shd w:val="clear" w:color="auto" w:fill="007CBA"/>
          </w:tcPr>
          <w:p>
            <w:pPr>
              <w:spacing w:after="0"/>
              <w:rPr>
                <w:sz w:val="11"/>
                <w:szCs w:val="11"/>
                <w:color w:val="auto"/>
              </w:rPr>
            </w:pPr>
          </w:p>
        </w:tc>
        <w:tc>
          <w:tcPr>
            <w:tcW w:w="780" w:type="dxa"/>
            <w:vAlign w:val="bottom"/>
            <w:vMerge w:val="continue"/>
            <w:shd w:val="clear" w:color="auto" w:fill="007CBA"/>
          </w:tcPr>
          <w:p>
            <w:pPr>
              <w:spacing w:after="0"/>
              <w:rPr>
                <w:sz w:val="11"/>
                <w:szCs w:val="11"/>
                <w:color w:val="auto"/>
              </w:rPr>
            </w:pPr>
          </w:p>
        </w:tc>
        <w:tc>
          <w:tcPr>
            <w:tcW w:w="140" w:type="dxa"/>
            <w:vAlign w:val="bottom"/>
            <w:shd w:val="clear" w:color="auto" w:fill="007CBA"/>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60" w:type="dxa"/>
            <w:vAlign w:val="bottom"/>
            <w:tcBorders>
              <w:right w:val="single" w:sz="8" w:color="007CBA"/>
            </w:tcBorders>
            <w:shd w:val="clear" w:color="auto" w:fill="007CBA"/>
          </w:tcPr>
          <w:p>
            <w:pPr>
              <w:spacing w:after="0"/>
              <w:rPr>
                <w:sz w:val="12"/>
                <w:szCs w:val="12"/>
                <w:color w:val="auto"/>
              </w:rPr>
            </w:pPr>
          </w:p>
        </w:tc>
        <w:tc>
          <w:tcPr>
            <w:tcW w:w="900" w:type="dxa"/>
            <w:vAlign w:val="bottom"/>
            <w:tcBorders>
              <w:right w:val="single" w:sz="8" w:color="007CBA"/>
            </w:tcBorders>
            <w:shd w:val="clear" w:color="auto" w:fill="007CBA"/>
          </w:tcPr>
          <w:p>
            <w:pPr>
              <w:spacing w:after="0"/>
              <w:rPr>
                <w:sz w:val="12"/>
                <w:szCs w:val="12"/>
                <w:color w:val="auto"/>
              </w:rPr>
            </w:pPr>
          </w:p>
        </w:tc>
        <w:tc>
          <w:tcPr>
            <w:tcW w:w="1020" w:type="dxa"/>
            <w:vAlign w:val="bottom"/>
            <w:tcBorders>
              <w:right w:val="single" w:sz="8" w:color="007CBA"/>
            </w:tcBorders>
            <w:shd w:val="clear" w:color="auto" w:fill="007CBA"/>
          </w:tcPr>
          <w:p>
            <w:pPr>
              <w:spacing w:after="0"/>
              <w:rPr>
                <w:sz w:val="12"/>
                <w:szCs w:val="12"/>
                <w:color w:val="auto"/>
              </w:rPr>
            </w:pPr>
          </w:p>
        </w:tc>
        <w:tc>
          <w:tcPr>
            <w:tcW w:w="760" w:type="dxa"/>
            <w:vAlign w:val="bottom"/>
            <w:tcBorders>
              <w:right w:val="single" w:sz="8" w:color="007CBA"/>
            </w:tcBorders>
            <w:shd w:val="clear" w:color="auto" w:fill="007CBA"/>
          </w:tcPr>
          <w:p>
            <w:pPr>
              <w:spacing w:after="0"/>
              <w:rPr>
                <w:sz w:val="12"/>
                <w:szCs w:val="12"/>
                <w:color w:val="auto"/>
              </w:rPr>
            </w:pPr>
          </w:p>
        </w:tc>
        <w:tc>
          <w:tcPr>
            <w:tcW w:w="860" w:type="dxa"/>
            <w:vAlign w:val="bottom"/>
            <w:tcBorders>
              <w:right w:val="single" w:sz="8" w:color="007CBA"/>
            </w:tcBorders>
            <w:shd w:val="clear" w:color="auto" w:fill="007CBA"/>
          </w:tcPr>
          <w:p>
            <w:pPr>
              <w:spacing w:after="0"/>
              <w:rPr>
                <w:sz w:val="12"/>
                <w:szCs w:val="12"/>
                <w:color w:val="auto"/>
              </w:rPr>
            </w:pPr>
          </w:p>
        </w:tc>
        <w:tc>
          <w:tcPr>
            <w:tcW w:w="1020" w:type="dxa"/>
            <w:vAlign w:val="bottom"/>
            <w:tcBorders>
              <w:right w:val="single" w:sz="8" w:color="007CBA"/>
            </w:tcBorders>
            <w:shd w:val="clear" w:color="auto" w:fill="007CBA"/>
          </w:tcPr>
          <w:p>
            <w:pPr>
              <w:spacing w:after="0"/>
              <w:rPr>
                <w:sz w:val="12"/>
                <w:szCs w:val="12"/>
                <w:color w:val="auto"/>
              </w:rPr>
            </w:pPr>
          </w:p>
        </w:tc>
        <w:tc>
          <w:tcPr>
            <w:tcW w:w="1000" w:type="dxa"/>
            <w:vAlign w:val="bottom"/>
            <w:tcBorders>
              <w:right w:val="single" w:sz="8" w:color="007CBA"/>
            </w:tcBorders>
            <w:shd w:val="clear" w:color="auto" w:fill="007CBA"/>
          </w:tcPr>
          <w:p>
            <w:pPr>
              <w:spacing w:after="0"/>
              <w:rPr>
                <w:sz w:val="12"/>
                <w:szCs w:val="12"/>
                <w:color w:val="auto"/>
              </w:rPr>
            </w:pPr>
          </w:p>
        </w:tc>
        <w:tc>
          <w:tcPr>
            <w:tcW w:w="1260" w:type="dxa"/>
            <w:vAlign w:val="bottom"/>
            <w:tcBorders>
              <w:right w:val="single" w:sz="8" w:color="007CBA"/>
            </w:tcBorders>
            <w:shd w:val="clear" w:color="auto" w:fill="007CBA"/>
          </w:tcPr>
          <w:p>
            <w:pPr>
              <w:spacing w:after="0"/>
              <w:rPr>
                <w:sz w:val="12"/>
                <w:szCs w:val="12"/>
                <w:color w:val="auto"/>
              </w:rPr>
            </w:pPr>
          </w:p>
        </w:tc>
        <w:tc>
          <w:tcPr>
            <w:tcW w:w="780" w:type="dxa"/>
            <w:vAlign w:val="bottom"/>
            <w:shd w:val="clear" w:color="auto" w:fill="007CBA"/>
          </w:tcPr>
          <w:p>
            <w:pPr>
              <w:jc w:val="center"/>
              <w:ind w:left="51"/>
              <w:spacing w:after="0" w:line="149" w:lineRule="exact"/>
              <w:rPr>
                <w:sz w:val="20"/>
                <w:szCs w:val="20"/>
                <w:color w:val="auto"/>
              </w:rPr>
            </w:pPr>
            <w:r>
              <w:rPr>
                <w:rFonts w:ascii="Arial" w:cs="Arial" w:eastAsia="Arial" w:hAnsi="Arial"/>
                <w:sz w:val="13"/>
                <w:szCs w:val="13"/>
                <w:b w:val="1"/>
                <w:bCs w:val="1"/>
                <w:color w:val="FFFFFF"/>
              </w:rPr>
              <w:t>Incentive</w:t>
            </w:r>
          </w:p>
        </w:tc>
        <w:tc>
          <w:tcPr>
            <w:tcW w:w="14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Borders>
              <w:right w:val="single" w:sz="8" w:color="007CBA"/>
            </w:tcBorders>
            <w:shd w:val="clear" w:color="auto" w:fill="007CBA"/>
          </w:tcPr>
          <w:p>
            <w:pPr>
              <w:spacing w:after="0"/>
              <w:rPr>
                <w:sz w:val="12"/>
                <w:szCs w:val="12"/>
                <w:color w:val="auto"/>
              </w:rPr>
            </w:pPr>
          </w:p>
        </w:tc>
        <w:tc>
          <w:tcPr>
            <w:tcW w:w="900" w:type="dxa"/>
            <w:vAlign w:val="bottom"/>
            <w:tcBorders>
              <w:right w:val="single" w:sz="8" w:color="007CBA"/>
            </w:tcBorders>
            <w:shd w:val="clear" w:color="auto" w:fill="007CBA"/>
          </w:tcPr>
          <w:p>
            <w:pPr>
              <w:spacing w:after="0"/>
              <w:rPr>
                <w:sz w:val="12"/>
                <w:szCs w:val="12"/>
                <w:color w:val="auto"/>
              </w:rPr>
            </w:pPr>
          </w:p>
        </w:tc>
        <w:tc>
          <w:tcPr>
            <w:tcW w:w="1020" w:type="dxa"/>
            <w:vAlign w:val="bottom"/>
            <w:tcBorders>
              <w:right w:val="single" w:sz="8" w:color="007CBA"/>
            </w:tcBorders>
            <w:shd w:val="clear" w:color="auto" w:fill="007CBA"/>
          </w:tcPr>
          <w:p>
            <w:pPr>
              <w:spacing w:after="0"/>
              <w:rPr>
                <w:sz w:val="12"/>
                <w:szCs w:val="12"/>
                <w:color w:val="auto"/>
              </w:rPr>
            </w:pPr>
          </w:p>
        </w:tc>
        <w:tc>
          <w:tcPr>
            <w:tcW w:w="760" w:type="dxa"/>
            <w:vAlign w:val="bottom"/>
            <w:tcBorders>
              <w:right w:val="single" w:sz="8" w:color="007CBA"/>
            </w:tcBorders>
            <w:shd w:val="clear" w:color="auto" w:fill="007CBA"/>
          </w:tcPr>
          <w:p>
            <w:pPr>
              <w:spacing w:after="0"/>
              <w:rPr>
                <w:sz w:val="12"/>
                <w:szCs w:val="12"/>
                <w:color w:val="auto"/>
              </w:rPr>
            </w:pPr>
          </w:p>
        </w:tc>
        <w:tc>
          <w:tcPr>
            <w:tcW w:w="860" w:type="dxa"/>
            <w:vAlign w:val="bottom"/>
            <w:tcBorders>
              <w:right w:val="single" w:sz="8" w:color="007CBA"/>
            </w:tcBorders>
            <w:shd w:val="clear" w:color="auto" w:fill="007CBA"/>
          </w:tcPr>
          <w:p>
            <w:pPr>
              <w:spacing w:after="0"/>
              <w:rPr>
                <w:sz w:val="12"/>
                <w:szCs w:val="12"/>
                <w:color w:val="auto"/>
              </w:rPr>
            </w:pPr>
          </w:p>
        </w:tc>
        <w:tc>
          <w:tcPr>
            <w:tcW w:w="1020" w:type="dxa"/>
            <w:vAlign w:val="bottom"/>
            <w:tcBorders>
              <w:right w:val="single" w:sz="8" w:color="007CBA"/>
            </w:tcBorders>
            <w:shd w:val="clear" w:color="auto" w:fill="007CBA"/>
          </w:tcPr>
          <w:p>
            <w:pPr>
              <w:spacing w:after="0"/>
              <w:rPr>
                <w:sz w:val="12"/>
                <w:szCs w:val="12"/>
                <w:color w:val="auto"/>
              </w:rPr>
            </w:pPr>
          </w:p>
        </w:tc>
        <w:tc>
          <w:tcPr>
            <w:tcW w:w="1000" w:type="dxa"/>
            <w:vAlign w:val="bottom"/>
            <w:tcBorders>
              <w:right w:val="single" w:sz="8" w:color="007CBA"/>
            </w:tcBorders>
            <w:shd w:val="clear" w:color="auto" w:fill="007CBA"/>
          </w:tcPr>
          <w:p>
            <w:pPr>
              <w:spacing w:after="0"/>
              <w:rPr>
                <w:sz w:val="12"/>
                <w:szCs w:val="12"/>
                <w:color w:val="auto"/>
              </w:rPr>
            </w:pPr>
          </w:p>
        </w:tc>
        <w:tc>
          <w:tcPr>
            <w:tcW w:w="1260" w:type="dxa"/>
            <w:vAlign w:val="bottom"/>
            <w:tcBorders>
              <w:right w:val="single" w:sz="8" w:color="007CBA"/>
            </w:tcBorders>
            <w:shd w:val="clear" w:color="auto" w:fill="007CBA"/>
          </w:tcPr>
          <w:p>
            <w:pPr>
              <w:spacing w:after="0"/>
              <w:rPr>
                <w:sz w:val="12"/>
                <w:szCs w:val="12"/>
                <w:color w:val="auto"/>
              </w:rPr>
            </w:pPr>
          </w:p>
        </w:tc>
        <w:tc>
          <w:tcPr>
            <w:tcW w:w="780" w:type="dxa"/>
            <w:vAlign w:val="bottom"/>
            <w:shd w:val="clear" w:color="auto" w:fill="007CBA"/>
          </w:tcPr>
          <w:p>
            <w:pPr>
              <w:jc w:val="center"/>
              <w:ind w:left="51"/>
              <w:spacing w:after="0" w:line="149" w:lineRule="exact"/>
              <w:rPr>
                <w:sz w:val="20"/>
                <w:szCs w:val="20"/>
                <w:color w:val="auto"/>
              </w:rPr>
            </w:pPr>
            <w:r>
              <w:rPr>
                <w:rFonts w:ascii="Arial" w:cs="Arial" w:eastAsia="Arial" w:hAnsi="Arial"/>
                <w:sz w:val="13"/>
                <w:szCs w:val="13"/>
                <w:b w:val="1"/>
                <w:bCs w:val="1"/>
                <w:color w:val="FFFFFF"/>
              </w:rPr>
              <w:t>Plan</w:t>
            </w:r>
          </w:p>
        </w:tc>
        <w:tc>
          <w:tcPr>
            <w:tcW w:w="14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Borders>
              <w:right w:val="single" w:sz="8" w:color="007CBA"/>
            </w:tcBorders>
            <w:shd w:val="clear" w:color="auto" w:fill="007CBA"/>
          </w:tcPr>
          <w:p>
            <w:pPr>
              <w:spacing w:after="0"/>
              <w:rPr>
                <w:sz w:val="12"/>
                <w:szCs w:val="12"/>
                <w:color w:val="auto"/>
              </w:rPr>
            </w:pPr>
          </w:p>
        </w:tc>
        <w:tc>
          <w:tcPr>
            <w:tcW w:w="900" w:type="dxa"/>
            <w:vAlign w:val="bottom"/>
            <w:tcBorders>
              <w:right w:val="single" w:sz="8" w:color="007CBA"/>
            </w:tcBorders>
            <w:shd w:val="clear" w:color="auto" w:fill="007CBA"/>
          </w:tcPr>
          <w:p>
            <w:pPr>
              <w:spacing w:after="0"/>
              <w:rPr>
                <w:sz w:val="12"/>
                <w:szCs w:val="12"/>
                <w:color w:val="auto"/>
              </w:rPr>
            </w:pPr>
          </w:p>
        </w:tc>
        <w:tc>
          <w:tcPr>
            <w:tcW w:w="1020" w:type="dxa"/>
            <w:vAlign w:val="bottom"/>
            <w:tcBorders>
              <w:right w:val="single" w:sz="8" w:color="007CBA"/>
            </w:tcBorders>
            <w:shd w:val="clear" w:color="auto" w:fill="007CBA"/>
          </w:tcPr>
          <w:p>
            <w:pPr>
              <w:spacing w:after="0"/>
              <w:rPr>
                <w:sz w:val="12"/>
                <w:szCs w:val="12"/>
                <w:color w:val="auto"/>
              </w:rPr>
            </w:pPr>
          </w:p>
        </w:tc>
        <w:tc>
          <w:tcPr>
            <w:tcW w:w="760" w:type="dxa"/>
            <w:vAlign w:val="bottom"/>
            <w:tcBorders>
              <w:right w:val="single" w:sz="8" w:color="007CBA"/>
            </w:tcBorders>
            <w:shd w:val="clear" w:color="auto" w:fill="007CBA"/>
          </w:tcPr>
          <w:p>
            <w:pPr>
              <w:spacing w:after="0"/>
              <w:rPr>
                <w:sz w:val="12"/>
                <w:szCs w:val="12"/>
                <w:color w:val="auto"/>
              </w:rPr>
            </w:pPr>
          </w:p>
        </w:tc>
        <w:tc>
          <w:tcPr>
            <w:tcW w:w="860" w:type="dxa"/>
            <w:vAlign w:val="bottom"/>
            <w:tcBorders>
              <w:right w:val="single" w:sz="8" w:color="007CBA"/>
            </w:tcBorders>
            <w:shd w:val="clear" w:color="auto" w:fill="007CBA"/>
          </w:tcPr>
          <w:p>
            <w:pPr>
              <w:spacing w:after="0"/>
              <w:rPr>
                <w:sz w:val="12"/>
                <w:szCs w:val="12"/>
                <w:color w:val="auto"/>
              </w:rPr>
            </w:pPr>
          </w:p>
        </w:tc>
        <w:tc>
          <w:tcPr>
            <w:tcW w:w="1020" w:type="dxa"/>
            <w:vAlign w:val="bottom"/>
            <w:tcBorders>
              <w:right w:val="single" w:sz="8" w:color="007CBA"/>
            </w:tcBorders>
            <w:shd w:val="clear" w:color="auto" w:fill="007CBA"/>
          </w:tcPr>
          <w:p>
            <w:pPr>
              <w:spacing w:after="0"/>
              <w:rPr>
                <w:sz w:val="12"/>
                <w:szCs w:val="12"/>
                <w:color w:val="auto"/>
              </w:rPr>
            </w:pPr>
          </w:p>
        </w:tc>
        <w:tc>
          <w:tcPr>
            <w:tcW w:w="1000" w:type="dxa"/>
            <w:vAlign w:val="bottom"/>
            <w:tcBorders>
              <w:right w:val="single" w:sz="8" w:color="007CBA"/>
            </w:tcBorders>
            <w:shd w:val="clear" w:color="auto" w:fill="007CBA"/>
          </w:tcPr>
          <w:p>
            <w:pPr>
              <w:spacing w:after="0"/>
              <w:rPr>
                <w:sz w:val="12"/>
                <w:szCs w:val="12"/>
                <w:color w:val="auto"/>
              </w:rPr>
            </w:pPr>
          </w:p>
        </w:tc>
        <w:tc>
          <w:tcPr>
            <w:tcW w:w="1260" w:type="dxa"/>
            <w:vAlign w:val="bottom"/>
            <w:tcBorders>
              <w:right w:val="single" w:sz="8" w:color="007CBA"/>
            </w:tcBorders>
            <w:shd w:val="clear" w:color="auto" w:fill="007CBA"/>
          </w:tcPr>
          <w:p>
            <w:pPr>
              <w:spacing w:after="0"/>
              <w:rPr>
                <w:sz w:val="12"/>
                <w:szCs w:val="12"/>
                <w:color w:val="auto"/>
              </w:rPr>
            </w:pPr>
          </w:p>
        </w:tc>
        <w:tc>
          <w:tcPr>
            <w:tcW w:w="780" w:type="dxa"/>
            <w:vAlign w:val="bottom"/>
            <w:shd w:val="clear" w:color="auto" w:fill="007CBA"/>
          </w:tcPr>
          <w:p>
            <w:pPr>
              <w:jc w:val="center"/>
              <w:ind w:left="51"/>
              <w:spacing w:after="0" w:line="149" w:lineRule="exact"/>
              <w:rPr>
                <w:sz w:val="20"/>
                <w:szCs w:val="20"/>
                <w:color w:val="auto"/>
              </w:rPr>
            </w:pPr>
            <w:r>
              <w:rPr>
                <w:rFonts w:ascii="Arial" w:cs="Arial" w:eastAsia="Arial" w:hAnsi="Arial"/>
                <w:sz w:val="13"/>
                <w:szCs w:val="13"/>
                <w:b w:val="1"/>
                <w:bCs w:val="1"/>
                <w:color w:val="FFFFFF"/>
              </w:rPr>
              <w:t>Awards:</w:t>
            </w:r>
          </w:p>
        </w:tc>
        <w:tc>
          <w:tcPr>
            <w:tcW w:w="14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Borders>
              <w:right w:val="single" w:sz="8" w:color="007CBA"/>
            </w:tcBorders>
            <w:shd w:val="clear" w:color="auto" w:fill="007CBA"/>
          </w:tcPr>
          <w:p>
            <w:pPr>
              <w:spacing w:after="0"/>
              <w:rPr>
                <w:sz w:val="12"/>
                <w:szCs w:val="12"/>
                <w:color w:val="auto"/>
              </w:rPr>
            </w:pPr>
          </w:p>
        </w:tc>
        <w:tc>
          <w:tcPr>
            <w:tcW w:w="900" w:type="dxa"/>
            <w:vAlign w:val="bottom"/>
            <w:tcBorders>
              <w:right w:val="single" w:sz="8" w:color="007CBA"/>
            </w:tcBorders>
            <w:shd w:val="clear" w:color="auto" w:fill="007CBA"/>
          </w:tcPr>
          <w:p>
            <w:pPr>
              <w:spacing w:after="0"/>
              <w:rPr>
                <w:sz w:val="12"/>
                <w:szCs w:val="12"/>
                <w:color w:val="auto"/>
              </w:rPr>
            </w:pPr>
          </w:p>
        </w:tc>
        <w:tc>
          <w:tcPr>
            <w:tcW w:w="1020" w:type="dxa"/>
            <w:vAlign w:val="bottom"/>
            <w:tcBorders>
              <w:right w:val="single" w:sz="8" w:color="007CBA"/>
            </w:tcBorders>
            <w:shd w:val="clear" w:color="auto" w:fill="007CBA"/>
          </w:tcPr>
          <w:p>
            <w:pPr>
              <w:spacing w:after="0"/>
              <w:rPr>
                <w:sz w:val="12"/>
                <w:szCs w:val="12"/>
                <w:color w:val="auto"/>
              </w:rPr>
            </w:pPr>
          </w:p>
        </w:tc>
        <w:tc>
          <w:tcPr>
            <w:tcW w:w="760" w:type="dxa"/>
            <w:vAlign w:val="bottom"/>
            <w:tcBorders>
              <w:right w:val="single" w:sz="8" w:color="007CBA"/>
            </w:tcBorders>
            <w:shd w:val="clear" w:color="auto" w:fill="007CBA"/>
          </w:tcPr>
          <w:p>
            <w:pPr>
              <w:spacing w:after="0"/>
              <w:rPr>
                <w:sz w:val="12"/>
                <w:szCs w:val="12"/>
                <w:color w:val="auto"/>
              </w:rPr>
            </w:pPr>
          </w:p>
        </w:tc>
        <w:tc>
          <w:tcPr>
            <w:tcW w:w="860" w:type="dxa"/>
            <w:vAlign w:val="bottom"/>
            <w:tcBorders>
              <w:right w:val="single" w:sz="8" w:color="007CBA"/>
            </w:tcBorders>
            <w:shd w:val="clear" w:color="auto" w:fill="007CBA"/>
          </w:tcPr>
          <w:p>
            <w:pPr>
              <w:spacing w:after="0"/>
              <w:rPr>
                <w:sz w:val="12"/>
                <w:szCs w:val="12"/>
                <w:color w:val="auto"/>
              </w:rPr>
            </w:pPr>
          </w:p>
        </w:tc>
        <w:tc>
          <w:tcPr>
            <w:tcW w:w="1020" w:type="dxa"/>
            <w:vAlign w:val="bottom"/>
            <w:tcBorders>
              <w:right w:val="single" w:sz="8" w:color="007CBA"/>
            </w:tcBorders>
            <w:shd w:val="clear" w:color="auto" w:fill="007CBA"/>
          </w:tcPr>
          <w:p>
            <w:pPr>
              <w:spacing w:after="0"/>
              <w:rPr>
                <w:sz w:val="12"/>
                <w:szCs w:val="12"/>
                <w:color w:val="auto"/>
              </w:rPr>
            </w:pPr>
          </w:p>
        </w:tc>
        <w:tc>
          <w:tcPr>
            <w:tcW w:w="1000" w:type="dxa"/>
            <w:vAlign w:val="bottom"/>
            <w:tcBorders>
              <w:right w:val="single" w:sz="8" w:color="007CBA"/>
            </w:tcBorders>
            <w:shd w:val="clear" w:color="auto" w:fill="007CBA"/>
          </w:tcPr>
          <w:p>
            <w:pPr>
              <w:spacing w:after="0"/>
              <w:rPr>
                <w:sz w:val="12"/>
                <w:szCs w:val="12"/>
                <w:color w:val="auto"/>
              </w:rPr>
            </w:pPr>
          </w:p>
        </w:tc>
        <w:tc>
          <w:tcPr>
            <w:tcW w:w="1260" w:type="dxa"/>
            <w:vAlign w:val="bottom"/>
            <w:tcBorders>
              <w:right w:val="single" w:sz="8" w:color="007CBA"/>
            </w:tcBorders>
            <w:shd w:val="clear" w:color="auto" w:fill="007CBA"/>
          </w:tcPr>
          <w:p>
            <w:pPr>
              <w:spacing w:after="0"/>
              <w:rPr>
                <w:sz w:val="12"/>
                <w:szCs w:val="12"/>
                <w:color w:val="auto"/>
              </w:rPr>
            </w:pPr>
          </w:p>
        </w:tc>
        <w:tc>
          <w:tcPr>
            <w:tcW w:w="780" w:type="dxa"/>
            <w:vAlign w:val="bottom"/>
            <w:shd w:val="clear" w:color="auto" w:fill="007CBA"/>
          </w:tcPr>
          <w:p>
            <w:pPr>
              <w:jc w:val="center"/>
              <w:ind w:left="51"/>
              <w:spacing w:after="0" w:line="149" w:lineRule="exact"/>
              <w:rPr>
                <w:sz w:val="20"/>
                <w:szCs w:val="20"/>
                <w:color w:val="auto"/>
              </w:rPr>
            </w:pPr>
            <w:r>
              <w:rPr>
                <w:rFonts w:ascii="Arial" w:cs="Arial" w:eastAsia="Arial" w:hAnsi="Arial"/>
                <w:sz w:val="13"/>
                <w:szCs w:val="13"/>
                <w:b w:val="1"/>
                <w:bCs w:val="1"/>
                <w:color w:val="FFFFFF"/>
              </w:rPr>
              <w:t>Market or</w:t>
            </w:r>
          </w:p>
        </w:tc>
        <w:tc>
          <w:tcPr>
            <w:tcW w:w="14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Borders>
              <w:right w:val="single" w:sz="8" w:color="007CBA"/>
            </w:tcBorders>
            <w:shd w:val="clear" w:color="auto" w:fill="007CBA"/>
          </w:tcPr>
          <w:p>
            <w:pPr>
              <w:spacing w:after="0"/>
              <w:rPr>
                <w:sz w:val="12"/>
                <w:szCs w:val="12"/>
                <w:color w:val="auto"/>
              </w:rPr>
            </w:pPr>
          </w:p>
        </w:tc>
        <w:tc>
          <w:tcPr>
            <w:tcW w:w="900" w:type="dxa"/>
            <w:vAlign w:val="bottom"/>
            <w:tcBorders>
              <w:right w:val="single" w:sz="8" w:color="007CBA"/>
            </w:tcBorders>
            <w:shd w:val="clear" w:color="auto" w:fill="007CBA"/>
          </w:tcPr>
          <w:p>
            <w:pPr>
              <w:spacing w:after="0"/>
              <w:rPr>
                <w:sz w:val="12"/>
                <w:szCs w:val="12"/>
                <w:color w:val="auto"/>
              </w:rPr>
            </w:pPr>
          </w:p>
        </w:tc>
        <w:tc>
          <w:tcPr>
            <w:tcW w:w="1020" w:type="dxa"/>
            <w:vAlign w:val="bottom"/>
            <w:tcBorders>
              <w:right w:val="single" w:sz="8" w:color="007CBA"/>
            </w:tcBorders>
            <w:shd w:val="clear" w:color="auto" w:fill="007CBA"/>
          </w:tcPr>
          <w:p>
            <w:pPr>
              <w:spacing w:after="0"/>
              <w:rPr>
                <w:sz w:val="12"/>
                <w:szCs w:val="12"/>
                <w:color w:val="auto"/>
              </w:rPr>
            </w:pPr>
          </w:p>
        </w:tc>
        <w:tc>
          <w:tcPr>
            <w:tcW w:w="760" w:type="dxa"/>
            <w:vAlign w:val="bottom"/>
            <w:tcBorders>
              <w:right w:val="single" w:sz="8" w:color="007CBA"/>
            </w:tcBorders>
            <w:shd w:val="clear" w:color="auto" w:fill="007CBA"/>
          </w:tcPr>
          <w:p>
            <w:pPr>
              <w:spacing w:after="0"/>
              <w:rPr>
                <w:sz w:val="12"/>
                <w:szCs w:val="12"/>
                <w:color w:val="auto"/>
              </w:rPr>
            </w:pPr>
          </w:p>
        </w:tc>
        <w:tc>
          <w:tcPr>
            <w:tcW w:w="860" w:type="dxa"/>
            <w:vAlign w:val="bottom"/>
            <w:tcBorders>
              <w:right w:val="single" w:sz="8" w:color="007CBA"/>
            </w:tcBorders>
            <w:shd w:val="clear" w:color="auto" w:fill="007CBA"/>
          </w:tcPr>
          <w:p>
            <w:pPr>
              <w:spacing w:after="0"/>
              <w:rPr>
                <w:sz w:val="12"/>
                <w:szCs w:val="12"/>
                <w:color w:val="auto"/>
              </w:rPr>
            </w:pPr>
          </w:p>
        </w:tc>
        <w:tc>
          <w:tcPr>
            <w:tcW w:w="1020" w:type="dxa"/>
            <w:vAlign w:val="bottom"/>
            <w:tcBorders>
              <w:right w:val="single" w:sz="8" w:color="007CBA"/>
            </w:tcBorders>
            <w:shd w:val="clear" w:color="auto" w:fill="007CBA"/>
          </w:tcPr>
          <w:p>
            <w:pPr>
              <w:spacing w:after="0"/>
              <w:rPr>
                <w:sz w:val="12"/>
                <w:szCs w:val="12"/>
                <w:color w:val="auto"/>
              </w:rPr>
            </w:pPr>
          </w:p>
        </w:tc>
        <w:tc>
          <w:tcPr>
            <w:tcW w:w="1000" w:type="dxa"/>
            <w:vAlign w:val="bottom"/>
            <w:tcBorders>
              <w:right w:val="single" w:sz="8" w:color="007CBA"/>
            </w:tcBorders>
            <w:shd w:val="clear" w:color="auto" w:fill="007CBA"/>
          </w:tcPr>
          <w:p>
            <w:pPr>
              <w:spacing w:after="0"/>
              <w:rPr>
                <w:sz w:val="12"/>
                <w:szCs w:val="12"/>
                <w:color w:val="auto"/>
              </w:rPr>
            </w:pPr>
          </w:p>
        </w:tc>
        <w:tc>
          <w:tcPr>
            <w:tcW w:w="1260" w:type="dxa"/>
            <w:vAlign w:val="bottom"/>
            <w:tcBorders>
              <w:right w:val="single" w:sz="8" w:color="007CBA"/>
            </w:tcBorders>
            <w:shd w:val="clear" w:color="auto" w:fill="007CBA"/>
          </w:tcPr>
          <w:p>
            <w:pPr>
              <w:jc w:val="center"/>
              <w:ind w:right="75"/>
              <w:spacing w:after="0" w:line="149" w:lineRule="exact"/>
              <w:rPr>
                <w:sz w:val="20"/>
                <w:szCs w:val="20"/>
                <w:color w:val="auto"/>
              </w:rPr>
            </w:pPr>
            <w:r>
              <w:rPr>
                <w:rFonts w:ascii="Arial" w:cs="Arial" w:eastAsia="Arial" w:hAnsi="Arial"/>
                <w:sz w:val="13"/>
                <w:szCs w:val="13"/>
                <w:b w:val="1"/>
                <w:bCs w:val="1"/>
                <w:color w:val="FFFFFF"/>
              </w:rPr>
              <w:t>Equity</w:t>
            </w:r>
          </w:p>
        </w:tc>
        <w:tc>
          <w:tcPr>
            <w:tcW w:w="780" w:type="dxa"/>
            <w:vAlign w:val="bottom"/>
            <w:shd w:val="clear" w:color="auto" w:fill="007CBA"/>
          </w:tcPr>
          <w:p>
            <w:pPr>
              <w:jc w:val="center"/>
              <w:ind w:left="51"/>
              <w:spacing w:after="0" w:line="149" w:lineRule="exact"/>
              <w:rPr>
                <w:sz w:val="20"/>
                <w:szCs w:val="20"/>
                <w:color w:val="auto"/>
              </w:rPr>
            </w:pPr>
            <w:r>
              <w:rPr>
                <w:rFonts w:ascii="Arial" w:cs="Arial" w:eastAsia="Arial" w:hAnsi="Arial"/>
                <w:sz w:val="13"/>
                <w:szCs w:val="13"/>
                <w:b w:val="1"/>
                <w:bCs w:val="1"/>
                <w:color w:val="FFFFFF"/>
              </w:rPr>
              <w:t>Payout</w:t>
            </w:r>
          </w:p>
        </w:tc>
        <w:tc>
          <w:tcPr>
            <w:tcW w:w="14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Borders>
              <w:right w:val="single" w:sz="8" w:color="007CBA"/>
            </w:tcBorders>
            <w:shd w:val="clear" w:color="auto" w:fill="007CBA"/>
          </w:tcPr>
          <w:p>
            <w:pPr>
              <w:spacing w:after="0"/>
              <w:rPr>
                <w:sz w:val="12"/>
                <w:szCs w:val="12"/>
                <w:color w:val="auto"/>
              </w:rPr>
            </w:pPr>
          </w:p>
        </w:tc>
        <w:tc>
          <w:tcPr>
            <w:tcW w:w="900" w:type="dxa"/>
            <w:vAlign w:val="bottom"/>
            <w:tcBorders>
              <w:right w:val="single" w:sz="8" w:color="007CBA"/>
            </w:tcBorders>
            <w:shd w:val="clear" w:color="auto" w:fill="007CBA"/>
          </w:tcPr>
          <w:p>
            <w:pPr>
              <w:spacing w:after="0"/>
              <w:rPr>
                <w:sz w:val="12"/>
                <w:szCs w:val="12"/>
                <w:color w:val="auto"/>
              </w:rPr>
            </w:pPr>
          </w:p>
        </w:tc>
        <w:tc>
          <w:tcPr>
            <w:tcW w:w="1020" w:type="dxa"/>
            <w:vAlign w:val="bottom"/>
            <w:tcBorders>
              <w:right w:val="single" w:sz="8" w:color="007CBA"/>
            </w:tcBorders>
            <w:shd w:val="clear" w:color="auto" w:fill="007CBA"/>
          </w:tcPr>
          <w:p>
            <w:pPr>
              <w:spacing w:after="0"/>
              <w:rPr>
                <w:sz w:val="12"/>
                <w:szCs w:val="12"/>
                <w:color w:val="auto"/>
              </w:rPr>
            </w:pPr>
          </w:p>
        </w:tc>
        <w:tc>
          <w:tcPr>
            <w:tcW w:w="760" w:type="dxa"/>
            <w:vAlign w:val="bottom"/>
            <w:tcBorders>
              <w:right w:val="single" w:sz="8" w:color="007CBA"/>
            </w:tcBorders>
            <w:shd w:val="clear" w:color="auto" w:fill="007CBA"/>
          </w:tcPr>
          <w:p>
            <w:pPr>
              <w:spacing w:after="0"/>
              <w:rPr>
                <w:sz w:val="12"/>
                <w:szCs w:val="12"/>
                <w:color w:val="auto"/>
              </w:rPr>
            </w:pPr>
          </w:p>
        </w:tc>
        <w:tc>
          <w:tcPr>
            <w:tcW w:w="860" w:type="dxa"/>
            <w:vAlign w:val="bottom"/>
            <w:tcBorders>
              <w:right w:val="single" w:sz="8" w:color="007CBA"/>
            </w:tcBorders>
            <w:shd w:val="clear" w:color="auto" w:fill="007CBA"/>
          </w:tcPr>
          <w:p>
            <w:pPr>
              <w:spacing w:after="0"/>
              <w:rPr>
                <w:sz w:val="12"/>
                <w:szCs w:val="12"/>
                <w:color w:val="auto"/>
              </w:rPr>
            </w:pPr>
          </w:p>
        </w:tc>
        <w:tc>
          <w:tcPr>
            <w:tcW w:w="1020" w:type="dxa"/>
            <w:vAlign w:val="bottom"/>
            <w:tcBorders>
              <w:right w:val="single" w:sz="8" w:color="007CBA"/>
            </w:tcBorders>
            <w:shd w:val="clear" w:color="auto" w:fill="007CBA"/>
          </w:tcPr>
          <w:p>
            <w:pPr>
              <w:spacing w:after="0"/>
              <w:rPr>
                <w:sz w:val="12"/>
                <w:szCs w:val="12"/>
                <w:color w:val="auto"/>
              </w:rPr>
            </w:pPr>
          </w:p>
        </w:tc>
        <w:tc>
          <w:tcPr>
            <w:tcW w:w="1000" w:type="dxa"/>
            <w:vAlign w:val="bottom"/>
            <w:tcBorders>
              <w:right w:val="single" w:sz="8" w:color="007CBA"/>
            </w:tcBorders>
            <w:shd w:val="clear" w:color="auto" w:fill="007CBA"/>
          </w:tcPr>
          <w:p>
            <w:pPr>
              <w:spacing w:after="0"/>
              <w:rPr>
                <w:sz w:val="12"/>
                <w:szCs w:val="12"/>
                <w:color w:val="auto"/>
              </w:rPr>
            </w:pPr>
          </w:p>
        </w:tc>
        <w:tc>
          <w:tcPr>
            <w:tcW w:w="1260" w:type="dxa"/>
            <w:vAlign w:val="bottom"/>
            <w:tcBorders>
              <w:right w:val="single" w:sz="8" w:color="007CBA"/>
            </w:tcBorders>
            <w:shd w:val="clear" w:color="auto" w:fill="007CBA"/>
          </w:tcPr>
          <w:p>
            <w:pPr>
              <w:jc w:val="center"/>
              <w:ind w:right="75"/>
              <w:spacing w:after="0" w:line="149" w:lineRule="exact"/>
              <w:rPr>
                <w:sz w:val="20"/>
                <w:szCs w:val="20"/>
                <w:color w:val="auto"/>
              </w:rPr>
            </w:pPr>
            <w:r>
              <w:rPr>
                <w:rFonts w:ascii="Arial" w:cs="Arial" w:eastAsia="Arial" w:hAnsi="Arial"/>
                <w:sz w:val="13"/>
                <w:szCs w:val="13"/>
                <w:b w:val="1"/>
                <w:bCs w:val="1"/>
                <w:color w:val="FFFFFF"/>
              </w:rPr>
              <w:t>Incentive Plan</w:t>
            </w:r>
          </w:p>
        </w:tc>
        <w:tc>
          <w:tcPr>
            <w:tcW w:w="780" w:type="dxa"/>
            <w:vAlign w:val="bottom"/>
            <w:shd w:val="clear" w:color="auto" w:fill="007CBA"/>
          </w:tcPr>
          <w:p>
            <w:pPr>
              <w:jc w:val="center"/>
              <w:ind w:left="71"/>
              <w:spacing w:after="0" w:line="149" w:lineRule="exact"/>
              <w:rPr>
                <w:sz w:val="20"/>
                <w:szCs w:val="20"/>
                <w:color w:val="auto"/>
              </w:rPr>
            </w:pPr>
            <w:r>
              <w:rPr>
                <w:rFonts w:ascii="Arial" w:cs="Arial" w:eastAsia="Arial" w:hAnsi="Arial"/>
                <w:sz w:val="13"/>
                <w:szCs w:val="13"/>
                <w:b w:val="1"/>
                <w:bCs w:val="1"/>
                <w:color w:val="FFFFFF"/>
              </w:rPr>
              <w:t>Value or</w:t>
            </w:r>
          </w:p>
        </w:tc>
        <w:tc>
          <w:tcPr>
            <w:tcW w:w="14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Borders>
              <w:right w:val="single" w:sz="8" w:color="007CBA"/>
            </w:tcBorders>
            <w:shd w:val="clear" w:color="auto" w:fill="007CBA"/>
          </w:tcPr>
          <w:p>
            <w:pPr>
              <w:spacing w:after="0"/>
              <w:rPr>
                <w:sz w:val="12"/>
                <w:szCs w:val="12"/>
                <w:color w:val="auto"/>
              </w:rPr>
            </w:pPr>
          </w:p>
        </w:tc>
        <w:tc>
          <w:tcPr>
            <w:tcW w:w="900" w:type="dxa"/>
            <w:vAlign w:val="bottom"/>
            <w:tcBorders>
              <w:right w:val="single" w:sz="8" w:color="007CBA"/>
            </w:tcBorders>
            <w:shd w:val="clear" w:color="auto" w:fill="007CBA"/>
          </w:tcPr>
          <w:p>
            <w:pPr>
              <w:spacing w:after="0"/>
              <w:rPr>
                <w:sz w:val="12"/>
                <w:szCs w:val="12"/>
                <w:color w:val="auto"/>
              </w:rPr>
            </w:pPr>
          </w:p>
        </w:tc>
        <w:tc>
          <w:tcPr>
            <w:tcW w:w="1020" w:type="dxa"/>
            <w:vAlign w:val="bottom"/>
            <w:tcBorders>
              <w:right w:val="single" w:sz="8" w:color="007CBA"/>
            </w:tcBorders>
            <w:shd w:val="clear" w:color="auto" w:fill="007CBA"/>
          </w:tcPr>
          <w:p>
            <w:pPr>
              <w:spacing w:after="0"/>
              <w:rPr>
                <w:sz w:val="12"/>
                <w:szCs w:val="12"/>
                <w:color w:val="auto"/>
              </w:rPr>
            </w:pPr>
          </w:p>
        </w:tc>
        <w:tc>
          <w:tcPr>
            <w:tcW w:w="760" w:type="dxa"/>
            <w:vAlign w:val="bottom"/>
            <w:tcBorders>
              <w:right w:val="single" w:sz="8" w:color="007CBA"/>
            </w:tcBorders>
            <w:shd w:val="clear" w:color="auto" w:fill="007CBA"/>
          </w:tcPr>
          <w:p>
            <w:pPr>
              <w:spacing w:after="0"/>
              <w:rPr>
                <w:sz w:val="12"/>
                <w:szCs w:val="12"/>
                <w:color w:val="auto"/>
              </w:rPr>
            </w:pPr>
          </w:p>
        </w:tc>
        <w:tc>
          <w:tcPr>
            <w:tcW w:w="860" w:type="dxa"/>
            <w:vAlign w:val="bottom"/>
            <w:tcBorders>
              <w:right w:val="single" w:sz="8" w:color="007CBA"/>
            </w:tcBorders>
            <w:shd w:val="clear" w:color="auto" w:fill="007CBA"/>
          </w:tcPr>
          <w:p>
            <w:pPr>
              <w:spacing w:after="0"/>
              <w:rPr>
                <w:sz w:val="12"/>
                <w:szCs w:val="12"/>
                <w:color w:val="auto"/>
              </w:rPr>
            </w:pPr>
          </w:p>
        </w:tc>
        <w:tc>
          <w:tcPr>
            <w:tcW w:w="1020" w:type="dxa"/>
            <w:vAlign w:val="bottom"/>
            <w:tcBorders>
              <w:right w:val="single" w:sz="8" w:color="007CBA"/>
            </w:tcBorders>
            <w:shd w:val="clear" w:color="auto" w:fill="007CBA"/>
          </w:tcPr>
          <w:p>
            <w:pPr>
              <w:spacing w:after="0"/>
              <w:rPr>
                <w:sz w:val="12"/>
                <w:szCs w:val="12"/>
                <w:color w:val="auto"/>
              </w:rPr>
            </w:pPr>
          </w:p>
        </w:tc>
        <w:tc>
          <w:tcPr>
            <w:tcW w:w="1000" w:type="dxa"/>
            <w:vAlign w:val="bottom"/>
            <w:tcBorders>
              <w:right w:val="single" w:sz="8" w:color="007CBA"/>
            </w:tcBorders>
            <w:shd w:val="clear" w:color="auto" w:fill="007CBA"/>
          </w:tcPr>
          <w:p>
            <w:pPr>
              <w:spacing w:after="0"/>
              <w:rPr>
                <w:sz w:val="12"/>
                <w:szCs w:val="12"/>
                <w:color w:val="auto"/>
              </w:rPr>
            </w:pPr>
          </w:p>
        </w:tc>
        <w:tc>
          <w:tcPr>
            <w:tcW w:w="1260" w:type="dxa"/>
            <w:vAlign w:val="bottom"/>
            <w:tcBorders>
              <w:right w:val="single" w:sz="8" w:color="007CBA"/>
            </w:tcBorders>
            <w:shd w:val="clear" w:color="auto" w:fill="007CBA"/>
          </w:tcPr>
          <w:p>
            <w:pPr>
              <w:jc w:val="center"/>
              <w:ind w:right="75"/>
              <w:spacing w:after="0" w:line="149" w:lineRule="exact"/>
              <w:rPr>
                <w:sz w:val="20"/>
                <w:szCs w:val="20"/>
                <w:color w:val="auto"/>
              </w:rPr>
            </w:pPr>
            <w:r>
              <w:rPr>
                <w:rFonts w:ascii="Arial" w:cs="Arial" w:eastAsia="Arial" w:hAnsi="Arial"/>
                <w:sz w:val="13"/>
                <w:szCs w:val="13"/>
                <w:b w:val="1"/>
                <w:bCs w:val="1"/>
                <w:color w:val="FFFFFF"/>
              </w:rPr>
              <w:t>Awards:</w:t>
            </w:r>
          </w:p>
        </w:tc>
        <w:tc>
          <w:tcPr>
            <w:tcW w:w="780" w:type="dxa"/>
            <w:vAlign w:val="bottom"/>
            <w:shd w:val="clear" w:color="auto" w:fill="007CBA"/>
          </w:tcPr>
          <w:p>
            <w:pPr>
              <w:jc w:val="center"/>
              <w:ind w:left="51"/>
              <w:spacing w:after="0" w:line="149" w:lineRule="exact"/>
              <w:rPr>
                <w:sz w:val="20"/>
                <w:szCs w:val="20"/>
                <w:color w:val="auto"/>
              </w:rPr>
            </w:pPr>
            <w:r>
              <w:rPr>
                <w:rFonts w:ascii="Arial" w:cs="Arial" w:eastAsia="Arial" w:hAnsi="Arial"/>
                <w:sz w:val="13"/>
                <w:szCs w:val="13"/>
                <w:b w:val="1"/>
                <w:bCs w:val="1"/>
                <w:color w:val="FFFFFF"/>
              </w:rPr>
              <w:t>Unearned</w:t>
            </w:r>
          </w:p>
        </w:tc>
        <w:tc>
          <w:tcPr>
            <w:tcW w:w="14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Borders>
              <w:right w:val="single" w:sz="8" w:color="007CBA"/>
            </w:tcBorders>
            <w:shd w:val="clear" w:color="auto" w:fill="007CBA"/>
          </w:tcPr>
          <w:p>
            <w:pPr>
              <w:spacing w:after="0"/>
              <w:rPr>
                <w:sz w:val="12"/>
                <w:szCs w:val="12"/>
                <w:color w:val="auto"/>
              </w:rPr>
            </w:pPr>
          </w:p>
        </w:tc>
        <w:tc>
          <w:tcPr>
            <w:tcW w:w="900" w:type="dxa"/>
            <w:vAlign w:val="bottom"/>
            <w:tcBorders>
              <w:right w:val="single" w:sz="8" w:color="007CBA"/>
            </w:tcBorders>
            <w:shd w:val="clear" w:color="auto" w:fill="007CBA"/>
          </w:tcPr>
          <w:p>
            <w:pPr>
              <w:spacing w:after="0"/>
              <w:rPr>
                <w:sz w:val="12"/>
                <w:szCs w:val="12"/>
                <w:color w:val="auto"/>
              </w:rPr>
            </w:pPr>
          </w:p>
        </w:tc>
        <w:tc>
          <w:tcPr>
            <w:tcW w:w="1020" w:type="dxa"/>
            <w:vAlign w:val="bottom"/>
            <w:tcBorders>
              <w:right w:val="single" w:sz="8" w:color="007CBA"/>
            </w:tcBorders>
            <w:shd w:val="clear" w:color="auto" w:fill="007CBA"/>
          </w:tcPr>
          <w:p>
            <w:pPr>
              <w:spacing w:after="0"/>
              <w:rPr>
                <w:sz w:val="12"/>
                <w:szCs w:val="12"/>
                <w:color w:val="auto"/>
              </w:rPr>
            </w:pPr>
          </w:p>
        </w:tc>
        <w:tc>
          <w:tcPr>
            <w:tcW w:w="760" w:type="dxa"/>
            <w:vAlign w:val="bottom"/>
            <w:tcBorders>
              <w:right w:val="single" w:sz="8" w:color="007CBA"/>
            </w:tcBorders>
            <w:shd w:val="clear" w:color="auto" w:fill="007CBA"/>
          </w:tcPr>
          <w:p>
            <w:pPr>
              <w:spacing w:after="0"/>
              <w:rPr>
                <w:sz w:val="12"/>
                <w:szCs w:val="12"/>
                <w:color w:val="auto"/>
              </w:rPr>
            </w:pPr>
          </w:p>
        </w:tc>
        <w:tc>
          <w:tcPr>
            <w:tcW w:w="860" w:type="dxa"/>
            <w:vAlign w:val="bottom"/>
            <w:tcBorders>
              <w:right w:val="single" w:sz="8" w:color="007CBA"/>
            </w:tcBorders>
            <w:shd w:val="clear" w:color="auto" w:fill="007CBA"/>
          </w:tcPr>
          <w:p>
            <w:pPr>
              <w:spacing w:after="0"/>
              <w:rPr>
                <w:sz w:val="12"/>
                <w:szCs w:val="12"/>
                <w:color w:val="auto"/>
              </w:rPr>
            </w:pPr>
          </w:p>
        </w:tc>
        <w:tc>
          <w:tcPr>
            <w:tcW w:w="1020" w:type="dxa"/>
            <w:vAlign w:val="bottom"/>
            <w:tcBorders>
              <w:right w:val="single" w:sz="8" w:color="007CBA"/>
            </w:tcBorders>
            <w:shd w:val="clear" w:color="auto" w:fill="007CBA"/>
          </w:tcPr>
          <w:p>
            <w:pPr>
              <w:spacing w:after="0"/>
              <w:rPr>
                <w:sz w:val="12"/>
                <w:szCs w:val="12"/>
                <w:color w:val="auto"/>
              </w:rPr>
            </w:pPr>
          </w:p>
        </w:tc>
        <w:tc>
          <w:tcPr>
            <w:tcW w:w="100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3"/>
                <w:szCs w:val="13"/>
                <w:b w:val="1"/>
                <w:bCs w:val="1"/>
                <w:color w:val="FFFFFF"/>
              </w:rPr>
              <w:t>Market</w:t>
            </w:r>
          </w:p>
        </w:tc>
        <w:tc>
          <w:tcPr>
            <w:tcW w:w="1260" w:type="dxa"/>
            <w:vAlign w:val="bottom"/>
            <w:tcBorders>
              <w:right w:val="single" w:sz="8" w:color="007CBA"/>
            </w:tcBorders>
            <w:shd w:val="clear" w:color="auto" w:fill="007CBA"/>
          </w:tcPr>
          <w:p>
            <w:pPr>
              <w:jc w:val="center"/>
              <w:ind w:right="75"/>
              <w:spacing w:after="0" w:line="149" w:lineRule="exact"/>
              <w:rPr>
                <w:sz w:val="20"/>
                <w:szCs w:val="20"/>
                <w:color w:val="auto"/>
              </w:rPr>
            </w:pPr>
            <w:r>
              <w:rPr>
                <w:rFonts w:ascii="Arial" w:cs="Arial" w:eastAsia="Arial" w:hAnsi="Arial"/>
                <w:sz w:val="13"/>
                <w:szCs w:val="13"/>
                <w:b w:val="1"/>
                <w:bCs w:val="1"/>
                <w:color w:val="FFFFFF"/>
              </w:rPr>
              <w:t>Number of</w:t>
            </w:r>
          </w:p>
        </w:tc>
        <w:tc>
          <w:tcPr>
            <w:tcW w:w="780" w:type="dxa"/>
            <w:vAlign w:val="bottom"/>
            <w:shd w:val="clear" w:color="auto" w:fill="007CBA"/>
          </w:tcPr>
          <w:p>
            <w:pPr>
              <w:jc w:val="center"/>
              <w:ind w:left="51"/>
              <w:spacing w:after="0" w:line="149" w:lineRule="exact"/>
              <w:rPr>
                <w:sz w:val="20"/>
                <w:szCs w:val="20"/>
                <w:color w:val="auto"/>
              </w:rPr>
            </w:pPr>
            <w:r>
              <w:rPr>
                <w:rFonts w:ascii="Arial" w:cs="Arial" w:eastAsia="Arial" w:hAnsi="Arial"/>
                <w:sz w:val="13"/>
                <w:szCs w:val="13"/>
                <w:b w:val="1"/>
                <w:bCs w:val="1"/>
                <w:color w:val="FFFFFF"/>
              </w:rPr>
              <w:t>Shares,</w:t>
            </w:r>
          </w:p>
        </w:tc>
        <w:tc>
          <w:tcPr>
            <w:tcW w:w="14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Borders>
              <w:right w:val="single" w:sz="8" w:color="007CBA"/>
            </w:tcBorders>
            <w:shd w:val="clear" w:color="auto" w:fill="007CBA"/>
          </w:tcPr>
          <w:p>
            <w:pPr>
              <w:spacing w:after="0"/>
              <w:rPr>
                <w:sz w:val="12"/>
                <w:szCs w:val="12"/>
                <w:color w:val="auto"/>
              </w:rPr>
            </w:pPr>
          </w:p>
        </w:tc>
        <w:tc>
          <w:tcPr>
            <w:tcW w:w="90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3"/>
                <w:szCs w:val="13"/>
                <w:b w:val="1"/>
                <w:bCs w:val="1"/>
                <w:color w:val="FFFFFF"/>
              </w:rPr>
              <w:t>Number of</w:t>
            </w:r>
          </w:p>
        </w:tc>
        <w:tc>
          <w:tcPr>
            <w:tcW w:w="102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3"/>
                <w:szCs w:val="13"/>
                <w:b w:val="1"/>
                <w:bCs w:val="1"/>
                <w:color w:val="FFFFFF"/>
              </w:rPr>
              <w:t>Number of</w:t>
            </w:r>
          </w:p>
        </w:tc>
        <w:tc>
          <w:tcPr>
            <w:tcW w:w="760" w:type="dxa"/>
            <w:vAlign w:val="bottom"/>
            <w:tcBorders>
              <w:right w:val="single" w:sz="8" w:color="007CBA"/>
            </w:tcBorders>
            <w:shd w:val="clear" w:color="auto" w:fill="007CBA"/>
          </w:tcPr>
          <w:p>
            <w:pPr>
              <w:spacing w:after="0"/>
              <w:rPr>
                <w:sz w:val="12"/>
                <w:szCs w:val="12"/>
                <w:color w:val="auto"/>
              </w:rPr>
            </w:pPr>
          </w:p>
        </w:tc>
        <w:tc>
          <w:tcPr>
            <w:tcW w:w="860" w:type="dxa"/>
            <w:vAlign w:val="bottom"/>
            <w:tcBorders>
              <w:right w:val="single" w:sz="8" w:color="007CBA"/>
            </w:tcBorders>
            <w:shd w:val="clear" w:color="auto" w:fill="007CBA"/>
          </w:tcPr>
          <w:p>
            <w:pPr>
              <w:spacing w:after="0"/>
              <w:rPr>
                <w:sz w:val="12"/>
                <w:szCs w:val="12"/>
                <w:color w:val="auto"/>
              </w:rPr>
            </w:pPr>
          </w:p>
        </w:tc>
        <w:tc>
          <w:tcPr>
            <w:tcW w:w="1020" w:type="dxa"/>
            <w:vAlign w:val="bottom"/>
            <w:tcBorders>
              <w:right w:val="single" w:sz="8" w:color="007CBA"/>
            </w:tcBorders>
            <w:shd w:val="clear" w:color="auto" w:fill="007CBA"/>
          </w:tcPr>
          <w:p>
            <w:pPr>
              <w:jc w:val="center"/>
              <w:ind w:right="58"/>
              <w:spacing w:after="0" w:line="149" w:lineRule="exact"/>
              <w:rPr>
                <w:sz w:val="20"/>
                <w:szCs w:val="20"/>
                <w:color w:val="auto"/>
              </w:rPr>
            </w:pPr>
            <w:r>
              <w:rPr>
                <w:rFonts w:ascii="Arial" w:cs="Arial" w:eastAsia="Arial" w:hAnsi="Arial"/>
                <w:sz w:val="13"/>
                <w:szCs w:val="13"/>
                <w:b w:val="1"/>
                <w:bCs w:val="1"/>
                <w:color w:val="FFFFFF"/>
              </w:rPr>
              <w:t>Number</w:t>
            </w:r>
          </w:p>
        </w:tc>
        <w:tc>
          <w:tcPr>
            <w:tcW w:w="100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3"/>
                <w:szCs w:val="13"/>
                <w:b w:val="1"/>
                <w:bCs w:val="1"/>
                <w:color w:val="FFFFFF"/>
              </w:rPr>
              <w:t>Value of</w:t>
            </w:r>
          </w:p>
        </w:tc>
        <w:tc>
          <w:tcPr>
            <w:tcW w:w="1260" w:type="dxa"/>
            <w:vAlign w:val="bottom"/>
            <w:tcBorders>
              <w:right w:val="single" w:sz="8" w:color="007CBA"/>
            </w:tcBorders>
            <w:shd w:val="clear" w:color="auto" w:fill="007CBA"/>
          </w:tcPr>
          <w:p>
            <w:pPr>
              <w:jc w:val="center"/>
              <w:ind w:right="75"/>
              <w:spacing w:after="0" w:line="149" w:lineRule="exact"/>
              <w:rPr>
                <w:sz w:val="20"/>
                <w:szCs w:val="20"/>
                <w:color w:val="auto"/>
              </w:rPr>
            </w:pPr>
            <w:r>
              <w:rPr>
                <w:rFonts w:ascii="Arial" w:cs="Arial" w:eastAsia="Arial" w:hAnsi="Arial"/>
                <w:sz w:val="13"/>
                <w:szCs w:val="13"/>
                <w:b w:val="1"/>
                <w:bCs w:val="1"/>
                <w:color w:val="FFFFFF"/>
              </w:rPr>
              <w:t>Unearned</w:t>
            </w:r>
          </w:p>
        </w:tc>
        <w:tc>
          <w:tcPr>
            <w:tcW w:w="780" w:type="dxa"/>
            <w:vAlign w:val="bottom"/>
            <w:shd w:val="clear" w:color="auto" w:fill="007CBA"/>
          </w:tcPr>
          <w:p>
            <w:pPr>
              <w:jc w:val="center"/>
              <w:ind w:left="51"/>
              <w:spacing w:after="0" w:line="149" w:lineRule="exact"/>
              <w:rPr>
                <w:sz w:val="20"/>
                <w:szCs w:val="20"/>
                <w:color w:val="auto"/>
              </w:rPr>
            </w:pPr>
            <w:r>
              <w:rPr>
                <w:rFonts w:ascii="Arial" w:cs="Arial" w:eastAsia="Arial" w:hAnsi="Arial"/>
                <w:sz w:val="13"/>
                <w:szCs w:val="13"/>
                <w:b w:val="1"/>
                <w:bCs w:val="1"/>
                <w:color w:val="FFFFFF"/>
              </w:rPr>
              <w:t>Units or</w:t>
            </w:r>
          </w:p>
        </w:tc>
        <w:tc>
          <w:tcPr>
            <w:tcW w:w="14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Borders>
              <w:right w:val="single" w:sz="8" w:color="007CBA"/>
            </w:tcBorders>
            <w:shd w:val="clear" w:color="auto" w:fill="007CBA"/>
          </w:tcPr>
          <w:p>
            <w:pPr>
              <w:spacing w:after="0"/>
              <w:rPr>
                <w:sz w:val="12"/>
                <w:szCs w:val="12"/>
                <w:color w:val="auto"/>
              </w:rPr>
            </w:pPr>
          </w:p>
        </w:tc>
        <w:tc>
          <w:tcPr>
            <w:tcW w:w="90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3"/>
                <w:szCs w:val="13"/>
                <w:b w:val="1"/>
                <w:bCs w:val="1"/>
                <w:color w:val="FFFFFF"/>
              </w:rPr>
              <w:t>Securities</w:t>
            </w:r>
          </w:p>
        </w:tc>
        <w:tc>
          <w:tcPr>
            <w:tcW w:w="102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3"/>
                <w:szCs w:val="13"/>
                <w:b w:val="1"/>
                <w:bCs w:val="1"/>
                <w:color w:val="FFFFFF"/>
              </w:rPr>
              <w:t>Securities</w:t>
            </w:r>
          </w:p>
        </w:tc>
        <w:tc>
          <w:tcPr>
            <w:tcW w:w="760" w:type="dxa"/>
            <w:vAlign w:val="bottom"/>
            <w:tcBorders>
              <w:right w:val="single" w:sz="8" w:color="007CBA"/>
            </w:tcBorders>
            <w:shd w:val="clear" w:color="auto" w:fill="007CBA"/>
          </w:tcPr>
          <w:p>
            <w:pPr>
              <w:spacing w:after="0"/>
              <w:rPr>
                <w:sz w:val="12"/>
                <w:szCs w:val="12"/>
                <w:color w:val="auto"/>
              </w:rPr>
            </w:pPr>
          </w:p>
        </w:tc>
        <w:tc>
          <w:tcPr>
            <w:tcW w:w="860" w:type="dxa"/>
            <w:vAlign w:val="bottom"/>
            <w:tcBorders>
              <w:right w:val="single" w:sz="8" w:color="007CBA"/>
            </w:tcBorders>
            <w:shd w:val="clear" w:color="auto" w:fill="007CBA"/>
          </w:tcPr>
          <w:p>
            <w:pPr>
              <w:spacing w:after="0"/>
              <w:rPr>
                <w:sz w:val="12"/>
                <w:szCs w:val="12"/>
                <w:color w:val="auto"/>
              </w:rPr>
            </w:pPr>
          </w:p>
        </w:tc>
        <w:tc>
          <w:tcPr>
            <w:tcW w:w="1020" w:type="dxa"/>
            <w:vAlign w:val="bottom"/>
            <w:tcBorders>
              <w:right w:val="single" w:sz="8" w:color="007CBA"/>
            </w:tcBorders>
            <w:shd w:val="clear" w:color="auto" w:fill="007CBA"/>
          </w:tcPr>
          <w:p>
            <w:pPr>
              <w:jc w:val="center"/>
              <w:ind w:right="58"/>
              <w:spacing w:after="0" w:line="149" w:lineRule="exact"/>
              <w:rPr>
                <w:sz w:val="20"/>
                <w:szCs w:val="20"/>
                <w:color w:val="auto"/>
              </w:rPr>
            </w:pPr>
            <w:r>
              <w:rPr>
                <w:rFonts w:ascii="Arial" w:cs="Arial" w:eastAsia="Arial" w:hAnsi="Arial"/>
                <w:sz w:val="13"/>
                <w:szCs w:val="13"/>
                <w:b w:val="1"/>
                <w:bCs w:val="1"/>
                <w:color w:val="FFFFFF"/>
              </w:rPr>
              <w:t>of Shares</w:t>
            </w:r>
          </w:p>
        </w:tc>
        <w:tc>
          <w:tcPr>
            <w:tcW w:w="100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3"/>
                <w:szCs w:val="13"/>
                <w:b w:val="1"/>
                <w:bCs w:val="1"/>
                <w:color w:val="FFFFFF"/>
              </w:rPr>
              <w:t>Shares or</w:t>
            </w:r>
          </w:p>
        </w:tc>
        <w:tc>
          <w:tcPr>
            <w:tcW w:w="1260" w:type="dxa"/>
            <w:vAlign w:val="bottom"/>
            <w:tcBorders>
              <w:right w:val="single" w:sz="8" w:color="007CBA"/>
            </w:tcBorders>
            <w:shd w:val="clear" w:color="auto" w:fill="007CBA"/>
          </w:tcPr>
          <w:p>
            <w:pPr>
              <w:jc w:val="center"/>
              <w:ind w:right="75"/>
              <w:spacing w:after="0" w:line="149" w:lineRule="exact"/>
              <w:rPr>
                <w:sz w:val="20"/>
                <w:szCs w:val="20"/>
                <w:color w:val="auto"/>
              </w:rPr>
            </w:pPr>
            <w:r>
              <w:rPr>
                <w:rFonts w:ascii="Arial" w:cs="Arial" w:eastAsia="Arial" w:hAnsi="Arial"/>
                <w:sz w:val="13"/>
                <w:szCs w:val="13"/>
                <w:b w:val="1"/>
                <w:bCs w:val="1"/>
                <w:color w:val="FFFFFF"/>
              </w:rPr>
              <w:t>Shares, Units</w:t>
            </w:r>
          </w:p>
        </w:tc>
        <w:tc>
          <w:tcPr>
            <w:tcW w:w="780" w:type="dxa"/>
            <w:vAlign w:val="bottom"/>
            <w:shd w:val="clear" w:color="auto" w:fill="007CBA"/>
          </w:tcPr>
          <w:p>
            <w:pPr>
              <w:jc w:val="center"/>
              <w:ind w:left="71"/>
              <w:spacing w:after="0" w:line="149" w:lineRule="exact"/>
              <w:rPr>
                <w:sz w:val="20"/>
                <w:szCs w:val="20"/>
                <w:color w:val="auto"/>
              </w:rPr>
            </w:pPr>
            <w:r>
              <w:rPr>
                <w:rFonts w:ascii="Arial" w:cs="Arial" w:eastAsia="Arial" w:hAnsi="Arial"/>
                <w:sz w:val="13"/>
                <w:szCs w:val="13"/>
                <w:b w:val="1"/>
                <w:bCs w:val="1"/>
                <w:color w:val="FFFFFF"/>
              </w:rPr>
              <w:t>Other</w:t>
            </w:r>
          </w:p>
        </w:tc>
        <w:tc>
          <w:tcPr>
            <w:tcW w:w="14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Borders>
              <w:right w:val="single" w:sz="8" w:color="007CBA"/>
            </w:tcBorders>
            <w:shd w:val="clear" w:color="auto" w:fill="007CBA"/>
          </w:tcPr>
          <w:p>
            <w:pPr>
              <w:spacing w:after="0"/>
              <w:rPr>
                <w:sz w:val="12"/>
                <w:szCs w:val="12"/>
                <w:color w:val="auto"/>
              </w:rPr>
            </w:pPr>
          </w:p>
        </w:tc>
        <w:tc>
          <w:tcPr>
            <w:tcW w:w="90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3"/>
                <w:szCs w:val="13"/>
                <w:b w:val="1"/>
                <w:bCs w:val="1"/>
                <w:color w:val="FFFFFF"/>
              </w:rPr>
              <w:t>Underlying</w:t>
            </w:r>
          </w:p>
        </w:tc>
        <w:tc>
          <w:tcPr>
            <w:tcW w:w="102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3"/>
                <w:szCs w:val="13"/>
                <w:b w:val="1"/>
                <w:bCs w:val="1"/>
                <w:color w:val="FFFFFF"/>
              </w:rPr>
              <w:t>Underlying</w:t>
            </w:r>
          </w:p>
        </w:tc>
        <w:tc>
          <w:tcPr>
            <w:tcW w:w="760" w:type="dxa"/>
            <w:vAlign w:val="bottom"/>
            <w:tcBorders>
              <w:right w:val="single" w:sz="8" w:color="007CBA"/>
            </w:tcBorders>
            <w:shd w:val="clear" w:color="auto" w:fill="007CBA"/>
          </w:tcPr>
          <w:p>
            <w:pPr>
              <w:spacing w:after="0"/>
              <w:rPr>
                <w:sz w:val="12"/>
                <w:szCs w:val="12"/>
                <w:color w:val="auto"/>
              </w:rPr>
            </w:pPr>
          </w:p>
        </w:tc>
        <w:tc>
          <w:tcPr>
            <w:tcW w:w="860" w:type="dxa"/>
            <w:vAlign w:val="bottom"/>
            <w:tcBorders>
              <w:right w:val="single" w:sz="8" w:color="007CBA"/>
            </w:tcBorders>
            <w:shd w:val="clear" w:color="auto" w:fill="007CBA"/>
          </w:tcPr>
          <w:p>
            <w:pPr>
              <w:spacing w:after="0"/>
              <w:rPr>
                <w:sz w:val="12"/>
                <w:szCs w:val="12"/>
                <w:color w:val="auto"/>
              </w:rPr>
            </w:pPr>
          </w:p>
        </w:tc>
        <w:tc>
          <w:tcPr>
            <w:tcW w:w="1020" w:type="dxa"/>
            <w:vAlign w:val="bottom"/>
            <w:tcBorders>
              <w:right w:val="single" w:sz="8" w:color="007CBA"/>
            </w:tcBorders>
            <w:shd w:val="clear" w:color="auto" w:fill="007CBA"/>
          </w:tcPr>
          <w:p>
            <w:pPr>
              <w:jc w:val="center"/>
              <w:ind w:right="58"/>
              <w:spacing w:after="0" w:line="149" w:lineRule="exact"/>
              <w:rPr>
                <w:sz w:val="20"/>
                <w:szCs w:val="20"/>
                <w:color w:val="auto"/>
              </w:rPr>
            </w:pPr>
            <w:r>
              <w:rPr>
                <w:rFonts w:ascii="Arial" w:cs="Arial" w:eastAsia="Arial" w:hAnsi="Arial"/>
                <w:sz w:val="13"/>
                <w:szCs w:val="13"/>
                <w:b w:val="1"/>
                <w:bCs w:val="1"/>
                <w:color w:val="FFFFFF"/>
              </w:rPr>
              <w:t>or Units of</w:t>
            </w:r>
          </w:p>
        </w:tc>
        <w:tc>
          <w:tcPr>
            <w:tcW w:w="100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3"/>
                <w:szCs w:val="13"/>
                <w:b w:val="1"/>
                <w:bCs w:val="1"/>
                <w:color w:val="FFFFFF"/>
              </w:rPr>
              <w:t>Units of</w:t>
            </w:r>
          </w:p>
        </w:tc>
        <w:tc>
          <w:tcPr>
            <w:tcW w:w="1260" w:type="dxa"/>
            <w:vAlign w:val="bottom"/>
            <w:tcBorders>
              <w:right w:val="single" w:sz="8" w:color="007CBA"/>
            </w:tcBorders>
            <w:shd w:val="clear" w:color="auto" w:fill="007CBA"/>
          </w:tcPr>
          <w:p>
            <w:pPr>
              <w:jc w:val="center"/>
              <w:ind w:right="75"/>
              <w:spacing w:after="0" w:line="149" w:lineRule="exact"/>
              <w:rPr>
                <w:sz w:val="20"/>
                <w:szCs w:val="20"/>
                <w:color w:val="auto"/>
              </w:rPr>
            </w:pPr>
            <w:r>
              <w:rPr>
                <w:rFonts w:ascii="Arial" w:cs="Arial" w:eastAsia="Arial" w:hAnsi="Arial"/>
                <w:sz w:val="13"/>
                <w:szCs w:val="13"/>
                <w:b w:val="1"/>
                <w:bCs w:val="1"/>
                <w:color w:val="FFFFFF"/>
              </w:rPr>
              <w:t>or Other</w:t>
            </w:r>
          </w:p>
        </w:tc>
        <w:tc>
          <w:tcPr>
            <w:tcW w:w="780" w:type="dxa"/>
            <w:vAlign w:val="bottom"/>
            <w:shd w:val="clear" w:color="auto" w:fill="007CBA"/>
          </w:tcPr>
          <w:p>
            <w:pPr>
              <w:jc w:val="center"/>
              <w:ind w:left="51"/>
              <w:spacing w:after="0" w:line="149" w:lineRule="exact"/>
              <w:rPr>
                <w:sz w:val="20"/>
                <w:szCs w:val="20"/>
                <w:color w:val="auto"/>
              </w:rPr>
            </w:pPr>
            <w:r>
              <w:rPr>
                <w:rFonts w:ascii="Arial" w:cs="Arial" w:eastAsia="Arial" w:hAnsi="Arial"/>
                <w:sz w:val="13"/>
                <w:szCs w:val="13"/>
                <w:b w:val="1"/>
                <w:bCs w:val="1"/>
                <w:color w:val="FFFFFF"/>
              </w:rPr>
              <w:t>Rights</w:t>
            </w:r>
          </w:p>
        </w:tc>
        <w:tc>
          <w:tcPr>
            <w:tcW w:w="14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Borders>
              <w:right w:val="single" w:sz="8" w:color="007CBA"/>
            </w:tcBorders>
            <w:shd w:val="clear" w:color="auto" w:fill="007CBA"/>
          </w:tcPr>
          <w:p>
            <w:pPr>
              <w:spacing w:after="0"/>
              <w:rPr>
                <w:sz w:val="12"/>
                <w:szCs w:val="12"/>
                <w:color w:val="auto"/>
              </w:rPr>
            </w:pPr>
          </w:p>
        </w:tc>
        <w:tc>
          <w:tcPr>
            <w:tcW w:w="90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3"/>
                <w:szCs w:val="13"/>
                <w:b w:val="1"/>
                <w:bCs w:val="1"/>
                <w:color w:val="FFFFFF"/>
              </w:rPr>
              <w:t>Unexercised</w:t>
            </w:r>
          </w:p>
        </w:tc>
        <w:tc>
          <w:tcPr>
            <w:tcW w:w="102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3"/>
                <w:szCs w:val="13"/>
                <w:b w:val="1"/>
                <w:bCs w:val="1"/>
                <w:color w:val="FFFFFF"/>
              </w:rPr>
              <w:t>Unexercised</w:t>
            </w:r>
          </w:p>
        </w:tc>
        <w:tc>
          <w:tcPr>
            <w:tcW w:w="76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3"/>
                <w:szCs w:val="13"/>
                <w:b w:val="1"/>
                <w:bCs w:val="1"/>
                <w:color w:val="FFFFFF"/>
              </w:rPr>
              <w:t>Option</w:t>
            </w:r>
          </w:p>
        </w:tc>
        <w:tc>
          <w:tcPr>
            <w:tcW w:w="860" w:type="dxa"/>
            <w:vAlign w:val="bottom"/>
            <w:tcBorders>
              <w:right w:val="single" w:sz="8" w:color="007CBA"/>
            </w:tcBorders>
            <w:shd w:val="clear" w:color="auto" w:fill="007CBA"/>
          </w:tcPr>
          <w:p>
            <w:pPr>
              <w:spacing w:after="0"/>
              <w:rPr>
                <w:sz w:val="12"/>
                <w:szCs w:val="12"/>
                <w:color w:val="auto"/>
              </w:rPr>
            </w:pPr>
          </w:p>
        </w:tc>
        <w:tc>
          <w:tcPr>
            <w:tcW w:w="1020" w:type="dxa"/>
            <w:vAlign w:val="bottom"/>
            <w:tcBorders>
              <w:right w:val="single" w:sz="8" w:color="007CBA"/>
            </w:tcBorders>
            <w:shd w:val="clear" w:color="auto" w:fill="007CBA"/>
          </w:tcPr>
          <w:p>
            <w:pPr>
              <w:jc w:val="center"/>
              <w:ind w:right="58"/>
              <w:spacing w:after="0" w:line="149" w:lineRule="exact"/>
              <w:rPr>
                <w:sz w:val="20"/>
                <w:szCs w:val="20"/>
                <w:color w:val="auto"/>
              </w:rPr>
            </w:pPr>
            <w:r>
              <w:rPr>
                <w:rFonts w:ascii="Arial" w:cs="Arial" w:eastAsia="Arial" w:hAnsi="Arial"/>
                <w:sz w:val="13"/>
                <w:szCs w:val="13"/>
                <w:b w:val="1"/>
                <w:bCs w:val="1"/>
                <w:color w:val="FFFFFF"/>
              </w:rPr>
              <w:t>Stock</w:t>
            </w:r>
          </w:p>
        </w:tc>
        <w:tc>
          <w:tcPr>
            <w:tcW w:w="100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3"/>
                <w:szCs w:val="13"/>
                <w:b w:val="1"/>
                <w:bCs w:val="1"/>
                <w:color w:val="FFFFFF"/>
              </w:rPr>
              <w:t>Stock</w:t>
            </w:r>
          </w:p>
        </w:tc>
        <w:tc>
          <w:tcPr>
            <w:tcW w:w="1260" w:type="dxa"/>
            <w:vAlign w:val="bottom"/>
            <w:tcBorders>
              <w:right w:val="single" w:sz="8" w:color="007CBA"/>
            </w:tcBorders>
            <w:shd w:val="clear" w:color="auto" w:fill="007CBA"/>
          </w:tcPr>
          <w:p>
            <w:pPr>
              <w:jc w:val="center"/>
              <w:ind w:right="75"/>
              <w:spacing w:after="0" w:line="149" w:lineRule="exact"/>
              <w:rPr>
                <w:sz w:val="20"/>
                <w:szCs w:val="20"/>
                <w:color w:val="auto"/>
              </w:rPr>
            </w:pPr>
            <w:r>
              <w:rPr>
                <w:rFonts w:ascii="Arial" w:cs="Arial" w:eastAsia="Arial" w:hAnsi="Arial"/>
                <w:sz w:val="13"/>
                <w:szCs w:val="13"/>
                <w:b w:val="1"/>
                <w:bCs w:val="1"/>
                <w:color w:val="FFFFFF"/>
              </w:rPr>
              <w:t>Rights That</w:t>
            </w:r>
          </w:p>
        </w:tc>
        <w:tc>
          <w:tcPr>
            <w:tcW w:w="780" w:type="dxa"/>
            <w:vAlign w:val="bottom"/>
            <w:shd w:val="clear" w:color="auto" w:fill="007CBA"/>
          </w:tcPr>
          <w:p>
            <w:pPr>
              <w:jc w:val="center"/>
              <w:ind w:left="71"/>
              <w:spacing w:after="0" w:line="149" w:lineRule="exact"/>
              <w:rPr>
                <w:sz w:val="20"/>
                <w:szCs w:val="20"/>
                <w:color w:val="auto"/>
              </w:rPr>
            </w:pPr>
            <w:r>
              <w:rPr>
                <w:rFonts w:ascii="Arial" w:cs="Arial" w:eastAsia="Arial" w:hAnsi="Arial"/>
                <w:sz w:val="13"/>
                <w:szCs w:val="13"/>
                <w:b w:val="1"/>
                <w:bCs w:val="1"/>
                <w:color w:val="FFFFFF"/>
              </w:rPr>
              <w:t>That</w:t>
            </w:r>
          </w:p>
        </w:tc>
        <w:tc>
          <w:tcPr>
            <w:tcW w:w="14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260" w:type="dxa"/>
            <w:vAlign w:val="bottom"/>
            <w:tcBorders>
              <w:right w:val="single" w:sz="8" w:color="007CBA"/>
            </w:tcBorders>
            <w:shd w:val="clear" w:color="auto" w:fill="007CBA"/>
          </w:tcPr>
          <w:p>
            <w:pPr>
              <w:spacing w:after="0"/>
              <w:rPr>
                <w:sz w:val="13"/>
                <w:szCs w:val="13"/>
                <w:color w:val="auto"/>
              </w:rPr>
            </w:pPr>
          </w:p>
        </w:tc>
        <w:tc>
          <w:tcPr>
            <w:tcW w:w="9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rPr>
              <w:t>Options</w:t>
            </w:r>
          </w:p>
        </w:tc>
        <w:tc>
          <w:tcPr>
            <w:tcW w:w="10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rPr>
              <w:t>Options</w:t>
            </w:r>
          </w:p>
        </w:tc>
        <w:tc>
          <w:tcPr>
            <w:tcW w:w="7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rPr>
              <w:t>Exercise</w:t>
            </w:r>
          </w:p>
        </w:tc>
        <w:tc>
          <w:tcPr>
            <w:tcW w:w="8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rPr>
              <w:t>Option</w:t>
            </w:r>
          </w:p>
        </w:tc>
        <w:tc>
          <w:tcPr>
            <w:tcW w:w="1020" w:type="dxa"/>
            <w:vAlign w:val="bottom"/>
            <w:tcBorders>
              <w:right w:val="single" w:sz="8" w:color="007CBA"/>
            </w:tcBorders>
            <w:shd w:val="clear" w:color="auto" w:fill="007CBA"/>
          </w:tcPr>
          <w:p>
            <w:pPr>
              <w:jc w:val="center"/>
              <w:ind w:right="58"/>
              <w:spacing w:after="0"/>
              <w:rPr>
                <w:sz w:val="20"/>
                <w:szCs w:val="20"/>
                <w:color w:val="auto"/>
              </w:rPr>
            </w:pPr>
            <w:r>
              <w:rPr>
                <w:rFonts w:ascii="Arial" w:cs="Arial" w:eastAsia="Arial" w:hAnsi="Arial"/>
                <w:sz w:val="13"/>
                <w:szCs w:val="13"/>
                <w:b w:val="1"/>
                <w:bCs w:val="1"/>
                <w:color w:val="FFFFFF"/>
              </w:rPr>
              <w:t>That Have</w:t>
            </w:r>
          </w:p>
        </w:tc>
        <w:tc>
          <w:tcPr>
            <w:tcW w:w="10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rPr>
              <w:t>That Have</w:t>
            </w:r>
          </w:p>
        </w:tc>
        <w:tc>
          <w:tcPr>
            <w:tcW w:w="1260" w:type="dxa"/>
            <w:vAlign w:val="bottom"/>
            <w:tcBorders>
              <w:right w:val="single" w:sz="8" w:color="007CBA"/>
            </w:tcBorders>
            <w:shd w:val="clear" w:color="auto" w:fill="007CBA"/>
          </w:tcPr>
          <w:p>
            <w:pPr>
              <w:jc w:val="center"/>
              <w:ind w:right="75"/>
              <w:spacing w:after="0"/>
              <w:rPr>
                <w:sz w:val="20"/>
                <w:szCs w:val="20"/>
                <w:color w:val="auto"/>
              </w:rPr>
            </w:pPr>
            <w:r>
              <w:rPr>
                <w:rFonts w:ascii="Arial" w:cs="Arial" w:eastAsia="Arial" w:hAnsi="Arial"/>
                <w:sz w:val="13"/>
                <w:szCs w:val="13"/>
                <w:b w:val="1"/>
                <w:bCs w:val="1"/>
                <w:color w:val="FFFFFF"/>
              </w:rPr>
              <w:t>Have</w:t>
            </w:r>
          </w:p>
        </w:tc>
        <w:tc>
          <w:tcPr>
            <w:tcW w:w="780" w:type="dxa"/>
            <w:vAlign w:val="bottom"/>
            <w:shd w:val="clear" w:color="auto" w:fill="007CBA"/>
          </w:tcPr>
          <w:p>
            <w:pPr>
              <w:jc w:val="center"/>
              <w:ind w:left="51"/>
              <w:spacing w:after="0"/>
              <w:rPr>
                <w:sz w:val="20"/>
                <w:szCs w:val="20"/>
                <w:color w:val="auto"/>
              </w:rPr>
            </w:pPr>
            <w:r>
              <w:rPr>
                <w:rFonts w:ascii="Arial" w:cs="Arial" w:eastAsia="Arial" w:hAnsi="Arial"/>
                <w:sz w:val="13"/>
                <w:szCs w:val="13"/>
                <w:b w:val="1"/>
                <w:bCs w:val="1"/>
                <w:color w:val="FFFFFF"/>
              </w:rPr>
              <w:t>Have Not</w:t>
            </w:r>
          </w:p>
        </w:tc>
        <w:tc>
          <w:tcPr>
            <w:tcW w:w="140" w:type="dxa"/>
            <w:vAlign w:val="bottom"/>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60" w:type="dxa"/>
            <w:vAlign w:val="bottom"/>
            <w:tcBorders>
              <w:right w:val="single" w:sz="8" w:color="007CBA"/>
            </w:tcBorders>
            <w:shd w:val="clear" w:color="auto" w:fill="007CBA"/>
          </w:tcPr>
          <w:p>
            <w:pPr>
              <w:spacing w:after="0"/>
              <w:rPr>
                <w:sz w:val="12"/>
                <w:szCs w:val="12"/>
                <w:color w:val="auto"/>
              </w:rPr>
            </w:pPr>
          </w:p>
        </w:tc>
        <w:tc>
          <w:tcPr>
            <w:tcW w:w="90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3"/>
                <w:szCs w:val="13"/>
                <w:b w:val="1"/>
                <w:bCs w:val="1"/>
                <w:color w:val="FFFFFF"/>
              </w:rPr>
              <w:t>(#)</w:t>
            </w:r>
          </w:p>
        </w:tc>
        <w:tc>
          <w:tcPr>
            <w:tcW w:w="102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3"/>
                <w:szCs w:val="13"/>
                <w:b w:val="1"/>
                <w:bCs w:val="1"/>
                <w:color w:val="FFFFFF"/>
              </w:rPr>
              <w:t>(#)</w:t>
            </w:r>
          </w:p>
        </w:tc>
        <w:tc>
          <w:tcPr>
            <w:tcW w:w="76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3"/>
                <w:szCs w:val="13"/>
                <w:b w:val="1"/>
                <w:bCs w:val="1"/>
                <w:color w:val="FFFFFF"/>
              </w:rPr>
              <w:t>Price</w:t>
            </w:r>
          </w:p>
        </w:tc>
        <w:tc>
          <w:tcPr>
            <w:tcW w:w="86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3"/>
                <w:szCs w:val="13"/>
                <w:b w:val="1"/>
                <w:bCs w:val="1"/>
                <w:color w:val="FFFFFF"/>
              </w:rPr>
              <w:t>Expiration</w:t>
            </w:r>
          </w:p>
        </w:tc>
        <w:tc>
          <w:tcPr>
            <w:tcW w:w="1020" w:type="dxa"/>
            <w:vAlign w:val="bottom"/>
            <w:tcBorders>
              <w:right w:val="single" w:sz="8" w:color="007CBA"/>
            </w:tcBorders>
            <w:shd w:val="clear" w:color="auto" w:fill="007CBA"/>
          </w:tcPr>
          <w:p>
            <w:pPr>
              <w:jc w:val="center"/>
              <w:ind w:right="58"/>
              <w:spacing w:after="0" w:line="149" w:lineRule="exact"/>
              <w:rPr>
                <w:sz w:val="20"/>
                <w:szCs w:val="20"/>
                <w:color w:val="auto"/>
              </w:rPr>
            </w:pPr>
            <w:r>
              <w:rPr>
                <w:rFonts w:ascii="Arial" w:cs="Arial" w:eastAsia="Arial" w:hAnsi="Arial"/>
                <w:sz w:val="13"/>
                <w:szCs w:val="13"/>
                <w:b w:val="1"/>
                <w:bCs w:val="1"/>
                <w:color w:val="FFFFFF"/>
              </w:rPr>
              <w:t>Not Vested</w:t>
            </w:r>
          </w:p>
        </w:tc>
        <w:tc>
          <w:tcPr>
            <w:tcW w:w="100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3"/>
                <w:szCs w:val="13"/>
                <w:b w:val="1"/>
                <w:bCs w:val="1"/>
                <w:color w:val="FFFFFF"/>
              </w:rPr>
              <w:t>Not Vested</w:t>
            </w:r>
            <w:r>
              <w:rPr>
                <w:rFonts w:ascii="Arial" w:cs="Arial" w:eastAsia="Arial" w:hAnsi="Arial"/>
                <w:sz w:val="11"/>
                <w:szCs w:val="11"/>
                <w:b w:val="1"/>
                <w:bCs w:val="1"/>
                <w:color w:val="FFFFFF"/>
              </w:rPr>
              <w:t>1</w:t>
            </w:r>
          </w:p>
        </w:tc>
        <w:tc>
          <w:tcPr>
            <w:tcW w:w="1260" w:type="dxa"/>
            <w:vAlign w:val="bottom"/>
            <w:tcBorders>
              <w:right w:val="single" w:sz="8" w:color="007CBA"/>
            </w:tcBorders>
            <w:shd w:val="clear" w:color="auto" w:fill="007CBA"/>
          </w:tcPr>
          <w:p>
            <w:pPr>
              <w:jc w:val="center"/>
              <w:ind w:right="75"/>
              <w:spacing w:after="0" w:line="149" w:lineRule="exact"/>
              <w:rPr>
                <w:sz w:val="20"/>
                <w:szCs w:val="20"/>
                <w:color w:val="auto"/>
              </w:rPr>
            </w:pPr>
            <w:r>
              <w:rPr>
                <w:rFonts w:ascii="Arial" w:cs="Arial" w:eastAsia="Arial" w:hAnsi="Arial"/>
                <w:sz w:val="13"/>
                <w:szCs w:val="13"/>
                <w:b w:val="1"/>
                <w:bCs w:val="1"/>
                <w:color w:val="FFFFFF"/>
              </w:rPr>
              <w:t>Not Vested</w:t>
            </w:r>
          </w:p>
        </w:tc>
        <w:tc>
          <w:tcPr>
            <w:tcW w:w="780" w:type="dxa"/>
            <w:vAlign w:val="bottom"/>
            <w:shd w:val="clear" w:color="auto" w:fill="007CBA"/>
          </w:tcPr>
          <w:p>
            <w:pPr>
              <w:jc w:val="center"/>
              <w:ind w:left="51"/>
              <w:spacing w:after="0" w:line="149" w:lineRule="exact"/>
              <w:rPr>
                <w:sz w:val="20"/>
                <w:szCs w:val="20"/>
                <w:color w:val="auto"/>
              </w:rPr>
            </w:pPr>
            <w:r>
              <w:rPr>
                <w:rFonts w:ascii="Arial" w:cs="Arial" w:eastAsia="Arial" w:hAnsi="Arial"/>
                <w:sz w:val="13"/>
                <w:szCs w:val="13"/>
                <w:b w:val="1"/>
                <w:bCs w:val="1"/>
                <w:color w:val="FFFFFF"/>
              </w:rPr>
              <w:t>Vested</w:t>
            </w:r>
            <w:r>
              <w:rPr>
                <w:rFonts w:ascii="Arial" w:cs="Arial" w:eastAsia="Arial" w:hAnsi="Arial"/>
                <w:sz w:val="11"/>
                <w:szCs w:val="11"/>
                <w:b w:val="1"/>
                <w:bCs w:val="1"/>
                <w:color w:val="FFFFFF"/>
              </w:rPr>
              <w:t>1</w:t>
            </w:r>
          </w:p>
        </w:tc>
        <w:tc>
          <w:tcPr>
            <w:tcW w:w="14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26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3"/>
                <w:szCs w:val="13"/>
                <w:b w:val="1"/>
                <w:bCs w:val="1"/>
                <w:color w:val="FFFFFF"/>
              </w:rPr>
              <w:t>Name</w:t>
            </w:r>
          </w:p>
        </w:tc>
        <w:tc>
          <w:tcPr>
            <w:tcW w:w="9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rPr>
              <w:t>Exercisable</w:t>
            </w:r>
          </w:p>
        </w:tc>
        <w:tc>
          <w:tcPr>
            <w:tcW w:w="10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rPr>
              <w:t>Unexercisable</w:t>
            </w:r>
          </w:p>
        </w:tc>
        <w:tc>
          <w:tcPr>
            <w:tcW w:w="7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rPr>
              <w:t>($)</w:t>
            </w:r>
          </w:p>
        </w:tc>
        <w:tc>
          <w:tcPr>
            <w:tcW w:w="8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rPr>
              <w:t>Date</w:t>
            </w:r>
          </w:p>
        </w:tc>
        <w:tc>
          <w:tcPr>
            <w:tcW w:w="1020" w:type="dxa"/>
            <w:vAlign w:val="bottom"/>
            <w:tcBorders>
              <w:right w:val="single" w:sz="8" w:color="007CBA"/>
            </w:tcBorders>
            <w:shd w:val="clear" w:color="auto" w:fill="007CBA"/>
          </w:tcPr>
          <w:p>
            <w:pPr>
              <w:jc w:val="center"/>
              <w:ind w:right="58"/>
              <w:spacing w:after="0"/>
              <w:rPr>
                <w:sz w:val="20"/>
                <w:szCs w:val="20"/>
                <w:color w:val="auto"/>
              </w:rPr>
            </w:pPr>
            <w:r>
              <w:rPr>
                <w:rFonts w:ascii="Arial" w:cs="Arial" w:eastAsia="Arial" w:hAnsi="Arial"/>
                <w:sz w:val="13"/>
                <w:szCs w:val="13"/>
                <w:b w:val="1"/>
                <w:bCs w:val="1"/>
                <w:color w:val="FFFFFF"/>
              </w:rPr>
              <w:t>(#)</w:t>
            </w:r>
          </w:p>
        </w:tc>
        <w:tc>
          <w:tcPr>
            <w:tcW w:w="10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rPr>
              <w:t>($)</w:t>
            </w:r>
          </w:p>
        </w:tc>
        <w:tc>
          <w:tcPr>
            <w:tcW w:w="1260" w:type="dxa"/>
            <w:vAlign w:val="bottom"/>
            <w:tcBorders>
              <w:right w:val="single" w:sz="8" w:color="007CBA"/>
            </w:tcBorders>
            <w:shd w:val="clear" w:color="auto" w:fill="007CBA"/>
          </w:tcPr>
          <w:p>
            <w:pPr>
              <w:jc w:val="center"/>
              <w:ind w:right="75"/>
              <w:spacing w:after="0"/>
              <w:rPr>
                <w:sz w:val="20"/>
                <w:szCs w:val="20"/>
                <w:color w:val="auto"/>
              </w:rPr>
            </w:pPr>
            <w:r>
              <w:rPr>
                <w:rFonts w:ascii="Arial" w:cs="Arial" w:eastAsia="Arial" w:hAnsi="Arial"/>
                <w:sz w:val="13"/>
                <w:szCs w:val="13"/>
                <w:b w:val="1"/>
                <w:bCs w:val="1"/>
                <w:color w:val="FFFFFF"/>
              </w:rPr>
              <w:t>(#)</w:t>
            </w:r>
          </w:p>
        </w:tc>
        <w:tc>
          <w:tcPr>
            <w:tcW w:w="780" w:type="dxa"/>
            <w:vAlign w:val="bottom"/>
            <w:shd w:val="clear" w:color="auto" w:fill="007CBA"/>
          </w:tcPr>
          <w:p>
            <w:pPr>
              <w:jc w:val="center"/>
              <w:ind w:left="71"/>
              <w:spacing w:after="0"/>
              <w:rPr>
                <w:sz w:val="20"/>
                <w:szCs w:val="20"/>
                <w:color w:val="auto"/>
              </w:rPr>
            </w:pPr>
            <w:r>
              <w:rPr>
                <w:rFonts w:ascii="Arial" w:cs="Arial" w:eastAsia="Arial" w:hAnsi="Arial"/>
                <w:sz w:val="13"/>
                <w:szCs w:val="13"/>
                <w:b w:val="1"/>
                <w:bCs w:val="1"/>
                <w:color w:val="FFFFFF"/>
              </w:rPr>
              <w:t>($)</w:t>
            </w:r>
          </w:p>
        </w:tc>
        <w:tc>
          <w:tcPr>
            <w:tcW w:w="140" w:type="dxa"/>
            <w:vAlign w:val="bottom"/>
            <w:shd w:val="clear" w:color="auto" w:fill="007CBA"/>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26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3"/>
                <w:szCs w:val="13"/>
                <w:b w:val="1"/>
                <w:bCs w:val="1"/>
                <w:color w:val="FFFFFF"/>
              </w:rPr>
              <w:t>(a)</w:t>
            </w:r>
          </w:p>
        </w:tc>
        <w:tc>
          <w:tcPr>
            <w:tcW w:w="9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w w:val="96"/>
              </w:rPr>
              <w:t>(b)</w:t>
            </w:r>
          </w:p>
        </w:tc>
        <w:tc>
          <w:tcPr>
            <w:tcW w:w="10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rPr>
              <w:t>(c)</w:t>
            </w:r>
          </w:p>
        </w:tc>
        <w:tc>
          <w:tcPr>
            <w:tcW w:w="7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rPr>
              <w:t>(e)</w:t>
            </w:r>
          </w:p>
        </w:tc>
        <w:tc>
          <w:tcPr>
            <w:tcW w:w="8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rPr>
              <w:t>(f)</w:t>
            </w:r>
          </w:p>
        </w:tc>
        <w:tc>
          <w:tcPr>
            <w:tcW w:w="1020" w:type="dxa"/>
            <w:vAlign w:val="bottom"/>
            <w:tcBorders>
              <w:right w:val="single" w:sz="8" w:color="007CBA"/>
            </w:tcBorders>
            <w:shd w:val="clear" w:color="auto" w:fill="007CBA"/>
          </w:tcPr>
          <w:p>
            <w:pPr>
              <w:jc w:val="center"/>
              <w:ind w:right="58"/>
              <w:spacing w:after="0"/>
              <w:rPr>
                <w:sz w:val="20"/>
                <w:szCs w:val="20"/>
                <w:color w:val="auto"/>
              </w:rPr>
            </w:pPr>
            <w:r>
              <w:rPr>
                <w:rFonts w:ascii="Arial" w:cs="Arial" w:eastAsia="Arial" w:hAnsi="Arial"/>
                <w:sz w:val="13"/>
                <w:szCs w:val="13"/>
                <w:b w:val="1"/>
                <w:bCs w:val="1"/>
                <w:color w:val="FFFFFF"/>
              </w:rPr>
              <w:t>(g)</w:t>
            </w:r>
          </w:p>
        </w:tc>
        <w:tc>
          <w:tcPr>
            <w:tcW w:w="10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w w:val="96"/>
              </w:rPr>
              <w:t>(h)</w:t>
            </w:r>
          </w:p>
        </w:tc>
        <w:tc>
          <w:tcPr>
            <w:tcW w:w="1260" w:type="dxa"/>
            <w:vAlign w:val="bottom"/>
            <w:tcBorders>
              <w:right w:val="single" w:sz="8" w:color="007CBA"/>
            </w:tcBorders>
            <w:shd w:val="clear" w:color="auto" w:fill="007CBA"/>
          </w:tcPr>
          <w:p>
            <w:pPr>
              <w:jc w:val="center"/>
              <w:ind w:right="75"/>
              <w:spacing w:after="0"/>
              <w:rPr>
                <w:sz w:val="20"/>
                <w:szCs w:val="20"/>
                <w:color w:val="auto"/>
              </w:rPr>
            </w:pPr>
            <w:r>
              <w:rPr>
                <w:rFonts w:ascii="Arial" w:cs="Arial" w:eastAsia="Arial" w:hAnsi="Arial"/>
                <w:sz w:val="13"/>
                <w:szCs w:val="13"/>
                <w:b w:val="1"/>
                <w:bCs w:val="1"/>
                <w:color w:val="FFFFFF"/>
                <w:w w:val="97"/>
              </w:rPr>
              <w:t>(i)</w:t>
            </w:r>
          </w:p>
        </w:tc>
        <w:tc>
          <w:tcPr>
            <w:tcW w:w="780" w:type="dxa"/>
            <w:vAlign w:val="bottom"/>
            <w:shd w:val="clear" w:color="auto" w:fill="007CBA"/>
          </w:tcPr>
          <w:p>
            <w:pPr>
              <w:jc w:val="center"/>
              <w:ind w:left="51"/>
              <w:spacing w:after="0"/>
              <w:rPr>
                <w:sz w:val="20"/>
                <w:szCs w:val="20"/>
                <w:color w:val="auto"/>
              </w:rPr>
            </w:pPr>
            <w:r>
              <w:rPr>
                <w:rFonts w:ascii="Arial" w:cs="Arial" w:eastAsia="Arial" w:hAnsi="Arial"/>
                <w:sz w:val="13"/>
                <w:szCs w:val="13"/>
                <w:b w:val="1"/>
                <w:bCs w:val="1"/>
                <w:color w:val="FFFFFF"/>
              </w:rPr>
              <w:t>(j)</w:t>
            </w:r>
          </w:p>
        </w:tc>
        <w:tc>
          <w:tcPr>
            <w:tcW w:w="140" w:type="dxa"/>
            <w:vAlign w:val="bottom"/>
            <w:shd w:val="clear" w:color="auto" w:fill="007CBA"/>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26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b w:val="1"/>
                <w:bCs w:val="1"/>
                <w:color w:val="auto"/>
              </w:rPr>
              <w:t>C. Howard Nye</w:t>
            </w:r>
          </w:p>
        </w:tc>
        <w:tc>
          <w:tcPr>
            <w:tcW w:w="900" w:type="dxa"/>
            <w:vAlign w:val="bottom"/>
            <w:tcBorders>
              <w:right w:val="single" w:sz="8" w:color="007CBA"/>
            </w:tcBorders>
            <w:shd w:val="clear" w:color="auto" w:fill="E5F1F8"/>
          </w:tcPr>
          <w:p>
            <w:pPr>
              <w:jc w:val="right"/>
              <w:ind w:right="130"/>
              <w:spacing w:after="0"/>
              <w:rPr>
                <w:sz w:val="20"/>
                <w:szCs w:val="20"/>
                <w:color w:val="auto"/>
              </w:rPr>
            </w:pPr>
            <w:r>
              <w:rPr>
                <w:rFonts w:ascii="Arial" w:cs="Arial" w:eastAsia="Arial" w:hAnsi="Arial"/>
                <w:sz w:val="14"/>
                <w:szCs w:val="14"/>
                <w:color w:val="auto"/>
              </w:rPr>
              <w:t>12,609</w:t>
            </w:r>
          </w:p>
        </w:tc>
        <w:tc>
          <w:tcPr>
            <w:tcW w:w="1020" w:type="dxa"/>
            <w:vAlign w:val="bottom"/>
            <w:tcBorders>
              <w:right w:val="single" w:sz="8" w:color="007CBA"/>
            </w:tcBorders>
            <w:shd w:val="clear" w:color="auto" w:fill="E5F1F8"/>
          </w:tcPr>
          <w:p>
            <w:pPr>
              <w:jc w:val="right"/>
              <w:ind w:right="212"/>
              <w:spacing w:after="0"/>
              <w:rPr>
                <w:sz w:val="20"/>
                <w:szCs w:val="20"/>
                <w:color w:val="auto"/>
              </w:rPr>
            </w:pPr>
            <w:r>
              <w:rPr>
                <w:rFonts w:ascii="Arial" w:cs="Arial" w:eastAsia="Arial" w:hAnsi="Arial"/>
                <w:sz w:val="14"/>
                <w:szCs w:val="14"/>
                <w:color w:val="auto"/>
              </w:rPr>
              <w:t>0</w:t>
            </w:r>
          </w:p>
        </w:tc>
        <w:tc>
          <w:tcPr>
            <w:tcW w:w="76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86.90</w:t>
            </w:r>
          </w:p>
        </w:tc>
        <w:tc>
          <w:tcPr>
            <w:tcW w:w="860" w:type="dxa"/>
            <w:vAlign w:val="bottom"/>
            <w:tcBorders>
              <w:right w:val="single" w:sz="8" w:color="007CBA"/>
            </w:tcBorders>
            <w:shd w:val="clear" w:color="auto" w:fill="E5F1F8"/>
          </w:tcPr>
          <w:p>
            <w:pPr>
              <w:jc w:val="right"/>
              <w:ind w:right="29"/>
              <w:spacing w:after="0"/>
              <w:rPr>
                <w:sz w:val="20"/>
                <w:szCs w:val="20"/>
                <w:color w:val="auto"/>
              </w:rPr>
            </w:pPr>
            <w:r>
              <w:rPr>
                <w:rFonts w:ascii="Arial" w:cs="Arial" w:eastAsia="Arial" w:hAnsi="Arial"/>
                <w:sz w:val="14"/>
                <w:szCs w:val="14"/>
                <w:color w:val="auto"/>
              </w:rPr>
              <w:t>5/12/2019</w:t>
            </w:r>
          </w:p>
        </w:tc>
        <w:tc>
          <w:tcPr>
            <w:tcW w:w="1020" w:type="dxa"/>
            <w:vAlign w:val="bottom"/>
            <w:tcBorders>
              <w:right w:val="single" w:sz="8" w:color="007CBA"/>
            </w:tcBorders>
            <w:shd w:val="clear" w:color="auto" w:fill="E5F1F8"/>
          </w:tcPr>
          <w:p>
            <w:pPr>
              <w:jc w:val="right"/>
              <w:ind w:right="78"/>
              <w:spacing w:after="0" w:line="227" w:lineRule="exact"/>
              <w:rPr>
                <w:sz w:val="20"/>
                <w:szCs w:val="20"/>
                <w:color w:val="auto"/>
              </w:rPr>
            </w:pPr>
            <w:r>
              <w:rPr>
                <w:rFonts w:ascii="Arial" w:cs="Arial" w:eastAsia="Arial" w:hAnsi="Arial"/>
                <w:sz w:val="14"/>
                <w:szCs w:val="14"/>
                <w:color w:val="auto"/>
              </w:rPr>
              <w:t>22,070</w:t>
            </w:r>
            <w:r>
              <w:rPr>
                <w:rFonts w:ascii="Arial" w:cs="Arial" w:eastAsia="Arial" w:hAnsi="Arial"/>
                <w:sz w:val="24"/>
                <w:szCs w:val="24"/>
                <w:color w:val="auto"/>
                <w:vertAlign w:val="superscript"/>
              </w:rPr>
              <w:t>3</w:t>
            </w:r>
          </w:p>
        </w:tc>
        <w:tc>
          <w:tcPr>
            <w:tcW w:w="100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3,793,171</w:t>
            </w:r>
          </w:p>
        </w:tc>
        <w:tc>
          <w:tcPr>
            <w:tcW w:w="1260" w:type="dxa"/>
            <w:vAlign w:val="bottom"/>
            <w:tcBorders>
              <w:right w:val="single" w:sz="8" w:color="007CBA"/>
            </w:tcBorders>
            <w:shd w:val="clear" w:color="auto" w:fill="E5F1F8"/>
          </w:tcPr>
          <w:p>
            <w:pPr>
              <w:ind w:left="600"/>
              <w:spacing w:after="0" w:line="227" w:lineRule="exact"/>
              <w:rPr>
                <w:sz w:val="20"/>
                <w:szCs w:val="20"/>
                <w:color w:val="auto"/>
              </w:rPr>
            </w:pPr>
            <w:r>
              <w:rPr>
                <w:rFonts w:ascii="Arial" w:cs="Arial" w:eastAsia="Arial" w:hAnsi="Arial"/>
                <w:sz w:val="14"/>
                <w:szCs w:val="14"/>
                <w:color w:val="auto"/>
              </w:rPr>
              <w:t>21,339</w:t>
            </w:r>
            <w:r>
              <w:rPr>
                <w:rFonts w:ascii="Arial" w:cs="Arial" w:eastAsia="Arial" w:hAnsi="Arial"/>
                <w:sz w:val="24"/>
                <w:szCs w:val="24"/>
                <w:color w:val="auto"/>
                <w:vertAlign w:val="superscript"/>
              </w:rPr>
              <w:t>9</w:t>
            </w:r>
          </w:p>
        </w:tc>
        <w:tc>
          <w:tcPr>
            <w:tcW w:w="920" w:type="dxa"/>
            <w:vAlign w:val="bottom"/>
            <w:gridSpan w:val="2"/>
            <w:shd w:val="clear" w:color="auto" w:fill="E5F1F8"/>
          </w:tcPr>
          <w:p>
            <w:pPr>
              <w:jc w:val="right"/>
              <w:ind w:right="37"/>
              <w:spacing w:after="0"/>
              <w:rPr>
                <w:sz w:val="20"/>
                <w:szCs w:val="20"/>
                <w:color w:val="auto"/>
              </w:rPr>
            </w:pPr>
            <w:r>
              <w:rPr>
                <w:rFonts w:ascii="Arial" w:cs="Arial" w:eastAsia="Arial" w:hAnsi="Arial"/>
                <w:sz w:val="14"/>
                <w:szCs w:val="14"/>
                <w:color w:val="auto"/>
              </w:rPr>
              <w:t>3,667,534</w:t>
            </w:r>
          </w:p>
        </w:tc>
        <w:tc>
          <w:tcPr>
            <w:tcW w:w="0" w:type="dxa"/>
            <w:vAlign w:val="bottom"/>
          </w:tcPr>
          <w:p>
            <w:pPr>
              <w:spacing w:after="0"/>
              <w:rPr>
                <w:sz w:val="1"/>
                <w:szCs w:val="1"/>
                <w:color w:val="auto"/>
              </w:rPr>
            </w:pPr>
          </w:p>
        </w:tc>
      </w:tr>
      <w:tr>
        <w:trPr>
          <w:trHeight w:val="162"/>
        </w:trPr>
        <w:tc>
          <w:tcPr>
            <w:tcW w:w="3260" w:type="dxa"/>
            <w:vAlign w:val="bottom"/>
            <w:tcBorders>
              <w:right w:val="single" w:sz="8" w:color="007CBA"/>
            </w:tcBorders>
            <w:shd w:val="clear" w:color="auto" w:fill="E5F1F8"/>
          </w:tcPr>
          <w:p>
            <w:pPr>
              <w:spacing w:after="0"/>
              <w:rPr>
                <w:sz w:val="14"/>
                <w:szCs w:val="14"/>
                <w:color w:val="auto"/>
              </w:rPr>
            </w:pPr>
          </w:p>
        </w:tc>
        <w:tc>
          <w:tcPr>
            <w:tcW w:w="900" w:type="dxa"/>
            <w:vAlign w:val="bottom"/>
            <w:tcBorders>
              <w:right w:val="single" w:sz="8" w:color="007CBA"/>
            </w:tcBorders>
            <w:shd w:val="clear" w:color="auto" w:fill="E5F1F8"/>
          </w:tcPr>
          <w:p>
            <w:pPr>
              <w:jc w:val="right"/>
              <w:ind w:right="130"/>
              <w:spacing w:after="0"/>
              <w:rPr>
                <w:sz w:val="20"/>
                <w:szCs w:val="20"/>
                <w:color w:val="auto"/>
              </w:rPr>
            </w:pPr>
            <w:r>
              <w:rPr>
                <w:rFonts w:ascii="Arial" w:cs="Arial" w:eastAsia="Arial" w:hAnsi="Arial"/>
                <w:sz w:val="14"/>
                <w:szCs w:val="14"/>
                <w:color w:val="auto"/>
              </w:rPr>
              <w:t>16,317</w:t>
            </w:r>
          </w:p>
        </w:tc>
        <w:tc>
          <w:tcPr>
            <w:tcW w:w="1020" w:type="dxa"/>
            <w:vAlign w:val="bottom"/>
            <w:tcBorders>
              <w:right w:val="single" w:sz="8" w:color="007CBA"/>
            </w:tcBorders>
            <w:shd w:val="clear" w:color="auto" w:fill="E5F1F8"/>
          </w:tcPr>
          <w:p>
            <w:pPr>
              <w:jc w:val="right"/>
              <w:ind w:right="212"/>
              <w:spacing w:after="0"/>
              <w:rPr>
                <w:sz w:val="20"/>
                <w:szCs w:val="20"/>
                <w:color w:val="auto"/>
              </w:rPr>
            </w:pPr>
            <w:r>
              <w:rPr>
                <w:rFonts w:ascii="Arial" w:cs="Arial" w:eastAsia="Arial" w:hAnsi="Arial"/>
                <w:sz w:val="14"/>
                <w:szCs w:val="14"/>
                <w:color w:val="auto"/>
              </w:rPr>
              <w:t>0</w:t>
            </w:r>
          </w:p>
        </w:tc>
        <w:tc>
          <w:tcPr>
            <w:tcW w:w="76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69.12</w:t>
            </w:r>
          </w:p>
        </w:tc>
        <w:tc>
          <w:tcPr>
            <w:tcW w:w="860" w:type="dxa"/>
            <w:vAlign w:val="bottom"/>
            <w:tcBorders>
              <w:right w:val="single" w:sz="8" w:color="007CBA"/>
            </w:tcBorders>
            <w:shd w:val="clear" w:color="auto" w:fill="E5F1F8"/>
          </w:tcPr>
          <w:p>
            <w:pPr>
              <w:jc w:val="right"/>
              <w:ind w:right="29"/>
              <w:spacing w:after="0"/>
              <w:rPr>
                <w:sz w:val="20"/>
                <w:szCs w:val="20"/>
                <w:color w:val="auto"/>
              </w:rPr>
            </w:pPr>
            <w:r>
              <w:rPr>
                <w:rFonts w:ascii="Arial" w:cs="Arial" w:eastAsia="Arial" w:hAnsi="Arial"/>
                <w:sz w:val="14"/>
                <w:szCs w:val="14"/>
                <w:color w:val="auto"/>
              </w:rPr>
              <w:t>5/24/2020</w:t>
            </w:r>
          </w:p>
        </w:tc>
        <w:tc>
          <w:tcPr>
            <w:tcW w:w="1020" w:type="dxa"/>
            <w:vAlign w:val="bottom"/>
            <w:tcBorders>
              <w:right w:val="single" w:sz="8" w:color="007CBA"/>
            </w:tcBorders>
            <w:shd w:val="clear" w:color="auto" w:fill="E5F1F8"/>
          </w:tcPr>
          <w:p>
            <w:pPr>
              <w:jc w:val="right"/>
              <w:ind w:right="78"/>
              <w:spacing w:after="0" w:line="162" w:lineRule="exact"/>
              <w:rPr>
                <w:sz w:val="20"/>
                <w:szCs w:val="20"/>
                <w:color w:val="auto"/>
              </w:rPr>
            </w:pPr>
            <w:r>
              <w:rPr>
                <w:rFonts w:ascii="Arial" w:cs="Arial" w:eastAsia="Arial" w:hAnsi="Arial"/>
                <w:sz w:val="11"/>
                <w:szCs w:val="11"/>
                <w:color w:val="auto"/>
              </w:rPr>
              <w:t>3,556</w:t>
            </w:r>
            <w:r>
              <w:rPr>
                <w:rFonts w:ascii="Arial" w:cs="Arial" w:eastAsia="Arial" w:hAnsi="Arial"/>
                <w:sz w:val="18"/>
                <w:szCs w:val="18"/>
                <w:color w:val="auto"/>
                <w:vertAlign w:val="superscript"/>
              </w:rPr>
              <w:t>4</w:t>
            </w:r>
          </w:p>
        </w:tc>
        <w:tc>
          <w:tcPr>
            <w:tcW w:w="100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611,170</w:t>
            </w:r>
          </w:p>
        </w:tc>
        <w:tc>
          <w:tcPr>
            <w:tcW w:w="1260" w:type="dxa"/>
            <w:vAlign w:val="bottom"/>
            <w:tcBorders>
              <w:right w:val="single" w:sz="8" w:color="007CBA"/>
            </w:tcBorders>
            <w:shd w:val="clear" w:color="auto" w:fill="E5F1F8"/>
          </w:tcPr>
          <w:p>
            <w:pPr>
              <w:ind w:left="600"/>
              <w:spacing w:after="0" w:line="162" w:lineRule="exact"/>
              <w:rPr>
                <w:sz w:val="20"/>
                <w:szCs w:val="20"/>
                <w:color w:val="auto"/>
              </w:rPr>
            </w:pPr>
            <w:r>
              <w:rPr>
                <w:rFonts w:ascii="Arial" w:cs="Arial" w:eastAsia="Arial" w:hAnsi="Arial"/>
                <w:sz w:val="11"/>
                <w:szCs w:val="11"/>
                <w:color w:val="auto"/>
              </w:rPr>
              <w:t>11,355</w:t>
            </w:r>
            <w:r>
              <w:rPr>
                <w:rFonts w:ascii="Arial" w:cs="Arial" w:eastAsia="Arial" w:hAnsi="Arial"/>
                <w:sz w:val="18"/>
                <w:szCs w:val="18"/>
                <w:color w:val="auto"/>
                <w:vertAlign w:val="superscript"/>
              </w:rPr>
              <w:t>10</w:t>
            </w:r>
          </w:p>
        </w:tc>
        <w:tc>
          <w:tcPr>
            <w:tcW w:w="920" w:type="dxa"/>
            <w:vAlign w:val="bottom"/>
            <w:gridSpan w:val="2"/>
            <w:shd w:val="clear" w:color="auto" w:fill="E5F1F8"/>
          </w:tcPr>
          <w:p>
            <w:pPr>
              <w:jc w:val="right"/>
              <w:ind w:right="37"/>
              <w:spacing w:after="0"/>
              <w:rPr>
                <w:sz w:val="20"/>
                <w:szCs w:val="20"/>
                <w:color w:val="auto"/>
              </w:rPr>
            </w:pPr>
            <w:r>
              <w:rPr>
                <w:rFonts w:ascii="Arial" w:cs="Arial" w:eastAsia="Arial" w:hAnsi="Arial"/>
                <w:sz w:val="14"/>
                <w:szCs w:val="14"/>
                <w:color w:val="auto"/>
              </w:rPr>
              <w:t>1,951,584</w:t>
            </w:r>
          </w:p>
        </w:tc>
        <w:tc>
          <w:tcPr>
            <w:tcW w:w="0" w:type="dxa"/>
            <w:vAlign w:val="bottom"/>
          </w:tcPr>
          <w:p>
            <w:pPr>
              <w:spacing w:after="0"/>
              <w:rPr>
                <w:sz w:val="1"/>
                <w:szCs w:val="1"/>
                <w:color w:val="auto"/>
              </w:rPr>
            </w:pPr>
          </w:p>
        </w:tc>
      </w:tr>
      <w:tr>
        <w:trPr>
          <w:trHeight w:val="162"/>
        </w:trPr>
        <w:tc>
          <w:tcPr>
            <w:tcW w:w="3260" w:type="dxa"/>
            <w:vAlign w:val="bottom"/>
            <w:tcBorders>
              <w:right w:val="single" w:sz="8" w:color="007CBA"/>
            </w:tcBorders>
            <w:shd w:val="clear" w:color="auto" w:fill="E5F1F8"/>
          </w:tcPr>
          <w:p>
            <w:pPr>
              <w:spacing w:after="0"/>
              <w:rPr>
                <w:sz w:val="14"/>
                <w:szCs w:val="14"/>
                <w:color w:val="auto"/>
              </w:rPr>
            </w:pPr>
          </w:p>
        </w:tc>
        <w:tc>
          <w:tcPr>
            <w:tcW w:w="900" w:type="dxa"/>
            <w:vAlign w:val="bottom"/>
            <w:tcBorders>
              <w:right w:val="single" w:sz="8" w:color="007CBA"/>
            </w:tcBorders>
            <w:shd w:val="clear" w:color="auto" w:fill="E5F1F8"/>
          </w:tcPr>
          <w:p>
            <w:pPr>
              <w:jc w:val="right"/>
              <w:ind w:right="130"/>
              <w:spacing w:after="0"/>
              <w:rPr>
                <w:sz w:val="20"/>
                <w:szCs w:val="20"/>
                <w:color w:val="auto"/>
              </w:rPr>
            </w:pPr>
            <w:r>
              <w:rPr>
                <w:rFonts w:ascii="Arial" w:cs="Arial" w:eastAsia="Arial" w:hAnsi="Arial"/>
                <w:sz w:val="14"/>
                <w:szCs w:val="14"/>
                <w:color w:val="auto"/>
              </w:rPr>
              <w:t>14,475</w:t>
            </w:r>
          </w:p>
        </w:tc>
        <w:tc>
          <w:tcPr>
            <w:tcW w:w="1020" w:type="dxa"/>
            <w:vAlign w:val="bottom"/>
            <w:tcBorders>
              <w:right w:val="single" w:sz="8" w:color="007CBA"/>
            </w:tcBorders>
            <w:shd w:val="clear" w:color="auto" w:fill="E5F1F8"/>
          </w:tcPr>
          <w:p>
            <w:pPr>
              <w:jc w:val="right"/>
              <w:ind w:right="212"/>
              <w:spacing w:after="0"/>
              <w:rPr>
                <w:sz w:val="20"/>
                <w:szCs w:val="20"/>
                <w:color w:val="auto"/>
              </w:rPr>
            </w:pPr>
            <w:r>
              <w:rPr>
                <w:rFonts w:ascii="Arial" w:cs="Arial" w:eastAsia="Arial" w:hAnsi="Arial"/>
                <w:sz w:val="14"/>
                <w:szCs w:val="14"/>
                <w:color w:val="auto"/>
              </w:rPr>
              <w:t>0</w:t>
            </w:r>
          </w:p>
        </w:tc>
        <w:tc>
          <w:tcPr>
            <w:tcW w:w="76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108.24</w:t>
            </w:r>
          </w:p>
        </w:tc>
        <w:tc>
          <w:tcPr>
            <w:tcW w:w="860" w:type="dxa"/>
            <w:vAlign w:val="bottom"/>
            <w:tcBorders>
              <w:right w:val="single" w:sz="8" w:color="007CBA"/>
            </w:tcBorders>
            <w:shd w:val="clear" w:color="auto" w:fill="E5F1F8"/>
          </w:tcPr>
          <w:p>
            <w:pPr>
              <w:jc w:val="right"/>
              <w:ind w:right="29"/>
              <w:spacing w:after="0"/>
              <w:rPr>
                <w:sz w:val="20"/>
                <w:szCs w:val="20"/>
                <w:color w:val="auto"/>
              </w:rPr>
            </w:pPr>
            <w:r>
              <w:rPr>
                <w:rFonts w:ascii="Arial" w:cs="Arial" w:eastAsia="Arial" w:hAnsi="Arial"/>
                <w:sz w:val="14"/>
                <w:szCs w:val="14"/>
                <w:color w:val="auto"/>
              </w:rPr>
              <w:t>5/23/2023</w:t>
            </w:r>
          </w:p>
        </w:tc>
        <w:tc>
          <w:tcPr>
            <w:tcW w:w="1020" w:type="dxa"/>
            <w:vAlign w:val="bottom"/>
            <w:tcBorders>
              <w:right w:val="single" w:sz="8" w:color="007CBA"/>
            </w:tcBorders>
            <w:shd w:val="clear" w:color="auto" w:fill="E5F1F8"/>
          </w:tcPr>
          <w:p>
            <w:pPr>
              <w:jc w:val="right"/>
              <w:ind w:right="78"/>
              <w:spacing w:after="0" w:line="162" w:lineRule="exact"/>
              <w:rPr>
                <w:sz w:val="20"/>
                <w:szCs w:val="20"/>
                <w:color w:val="auto"/>
              </w:rPr>
            </w:pPr>
            <w:r>
              <w:rPr>
                <w:rFonts w:ascii="Arial" w:cs="Arial" w:eastAsia="Arial" w:hAnsi="Arial"/>
                <w:sz w:val="11"/>
                <w:szCs w:val="11"/>
                <w:color w:val="auto"/>
              </w:rPr>
              <w:t>6,502</w:t>
            </w:r>
            <w:r>
              <w:rPr>
                <w:rFonts w:ascii="Arial" w:cs="Arial" w:eastAsia="Arial" w:hAnsi="Arial"/>
                <w:sz w:val="18"/>
                <w:szCs w:val="18"/>
                <w:color w:val="auto"/>
                <w:vertAlign w:val="superscript"/>
              </w:rPr>
              <w:t>5</w:t>
            </w:r>
          </w:p>
        </w:tc>
        <w:tc>
          <w:tcPr>
            <w:tcW w:w="100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1,117,499</w:t>
            </w:r>
          </w:p>
        </w:tc>
        <w:tc>
          <w:tcPr>
            <w:tcW w:w="1260" w:type="dxa"/>
            <w:vAlign w:val="bottom"/>
            <w:tcBorders>
              <w:right w:val="single" w:sz="8" w:color="007CBA"/>
            </w:tcBorders>
            <w:shd w:val="clear" w:color="auto" w:fill="E5F1F8"/>
          </w:tcPr>
          <w:p>
            <w:pPr>
              <w:ind w:left="680"/>
              <w:spacing w:after="0" w:line="162" w:lineRule="exact"/>
              <w:rPr>
                <w:sz w:val="20"/>
                <w:szCs w:val="20"/>
                <w:color w:val="auto"/>
              </w:rPr>
            </w:pPr>
            <w:r>
              <w:rPr>
                <w:rFonts w:ascii="Arial" w:cs="Arial" w:eastAsia="Arial" w:hAnsi="Arial"/>
                <w:sz w:val="11"/>
                <w:szCs w:val="11"/>
                <w:color w:val="auto"/>
              </w:rPr>
              <w:t>9,940</w:t>
            </w:r>
            <w:r>
              <w:rPr>
                <w:rFonts w:ascii="Arial" w:cs="Arial" w:eastAsia="Arial" w:hAnsi="Arial"/>
                <w:sz w:val="18"/>
                <w:szCs w:val="18"/>
                <w:color w:val="auto"/>
                <w:vertAlign w:val="superscript"/>
              </w:rPr>
              <w:t>11</w:t>
            </w:r>
          </w:p>
        </w:tc>
        <w:tc>
          <w:tcPr>
            <w:tcW w:w="920" w:type="dxa"/>
            <w:vAlign w:val="bottom"/>
            <w:gridSpan w:val="2"/>
            <w:shd w:val="clear" w:color="auto" w:fill="E5F1F8"/>
          </w:tcPr>
          <w:p>
            <w:pPr>
              <w:jc w:val="right"/>
              <w:ind w:right="37"/>
              <w:spacing w:after="0"/>
              <w:rPr>
                <w:sz w:val="20"/>
                <w:szCs w:val="20"/>
                <w:color w:val="auto"/>
              </w:rPr>
            </w:pPr>
            <w:r>
              <w:rPr>
                <w:rFonts w:ascii="Arial" w:cs="Arial" w:eastAsia="Arial" w:hAnsi="Arial"/>
                <w:sz w:val="14"/>
                <w:szCs w:val="14"/>
                <w:color w:val="auto"/>
              </w:rPr>
              <w:t>1,708,388</w:t>
            </w:r>
          </w:p>
        </w:tc>
        <w:tc>
          <w:tcPr>
            <w:tcW w:w="0" w:type="dxa"/>
            <w:vAlign w:val="bottom"/>
          </w:tcPr>
          <w:p>
            <w:pPr>
              <w:spacing w:after="0"/>
              <w:rPr>
                <w:sz w:val="1"/>
                <w:szCs w:val="1"/>
                <w:color w:val="auto"/>
              </w:rPr>
            </w:pPr>
          </w:p>
        </w:tc>
      </w:tr>
      <w:tr>
        <w:trPr>
          <w:trHeight w:val="162"/>
        </w:trPr>
        <w:tc>
          <w:tcPr>
            <w:tcW w:w="3260" w:type="dxa"/>
            <w:vAlign w:val="bottom"/>
            <w:tcBorders>
              <w:right w:val="single" w:sz="8" w:color="007CBA"/>
            </w:tcBorders>
            <w:shd w:val="clear" w:color="auto" w:fill="E5F1F8"/>
          </w:tcPr>
          <w:p>
            <w:pPr>
              <w:spacing w:after="0"/>
              <w:rPr>
                <w:sz w:val="14"/>
                <w:szCs w:val="14"/>
                <w:color w:val="auto"/>
              </w:rPr>
            </w:pPr>
          </w:p>
        </w:tc>
        <w:tc>
          <w:tcPr>
            <w:tcW w:w="900" w:type="dxa"/>
            <w:vAlign w:val="bottom"/>
            <w:tcBorders>
              <w:right w:val="single" w:sz="8" w:color="007CBA"/>
            </w:tcBorders>
            <w:shd w:val="clear" w:color="auto" w:fill="E5F1F8"/>
          </w:tcPr>
          <w:p>
            <w:pPr>
              <w:jc w:val="right"/>
              <w:ind w:right="130"/>
              <w:spacing w:after="0"/>
              <w:rPr>
                <w:sz w:val="20"/>
                <w:szCs w:val="20"/>
                <w:color w:val="auto"/>
              </w:rPr>
            </w:pPr>
            <w:r>
              <w:rPr>
                <w:rFonts w:ascii="Arial" w:cs="Arial" w:eastAsia="Arial" w:hAnsi="Arial"/>
                <w:sz w:val="14"/>
                <w:szCs w:val="14"/>
                <w:color w:val="auto"/>
              </w:rPr>
              <w:t>6,792</w:t>
            </w:r>
          </w:p>
        </w:tc>
        <w:tc>
          <w:tcPr>
            <w:tcW w:w="1020" w:type="dxa"/>
            <w:vAlign w:val="bottom"/>
            <w:tcBorders>
              <w:right w:val="single" w:sz="8" w:color="007CBA"/>
            </w:tcBorders>
            <w:shd w:val="clear" w:color="auto" w:fill="E5F1F8"/>
          </w:tcPr>
          <w:p>
            <w:pPr>
              <w:jc w:val="right"/>
              <w:ind w:right="212"/>
              <w:spacing w:after="0"/>
              <w:rPr>
                <w:sz w:val="20"/>
                <w:szCs w:val="20"/>
                <w:color w:val="auto"/>
              </w:rPr>
            </w:pPr>
            <w:r>
              <w:rPr>
                <w:rFonts w:ascii="Arial" w:cs="Arial" w:eastAsia="Arial" w:hAnsi="Arial"/>
                <w:sz w:val="14"/>
                <w:szCs w:val="14"/>
                <w:color w:val="auto"/>
              </w:rPr>
              <w:t>0</w:t>
            </w:r>
          </w:p>
        </w:tc>
        <w:tc>
          <w:tcPr>
            <w:tcW w:w="76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121.00</w:t>
            </w:r>
          </w:p>
        </w:tc>
        <w:tc>
          <w:tcPr>
            <w:tcW w:w="860" w:type="dxa"/>
            <w:vAlign w:val="bottom"/>
            <w:tcBorders>
              <w:right w:val="single" w:sz="8" w:color="007CBA"/>
            </w:tcBorders>
            <w:shd w:val="clear" w:color="auto" w:fill="E5F1F8"/>
          </w:tcPr>
          <w:p>
            <w:pPr>
              <w:jc w:val="right"/>
              <w:ind w:right="29"/>
              <w:spacing w:after="0"/>
              <w:rPr>
                <w:sz w:val="20"/>
                <w:szCs w:val="20"/>
                <w:color w:val="auto"/>
              </w:rPr>
            </w:pPr>
            <w:r>
              <w:rPr>
                <w:rFonts w:ascii="Arial" w:cs="Arial" w:eastAsia="Arial" w:hAnsi="Arial"/>
                <w:sz w:val="14"/>
                <w:szCs w:val="14"/>
                <w:color w:val="auto"/>
              </w:rPr>
              <w:t>5/22/2024</w:t>
            </w:r>
          </w:p>
        </w:tc>
        <w:tc>
          <w:tcPr>
            <w:tcW w:w="1020" w:type="dxa"/>
            <w:vAlign w:val="bottom"/>
            <w:tcBorders>
              <w:right w:val="single" w:sz="8" w:color="007CBA"/>
            </w:tcBorders>
            <w:shd w:val="clear" w:color="auto" w:fill="E5F1F8"/>
          </w:tcPr>
          <w:p>
            <w:pPr>
              <w:jc w:val="right"/>
              <w:ind w:right="78"/>
              <w:spacing w:after="0" w:line="162" w:lineRule="exact"/>
              <w:rPr>
                <w:sz w:val="20"/>
                <w:szCs w:val="20"/>
                <w:color w:val="auto"/>
              </w:rPr>
            </w:pPr>
            <w:r>
              <w:rPr>
                <w:rFonts w:ascii="Arial" w:cs="Arial" w:eastAsia="Arial" w:hAnsi="Arial"/>
                <w:sz w:val="11"/>
                <w:szCs w:val="11"/>
                <w:color w:val="auto"/>
              </w:rPr>
              <w:t>8,539</w:t>
            </w:r>
            <w:r>
              <w:rPr>
                <w:rFonts w:ascii="Arial" w:cs="Arial" w:eastAsia="Arial" w:hAnsi="Arial"/>
                <w:sz w:val="18"/>
                <w:szCs w:val="18"/>
                <w:color w:val="auto"/>
                <w:vertAlign w:val="superscript"/>
              </w:rPr>
              <w:t>6</w:t>
            </w:r>
          </w:p>
        </w:tc>
        <w:tc>
          <w:tcPr>
            <w:tcW w:w="100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1,467,598</w:t>
            </w:r>
          </w:p>
        </w:tc>
        <w:tc>
          <w:tcPr>
            <w:tcW w:w="1260" w:type="dxa"/>
            <w:vAlign w:val="bottom"/>
            <w:tcBorders>
              <w:right w:val="single" w:sz="8" w:color="007CBA"/>
            </w:tcBorders>
            <w:shd w:val="clear" w:color="auto" w:fill="E5F1F8"/>
          </w:tcPr>
          <w:p>
            <w:pPr>
              <w:spacing w:after="0"/>
              <w:rPr>
                <w:sz w:val="14"/>
                <w:szCs w:val="14"/>
                <w:color w:val="auto"/>
              </w:rPr>
            </w:pPr>
          </w:p>
        </w:tc>
        <w:tc>
          <w:tcPr>
            <w:tcW w:w="780" w:type="dxa"/>
            <w:vAlign w:val="bottom"/>
            <w:shd w:val="clear" w:color="auto" w:fill="E5F1F8"/>
          </w:tcPr>
          <w:p>
            <w:pPr>
              <w:spacing w:after="0"/>
              <w:rPr>
                <w:sz w:val="14"/>
                <w:szCs w:val="14"/>
                <w:color w:val="auto"/>
              </w:rPr>
            </w:pPr>
          </w:p>
        </w:tc>
        <w:tc>
          <w:tcPr>
            <w:tcW w:w="140" w:type="dxa"/>
            <w:vAlign w:val="bottom"/>
            <w:shd w:val="clear" w:color="auto" w:fill="E5F1F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Borders>
              <w:right w:val="single" w:sz="8" w:color="007CBA"/>
            </w:tcBorders>
            <w:shd w:val="clear" w:color="auto" w:fill="E5F1F8"/>
          </w:tcPr>
          <w:p>
            <w:pPr>
              <w:spacing w:after="0"/>
              <w:rPr>
                <w:sz w:val="14"/>
                <w:szCs w:val="14"/>
                <w:color w:val="auto"/>
              </w:rPr>
            </w:pPr>
          </w:p>
        </w:tc>
        <w:tc>
          <w:tcPr>
            <w:tcW w:w="900" w:type="dxa"/>
            <w:vAlign w:val="bottom"/>
            <w:tcBorders>
              <w:right w:val="single" w:sz="8" w:color="007CBA"/>
            </w:tcBorders>
            <w:shd w:val="clear" w:color="auto" w:fill="E5F1F8"/>
          </w:tcPr>
          <w:p>
            <w:pPr>
              <w:jc w:val="right"/>
              <w:ind w:right="130"/>
              <w:spacing w:after="0"/>
              <w:rPr>
                <w:sz w:val="20"/>
                <w:szCs w:val="20"/>
                <w:color w:val="auto"/>
              </w:rPr>
            </w:pPr>
            <w:r>
              <w:rPr>
                <w:rFonts w:ascii="Arial" w:cs="Arial" w:eastAsia="Arial" w:hAnsi="Arial"/>
                <w:sz w:val="14"/>
                <w:szCs w:val="14"/>
                <w:color w:val="auto"/>
              </w:rPr>
              <w:t>6,340</w:t>
            </w:r>
          </w:p>
        </w:tc>
        <w:tc>
          <w:tcPr>
            <w:tcW w:w="1020" w:type="dxa"/>
            <w:vAlign w:val="bottom"/>
            <w:tcBorders>
              <w:right w:val="single" w:sz="8" w:color="007CBA"/>
            </w:tcBorders>
            <w:shd w:val="clear" w:color="auto" w:fill="E5F1F8"/>
          </w:tcPr>
          <w:p>
            <w:pPr>
              <w:jc w:val="right"/>
              <w:ind w:right="192"/>
              <w:spacing w:after="0" w:line="162" w:lineRule="exact"/>
              <w:rPr>
                <w:sz w:val="20"/>
                <w:szCs w:val="20"/>
                <w:color w:val="auto"/>
              </w:rPr>
            </w:pPr>
            <w:r>
              <w:rPr>
                <w:rFonts w:ascii="Arial" w:cs="Arial" w:eastAsia="Arial" w:hAnsi="Arial"/>
                <w:sz w:val="11"/>
                <w:szCs w:val="11"/>
                <w:color w:val="auto"/>
              </w:rPr>
              <w:t>3,170</w:t>
            </w:r>
            <w:r>
              <w:rPr>
                <w:rFonts w:ascii="Arial" w:cs="Arial" w:eastAsia="Arial" w:hAnsi="Arial"/>
                <w:sz w:val="18"/>
                <w:szCs w:val="18"/>
                <w:color w:val="auto"/>
                <w:vertAlign w:val="superscript"/>
              </w:rPr>
              <w:t>2</w:t>
            </w:r>
          </w:p>
        </w:tc>
        <w:tc>
          <w:tcPr>
            <w:tcW w:w="76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154.58</w:t>
            </w:r>
          </w:p>
        </w:tc>
        <w:tc>
          <w:tcPr>
            <w:tcW w:w="860" w:type="dxa"/>
            <w:vAlign w:val="bottom"/>
            <w:tcBorders>
              <w:right w:val="single" w:sz="8" w:color="007CBA"/>
            </w:tcBorders>
            <w:shd w:val="clear" w:color="auto" w:fill="E5F1F8"/>
          </w:tcPr>
          <w:p>
            <w:pPr>
              <w:jc w:val="right"/>
              <w:ind w:right="29"/>
              <w:spacing w:after="0"/>
              <w:rPr>
                <w:sz w:val="20"/>
                <w:szCs w:val="20"/>
                <w:color w:val="auto"/>
              </w:rPr>
            </w:pPr>
            <w:r>
              <w:rPr>
                <w:rFonts w:ascii="Arial" w:cs="Arial" w:eastAsia="Arial" w:hAnsi="Arial"/>
                <w:sz w:val="14"/>
                <w:szCs w:val="14"/>
                <w:color w:val="auto"/>
              </w:rPr>
              <w:t>5/21/2025</w:t>
            </w:r>
          </w:p>
        </w:tc>
        <w:tc>
          <w:tcPr>
            <w:tcW w:w="1020" w:type="dxa"/>
            <w:vAlign w:val="bottom"/>
            <w:tcBorders>
              <w:right w:val="single" w:sz="8" w:color="007CBA"/>
            </w:tcBorders>
            <w:shd w:val="clear" w:color="auto" w:fill="E5F1F8"/>
          </w:tcPr>
          <w:p>
            <w:pPr>
              <w:jc w:val="right"/>
              <w:ind w:right="78"/>
              <w:spacing w:after="0" w:line="162" w:lineRule="exact"/>
              <w:rPr>
                <w:sz w:val="20"/>
                <w:szCs w:val="20"/>
                <w:color w:val="auto"/>
              </w:rPr>
            </w:pPr>
            <w:r>
              <w:rPr>
                <w:rFonts w:ascii="Arial" w:cs="Arial" w:eastAsia="Arial" w:hAnsi="Arial"/>
                <w:sz w:val="11"/>
                <w:szCs w:val="11"/>
                <w:color w:val="auto"/>
              </w:rPr>
              <w:t>5,991</w:t>
            </w:r>
            <w:r>
              <w:rPr>
                <w:rFonts w:ascii="Arial" w:cs="Arial" w:eastAsia="Arial" w:hAnsi="Arial"/>
                <w:sz w:val="18"/>
                <w:szCs w:val="18"/>
                <w:color w:val="auto"/>
                <w:vertAlign w:val="superscript"/>
              </w:rPr>
              <w:t>7</w:t>
            </w:r>
          </w:p>
        </w:tc>
        <w:tc>
          <w:tcPr>
            <w:tcW w:w="100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1,029,673</w:t>
            </w:r>
          </w:p>
        </w:tc>
        <w:tc>
          <w:tcPr>
            <w:tcW w:w="1260" w:type="dxa"/>
            <w:vAlign w:val="bottom"/>
            <w:tcBorders>
              <w:right w:val="single" w:sz="8" w:color="007CBA"/>
            </w:tcBorders>
            <w:shd w:val="clear" w:color="auto" w:fill="E5F1F8"/>
          </w:tcPr>
          <w:p>
            <w:pPr>
              <w:spacing w:after="0"/>
              <w:rPr>
                <w:sz w:val="14"/>
                <w:szCs w:val="14"/>
                <w:color w:val="auto"/>
              </w:rPr>
            </w:pPr>
          </w:p>
        </w:tc>
        <w:tc>
          <w:tcPr>
            <w:tcW w:w="780" w:type="dxa"/>
            <w:vAlign w:val="bottom"/>
            <w:shd w:val="clear" w:color="auto" w:fill="E5F1F8"/>
          </w:tcPr>
          <w:p>
            <w:pPr>
              <w:spacing w:after="0"/>
              <w:rPr>
                <w:sz w:val="14"/>
                <w:szCs w:val="14"/>
                <w:color w:val="auto"/>
              </w:rPr>
            </w:pPr>
          </w:p>
        </w:tc>
        <w:tc>
          <w:tcPr>
            <w:tcW w:w="140" w:type="dxa"/>
            <w:vAlign w:val="bottom"/>
            <w:shd w:val="clear" w:color="auto" w:fill="E5F1F8"/>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260" w:type="dxa"/>
            <w:vAlign w:val="bottom"/>
            <w:tcBorders>
              <w:right w:val="single" w:sz="8" w:color="007CBA"/>
            </w:tcBorders>
            <w:shd w:val="clear" w:color="auto" w:fill="E5F1F8"/>
          </w:tcPr>
          <w:p>
            <w:pPr>
              <w:spacing w:after="0"/>
              <w:rPr>
                <w:sz w:val="15"/>
                <w:szCs w:val="15"/>
                <w:color w:val="auto"/>
              </w:rPr>
            </w:pPr>
          </w:p>
        </w:tc>
        <w:tc>
          <w:tcPr>
            <w:tcW w:w="900" w:type="dxa"/>
            <w:vAlign w:val="bottom"/>
            <w:tcBorders>
              <w:right w:val="single" w:sz="8" w:color="007CBA"/>
            </w:tcBorders>
            <w:shd w:val="clear" w:color="auto" w:fill="E5F1F8"/>
          </w:tcPr>
          <w:p>
            <w:pPr>
              <w:spacing w:after="0"/>
              <w:rPr>
                <w:sz w:val="15"/>
                <w:szCs w:val="15"/>
                <w:color w:val="auto"/>
              </w:rPr>
            </w:pPr>
          </w:p>
        </w:tc>
        <w:tc>
          <w:tcPr>
            <w:tcW w:w="1020" w:type="dxa"/>
            <w:vAlign w:val="bottom"/>
            <w:tcBorders>
              <w:right w:val="single" w:sz="8" w:color="007CBA"/>
            </w:tcBorders>
            <w:shd w:val="clear" w:color="auto" w:fill="E5F1F8"/>
          </w:tcPr>
          <w:p>
            <w:pPr>
              <w:spacing w:after="0"/>
              <w:rPr>
                <w:sz w:val="15"/>
                <w:szCs w:val="15"/>
                <w:color w:val="auto"/>
              </w:rPr>
            </w:pPr>
          </w:p>
        </w:tc>
        <w:tc>
          <w:tcPr>
            <w:tcW w:w="760" w:type="dxa"/>
            <w:vAlign w:val="bottom"/>
            <w:tcBorders>
              <w:right w:val="single" w:sz="8" w:color="007CBA"/>
            </w:tcBorders>
            <w:shd w:val="clear" w:color="auto" w:fill="E5F1F8"/>
          </w:tcPr>
          <w:p>
            <w:pPr>
              <w:spacing w:after="0"/>
              <w:rPr>
                <w:sz w:val="15"/>
                <w:szCs w:val="15"/>
                <w:color w:val="auto"/>
              </w:rPr>
            </w:pPr>
          </w:p>
        </w:tc>
        <w:tc>
          <w:tcPr>
            <w:tcW w:w="860" w:type="dxa"/>
            <w:vAlign w:val="bottom"/>
            <w:tcBorders>
              <w:right w:val="single" w:sz="8" w:color="007CBA"/>
            </w:tcBorders>
            <w:shd w:val="clear" w:color="auto" w:fill="E5F1F8"/>
          </w:tcPr>
          <w:p>
            <w:pPr>
              <w:spacing w:after="0"/>
              <w:rPr>
                <w:sz w:val="15"/>
                <w:szCs w:val="15"/>
                <w:color w:val="auto"/>
              </w:rPr>
            </w:pPr>
          </w:p>
        </w:tc>
        <w:tc>
          <w:tcPr>
            <w:tcW w:w="1020" w:type="dxa"/>
            <w:vAlign w:val="bottom"/>
            <w:tcBorders>
              <w:right w:val="single" w:sz="8" w:color="007CBA"/>
            </w:tcBorders>
            <w:shd w:val="clear" w:color="auto" w:fill="E5F1F8"/>
          </w:tcPr>
          <w:p>
            <w:pPr>
              <w:jc w:val="right"/>
              <w:ind w:right="78"/>
              <w:spacing w:after="0" w:line="178" w:lineRule="exact"/>
              <w:rPr>
                <w:sz w:val="20"/>
                <w:szCs w:val="20"/>
                <w:color w:val="auto"/>
              </w:rPr>
            </w:pPr>
            <w:r>
              <w:rPr>
                <w:rFonts w:ascii="Arial" w:cs="Arial" w:eastAsia="Arial" w:hAnsi="Arial"/>
                <w:sz w:val="12"/>
                <w:szCs w:val="12"/>
                <w:color w:val="auto"/>
              </w:rPr>
              <w:t>5,893</w:t>
            </w:r>
            <w:r>
              <w:rPr>
                <w:rFonts w:ascii="Arial" w:cs="Arial" w:eastAsia="Arial" w:hAnsi="Arial"/>
                <w:sz w:val="20"/>
                <w:szCs w:val="20"/>
                <w:color w:val="auto"/>
                <w:vertAlign w:val="superscript"/>
              </w:rPr>
              <w:t>8</w:t>
            </w:r>
          </w:p>
        </w:tc>
        <w:tc>
          <w:tcPr>
            <w:tcW w:w="100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1,012,830</w:t>
            </w:r>
          </w:p>
        </w:tc>
        <w:tc>
          <w:tcPr>
            <w:tcW w:w="1260" w:type="dxa"/>
            <w:vAlign w:val="bottom"/>
            <w:tcBorders>
              <w:right w:val="single" w:sz="8" w:color="007CBA"/>
            </w:tcBorders>
            <w:shd w:val="clear" w:color="auto" w:fill="E5F1F8"/>
          </w:tcPr>
          <w:p>
            <w:pPr>
              <w:spacing w:after="0"/>
              <w:rPr>
                <w:sz w:val="15"/>
                <w:szCs w:val="15"/>
                <w:color w:val="auto"/>
              </w:rPr>
            </w:pPr>
          </w:p>
        </w:tc>
        <w:tc>
          <w:tcPr>
            <w:tcW w:w="780" w:type="dxa"/>
            <w:vAlign w:val="bottom"/>
            <w:shd w:val="clear" w:color="auto" w:fill="E5F1F8"/>
          </w:tcPr>
          <w:p>
            <w:pPr>
              <w:spacing w:after="0"/>
              <w:rPr>
                <w:sz w:val="15"/>
                <w:szCs w:val="15"/>
                <w:color w:val="auto"/>
              </w:rPr>
            </w:pPr>
          </w:p>
        </w:tc>
        <w:tc>
          <w:tcPr>
            <w:tcW w:w="140" w:type="dxa"/>
            <w:vAlign w:val="bottom"/>
            <w:shd w:val="clear" w:color="auto" w:fill="E5F1F8"/>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260" w:type="dxa"/>
            <w:vAlign w:val="bottom"/>
            <w:tcBorders>
              <w:right w:val="single" w:sz="8" w:color="007CBA"/>
            </w:tcBorders>
          </w:tcPr>
          <w:p>
            <w:pPr>
              <w:ind w:left="80"/>
              <w:spacing w:after="0"/>
              <w:rPr>
                <w:sz w:val="20"/>
                <w:szCs w:val="20"/>
                <w:color w:val="auto"/>
              </w:rPr>
            </w:pPr>
            <w:r>
              <w:rPr>
                <w:rFonts w:ascii="Arial" w:cs="Arial" w:eastAsia="Arial" w:hAnsi="Arial"/>
                <w:sz w:val="14"/>
                <w:szCs w:val="14"/>
                <w:b w:val="1"/>
                <w:bCs w:val="1"/>
                <w:color w:val="auto"/>
              </w:rPr>
              <w:t>James A. J. Nickolas</w:t>
            </w:r>
          </w:p>
        </w:tc>
        <w:tc>
          <w:tcPr>
            <w:tcW w:w="900" w:type="dxa"/>
            <w:vAlign w:val="bottom"/>
            <w:tcBorders>
              <w:right w:val="single" w:sz="8" w:color="007CBA"/>
            </w:tcBorders>
          </w:tcPr>
          <w:p>
            <w:pPr>
              <w:spacing w:after="0"/>
              <w:rPr>
                <w:sz w:val="19"/>
                <w:szCs w:val="19"/>
                <w:color w:val="auto"/>
              </w:rPr>
            </w:pPr>
          </w:p>
        </w:tc>
        <w:tc>
          <w:tcPr>
            <w:tcW w:w="1020" w:type="dxa"/>
            <w:vAlign w:val="bottom"/>
            <w:tcBorders>
              <w:right w:val="single" w:sz="8" w:color="007CBA"/>
            </w:tcBorders>
          </w:tcPr>
          <w:p>
            <w:pPr>
              <w:spacing w:after="0"/>
              <w:rPr>
                <w:sz w:val="19"/>
                <w:szCs w:val="19"/>
                <w:color w:val="auto"/>
              </w:rPr>
            </w:pPr>
          </w:p>
        </w:tc>
        <w:tc>
          <w:tcPr>
            <w:tcW w:w="760" w:type="dxa"/>
            <w:vAlign w:val="bottom"/>
            <w:tcBorders>
              <w:right w:val="single" w:sz="8" w:color="007CBA"/>
            </w:tcBorders>
          </w:tcPr>
          <w:p>
            <w:pPr>
              <w:spacing w:after="0"/>
              <w:rPr>
                <w:sz w:val="19"/>
                <w:szCs w:val="19"/>
                <w:color w:val="auto"/>
              </w:rPr>
            </w:pPr>
          </w:p>
        </w:tc>
        <w:tc>
          <w:tcPr>
            <w:tcW w:w="860" w:type="dxa"/>
            <w:vAlign w:val="bottom"/>
            <w:tcBorders>
              <w:right w:val="single" w:sz="8" w:color="007CBA"/>
            </w:tcBorders>
          </w:tcPr>
          <w:p>
            <w:pPr>
              <w:spacing w:after="0"/>
              <w:rPr>
                <w:sz w:val="19"/>
                <w:szCs w:val="19"/>
                <w:color w:val="auto"/>
              </w:rPr>
            </w:pPr>
          </w:p>
        </w:tc>
        <w:tc>
          <w:tcPr>
            <w:tcW w:w="1020" w:type="dxa"/>
            <w:vAlign w:val="bottom"/>
            <w:tcBorders>
              <w:right w:val="single" w:sz="8" w:color="007CBA"/>
            </w:tcBorders>
          </w:tcPr>
          <w:p>
            <w:pPr>
              <w:jc w:val="right"/>
              <w:ind w:right="18"/>
              <w:spacing w:after="0" w:line="227" w:lineRule="exact"/>
              <w:rPr>
                <w:sz w:val="20"/>
                <w:szCs w:val="20"/>
                <w:color w:val="auto"/>
              </w:rPr>
            </w:pPr>
            <w:r>
              <w:rPr>
                <w:rFonts w:ascii="Arial" w:cs="Arial" w:eastAsia="Arial" w:hAnsi="Arial"/>
                <w:sz w:val="14"/>
                <w:szCs w:val="14"/>
                <w:color w:val="auto"/>
              </w:rPr>
              <w:t>5,130</w:t>
            </w:r>
            <w:r>
              <w:rPr>
                <w:rFonts w:ascii="Arial" w:cs="Arial" w:eastAsia="Arial" w:hAnsi="Arial"/>
                <w:sz w:val="24"/>
                <w:szCs w:val="24"/>
                <w:color w:val="auto"/>
                <w:vertAlign w:val="superscript"/>
              </w:rPr>
              <w:t>12</w:t>
            </w:r>
          </w:p>
        </w:tc>
        <w:tc>
          <w:tcPr>
            <w:tcW w:w="100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881,693</w:t>
            </w:r>
          </w:p>
        </w:tc>
        <w:tc>
          <w:tcPr>
            <w:tcW w:w="1260" w:type="dxa"/>
            <w:vAlign w:val="bottom"/>
            <w:tcBorders>
              <w:right w:val="single" w:sz="8" w:color="007CBA"/>
            </w:tcBorders>
          </w:tcPr>
          <w:p>
            <w:pPr>
              <w:ind w:left="680"/>
              <w:spacing w:after="0" w:line="227" w:lineRule="exact"/>
              <w:rPr>
                <w:sz w:val="20"/>
                <w:szCs w:val="20"/>
                <w:color w:val="auto"/>
              </w:rPr>
            </w:pPr>
            <w:r>
              <w:rPr>
                <w:rFonts w:ascii="Arial" w:cs="Arial" w:eastAsia="Arial" w:hAnsi="Arial"/>
                <w:sz w:val="14"/>
                <w:szCs w:val="14"/>
                <w:color w:val="auto"/>
              </w:rPr>
              <w:t>1,956</w:t>
            </w:r>
            <w:r>
              <w:rPr>
                <w:rFonts w:ascii="Arial" w:cs="Arial" w:eastAsia="Arial" w:hAnsi="Arial"/>
                <w:sz w:val="24"/>
                <w:szCs w:val="24"/>
                <w:color w:val="auto"/>
                <w:vertAlign w:val="superscript"/>
              </w:rPr>
              <w:t>11</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336,178</w:t>
            </w:r>
          </w:p>
        </w:tc>
        <w:tc>
          <w:tcPr>
            <w:tcW w:w="0" w:type="dxa"/>
            <w:vAlign w:val="bottom"/>
          </w:tcPr>
          <w:p>
            <w:pPr>
              <w:spacing w:after="0"/>
              <w:rPr>
                <w:sz w:val="1"/>
                <w:szCs w:val="1"/>
                <w:color w:val="auto"/>
              </w:rPr>
            </w:pPr>
          </w:p>
        </w:tc>
      </w:tr>
      <w:tr>
        <w:trPr>
          <w:trHeight w:val="178"/>
        </w:trPr>
        <w:tc>
          <w:tcPr>
            <w:tcW w:w="3260" w:type="dxa"/>
            <w:vAlign w:val="bottom"/>
            <w:tcBorders>
              <w:right w:val="single" w:sz="8" w:color="007CBA"/>
            </w:tcBorders>
          </w:tcPr>
          <w:p>
            <w:pPr>
              <w:spacing w:after="0"/>
              <w:rPr>
                <w:sz w:val="15"/>
                <w:szCs w:val="15"/>
                <w:color w:val="auto"/>
              </w:rPr>
            </w:pPr>
          </w:p>
        </w:tc>
        <w:tc>
          <w:tcPr>
            <w:tcW w:w="900" w:type="dxa"/>
            <w:vAlign w:val="bottom"/>
            <w:tcBorders>
              <w:right w:val="single" w:sz="8" w:color="007CBA"/>
            </w:tcBorders>
          </w:tcPr>
          <w:p>
            <w:pPr>
              <w:spacing w:after="0"/>
              <w:rPr>
                <w:sz w:val="15"/>
                <w:szCs w:val="15"/>
                <w:color w:val="auto"/>
              </w:rPr>
            </w:pPr>
          </w:p>
        </w:tc>
        <w:tc>
          <w:tcPr>
            <w:tcW w:w="1020" w:type="dxa"/>
            <w:vAlign w:val="bottom"/>
            <w:tcBorders>
              <w:right w:val="single" w:sz="8" w:color="007CBA"/>
            </w:tcBorders>
          </w:tcPr>
          <w:p>
            <w:pPr>
              <w:spacing w:after="0"/>
              <w:rPr>
                <w:sz w:val="15"/>
                <w:szCs w:val="15"/>
                <w:color w:val="auto"/>
              </w:rPr>
            </w:pPr>
          </w:p>
        </w:tc>
        <w:tc>
          <w:tcPr>
            <w:tcW w:w="760" w:type="dxa"/>
            <w:vAlign w:val="bottom"/>
            <w:tcBorders>
              <w:right w:val="single" w:sz="8" w:color="007CBA"/>
            </w:tcBorders>
          </w:tcPr>
          <w:p>
            <w:pPr>
              <w:spacing w:after="0"/>
              <w:rPr>
                <w:sz w:val="15"/>
                <w:szCs w:val="15"/>
                <w:color w:val="auto"/>
              </w:rPr>
            </w:pPr>
          </w:p>
        </w:tc>
        <w:tc>
          <w:tcPr>
            <w:tcW w:w="860" w:type="dxa"/>
            <w:vAlign w:val="bottom"/>
            <w:tcBorders>
              <w:right w:val="single" w:sz="8" w:color="007CBA"/>
            </w:tcBorders>
          </w:tcPr>
          <w:p>
            <w:pPr>
              <w:spacing w:after="0"/>
              <w:rPr>
                <w:sz w:val="15"/>
                <w:szCs w:val="15"/>
                <w:color w:val="auto"/>
              </w:rPr>
            </w:pPr>
          </w:p>
        </w:tc>
        <w:tc>
          <w:tcPr>
            <w:tcW w:w="1020" w:type="dxa"/>
            <w:vAlign w:val="bottom"/>
            <w:tcBorders>
              <w:right w:val="single" w:sz="8" w:color="007CBA"/>
            </w:tcBorders>
          </w:tcPr>
          <w:p>
            <w:pPr>
              <w:jc w:val="right"/>
              <w:ind w:right="78"/>
              <w:spacing w:after="0" w:line="178" w:lineRule="exact"/>
              <w:rPr>
                <w:sz w:val="20"/>
                <w:szCs w:val="20"/>
                <w:color w:val="auto"/>
              </w:rPr>
            </w:pPr>
            <w:r>
              <w:rPr>
                <w:rFonts w:ascii="Arial" w:cs="Arial" w:eastAsia="Arial" w:hAnsi="Arial"/>
                <w:sz w:val="12"/>
                <w:szCs w:val="12"/>
                <w:color w:val="auto"/>
              </w:rPr>
              <w:t>1,681</w:t>
            </w:r>
            <w:r>
              <w:rPr>
                <w:rFonts w:ascii="Arial" w:cs="Arial" w:eastAsia="Arial" w:hAnsi="Arial"/>
                <w:sz w:val="20"/>
                <w:szCs w:val="20"/>
                <w:color w:val="auto"/>
                <w:vertAlign w:val="superscript"/>
              </w:rPr>
              <w:t>6</w:t>
            </w:r>
          </w:p>
        </w:tc>
        <w:tc>
          <w:tcPr>
            <w:tcW w:w="100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288,913</w:t>
            </w:r>
          </w:p>
        </w:tc>
        <w:tc>
          <w:tcPr>
            <w:tcW w:w="1260" w:type="dxa"/>
            <w:vAlign w:val="bottom"/>
            <w:tcBorders>
              <w:right w:val="single" w:sz="8" w:color="007CBA"/>
            </w:tcBorders>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26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b w:val="1"/>
                <w:bCs w:val="1"/>
                <w:color w:val="auto"/>
              </w:rPr>
              <w:t>Roselyn R. Bar</w:t>
            </w:r>
          </w:p>
        </w:tc>
        <w:tc>
          <w:tcPr>
            <w:tcW w:w="900" w:type="dxa"/>
            <w:vAlign w:val="bottom"/>
            <w:tcBorders>
              <w:right w:val="single" w:sz="8" w:color="007CBA"/>
            </w:tcBorders>
            <w:shd w:val="clear" w:color="auto" w:fill="E5F1F8"/>
          </w:tcPr>
          <w:p>
            <w:pPr>
              <w:jc w:val="right"/>
              <w:ind w:right="130"/>
              <w:spacing w:after="0"/>
              <w:rPr>
                <w:sz w:val="20"/>
                <w:szCs w:val="20"/>
                <w:color w:val="auto"/>
              </w:rPr>
            </w:pPr>
            <w:r>
              <w:rPr>
                <w:rFonts w:ascii="Arial" w:cs="Arial" w:eastAsia="Arial" w:hAnsi="Arial"/>
                <w:sz w:val="14"/>
                <w:szCs w:val="14"/>
                <w:color w:val="auto"/>
              </w:rPr>
              <w:t>4,513</w:t>
            </w:r>
          </w:p>
        </w:tc>
        <w:tc>
          <w:tcPr>
            <w:tcW w:w="1020" w:type="dxa"/>
            <w:vAlign w:val="bottom"/>
            <w:tcBorders>
              <w:right w:val="single" w:sz="8" w:color="007CBA"/>
            </w:tcBorders>
            <w:shd w:val="clear" w:color="auto" w:fill="E5F1F8"/>
          </w:tcPr>
          <w:p>
            <w:pPr>
              <w:jc w:val="right"/>
              <w:ind w:right="212"/>
              <w:spacing w:after="0"/>
              <w:rPr>
                <w:sz w:val="20"/>
                <w:szCs w:val="20"/>
                <w:color w:val="auto"/>
              </w:rPr>
            </w:pPr>
            <w:r>
              <w:rPr>
                <w:rFonts w:ascii="Arial" w:cs="Arial" w:eastAsia="Arial" w:hAnsi="Arial"/>
                <w:sz w:val="14"/>
                <w:szCs w:val="14"/>
                <w:color w:val="auto"/>
              </w:rPr>
              <w:t>0</w:t>
            </w:r>
          </w:p>
        </w:tc>
        <w:tc>
          <w:tcPr>
            <w:tcW w:w="76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69.12</w:t>
            </w:r>
          </w:p>
        </w:tc>
        <w:tc>
          <w:tcPr>
            <w:tcW w:w="860" w:type="dxa"/>
            <w:vAlign w:val="bottom"/>
            <w:tcBorders>
              <w:right w:val="single" w:sz="8" w:color="007CBA"/>
            </w:tcBorders>
            <w:shd w:val="clear" w:color="auto" w:fill="E5F1F8"/>
          </w:tcPr>
          <w:p>
            <w:pPr>
              <w:jc w:val="right"/>
              <w:ind w:right="29"/>
              <w:spacing w:after="0"/>
              <w:rPr>
                <w:sz w:val="20"/>
                <w:szCs w:val="20"/>
                <w:color w:val="auto"/>
              </w:rPr>
            </w:pPr>
            <w:r>
              <w:rPr>
                <w:rFonts w:ascii="Arial" w:cs="Arial" w:eastAsia="Arial" w:hAnsi="Arial"/>
                <w:sz w:val="14"/>
                <w:szCs w:val="14"/>
                <w:color w:val="auto"/>
              </w:rPr>
              <w:t>5/24/2020</w:t>
            </w:r>
          </w:p>
        </w:tc>
        <w:tc>
          <w:tcPr>
            <w:tcW w:w="1020" w:type="dxa"/>
            <w:vAlign w:val="bottom"/>
            <w:tcBorders>
              <w:right w:val="single" w:sz="8" w:color="007CBA"/>
            </w:tcBorders>
            <w:shd w:val="clear" w:color="auto" w:fill="E5F1F8"/>
          </w:tcPr>
          <w:p>
            <w:pPr>
              <w:jc w:val="right"/>
              <w:ind w:right="78"/>
              <w:spacing w:after="0" w:line="227" w:lineRule="exact"/>
              <w:rPr>
                <w:sz w:val="20"/>
                <w:szCs w:val="20"/>
                <w:color w:val="auto"/>
              </w:rPr>
            </w:pPr>
            <w:r>
              <w:rPr>
                <w:rFonts w:ascii="Arial" w:cs="Arial" w:eastAsia="Arial" w:hAnsi="Arial"/>
                <w:sz w:val="14"/>
                <w:szCs w:val="14"/>
                <w:color w:val="auto"/>
              </w:rPr>
              <w:t>9,913</w:t>
            </w:r>
            <w:r>
              <w:rPr>
                <w:rFonts w:ascii="Arial" w:cs="Arial" w:eastAsia="Arial" w:hAnsi="Arial"/>
                <w:sz w:val="24"/>
                <w:szCs w:val="24"/>
                <w:color w:val="auto"/>
                <w:vertAlign w:val="superscript"/>
              </w:rPr>
              <w:t>3</w:t>
            </w:r>
          </w:p>
        </w:tc>
        <w:tc>
          <w:tcPr>
            <w:tcW w:w="100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1,703,747</w:t>
            </w:r>
          </w:p>
        </w:tc>
        <w:tc>
          <w:tcPr>
            <w:tcW w:w="1260" w:type="dxa"/>
            <w:vAlign w:val="bottom"/>
            <w:tcBorders>
              <w:right w:val="single" w:sz="8" w:color="007CBA"/>
            </w:tcBorders>
            <w:shd w:val="clear" w:color="auto" w:fill="E5F1F8"/>
          </w:tcPr>
          <w:p>
            <w:pPr>
              <w:ind w:left="680"/>
              <w:spacing w:after="0" w:line="227" w:lineRule="exact"/>
              <w:rPr>
                <w:sz w:val="20"/>
                <w:szCs w:val="20"/>
                <w:color w:val="auto"/>
              </w:rPr>
            </w:pPr>
            <w:r>
              <w:rPr>
                <w:rFonts w:ascii="Arial" w:cs="Arial" w:eastAsia="Arial" w:hAnsi="Arial"/>
                <w:sz w:val="14"/>
                <w:szCs w:val="14"/>
                <w:color w:val="auto"/>
              </w:rPr>
              <w:t>4,697</w:t>
            </w:r>
            <w:r>
              <w:rPr>
                <w:rFonts w:ascii="Arial" w:cs="Arial" w:eastAsia="Arial" w:hAnsi="Arial"/>
                <w:sz w:val="24"/>
                <w:szCs w:val="24"/>
                <w:color w:val="auto"/>
                <w:vertAlign w:val="superscript"/>
              </w:rPr>
              <w:t>9</w:t>
            </w:r>
          </w:p>
        </w:tc>
        <w:tc>
          <w:tcPr>
            <w:tcW w:w="920" w:type="dxa"/>
            <w:vAlign w:val="bottom"/>
            <w:gridSpan w:val="2"/>
            <w:shd w:val="clear" w:color="auto" w:fill="E5F1F8"/>
          </w:tcPr>
          <w:p>
            <w:pPr>
              <w:jc w:val="right"/>
              <w:ind w:right="37"/>
              <w:spacing w:after="0"/>
              <w:rPr>
                <w:sz w:val="20"/>
                <w:szCs w:val="20"/>
                <w:color w:val="auto"/>
              </w:rPr>
            </w:pPr>
            <w:r>
              <w:rPr>
                <w:rFonts w:ascii="Arial" w:cs="Arial" w:eastAsia="Arial" w:hAnsi="Arial"/>
                <w:sz w:val="14"/>
                <w:szCs w:val="14"/>
                <w:color w:val="auto"/>
              </w:rPr>
              <w:t>807,273</w:t>
            </w:r>
          </w:p>
        </w:tc>
        <w:tc>
          <w:tcPr>
            <w:tcW w:w="0" w:type="dxa"/>
            <w:vAlign w:val="bottom"/>
          </w:tcPr>
          <w:p>
            <w:pPr>
              <w:spacing w:after="0"/>
              <w:rPr>
                <w:sz w:val="1"/>
                <w:szCs w:val="1"/>
                <w:color w:val="auto"/>
              </w:rPr>
            </w:pPr>
          </w:p>
        </w:tc>
      </w:tr>
      <w:tr>
        <w:trPr>
          <w:trHeight w:val="162"/>
        </w:trPr>
        <w:tc>
          <w:tcPr>
            <w:tcW w:w="3260" w:type="dxa"/>
            <w:vAlign w:val="bottom"/>
            <w:tcBorders>
              <w:right w:val="single" w:sz="8" w:color="007CBA"/>
            </w:tcBorders>
            <w:shd w:val="clear" w:color="auto" w:fill="E5F1F8"/>
          </w:tcPr>
          <w:p>
            <w:pPr>
              <w:spacing w:after="0"/>
              <w:rPr>
                <w:sz w:val="14"/>
                <w:szCs w:val="14"/>
                <w:color w:val="auto"/>
              </w:rPr>
            </w:pPr>
          </w:p>
        </w:tc>
        <w:tc>
          <w:tcPr>
            <w:tcW w:w="900" w:type="dxa"/>
            <w:vAlign w:val="bottom"/>
            <w:tcBorders>
              <w:right w:val="single" w:sz="8" w:color="007CBA"/>
            </w:tcBorders>
            <w:shd w:val="clear" w:color="auto" w:fill="E5F1F8"/>
          </w:tcPr>
          <w:p>
            <w:pPr>
              <w:jc w:val="right"/>
              <w:ind w:right="130"/>
              <w:spacing w:after="0"/>
              <w:rPr>
                <w:sz w:val="20"/>
                <w:szCs w:val="20"/>
                <w:color w:val="auto"/>
              </w:rPr>
            </w:pPr>
            <w:r>
              <w:rPr>
                <w:rFonts w:ascii="Arial" w:cs="Arial" w:eastAsia="Arial" w:hAnsi="Arial"/>
                <w:sz w:val="14"/>
                <w:szCs w:val="14"/>
                <w:color w:val="auto"/>
              </w:rPr>
              <w:t>4,004</w:t>
            </w:r>
          </w:p>
        </w:tc>
        <w:tc>
          <w:tcPr>
            <w:tcW w:w="1020" w:type="dxa"/>
            <w:vAlign w:val="bottom"/>
            <w:tcBorders>
              <w:right w:val="single" w:sz="8" w:color="007CBA"/>
            </w:tcBorders>
            <w:shd w:val="clear" w:color="auto" w:fill="E5F1F8"/>
          </w:tcPr>
          <w:p>
            <w:pPr>
              <w:jc w:val="right"/>
              <w:ind w:right="212"/>
              <w:spacing w:after="0"/>
              <w:rPr>
                <w:sz w:val="20"/>
                <w:szCs w:val="20"/>
                <w:color w:val="auto"/>
              </w:rPr>
            </w:pPr>
            <w:r>
              <w:rPr>
                <w:rFonts w:ascii="Arial" w:cs="Arial" w:eastAsia="Arial" w:hAnsi="Arial"/>
                <w:sz w:val="14"/>
                <w:szCs w:val="14"/>
                <w:color w:val="auto"/>
              </w:rPr>
              <w:t>0</w:t>
            </w:r>
          </w:p>
        </w:tc>
        <w:tc>
          <w:tcPr>
            <w:tcW w:w="76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108.24</w:t>
            </w:r>
          </w:p>
        </w:tc>
        <w:tc>
          <w:tcPr>
            <w:tcW w:w="860" w:type="dxa"/>
            <w:vAlign w:val="bottom"/>
            <w:tcBorders>
              <w:right w:val="single" w:sz="8" w:color="007CBA"/>
            </w:tcBorders>
            <w:shd w:val="clear" w:color="auto" w:fill="E5F1F8"/>
          </w:tcPr>
          <w:p>
            <w:pPr>
              <w:jc w:val="right"/>
              <w:ind w:right="29"/>
              <w:spacing w:after="0"/>
              <w:rPr>
                <w:sz w:val="20"/>
                <w:szCs w:val="20"/>
                <w:color w:val="auto"/>
              </w:rPr>
            </w:pPr>
            <w:r>
              <w:rPr>
                <w:rFonts w:ascii="Arial" w:cs="Arial" w:eastAsia="Arial" w:hAnsi="Arial"/>
                <w:sz w:val="14"/>
                <w:szCs w:val="14"/>
                <w:color w:val="auto"/>
              </w:rPr>
              <w:t>5/23/2023</w:t>
            </w:r>
          </w:p>
        </w:tc>
        <w:tc>
          <w:tcPr>
            <w:tcW w:w="1020" w:type="dxa"/>
            <w:vAlign w:val="bottom"/>
            <w:tcBorders>
              <w:right w:val="single" w:sz="8" w:color="007CBA"/>
            </w:tcBorders>
            <w:shd w:val="clear" w:color="auto" w:fill="E5F1F8"/>
          </w:tcPr>
          <w:p>
            <w:pPr>
              <w:jc w:val="right"/>
              <w:ind w:right="78"/>
              <w:spacing w:after="0" w:line="162" w:lineRule="exact"/>
              <w:rPr>
                <w:sz w:val="20"/>
                <w:szCs w:val="20"/>
                <w:color w:val="auto"/>
              </w:rPr>
            </w:pPr>
            <w:r>
              <w:rPr>
                <w:rFonts w:ascii="Arial" w:cs="Arial" w:eastAsia="Arial" w:hAnsi="Arial"/>
                <w:sz w:val="11"/>
                <w:szCs w:val="11"/>
                <w:color w:val="auto"/>
              </w:rPr>
              <w:t>783</w:t>
            </w:r>
            <w:r>
              <w:rPr>
                <w:rFonts w:ascii="Arial" w:cs="Arial" w:eastAsia="Arial" w:hAnsi="Arial"/>
                <w:sz w:val="18"/>
                <w:szCs w:val="18"/>
                <w:color w:val="auto"/>
                <w:vertAlign w:val="superscript"/>
              </w:rPr>
              <w:t>4</w:t>
            </w:r>
          </w:p>
        </w:tc>
        <w:tc>
          <w:tcPr>
            <w:tcW w:w="100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134,574</w:t>
            </w:r>
          </w:p>
        </w:tc>
        <w:tc>
          <w:tcPr>
            <w:tcW w:w="1260" w:type="dxa"/>
            <w:vAlign w:val="bottom"/>
            <w:tcBorders>
              <w:right w:val="single" w:sz="8" w:color="007CBA"/>
            </w:tcBorders>
            <w:shd w:val="clear" w:color="auto" w:fill="E5F1F8"/>
          </w:tcPr>
          <w:p>
            <w:pPr>
              <w:ind w:left="680"/>
              <w:spacing w:after="0" w:line="162" w:lineRule="exact"/>
              <w:rPr>
                <w:sz w:val="20"/>
                <w:szCs w:val="20"/>
                <w:color w:val="auto"/>
              </w:rPr>
            </w:pPr>
            <w:r>
              <w:rPr>
                <w:rFonts w:ascii="Arial" w:cs="Arial" w:eastAsia="Arial" w:hAnsi="Arial"/>
                <w:sz w:val="11"/>
                <w:szCs w:val="11"/>
                <w:color w:val="auto"/>
              </w:rPr>
              <w:t>3,267</w:t>
            </w:r>
            <w:r>
              <w:rPr>
                <w:rFonts w:ascii="Arial" w:cs="Arial" w:eastAsia="Arial" w:hAnsi="Arial"/>
                <w:sz w:val="18"/>
                <w:szCs w:val="18"/>
                <w:color w:val="auto"/>
                <w:vertAlign w:val="superscript"/>
              </w:rPr>
              <w:t>10</w:t>
            </w:r>
          </w:p>
        </w:tc>
        <w:tc>
          <w:tcPr>
            <w:tcW w:w="920" w:type="dxa"/>
            <w:vAlign w:val="bottom"/>
            <w:gridSpan w:val="2"/>
            <w:shd w:val="clear" w:color="auto" w:fill="E5F1F8"/>
          </w:tcPr>
          <w:p>
            <w:pPr>
              <w:jc w:val="right"/>
              <w:ind w:right="37"/>
              <w:spacing w:after="0"/>
              <w:rPr>
                <w:sz w:val="20"/>
                <w:szCs w:val="20"/>
                <w:color w:val="auto"/>
              </w:rPr>
            </w:pPr>
            <w:r>
              <w:rPr>
                <w:rFonts w:ascii="Arial" w:cs="Arial" w:eastAsia="Arial" w:hAnsi="Arial"/>
                <w:sz w:val="14"/>
                <w:szCs w:val="14"/>
                <w:color w:val="auto"/>
              </w:rPr>
              <w:t>561,499</w:t>
            </w:r>
          </w:p>
        </w:tc>
        <w:tc>
          <w:tcPr>
            <w:tcW w:w="0" w:type="dxa"/>
            <w:vAlign w:val="bottom"/>
          </w:tcPr>
          <w:p>
            <w:pPr>
              <w:spacing w:after="0"/>
              <w:rPr>
                <w:sz w:val="1"/>
                <w:szCs w:val="1"/>
                <w:color w:val="auto"/>
              </w:rPr>
            </w:pPr>
          </w:p>
        </w:tc>
      </w:tr>
      <w:tr>
        <w:trPr>
          <w:trHeight w:val="162"/>
        </w:trPr>
        <w:tc>
          <w:tcPr>
            <w:tcW w:w="3260" w:type="dxa"/>
            <w:vAlign w:val="bottom"/>
            <w:tcBorders>
              <w:right w:val="single" w:sz="8" w:color="007CBA"/>
            </w:tcBorders>
            <w:shd w:val="clear" w:color="auto" w:fill="E5F1F8"/>
          </w:tcPr>
          <w:p>
            <w:pPr>
              <w:spacing w:after="0"/>
              <w:rPr>
                <w:sz w:val="14"/>
                <w:szCs w:val="14"/>
                <w:color w:val="auto"/>
              </w:rPr>
            </w:pPr>
          </w:p>
        </w:tc>
        <w:tc>
          <w:tcPr>
            <w:tcW w:w="900" w:type="dxa"/>
            <w:vAlign w:val="bottom"/>
            <w:tcBorders>
              <w:right w:val="single" w:sz="8" w:color="007CBA"/>
            </w:tcBorders>
            <w:shd w:val="clear" w:color="auto" w:fill="E5F1F8"/>
          </w:tcPr>
          <w:p>
            <w:pPr>
              <w:jc w:val="right"/>
              <w:ind w:right="130"/>
              <w:spacing w:after="0"/>
              <w:rPr>
                <w:sz w:val="20"/>
                <w:szCs w:val="20"/>
                <w:color w:val="auto"/>
              </w:rPr>
            </w:pPr>
            <w:r>
              <w:rPr>
                <w:rFonts w:ascii="Arial" w:cs="Arial" w:eastAsia="Arial" w:hAnsi="Arial"/>
                <w:sz w:val="14"/>
                <w:szCs w:val="14"/>
                <w:color w:val="auto"/>
              </w:rPr>
              <w:t>1,877</w:t>
            </w:r>
          </w:p>
        </w:tc>
        <w:tc>
          <w:tcPr>
            <w:tcW w:w="1020" w:type="dxa"/>
            <w:vAlign w:val="bottom"/>
            <w:tcBorders>
              <w:right w:val="single" w:sz="8" w:color="007CBA"/>
            </w:tcBorders>
            <w:shd w:val="clear" w:color="auto" w:fill="E5F1F8"/>
          </w:tcPr>
          <w:p>
            <w:pPr>
              <w:jc w:val="right"/>
              <w:ind w:right="212"/>
              <w:spacing w:after="0"/>
              <w:rPr>
                <w:sz w:val="20"/>
                <w:szCs w:val="20"/>
                <w:color w:val="auto"/>
              </w:rPr>
            </w:pPr>
            <w:r>
              <w:rPr>
                <w:rFonts w:ascii="Arial" w:cs="Arial" w:eastAsia="Arial" w:hAnsi="Arial"/>
                <w:sz w:val="14"/>
                <w:szCs w:val="14"/>
                <w:color w:val="auto"/>
              </w:rPr>
              <w:t>0</w:t>
            </w:r>
          </w:p>
        </w:tc>
        <w:tc>
          <w:tcPr>
            <w:tcW w:w="76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121.00</w:t>
            </w:r>
          </w:p>
        </w:tc>
        <w:tc>
          <w:tcPr>
            <w:tcW w:w="860" w:type="dxa"/>
            <w:vAlign w:val="bottom"/>
            <w:tcBorders>
              <w:right w:val="single" w:sz="8" w:color="007CBA"/>
            </w:tcBorders>
            <w:shd w:val="clear" w:color="auto" w:fill="E5F1F8"/>
          </w:tcPr>
          <w:p>
            <w:pPr>
              <w:jc w:val="right"/>
              <w:ind w:right="29"/>
              <w:spacing w:after="0"/>
              <w:rPr>
                <w:sz w:val="20"/>
                <w:szCs w:val="20"/>
                <w:color w:val="auto"/>
              </w:rPr>
            </w:pPr>
            <w:r>
              <w:rPr>
                <w:rFonts w:ascii="Arial" w:cs="Arial" w:eastAsia="Arial" w:hAnsi="Arial"/>
                <w:sz w:val="14"/>
                <w:szCs w:val="14"/>
                <w:color w:val="auto"/>
              </w:rPr>
              <w:t>5/22/2024</w:t>
            </w:r>
          </w:p>
        </w:tc>
        <w:tc>
          <w:tcPr>
            <w:tcW w:w="1020" w:type="dxa"/>
            <w:vAlign w:val="bottom"/>
            <w:tcBorders>
              <w:right w:val="single" w:sz="8" w:color="007CBA"/>
            </w:tcBorders>
            <w:shd w:val="clear" w:color="auto" w:fill="E5F1F8"/>
          </w:tcPr>
          <w:p>
            <w:pPr>
              <w:jc w:val="right"/>
              <w:ind w:right="78"/>
              <w:spacing w:after="0" w:line="162" w:lineRule="exact"/>
              <w:rPr>
                <w:sz w:val="20"/>
                <w:szCs w:val="20"/>
                <w:color w:val="auto"/>
              </w:rPr>
            </w:pPr>
            <w:r>
              <w:rPr>
                <w:rFonts w:ascii="Arial" w:cs="Arial" w:eastAsia="Arial" w:hAnsi="Arial"/>
                <w:sz w:val="11"/>
                <w:szCs w:val="11"/>
                <w:color w:val="auto"/>
              </w:rPr>
              <w:t>1,870</w:t>
            </w:r>
            <w:r>
              <w:rPr>
                <w:rFonts w:ascii="Arial" w:cs="Arial" w:eastAsia="Arial" w:hAnsi="Arial"/>
                <w:sz w:val="18"/>
                <w:szCs w:val="18"/>
                <w:color w:val="auto"/>
                <w:vertAlign w:val="superscript"/>
              </w:rPr>
              <w:t>5</w:t>
            </w:r>
          </w:p>
        </w:tc>
        <w:tc>
          <w:tcPr>
            <w:tcW w:w="100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321,396</w:t>
            </w:r>
          </w:p>
        </w:tc>
        <w:tc>
          <w:tcPr>
            <w:tcW w:w="1260" w:type="dxa"/>
            <w:vAlign w:val="bottom"/>
            <w:tcBorders>
              <w:right w:val="single" w:sz="8" w:color="007CBA"/>
            </w:tcBorders>
            <w:shd w:val="clear" w:color="auto" w:fill="E5F1F8"/>
          </w:tcPr>
          <w:p>
            <w:pPr>
              <w:ind w:left="680"/>
              <w:spacing w:after="0" w:line="162" w:lineRule="exact"/>
              <w:rPr>
                <w:sz w:val="20"/>
                <w:szCs w:val="20"/>
                <w:color w:val="auto"/>
              </w:rPr>
            </w:pPr>
            <w:r>
              <w:rPr>
                <w:rFonts w:ascii="Arial" w:cs="Arial" w:eastAsia="Arial" w:hAnsi="Arial"/>
                <w:sz w:val="11"/>
                <w:szCs w:val="11"/>
                <w:color w:val="auto"/>
              </w:rPr>
              <w:t>2,140</w:t>
            </w:r>
            <w:r>
              <w:rPr>
                <w:rFonts w:ascii="Arial" w:cs="Arial" w:eastAsia="Arial" w:hAnsi="Arial"/>
                <w:sz w:val="18"/>
                <w:szCs w:val="18"/>
                <w:color w:val="auto"/>
                <w:vertAlign w:val="superscript"/>
              </w:rPr>
              <w:t>11</w:t>
            </w:r>
          </w:p>
        </w:tc>
        <w:tc>
          <w:tcPr>
            <w:tcW w:w="920" w:type="dxa"/>
            <w:vAlign w:val="bottom"/>
            <w:gridSpan w:val="2"/>
            <w:shd w:val="clear" w:color="auto" w:fill="E5F1F8"/>
          </w:tcPr>
          <w:p>
            <w:pPr>
              <w:jc w:val="right"/>
              <w:ind w:right="37"/>
              <w:spacing w:after="0"/>
              <w:rPr>
                <w:sz w:val="20"/>
                <w:szCs w:val="20"/>
                <w:color w:val="auto"/>
              </w:rPr>
            </w:pPr>
            <w:r>
              <w:rPr>
                <w:rFonts w:ascii="Arial" w:cs="Arial" w:eastAsia="Arial" w:hAnsi="Arial"/>
                <w:sz w:val="14"/>
                <w:szCs w:val="14"/>
                <w:color w:val="auto"/>
              </w:rPr>
              <w:t>367,802</w:t>
            </w:r>
          </w:p>
        </w:tc>
        <w:tc>
          <w:tcPr>
            <w:tcW w:w="0" w:type="dxa"/>
            <w:vAlign w:val="bottom"/>
          </w:tcPr>
          <w:p>
            <w:pPr>
              <w:spacing w:after="0"/>
              <w:rPr>
                <w:sz w:val="1"/>
                <w:szCs w:val="1"/>
                <w:color w:val="auto"/>
              </w:rPr>
            </w:pPr>
          </w:p>
        </w:tc>
      </w:tr>
      <w:tr>
        <w:trPr>
          <w:trHeight w:val="162"/>
        </w:trPr>
        <w:tc>
          <w:tcPr>
            <w:tcW w:w="3260" w:type="dxa"/>
            <w:vAlign w:val="bottom"/>
            <w:tcBorders>
              <w:right w:val="single" w:sz="8" w:color="007CBA"/>
            </w:tcBorders>
            <w:shd w:val="clear" w:color="auto" w:fill="E5F1F8"/>
          </w:tcPr>
          <w:p>
            <w:pPr>
              <w:spacing w:after="0"/>
              <w:rPr>
                <w:sz w:val="14"/>
                <w:szCs w:val="14"/>
                <w:color w:val="auto"/>
              </w:rPr>
            </w:pPr>
          </w:p>
        </w:tc>
        <w:tc>
          <w:tcPr>
            <w:tcW w:w="900" w:type="dxa"/>
            <w:vAlign w:val="bottom"/>
            <w:tcBorders>
              <w:right w:val="single" w:sz="8" w:color="007CBA"/>
            </w:tcBorders>
            <w:shd w:val="clear" w:color="auto" w:fill="E5F1F8"/>
          </w:tcPr>
          <w:p>
            <w:pPr>
              <w:jc w:val="right"/>
              <w:ind w:right="130"/>
              <w:spacing w:after="0"/>
              <w:rPr>
                <w:sz w:val="20"/>
                <w:szCs w:val="20"/>
                <w:color w:val="auto"/>
              </w:rPr>
            </w:pPr>
            <w:r>
              <w:rPr>
                <w:rFonts w:ascii="Arial" w:cs="Arial" w:eastAsia="Arial" w:hAnsi="Arial"/>
                <w:sz w:val="14"/>
                <w:szCs w:val="14"/>
                <w:color w:val="auto"/>
              </w:rPr>
              <w:t>827</w:t>
            </w:r>
          </w:p>
        </w:tc>
        <w:tc>
          <w:tcPr>
            <w:tcW w:w="1020" w:type="dxa"/>
            <w:vAlign w:val="bottom"/>
            <w:tcBorders>
              <w:right w:val="single" w:sz="8" w:color="007CBA"/>
            </w:tcBorders>
            <w:shd w:val="clear" w:color="auto" w:fill="E5F1F8"/>
          </w:tcPr>
          <w:p>
            <w:pPr>
              <w:jc w:val="right"/>
              <w:ind w:right="192"/>
              <w:spacing w:after="0" w:line="162" w:lineRule="exact"/>
              <w:rPr>
                <w:sz w:val="20"/>
                <w:szCs w:val="20"/>
                <w:color w:val="auto"/>
              </w:rPr>
            </w:pPr>
            <w:r>
              <w:rPr>
                <w:rFonts w:ascii="Arial" w:cs="Arial" w:eastAsia="Arial" w:hAnsi="Arial"/>
                <w:sz w:val="11"/>
                <w:szCs w:val="11"/>
                <w:color w:val="auto"/>
              </w:rPr>
              <w:t>824</w:t>
            </w:r>
            <w:r>
              <w:rPr>
                <w:rFonts w:ascii="Arial" w:cs="Arial" w:eastAsia="Arial" w:hAnsi="Arial"/>
                <w:sz w:val="18"/>
                <w:szCs w:val="18"/>
                <w:color w:val="auto"/>
                <w:vertAlign w:val="superscript"/>
              </w:rPr>
              <w:t>2</w:t>
            </w:r>
          </w:p>
        </w:tc>
        <w:tc>
          <w:tcPr>
            <w:tcW w:w="76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154.58</w:t>
            </w:r>
          </w:p>
        </w:tc>
        <w:tc>
          <w:tcPr>
            <w:tcW w:w="860" w:type="dxa"/>
            <w:vAlign w:val="bottom"/>
            <w:tcBorders>
              <w:right w:val="single" w:sz="8" w:color="007CBA"/>
            </w:tcBorders>
            <w:shd w:val="clear" w:color="auto" w:fill="E5F1F8"/>
          </w:tcPr>
          <w:p>
            <w:pPr>
              <w:jc w:val="right"/>
              <w:ind w:right="29"/>
              <w:spacing w:after="0"/>
              <w:rPr>
                <w:sz w:val="20"/>
                <w:szCs w:val="20"/>
                <w:color w:val="auto"/>
              </w:rPr>
            </w:pPr>
            <w:r>
              <w:rPr>
                <w:rFonts w:ascii="Arial" w:cs="Arial" w:eastAsia="Arial" w:hAnsi="Arial"/>
                <w:sz w:val="14"/>
                <w:szCs w:val="14"/>
                <w:color w:val="auto"/>
              </w:rPr>
              <w:t>5/21/2025</w:t>
            </w:r>
          </w:p>
        </w:tc>
        <w:tc>
          <w:tcPr>
            <w:tcW w:w="1020" w:type="dxa"/>
            <w:vAlign w:val="bottom"/>
            <w:tcBorders>
              <w:right w:val="single" w:sz="8" w:color="007CBA"/>
            </w:tcBorders>
            <w:shd w:val="clear" w:color="auto" w:fill="E5F1F8"/>
          </w:tcPr>
          <w:p>
            <w:pPr>
              <w:jc w:val="right"/>
              <w:ind w:right="78"/>
              <w:spacing w:after="0" w:line="162" w:lineRule="exact"/>
              <w:rPr>
                <w:sz w:val="20"/>
                <w:szCs w:val="20"/>
                <w:color w:val="auto"/>
              </w:rPr>
            </w:pPr>
            <w:r>
              <w:rPr>
                <w:rFonts w:ascii="Arial" w:cs="Arial" w:eastAsia="Arial" w:hAnsi="Arial"/>
                <w:sz w:val="11"/>
                <w:szCs w:val="11"/>
                <w:color w:val="auto"/>
              </w:rPr>
              <w:t>1,839</w:t>
            </w:r>
            <w:r>
              <w:rPr>
                <w:rFonts w:ascii="Arial" w:cs="Arial" w:eastAsia="Arial" w:hAnsi="Arial"/>
                <w:sz w:val="18"/>
                <w:szCs w:val="18"/>
                <w:color w:val="auto"/>
                <w:vertAlign w:val="superscript"/>
              </w:rPr>
              <w:t>6</w:t>
            </w:r>
          </w:p>
        </w:tc>
        <w:tc>
          <w:tcPr>
            <w:tcW w:w="100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316,069</w:t>
            </w:r>
          </w:p>
        </w:tc>
        <w:tc>
          <w:tcPr>
            <w:tcW w:w="1260" w:type="dxa"/>
            <w:vAlign w:val="bottom"/>
            <w:tcBorders>
              <w:right w:val="single" w:sz="8" w:color="007CBA"/>
            </w:tcBorders>
            <w:shd w:val="clear" w:color="auto" w:fill="E5F1F8"/>
          </w:tcPr>
          <w:p>
            <w:pPr>
              <w:spacing w:after="0"/>
              <w:rPr>
                <w:sz w:val="14"/>
                <w:szCs w:val="14"/>
                <w:color w:val="auto"/>
              </w:rPr>
            </w:pPr>
          </w:p>
        </w:tc>
        <w:tc>
          <w:tcPr>
            <w:tcW w:w="780" w:type="dxa"/>
            <w:vAlign w:val="bottom"/>
            <w:shd w:val="clear" w:color="auto" w:fill="E5F1F8"/>
          </w:tcPr>
          <w:p>
            <w:pPr>
              <w:spacing w:after="0"/>
              <w:rPr>
                <w:sz w:val="14"/>
                <w:szCs w:val="14"/>
                <w:color w:val="auto"/>
              </w:rPr>
            </w:pPr>
          </w:p>
        </w:tc>
        <w:tc>
          <w:tcPr>
            <w:tcW w:w="140" w:type="dxa"/>
            <w:vAlign w:val="bottom"/>
            <w:shd w:val="clear" w:color="auto" w:fill="E5F1F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Borders>
              <w:right w:val="single" w:sz="8" w:color="007CBA"/>
            </w:tcBorders>
            <w:shd w:val="clear" w:color="auto" w:fill="E5F1F8"/>
          </w:tcPr>
          <w:p>
            <w:pPr>
              <w:spacing w:after="0"/>
              <w:rPr>
                <w:sz w:val="14"/>
                <w:szCs w:val="14"/>
                <w:color w:val="auto"/>
              </w:rPr>
            </w:pPr>
          </w:p>
        </w:tc>
        <w:tc>
          <w:tcPr>
            <w:tcW w:w="900" w:type="dxa"/>
            <w:vAlign w:val="bottom"/>
            <w:tcBorders>
              <w:right w:val="single" w:sz="8" w:color="007CBA"/>
            </w:tcBorders>
            <w:shd w:val="clear" w:color="auto" w:fill="E5F1F8"/>
          </w:tcPr>
          <w:p>
            <w:pPr>
              <w:spacing w:after="0"/>
              <w:rPr>
                <w:sz w:val="14"/>
                <w:szCs w:val="14"/>
                <w:color w:val="auto"/>
              </w:rPr>
            </w:pPr>
          </w:p>
        </w:tc>
        <w:tc>
          <w:tcPr>
            <w:tcW w:w="1020" w:type="dxa"/>
            <w:vAlign w:val="bottom"/>
            <w:tcBorders>
              <w:right w:val="single" w:sz="8" w:color="007CBA"/>
            </w:tcBorders>
            <w:shd w:val="clear" w:color="auto" w:fill="E5F1F8"/>
          </w:tcPr>
          <w:p>
            <w:pPr>
              <w:spacing w:after="0"/>
              <w:rPr>
                <w:sz w:val="14"/>
                <w:szCs w:val="14"/>
                <w:color w:val="auto"/>
              </w:rPr>
            </w:pPr>
          </w:p>
        </w:tc>
        <w:tc>
          <w:tcPr>
            <w:tcW w:w="760" w:type="dxa"/>
            <w:vAlign w:val="bottom"/>
            <w:tcBorders>
              <w:right w:val="single" w:sz="8" w:color="007CBA"/>
            </w:tcBorders>
            <w:shd w:val="clear" w:color="auto" w:fill="E5F1F8"/>
          </w:tcPr>
          <w:p>
            <w:pPr>
              <w:spacing w:after="0"/>
              <w:rPr>
                <w:sz w:val="14"/>
                <w:szCs w:val="14"/>
                <w:color w:val="auto"/>
              </w:rPr>
            </w:pPr>
          </w:p>
        </w:tc>
        <w:tc>
          <w:tcPr>
            <w:tcW w:w="860" w:type="dxa"/>
            <w:vAlign w:val="bottom"/>
            <w:tcBorders>
              <w:right w:val="single" w:sz="8" w:color="007CBA"/>
            </w:tcBorders>
            <w:shd w:val="clear" w:color="auto" w:fill="E5F1F8"/>
          </w:tcPr>
          <w:p>
            <w:pPr>
              <w:spacing w:after="0"/>
              <w:rPr>
                <w:sz w:val="14"/>
                <w:szCs w:val="14"/>
                <w:color w:val="auto"/>
              </w:rPr>
            </w:pPr>
          </w:p>
        </w:tc>
        <w:tc>
          <w:tcPr>
            <w:tcW w:w="1020" w:type="dxa"/>
            <w:vAlign w:val="bottom"/>
            <w:tcBorders>
              <w:right w:val="single" w:sz="8" w:color="007CBA"/>
            </w:tcBorders>
            <w:shd w:val="clear" w:color="auto" w:fill="E5F1F8"/>
          </w:tcPr>
          <w:p>
            <w:pPr>
              <w:jc w:val="right"/>
              <w:ind w:right="78"/>
              <w:spacing w:after="0" w:line="162" w:lineRule="exact"/>
              <w:rPr>
                <w:sz w:val="20"/>
                <w:szCs w:val="20"/>
                <w:color w:val="auto"/>
              </w:rPr>
            </w:pPr>
            <w:r>
              <w:rPr>
                <w:rFonts w:ascii="Arial" w:cs="Arial" w:eastAsia="Arial" w:hAnsi="Arial"/>
                <w:sz w:val="11"/>
                <w:szCs w:val="11"/>
                <w:color w:val="auto"/>
              </w:rPr>
              <w:t>1,121</w:t>
            </w:r>
            <w:r>
              <w:rPr>
                <w:rFonts w:ascii="Arial" w:cs="Arial" w:eastAsia="Arial" w:hAnsi="Arial"/>
                <w:sz w:val="18"/>
                <w:szCs w:val="18"/>
                <w:color w:val="auto"/>
                <w:vertAlign w:val="superscript"/>
              </w:rPr>
              <w:t>7</w:t>
            </w:r>
          </w:p>
        </w:tc>
        <w:tc>
          <w:tcPr>
            <w:tcW w:w="100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192,666</w:t>
            </w:r>
          </w:p>
        </w:tc>
        <w:tc>
          <w:tcPr>
            <w:tcW w:w="1260" w:type="dxa"/>
            <w:vAlign w:val="bottom"/>
            <w:tcBorders>
              <w:right w:val="single" w:sz="8" w:color="007CBA"/>
            </w:tcBorders>
            <w:shd w:val="clear" w:color="auto" w:fill="E5F1F8"/>
          </w:tcPr>
          <w:p>
            <w:pPr>
              <w:spacing w:after="0"/>
              <w:rPr>
                <w:sz w:val="14"/>
                <w:szCs w:val="14"/>
                <w:color w:val="auto"/>
              </w:rPr>
            </w:pPr>
          </w:p>
        </w:tc>
        <w:tc>
          <w:tcPr>
            <w:tcW w:w="780" w:type="dxa"/>
            <w:vAlign w:val="bottom"/>
            <w:shd w:val="clear" w:color="auto" w:fill="E5F1F8"/>
          </w:tcPr>
          <w:p>
            <w:pPr>
              <w:spacing w:after="0"/>
              <w:rPr>
                <w:sz w:val="14"/>
                <w:szCs w:val="14"/>
                <w:color w:val="auto"/>
              </w:rPr>
            </w:pPr>
          </w:p>
        </w:tc>
        <w:tc>
          <w:tcPr>
            <w:tcW w:w="140" w:type="dxa"/>
            <w:vAlign w:val="bottom"/>
            <w:shd w:val="clear" w:color="auto" w:fill="E5F1F8"/>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260" w:type="dxa"/>
            <w:vAlign w:val="bottom"/>
            <w:tcBorders>
              <w:right w:val="single" w:sz="8" w:color="007CBA"/>
            </w:tcBorders>
            <w:shd w:val="clear" w:color="auto" w:fill="E5F1F8"/>
          </w:tcPr>
          <w:p>
            <w:pPr>
              <w:spacing w:after="0"/>
              <w:rPr>
                <w:sz w:val="15"/>
                <w:szCs w:val="15"/>
                <w:color w:val="auto"/>
              </w:rPr>
            </w:pPr>
          </w:p>
        </w:tc>
        <w:tc>
          <w:tcPr>
            <w:tcW w:w="900" w:type="dxa"/>
            <w:vAlign w:val="bottom"/>
            <w:tcBorders>
              <w:right w:val="single" w:sz="8" w:color="007CBA"/>
            </w:tcBorders>
            <w:shd w:val="clear" w:color="auto" w:fill="E5F1F8"/>
          </w:tcPr>
          <w:p>
            <w:pPr>
              <w:spacing w:after="0"/>
              <w:rPr>
                <w:sz w:val="15"/>
                <w:szCs w:val="15"/>
                <w:color w:val="auto"/>
              </w:rPr>
            </w:pPr>
          </w:p>
        </w:tc>
        <w:tc>
          <w:tcPr>
            <w:tcW w:w="1020" w:type="dxa"/>
            <w:vAlign w:val="bottom"/>
            <w:tcBorders>
              <w:right w:val="single" w:sz="8" w:color="007CBA"/>
            </w:tcBorders>
            <w:shd w:val="clear" w:color="auto" w:fill="E5F1F8"/>
          </w:tcPr>
          <w:p>
            <w:pPr>
              <w:spacing w:after="0"/>
              <w:rPr>
                <w:sz w:val="15"/>
                <w:szCs w:val="15"/>
                <w:color w:val="auto"/>
              </w:rPr>
            </w:pPr>
          </w:p>
        </w:tc>
        <w:tc>
          <w:tcPr>
            <w:tcW w:w="760" w:type="dxa"/>
            <w:vAlign w:val="bottom"/>
            <w:tcBorders>
              <w:right w:val="single" w:sz="8" w:color="007CBA"/>
            </w:tcBorders>
            <w:shd w:val="clear" w:color="auto" w:fill="E5F1F8"/>
          </w:tcPr>
          <w:p>
            <w:pPr>
              <w:spacing w:after="0"/>
              <w:rPr>
                <w:sz w:val="15"/>
                <w:szCs w:val="15"/>
                <w:color w:val="auto"/>
              </w:rPr>
            </w:pPr>
          </w:p>
        </w:tc>
        <w:tc>
          <w:tcPr>
            <w:tcW w:w="860" w:type="dxa"/>
            <w:vAlign w:val="bottom"/>
            <w:tcBorders>
              <w:right w:val="single" w:sz="8" w:color="007CBA"/>
            </w:tcBorders>
            <w:shd w:val="clear" w:color="auto" w:fill="E5F1F8"/>
          </w:tcPr>
          <w:p>
            <w:pPr>
              <w:spacing w:after="0"/>
              <w:rPr>
                <w:sz w:val="15"/>
                <w:szCs w:val="15"/>
                <w:color w:val="auto"/>
              </w:rPr>
            </w:pPr>
          </w:p>
        </w:tc>
        <w:tc>
          <w:tcPr>
            <w:tcW w:w="1020" w:type="dxa"/>
            <w:vAlign w:val="bottom"/>
            <w:tcBorders>
              <w:right w:val="single" w:sz="8" w:color="007CBA"/>
            </w:tcBorders>
            <w:shd w:val="clear" w:color="auto" w:fill="E5F1F8"/>
          </w:tcPr>
          <w:p>
            <w:pPr>
              <w:jc w:val="right"/>
              <w:ind w:right="78"/>
              <w:spacing w:after="0" w:line="178" w:lineRule="exact"/>
              <w:rPr>
                <w:sz w:val="20"/>
                <w:szCs w:val="20"/>
                <w:color w:val="auto"/>
              </w:rPr>
            </w:pPr>
            <w:r>
              <w:rPr>
                <w:rFonts w:ascii="Arial" w:cs="Arial" w:eastAsia="Arial" w:hAnsi="Arial"/>
                <w:sz w:val="12"/>
                <w:szCs w:val="12"/>
                <w:color w:val="auto"/>
              </w:rPr>
              <w:t>935</w:t>
            </w:r>
            <w:r>
              <w:rPr>
                <w:rFonts w:ascii="Arial" w:cs="Arial" w:eastAsia="Arial" w:hAnsi="Arial"/>
                <w:sz w:val="20"/>
                <w:szCs w:val="20"/>
                <w:color w:val="auto"/>
                <w:vertAlign w:val="superscript"/>
              </w:rPr>
              <w:t>8</w:t>
            </w:r>
          </w:p>
        </w:tc>
        <w:tc>
          <w:tcPr>
            <w:tcW w:w="100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160,698</w:t>
            </w:r>
          </w:p>
        </w:tc>
        <w:tc>
          <w:tcPr>
            <w:tcW w:w="1260" w:type="dxa"/>
            <w:vAlign w:val="bottom"/>
            <w:tcBorders>
              <w:right w:val="single" w:sz="8" w:color="007CBA"/>
            </w:tcBorders>
            <w:shd w:val="clear" w:color="auto" w:fill="E5F1F8"/>
          </w:tcPr>
          <w:p>
            <w:pPr>
              <w:spacing w:after="0"/>
              <w:rPr>
                <w:sz w:val="15"/>
                <w:szCs w:val="15"/>
                <w:color w:val="auto"/>
              </w:rPr>
            </w:pPr>
          </w:p>
        </w:tc>
        <w:tc>
          <w:tcPr>
            <w:tcW w:w="780" w:type="dxa"/>
            <w:vAlign w:val="bottom"/>
            <w:shd w:val="clear" w:color="auto" w:fill="E5F1F8"/>
          </w:tcPr>
          <w:p>
            <w:pPr>
              <w:spacing w:after="0"/>
              <w:rPr>
                <w:sz w:val="15"/>
                <w:szCs w:val="15"/>
                <w:color w:val="auto"/>
              </w:rPr>
            </w:pPr>
          </w:p>
        </w:tc>
        <w:tc>
          <w:tcPr>
            <w:tcW w:w="140" w:type="dxa"/>
            <w:vAlign w:val="bottom"/>
            <w:shd w:val="clear" w:color="auto" w:fill="E5F1F8"/>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260" w:type="dxa"/>
            <w:vAlign w:val="bottom"/>
            <w:tcBorders>
              <w:right w:val="single" w:sz="8" w:color="007CBA"/>
            </w:tcBorders>
          </w:tcPr>
          <w:p>
            <w:pPr>
              <w:ind w:left="80"/>
              <w:spacing w:after="0"/>
              <w:rPr>
                <w:sz w:val="20"/>
                <w:szCs w:val="20"/>
                <w:color w:val="auto"/>
              </w:rPr>
            </w:pPr>
            <w:r>
              <w:rPr>
                <w:rFonts w:ascii="Arial" w:cs="Arial" w:eastAsia="Arial" w:hAnsi="Arial"/>
                <w:sz w:val="14"/>
                <w:szCs w:val="14"/>
                <w:b w:val="1"/>
                <w:bCs w:val="1"/>
                <w:color w:val="auto"/>
              </w:rPr>
              <w:t>Donald A. McCunniff</w:t>
            </w:r>
          </w:p>
        </w:tc>
        <w:tc>
          <w:tcPr>
            <w:tcW w:w="900" w:type="dxa"/>
            <w:vAlign w:val="bottom"/>
            <w:tcBorders>
              <w:right w:val="single" w:sz="8" w:color="007CBA"/>
            </w:tcBorders>
          </w:tcPr>
          <w:p>
            <w:pPr>
              <w:jc w:val="right"/>
              <w:ind w:right="130"/>
              <w:spacing w:after="0"/>
              <w:rPr>
                <w:sz w:val="20"/>
                <w:szCs w:val="20"/>
                <w:color w:val="auto"/>
              </w:rPr>
            </w:pPr>
            <w:r>
              <w:rPr>
                <w:rFonts w:ascii="Arial" w:cs="Arial" w:eastAsia="Arial" w:hAnsi="Arial"/>
                <w:sz w:val="14"/>
                <w:szCs w:val="14"/>
                <w:color w:val="auto"/>
              </w:rPr>
              <w:t>3,226</w:t>
            </w:r>
          </w:p>
        </w:tc>
        <w:tc>
          <w:tcPr>
            <w:tcW w:w="1020" w:type="dxa"/>
            <w:vAlign w:val="bottom"/>
            <w:tcBorders>
              <w:right w:val="single" w:sz="8" w:color="007CBA"/>
            </w:tcBorders>
          </w:tcPr>
          <w:p>
            <w:pPr>
              <w:jc w:val="right"/>
              <w:ind w:right="212"/>
              <w:spacing w:after="0"/>
              <w:rPr>
                <w:sz w:val="20"/>
                <w:szCs w:val="20"/>
                <w:color w:val="auto"/>
              </w:rPr>
            </w:pPr>
            <w:r>
              <w:rPr>
                <w:rFonts w:ascii="Arial" w:cs="Arial" w:eastAsia="Arial" w:hAnsi="Arial"/>
                <w:sz w:val="14"/>
                <w:szCs w:val="14"/>
                <w:color w:val="auto"/>
              </w:rPr>
              <w:t>0</w:t>
            </w:r>
          </w:p>
        </w:tc>
        <w:tc>
          <w:tcPr>
            <w:tcW w:w="76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108.24</w:t>
            </w:r>
          </w:p>
        </w:tc>
        <w:tc>
          <w:tcPr>
            <w:tcW w:w="86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5/23/2023</w:t>
            </w:r>
          </w:p>
        </w:tc>
        <w:tc>
          <w:tcPr>
            <w:tcW w:w="1020" w:type="dxa"/>
            <w:vAlign w:val="bottom"/>
            <w:tcBorders>
              <w:right w:val="single" w:sz="8" w:color="007CBA"/>
            </w:tcBorders>
          </w:tcPr>
          <w:p>
            <w:pPr>
              <w:jc w:val="right"/>
              <w:ind w:right="78"/>
              <w:spacing w:after="0" w:line="227" w:lineRule="exact"/>
              <w:rPr>
                <w:sz w:val="20"/>
                <w:szCs w:val="20"/>
                <w:color w:val="auto"/>
              </w:rPr>
            </w:pPr>
            <w:r>
              <w:rPr>
                <w:rFonts w:ascii="Arial" w:cs="Arial" w:eastAsia="Arial" w:hAnsi="Arial"/>
                <w:sz w:val="14"/>
                <w:szCs w:val="14"/>
                <w:color w:val="auto"/>
              </w:rPr>
              <w:t>8,127</w:t>
            </w:r>
            <w:r>
              <w:rPr>
                <w:rFonts w:ascii="Arial" w:cs="Arial" w:eastAsia="Arial" w:hAnsi="Arial"/>
                <w:sz w:val="24"/>
                <w:szCs w:val="24"/>
                <w:color w:val="auto"/>
                <w:vertAlign w:val="superscript"/>
              </w:rPr>
              <w:t>3</w:t>
            </w:r>
          </w:p>
        </w:tc>
        <w:tc>
          <w:tcPr>
            <w:tcW w:w="100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1,396,787</w:t>
            </w:r>
          </w:p>
        </w:tc>
        <w:tc>
          <w:tcPr>
            <w:tcW w:w="1260" w:type="dxa"/>
            <w:vAlign w:val="bottom"/>
            <w:tcBorders>
              <w:right w:val="single" w:sz="8" w:color="007CBA"/>
            </w:tcBorders>
          </w:tcPr>
          <w:p>
            <w:pPr>
              <w:ind w:left="680"/>
              <w:spacing w:after="0" w:line="227" w:lineRule="exact"/>
              <w:rPr>
                <w:sz w:val="20"/>
                <w:szCs w:val="20"/>
                <w:color w:val="auto"/>
              </w:rPr>
            </w:pPr>
            <w:r>
              <w:rPr>
                <w:rFonts w:ascii="Arial" w:cs="Arial" w:eastAsia="Arial" w:hAnsi="Arial"/>
                <w:sz w:val="14"/>
                <w:szCs w:val="14"/>
                <w:color w:val="auto"/>
              </w:rPr>
              <w:t>2,942</w:t>
            </w:r>
            <w:r>
              <w:rPr>
                <w:rFonts w:ascii="Arial" w:cs="Arial" w:eastAsia="Arial" w:hAnsi="Arial"/>
                <w:sz w:val="24"/>
                <w:szCs w:val="24"/>
                <w:color w:val="auto"/>
                <w:vertAlign w:val="superscript"/>
              </w:rPr>
              <w:t>9</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505,642</w:t>
            </w:r>
          </w:p>
        </w:tc>
        <w:tc>
          <w:tcPr>
            <w:tcW w:w="0" w:type="dxa"/>
            <w:vAlign w:val="bottom"/>
          </w:tcPr>
          <w:p>
            <w:pPr>
              <w:spacing w:after="0"/>
              <w:rPr>
                <w:sz w:val="1"/>
                <w:szCs w:val="1"/>
                <w:color w:val="auto"/>
              </w:rPr>
            </w:pPr>
          </w:p>
        </w:tc>
      </w:tr>
      <w:tr>
        <w:trPr>
          <w:trHeight w:val="162"/>
        </w:trPr>
        <w:tc>
          <w:tcPr>
            <w:tcW w:w="3260" w:type="dxa"/>
            <w:vAlign w:val="bottom"/>
            <w:tcBorders>
              <w:right w:val="single" w:sz="8" w:color="007CBA"/>
            </w:tcBorders>
          </w:tcPr>
          <w:p>
            <w:pPr>
              <w:spacing w:after="0"/>
              <w:rPr>
                <w:sz w:val="14"/>
                <w:szCs w:val="14"/>
                <w:color w:val="auto"/>
              </w:rPr>
            </w:pPr>
          </w:p>
        </w:tc>
        <w:tc>
          <w:tcPr>
            <w:tcW w:w="900" w:type="dxa"/>
            <w:vAlign w:val="bottom"/>
            <w:tcBorders>
              <w:right w:val="single" w:sz="8" w:color="007CBA"/>
            </w:tcBorders>
          </w:tcPr>
          <w:p>
            <w:pPr>
              <w:jc w:val="right"/>
              <w:ind w:right="130"/>
              <w:spacing w:after="0"/>
              <w:rPr>
                <w:sz w:val="20"/>
                <w:szCs w:val="20"/>
                <w:color w:val="auto"/>
              </w:rPr>
            </w:pPr>
            <w:r>
              <w:rPr>
                <w:rFonts w:ascii="Arial" w:cs="Arial" w:eastAsia="Arial" w:hAnsi="Arial"/>
                <w:sz w:val="14"/>
                <w:szCs w:val="14"/>
                <w:color w:val="auto"/>
              </w:rPr>
              <w:t>3,027</w:t>
            </w:r>
          </w:p>
        </w:tc>
        <w:tc>
          <w:tcPr>
            <w:tcW w:w="1020" w:type="dxa"/>
            <w:vAlign w:val="bottom"/>
            <w:tcBorders>
              <w:right w:val="single" w:sz="8" w:color="007CBA"/>
            </w:tcBorders>
          </w:tcPr>
          <w:p>
            <w:pPr>
              <w:jc w:val="right"/>
              <w:ind w:right="212"/>
              <w:spacing w:after="0"/>
              <w:rPr>
                <w:sz w:val="20"/>
                <w:szCs w:val="20"/>
                <w:color w:val="auto"/>
              </w:rPr>
            </w:pPr>
            <w:r>
              <w:rPr>
                <w:rFonts w:ascii="Arial" w:cs="Arial" w:eastAsia="Arial" w:hAnsi="Arial"/>
                <w:sz w:val="14"/>
                <w:szCs w:val="14"/>
                <w:color w:val="auto"/>
              </w:rPr>
              <w:t>0</w:t>
            </w:r>
          </w:p>
        </w:tc>
        <w:tc>
          <w:tcPr>
            <w:tcW w:w="76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121.00</w:t>
            </w:r>
          </w:p>
        </w:tc>
        <w:tc>
          <w:tcPr>
            <w:tcW w:w="86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5/22/2024</w:t>
            </w:r>
          </w:p>
        </w:tc>
        <w:tc>
          <w:tcPr>
            <w:tcW w:w="1020" w:type="dxa"/>
            <w:vAlign w:val="bottom"/>
            <w:tcBorders>
              <w:right w:val="single" w:sz="8" w:color="007CBA"/>
            </w:tcBorders>
          </w:tcPr>
          <w:p>
            <w:pPr>
              <w:jc w:val="right"/>
              <w:ind w:right="78"/>
              <w:spacing w:after="0" w:line="162" w:lineRule="exact"/>
              <w:rPr>
                <w:sz w:val="20"/>
                <w:szCs w:val="20"/>
                <w:color w:val="auto"/>
              </w:rPr>
            </w:pPr>
            <w:r>
              <w:rPr>
                <w:rFonts w:ascii="Arial" w:cs="Arial" w:eastAsia="Arial" w:hAnsi="Arial"/>
                <w:sz w:val="11"/>
                <w:szCs w:val="11"/>
                <w:color w:val="auto"/>
              </w:rPr>
              <w:t>490</w:t>
            </w:r>
            <w:r>
              <w:rPr>
                <w:rFonts w:ascii="Arial" w:cs="Arial" w:eastAsia="Arial" w:hAnsi="Arial"/>
                <w:sz w:val="18"/>
                <w:szCs w:val="18"/>
                <w:color w:val="auto"/>
                <w:vertAlign w:val="superscript"/>
              </w:rPr>
              <w:t>4</w:t>
            </w:r>
          </w:p>
        </w:tc>
        <w:tc>
          <w:tcPr>
            <w:tcW w:w="100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84,216</w:t>
            </w:r>
          </w:p>
        </w:tc>
        <w:tc>
          <w:tcPr>
            <w:tcW w:w="1260" w:type="dxa"/>
            <w:vAlign w:val="bottom"/>
            <w:tcBorders>
              <w:right w:val="single" w:sz="8" w:color="007CBA"/>
            </w:tcBorders>
          </w:tcPr>
          <w:p>
            <w:pPr>
              <w:ind w:left="680"/>
              <w:spacing w:after="0" w:line="162" w:lineRule="exact"/>
              <w:rPr>
                <w:sz w:val="20"/>
                <w:szCs w:val="20"/>
                <w:color w:val="auto"/>
              </w:rPr>
            </w:pPr>
            <w:r>
              <w:rPr>
                <w:rFonts w:ascii="Arial" w:cs="Arial" w:eastAsia="Arial" w:hAnsi="Arial"/>
                <w:sz w:val="11"/>
                <w:szCs w:val="11"/>
                <w:color w:val="auto"/>
              </w:rPr>
              <w:t>2,470</w:t>
            </w:r>
            <w:r>
              <w:rPr>
                <w:rFonts w:ascii="Arial" w:cs="Arial" w:eastAsia="Arial" w:hAnsi="Arial"/>
                <w:sz w:val="18"/>
                <w:szCs w:val="18"/>
                <w:color w:val="auto"/>
                <w:vertAlign w:val="superscript"/>
              </w:rPr>
              <w:t>10</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424,519</w:t>
            </w:r>
          </w:p>
        </w:tc>
        <w:tc>
          <w:tcPr>
            <w:tcW w:w="0" w:type="dxa"/>
            <w:vAlign w:val="bottom"/>
          </w:tcPr>
          <w:p>
            <w:pPr>
              <w:spacing w:after="0"/>
              <w:rPr>
                <w:sz w:val="1"/>
                <w:szCs w:val="1"/>
                <w:color w:val="auto"/>
              </w:rPr>
            </w:pPr>
          </w:p>
        </w:tc>
      </w:tr>
      <w:tr>
        <w:trPr>
          <w:trHeight w:val="162"/>
        </w:trPr>
        <w:tc>
          <w:tcPr>
            <w:tcW w:w="3260" w:type="dxa"/>
            <w:vAlign w:val="bottom"/>
            <w:tcBorders>
              <w:right w:val="single" w:sz="8" w:color="007CBA"/>
            </w:tcBorders>
          </w:tcPr>
          <w:p>
            <w:pPr>
              <w:spacing w:after="0"/>
              <w:rPr>
                <w:sz w:val="14"/>
                <w:szCs w:val="14"/>
                <w:color w:val="auto"/>
              </w:rPr>
            </w:pPr>
          </w:p>
        </w:tc>
        <w:tc>
          <w:tcPr>
            <w:tcW w:w="900" w:type="dxa"/>
            <w:vAlign w:val="bottom"/>
            <w:tcBorders>
              <w:right w:val="single" w:sz="8" w:color="007CBA"/>
            </w:tcBorders>
          </w:tcPr>
          <w:p>
            <w:pPr>
              <w:jc w:val="right"/>
              <w:ind w:right="130"/>
              <w:spacing w:after="0"/>
              <w:rPr>
                <w:sz w:val="20"/>
                <w:szCs w:val="20"/>
                <w:color w:val="auto"/>
              </w:rPr>
            </w:pPr>
            <w:r>
              <w:rPr>
                <w:rFonts w:ascii="Arial" w:cs="Arial" w:eastAsia="Arial" w:hAnsi="Arial"/>
                <w:sz w:val="14"/>
                <w:szCs w:val="14"/>
                <w:color w:val="auto"/>
              </w:rPr>
              <w:t>1,998</w:t>
            </w:r>
          </w:p>
        </w:tc>
        <w:tc>
          <w:tcPr>
            <w:tcW w:w="1020" w:type="dxa"/>
            <w:vAlign w:val="bottom"/>
            <w:tcBorders>
              <w:right w:val="single" w:sz="8" w:color="007CBA"/>
            </w:tcBorders>
          </w:tcPr>
          <w:p>
            <w:pPr>
              <w:jc w:val="right"/>
              <w:ind w:right="192"/>
              <w:spacing w:after="0" w:line="162" w:lineRule="exact"/>
              <w:rPr>
                <w:sz w:val="20"/>
                <w:szCs w:val="20"/>
                <w:color w:val="auto"/>
              </w:rPr>
            </w:pPr>
            <w:r>
              <w:rPr>
                <w:rFonts w:ascii="Arial" w:cs="Arial" w:eastAsia="Arial" w:hAnsi="Arial"/>
                <w:sz w:val="11"/>
                <w:szCs w:val="11"/>
                <w:color w:val="auto"/>
              </w:rPr>
              <w:t>665</w:t>
            </w:r>
            <w:r>
              <w:rPr>
                <w:rFonts w:ascii="Arial" w:cs="Arial" w:eastAsia="Arial" w:hAnsi="Arial"/>
                <w:sz w:val="18"/>
                <w:szCs w:val="18"/>
                <w:color w:val="auto"/>
                <w:vertAlign w:val="superscript"/>
              </w:rPr>
              <w:t>2</w:t>
            </w:r>
          </w:p>
        </w:tc>
        <w:tc>
          <w:tcPr>
            <w:tcW w:w="76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154.58</w:t>
            </w:r>
          </w:p>
        </w:tc>
        <w:tc>
          <w:tcPr>
            <w:tcW w:w="86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5/21/2025</w:t>
            </w:r>
          </w:p>
        </w:tc>
        <w:tc>
          <w:tcPr>
            <w:tcW w:w="1020" w:type="dxa"/>
            <w:vAlign w:val="bottom"/>
            <w:tcBorders>
              <w:right w:val="single" w:sz="8" w:color="007CBA"/>
            </w:tcBorders>
          </w:tcPr>
          <w:p>
            <w:pPr>
              <w:jc w:val="right"/>
              <w:ind w:right="78"/>
              <w:spacing w:after="0" w:line="162" w:lineRule="exact"/>
              <w:rPr>
                <w:sz w:val="20"/>
                <w:szCs w:val="20"/>
                <w:color w:val="auto"/>
              </w:rPr>
            </w:pPr>
            <w:r>
              <w:rPr>
                <w:rFonts w:ascii="Arial" w:cs="Arial" w:eastAsia="Arial" w:hAnsi="Arial"/>
                <w:sz w:val="11"/>
                <w:szCs w:val="11"/>
                <w:color w:val="auto"/>
              </w:rPr>
              <w:t>1,414</w:t>
            </w:r>
            <w:r>
              <w:rPr>
                <w:rFonts w:ascii="Arial" w:cs="Arial" w:eastAsia="Arial" w:hAnsi="Arial"/>
                <w:sz w:val="18"/>
                <w:szCs w:val="18"/>
                <w:color w:val="auto"/>
                <w:vertAlign w:val="superscript"/>
              </w:rPr>
              <w:t>5</w:t>
            </w:r>
          </w:p>
        </w:tc>
        <w:tc>
          <w:tcPr>
            <w:tcW w:w="100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243,024</w:t>
            </w:r>
          </w:p>
        </w:tc>
        <w:tc>
          <w:tcPr>
            <w:tcW w:w="1260" w:type="dxa"/>
            <w:vAlign w:val="bottom"/>
            <w:tcBorders>
              <w:right w:val="single" w:sz="8" w:color="007CBA"/>
            </w:tcBorders>
          </w:tcPr>
          <w:p>
            <w:pPr>
              <w:ind w:left="680"/>
              <w:spacing w:after="0" w:line="162" w:lineRule="exact"/>
              <w:rPr>
                <w:sz w:val="20"/>
                <w:szCs w:val="20"/>
                <w:color w:val="auto"/>
              </w:rPr>
            </w:pPr>
            <w:r>
              <w:rPr>
                <w:rFonts w:ascii="Arial" w:cs="Arial" w:eastAsia="Arial" w:hAnsi="Arial"/>
                <w:sz w:val="11"/>
                <w:szCs w:val="11"/>
                <w:color w:val="auto"/>
              </w:rPr>
              <w:t>1,371</w:t>
            </w:r>
            <w:r>
              <w:rPr>
                <w:rFonts w:ascii="Arial" w:cs="Arial" w:eastAsia="Arial" w:hAnsi="Arial"/>
                <w:sz w:val="18"/>
                <w:szCs w:val="18"/>
                <w:color w:val="auto"/>
                <w:vertAlign w:val="superscript"/>
              </w:rPr>
              <w:t>11</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235,634</w:t>
            </w:r>
          </w:p>
        </w:tc>
        <w:tc>
          <w:tcPr>
            <w:tcW w:w="0" w:type="dxa"/>
            <w:vAlign w:val="bottom"/>
          </w:tcPr>
          <w:p>
            <w:pPr>
              <w:spacing w:after="0"/>
              <w:rPr>
                <w:sz w:val="1"/>
                <w:szCs w:val="1"/>
                <w:color w:val="auto"/>
              </w:rPr>
            </w:pPr>
          </w:p>
        </w:tc>
      </w:tr>
      <w:tr>
        <w:trPr>
          <w:trHeight w:val="162"/>
        </w:trPr>
        <w:tc>
          <w:tcPr>
            <w:tcW w:w="3260" w:type="dxa"/>
            <w:vAlign w:val="bottom"/>
            <w:tcBorders>
              <w:right w:val="single" w:sz="8" w:color="007CBA"/>
            </w:tcBorders>
          </w:tcPr>
          <w:p>
            <w:pPr>
              <w:spacing w:after="0"/>
              <w:rPr>
                <w:sz w:val="14"/>
                <w:szCs w:val="14"/>
                <w:color w:val="auto"/>
              </w:rPr>
            </w:pPr>
          </w:p>
        </w:tc>
        <w:tc>
          <w:tcPr>
            <w:tcW w:w="900" w:type="dxa"/>
            <w:vAlign w:val="bottom"/>
            <w:tcBorders>
              <w:right w:val="single" w:sz="8" w:color="007CBA"/>
            </w:tcBorders>
          </w:tcPr>
          <w:p>
            <w:pPr>
              <w:spacing w:after="0"/>
              <w:rPr>
                <w:sz w:val="14"/>
                <w:szCs w:val="14"/>
                <w:color w:val="auto"/>
              </w:rPr>
            </w:pPr>
          </w:p>
        </w:tc>
        <w:tc>
          <w:tcPr>
            <w:tcW w:w="1020" w:type="dxa"/>
            <w:vAlign w:val="bottom"/>
            <w:tcBorders>
              <w:right w:val="single" w:sz="8" w:color="007CBA"/>
            </w:tcBorders>
          </w:tcPr>
          <w:p>
            <w:pPr>
              <w:spacing w:after="0"/>
              <w:rPr>
                <w:sz w:val="14"/>
                <w:szCs w:val="14"/>
                <w:color w:val="auto"/>
              </w:rPr>
            </w:pPr>
          </w:p>
        </w:tc>
        <w:tc>
          <w:tcPr>
            <w:tcW w:w="760" w:type="dxa"/>
            <w:vAlign w:val="bottom"/>
            <w:tcBorders>
              <w:right w:val="single" w:sz="8" w:color="007CBA"/>
            </w:tcBorders>
          </w:tcPr>
          <w:p>
            <w:pPr>
              <w:spacing w:after="0"/>
              <w:rPr>
                <w:sz w:val="14"/>
                <w:szCs w:val="14"/>
                <w:color w:val="auto"/>
              </w:rPr>
            </w:pPr>
          </w:p>
        </w:tc>
        <w:tc>
          <w:tcPr>
            <w:tcW w:w="860" w:type="dxa"/>
            <w:vAlign w:val="bottom"/>
            <w:tcBorders>
              <w:right w:val="single" w:sz="8" w:color="007CBA"/>
            </w:tcBorders>
          </w:tcPr>
          <w:p>
            <w:pPr>
              <w:spacing w:after="0"/>
              <w:rPr>
                <w:sz w:val="14"/>
                <w:szCs w:val="14"/>
                <w:color w:val="auto"/>
              </w:rPr>
            </w:pPr>
          </w:p>
        </w:tc>
        <w:tc>
          <w:tcPr>
            <w:tcW w:w="1020" w:type="dxa"/>
            <w:vAlign w:val="bottom"/>
            <w:tcBorders>
              <w:right w:val="single" w:sz="8" w:color="007CBA"/>
            </w:tcBorders>
          </w:tcPr>
          <w:p>
            <w:pPr>
              <w:jc w:val="right"/>
              <w:ind w:right="78"/>
              <w:spacing w:after="0" w:line="162" w:lineRule="exact"/>
              <w:rPr>
                <w:sz w:val="20"/>
                <w:szCs w:val="20"/>
                <w:color w:val="auto"/>
              </w:rPr>
            </w:pPr>
            <w:r>
              <w:rPr>
                <w:rFonts w:ascii="Arial" w:cs="Arial" w:eastAsia="Arial" w:hAnsi="Arial"/>
                <w:sz w:val="11"/>
                <w:szCs w:val="11"/>
                <w:color w:val="auto"/>
              </w:rPr>
              <w:t>1,178</w:t>
            </w:r>
            <w:r>
              <w:rPr>
                <w:rFonts w:ascii="Arial" w:cs="Arial" w:eastAsia="Arial" w:hAnsi="Arial"/>
                <w:sz w:val="18"/>
                <w:szCs w:val="18"/>
                <w:color w:val="auto"/>
                <w:vertAlign w:val="superscript"/>
              </w:rPr>
              <w:t>6</w:t>
            </w:r>
          </w:p>
        </w:tc>
        <w:tc>
          <w:tcPr>
            <w:tcW w:w="100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202,463</w:t>
            </w:r>
          </w:p>
        </w:tc>
        <w:tc>
          <w:tcPr>
            <w:tcW w:w="1260" w:type="dxa"/>
            <w:vAlign w:val="bottom"/>
            <w:tcBorders>
              <w:right w:val="single" w:sz="8" w:color="007CBA"/>
            </w:tcBorders>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Borders>
              <w:right w:val="single" w:sz="8" w:color="007CBA"/>
            </w:tcBorders>
          </w:tcPr>
          <w:p>
            <w:pPr>
              <w:spacing w:after="0"/>
              <w:rPr>
                <w:sz w:val="14"/>
                <w:szCs w:val="14"/>
                <w:color w:val="auto"/>
              </w:rPr>
            </w:pPr>
          </w:p>
        </w:tc>
        <w:tc>
          <w:tcPr>
            <w:tcW w:w="900" w:type="dxa"/>
            <w:vAlign w:val="bottom"/>
            <w:tcBorders>
              <w:right w:val="single" w:sz="8" w:color="007CBA"/>
            </w:tcBorders>
          </w:tcPr>
          <w:p>
            <w:pPr>
              <w:spacing w:after="0"/>
              <w:rPr>
                <w:sz w:val="14"/>
                <w:szCs w:val="14"/>
                <w:color w:val="auto"/>
              </w:rPr>
            </w:pPr>
          </w:p>
        </w:tc>
        <w:tc>
          <w:tcPr>
            <w:tcW w:w="1020" w:type="dxa"/>
            <w:vAlign w:val="bottom"/>
            <w:tcBorders>
              <w:right w:val="single" w:sz="8" w:color="007CBA"/>
            </w:tcBorders>
          </w:tcPr>
          <w:p>
            <w:pPr>
              <w:spacing w:after="0"/>
              <w:rPr>
                <w:sz w:val="14"/>
                <w:szCs w:val="14"/>
                <w:color w:val="auto"/>
              </w:rPr>
            </w:pPr>
          </w:p>
        </w:tc>
        <w:tc>
          <w:tcPr>
            <w:tcW w:w="760" w:type="dxa"/>
            <w:vAlign w:val="bottom"/>
            <w:tcBorders>
              <w:right w:val="single" w:sz="8" w:color="007CBA"/>
            </w:tcBorders>
          </w:tcPr>
          <w:p>
            <w:pPr>
              <w:spacing w:after="0"/>
              <w:rPr>
                <w:sz w:val="14"/>
                <w:szCs w:val="14"/>
                <w:color w:val="auto"/>
              </w:rPr>
            </w:pPr>
          </w:p>
        </w:tc>
        <w:tc>
          <w:tcPr>
            <w:tcW w:w="860" w:type="dxa"/>
            <w:vAlign w:val="bottom"/>
            <w:tcBorders>
              <w:right w:val="single" w:sz="8" w:color="007CBA"/>
            </w:tcBorders>
          </w:tcPr>
          <w:p>
            <w:pPr>
              <w:spacing w:after="0"/>
              <w:rPr>
                <w:sz w:val="14"/>
                <w:szCs w:val="14"/>
                <w:color w:val="auto"/>
              </w:rPr>
            </w:pPr>
          </w:p>
        </w:tc>
        <w:tc>
          <w:tcPr>
            <w:tcW w:w="1020" w:type="dxa"/>
            <w:vAlign w:val="bottom"/>
            <w:tcBorders>
              <w:right w:val="single" w:sz="8" w:color="007CBA"/>
            </w:tcBorders>
          </w:tcPr>
          <w:p>
            <w:pPr>
              <w:jc w:val="right"/>
              <w:ind w:right="78"/>
              <w:spacing w:after="0" w:line="162" w:lineRule="exact"/>
              <w:rPr>
                <w:sz w:val="20"/>
                <w:szCs w:val="20"/>
                <w:color w:val="auto"/>
              </w:rPr>
            </w:pPr>
            <w:r>
              <w:rPr>
                <w:rFonts w:ascii="Arial" w:cs="Arial" w:eastAsia="Arial" w:hAnsi="Arial"/>
                <w:sz w:val="11"/>
                <w:szCs w:val="11"/>
                <w:color w:val="auto"/>
              </w:rPr>
              <w:t>485</w:t>
            </w:r>
            <w:r>
              <w:rPr>
                <w:rFonts w:ascii="Arial" w:cs="Arial" w:eastAsia="Arial" w:hAnsi="Arial"/>
                <w:sz w:val="18"/>
                <w:szCs w:val="18"/>
                <w:color w:val="auto"/>
                <w:vertAlign w:val="superscript"/>
              </w:rPr>
              <w:t>7</w:t>
            </w:r>
          </w:p>
        </w:tc>
        <w:tc>
          <w:tcPr>
            <w:tcW w:w="100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83,357</w:t>
            </w:r>
          </w:p>
        </w:tc>
        <w:tc>
          <w:tcPr>
            <w:tcW w:w="1260" w:type="dxa"/>
            <w:vAlign w:val="bottom"/>
            <w:tcBorders>
              <w:right w:val="single" w:sz="8" w:color="007CBA"/>
            </w:tcBorders>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260" w:type="dxa"/>
            <w:vAlign w:val="bottom"/>
            <w:tcBorders>
              <w:right w:val="single" w:sz="8" w:color="007CBA"/>
            </w:tcBorders>
          </w:tcPr>
          <w:p>
            <w:pPr>
              <w:spacing w:after="0"/>
              <w:rPr>
                <w:sz w:val="15"/>
                <w:szCs w:val="15"/>
                <w:color w:val="auto"/>
              </w:rPr>
            </w:pPr>
          </w:p>
        </w:tc>
        <w:tc>
          <w:tcPr>
            <w:tcW w:w="900" w:type="dxa"/>
            <w:vAlign w:val="bottom"/>
            <w:tcBorders>
              <w:right w:val="single" w:sz="8" w:color="007CBA"/>
            </w:tcBorders>
          </w:tcPr>
          <w:p>
            <w:pPr>
              <w:spacing w:after="0"/>
              <w:rPr>
                <w:sz w:val="15"/>
                <w:szCs w:val="15"/>
                <w:color w:val="auto"/>
              </w:rPr>
            </w:pPr>
          </w:p>
        </w:tc>
        <w:tc>
          <w:tcPr>
            <w:tcW w:w="1020" w:type="dxa"/>
            <w:vAlign w:val="bottom"/>
            <w:tcBorders>
              <w:right w:val="single" w:sz="8" w:color="007CBA"/>
            </w:tcBorders>
          </w:tcPr>
          <w:p>
            <w:pPr>
              <w:spacing w:after="0"/>
              <w:rPr>
                <w:sz w:val="15"/>
                <w:szCs w:val="15"/>
                <w:color w:val="auto"/>
              </w:rPr>
            </w:pPr>
          </w:p>
        </w:tc>
        <w:tc>
          <w:tcPr>
            <w:tcW w:w="760" w:type="dxa"/>
            <w:vAlign w:val="bottom"/>
            <w:tcBorders>
              <w:right w:val="single" w:sz="8" w:color="007CBA"/>
            </w:tcBorders>
          </w:tcPr>
          <w:p>
            <w:pPr>
              <w:spacing w:after="0"/>
              <w:rPr>
                <w:sz w:val="15"/>
                <w:szCs w:val="15"/>
                <w:color w:val="auto"/>
              </w:rPr>
            </w:pPr>
          </w:p>
        </w:tc>
        <w:tc>
          <w:tcPr>
            <w:tcW w:w="860" w:type="dxa"/>
            <w:vAlign w:val="bottom"/>
            <w:tcBorders>
              <w:right w:val="single" w:sz="8" w:color="007CBA"/>
            </w:tcBorders>
          </w:tcPr>
          <w:p>
            <w:pPr>
              <w:spacing w:after="0"/>
              <w:rPr>
                <w:sz w:val="15"/>
                <w:szCs w:val="15"/>
                <w:color w:val="auto"/>
              </w:rPr>
            </w:pPr>
          </w:p>
        </w:tc>
        <w:tc>
          <w:tcPr>
            <w:tcW w:w="1020" w:type="dxa"/>
            <w:vAlign w:val="bottom"/>
            <w:tcBorders>
              <w:right w:val="single" w:sz="8" w:color="007CBA"/>
            </w:tcBorders>
          </w:tcPr>
          <w:p>
            <w:pPr>
              <w:jc w:val="right"/>
              <w:ind w:right="78"/>
              <w:spacing w:after="0" w:line="178" w:lineRule="exact"/>
              <w:rPr>
                <w:sz w:val="20"/>
                <w:szCs w:val="20"/>
                <w:color w:val="auto"/>
              </w:rPr>
            </w:pPr>
            <w:r>
              <w:rPr>
                <w:rFonts w:ascii="Arial" w:cs="Arial" w:eastAsia="Arial" w:hAnsi="Arial"/>
                <w:sz w:val="12"/>
                <w:szCs w:val="12"/>
                <w:color w:val="auto"/>
              </w:rPr>
              <w:t>474</w:t>
            </w:r>
            <w:r>
              <w:rPr>
                <w:rFonts w:ascii="Arial" w:cs="Arial" w:eastAsia="Arial" w:hAnsi="Arial"/>
                <w:sz w:val="20"/>
                <w:szCs w:val="20"/>
                <w:color w:val="auto"/>
                <w:vertAlign w:val="superscript"/>
              </w:rPr>
              <w:t>8</w:t>
            </w:r>
          </w:p>
        </w:tc>
        <w:tc>
          <w:tcPr>
            <w:tcW w:w="100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81,466</w:t>
            </w:r>
          </w:p>
        </w:tc>
        <w:tc>
          <w:tcPr>
            <w:tcW w:w="1260" w:type="dxa"/>
            <w:vAlign w:val="bottom"/>
            <w:tcBorders>
              <w:right w:val="single" w:sz="8" w:color="007CBA"/>
            </w:tcBorders>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26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b w:val="1"/>
                <w:bCs w:val="1"/>
                <w:color w:val="auto"/>
              </w:rPr>
              <w:t>Daniel L. Grant</w:t>
            </w:r>
          </w:p>
        </w:tc>
        <w:tc>
          <w:tcPr>
            <w:tcW w:w="900" w:type="dxa"/>
            <w:vAlign w:val="bottom"/>
            <w:tcBorders>
              <w:right w:val="single" w:sz="8" w:color="007CBA"/>
            </w:tcBorders>
            <w:shd w:val="clear" w:color="auto" w:fill="E5F1F8"/>
          </w:tcPr>
          <w:p>
            <w:pPr>
              <w:jc w:val="right"/>
              <w:ind w:right="130"/>
              <w:spacing w:after="0"/>
              <w:rPr>
                <w:sz w:val="20"/>
                <w:szCs w:val="20"/>
                <w:color w:val="auto"/>
              </w:rPr>
            </w:pPr>
            <w:r>
              <w:rPr>
                <w:rFonts w:ascii="Arial" w:cs="Arial" w:eastAsia="Arial" w:hAnsi="Arial"/>
                <w:sz w:val="14"/>
                <w:szCs w:val="14"/>
                <w:color w:val="auto"/>
              </w:rPr>
              <w:t>816</w:t>
            </w:r>
          </w:p>
        </w:tc>
        <w:tc>
          <w:tcPr>
            <w:tcW w:w="1020" w:type="dxa"/>
            <w:vAlign w:val="bottom"/>
            <w:tcBorders>
              <w:right w:val="single" w:sz="8" w:color="007CBA"/>
            </w:tcBorders>
            <w:shd w:val="clear" w:color="auto" w:fill="E5F1F8"/>
          </w:tcPr>
          <w:p>
            <w:pPr>
              <w:jc w:val="right"/>
              <w:ind w:right="212"/>
              <w:spacing w:after="0"/>
              <w:rPr>
                <w:sz w:val="20"/>
                <w:szCs w:val="20"/>
                <w:color w:val="auto"/>
              </w:rPr>
            </w:pPr>
            <w:r>
              <w:rPr>
                <w:rFonts w:ascii="Arial" w:cs="Arial" w:eastAsia="Arial" w:hAnsi="Arial"/>
                <w:sz w:val="14"/>
                <w:szCs w:val="14"/>
                <w:color w:val="auto"/>
              </w:rPr>
              <w:t>0</w:t>
            </w:r>
          </w:p>
        </w:tc>
        <w:tc>
          <w:tcPr>
            <w:tcW w:w="76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121.00</w:t>
            </w:r>
          </w:p>
        </w:tc>
        <w:tc>
          <w:tcPr>
            <w:tcW w:w="860" w:type="dxa"/>
            <w:vAlign w:val="bottom"/>
            <w:tcBorders>
              <w:right w:val="single" w:sz="8" w:color="007CBA"/>
            </w:tcBorders>
            <w:shd w:val="clear" w:color="auto" w:fill="E5F1F8"/>
          </w:tcPr>
          <w:p>
            <w:pPr>
              <w:jc w:val="right"/>
              <w:ind w:right="29"/>
              <w:spacing w:after="0"/>
              <w:rPr>
                <w:sz w:val="20"/>
                <w:szCs w:val="20"/>
                <w:color w:val="auto"/>
              </w:rPr>
            </w:pPr>
            <w:r>
              <w:rPr>
                <w:rFonts w:ascii="Arial" w:cs="Arial" w:eastAsia="Arial" w:hAnsi="Arial"/>
                <w:sz w:val="14"/>
                <w:szCs w:val="14"/>
                <w:color w:val="auto"/>
              </w:rPr>
              <w:t>5/22/2024</w:t>
            </w:r>
          </w:p>
        </w:tc>
        <w:tc>
          <w:tcPr>
            <w:tcW w:w="1020" w:type="dxa"/>
            <w:vAlign w:val="bottom"/>
            <w:tcBorders>
              <w:right w:val="single" w:sz="8" w:color="007CBA"/>
            </w:tcBorders>
            <w:shd w:val="clear" w:color="auto" w:fill="E5F1F8"/>
          </w:tcPr>
          <w:p>
            <w:pPr>
              <w:jc w:val="right"/>
              <w:ind w:right="78"/>
              <w:spacing w:after="0" w:line="227" w:lineRule="exact"/>
              <w:rPr>
                <w:sz w:val="20"/>
                <w:szCs w:val="20"/>
                <w:color w:val="auto"/>
              </w:rPr>
            </w:pPr>
            <w:r>
              <w:rPr>
                <w:rFonts w:ascii="Arial" w:cs="Arial" w:eastAsia="Arial" w:hAnsi="Arial"/>
                <w:sz w:val="14"/>
                <w:szCs w:val="14"/>
                <w:color w:val="auto"/>
              </w:rPr>
              <w:t>7,643</w:t>
            </w:r>
            <w:r>
              <w:rPr>
                <w:rFonts w:ascii="Arial" w:cs="Arial" w:eastAsia="Arial" w:hAnsi="Arial"/>
                <w:sz w:val="24"/>
                <w:szCs w:val="24"/>
                <w:color w:val="auto"/>
                <w:vertAlign w:val="superscript"/>
              </w:rPr>
              <w:t>3</w:t>
            </w:r>
          </w:p>
        </w:tc>
        <w:tc>
          <w:tcPr>
            <w:tcW w:w="100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1,313,602</w:t>
            </w:r>
          </w:p>
        </w:tc>
        <w:tc>
          <w:tcPr>
            <w:tcW w:w="1260" w:type="dxa"/>
            <w:vAlign w:val="bottom"/>
            <w:tcBorders>
              <w:right w:val="single" w:sz="8" w:color="007CBA"/>
            </w:tcBorders>
            <w:shd w:val="clear" w:color="auto" w:fill="E5F1F8"/>
          </w:tcPr>
          <w:p>
            <w:pPr>
              <w:ind w:left="680"/>
              <w:spacing w:after="0" w:line="227" w:lineRule="exact"/>
              <w:rPr>
                <w:sz w:val="20"/>
                <w:szCs w:val="20"/>
                <w:color w:val="auto"/>
              </w:rPr>
            </w:pPr>
            <w:r>
              <w:rPr>
                <w:rFonts w:ascii="Arial" w:cs="Arial" w:eastAsia="Arial" w:hAnsi="Arial"/>
                <w:sz w:val="14"/>
                <w:szCs w:val="14"/>
                <w:color w:val="auto"/>
              </w:rPr>
              <w:t>2,407</w:t>
            </w:r>
            <w:r>
              <w:rPr>
                <w:rFonts w:ascii="Arial" w:cs="Arial" w:eastAsia="Arial" w:hAnsi="Arial"/>
                <w:sz w:val="24"/>
                <w:szCs w:val="24"/>
                <w:color w:val="auto"/>
                <w:vertAlign w:val="superscript"/>
              </w:rPr>
              <w:t>9</w:t>
            </w:r>
          </w:p>
        </w:tc>
        <w:tc>
          <w:tcPr>
            <w:tcW w:w="920" w:type="dxa"/>
            <w:vAlign w:val="bottom"/>
            <w:gridSpan w:val="2"/>
            <w:shd w:val="clear" w:color="auto" w:fill="E5F1F8"/>
          </w:tcPr>
          <w:p>
            <w:pPr>
              <w:jc w:val="right"/>
              <w:ind w:right="37"/>
              <w:spacing w:after="0"/>
              <w:rPr>
                <w:sz w:val="20"/>
                <w:szCs w:val="20"/>
                <w:color w:val="auto"/>
              </w:rPr>
            </w:pPr>
            <w:r>
              <w:rPr>
                <w:rFonts w:ascii="Arial" w:cs="Arial" w:eastAsia="Arial" w:hAnsi="Arial"/>
                <w:sz w:val="14"/>
                <w:szCs w:val="14"/>
                <w:color w:val="auto"/>
              </w:rPr>
              <w:t>413,691</w:t>
            </w:r>
          </w:p>
        </w:tc>
        <w:tc>
          <w:tcPr>
            <w:tcW w:w="0" w:type="dxa"/>
            <w:vAlign w:val="bottom"/>
          </w:tcPr>
          <w:p>
            <w:pPr>
              <w:spacing w:after="0"/>
              <w:rPr>
                <w:sz w:val="1"/>
                <w:szCs w:val="1"/>
                <w:color w:val="auto"/>
              </w:rPr>
            </w:pPr>
          </w:p>
        </w:tc>
      </w:tr>
      <w:tr>
        <w:trPr>
          <w:trHeight w:val="162"/>
        </w:trPr>
        <w:tc>
          <w:tcPr>
            <w:tcW w:w="3260" w:type="dxa"/>
            <w:vAlign w:val="bottom"/>
            <w:tcBorders>
              <w:right w:val="single" w:sz="8" w:color="007CBA"/>
            </w:tcBorders>
            <w:shd w:val="clear" w:color="auto" w:fill="E5F1F8"/>
          </w:tcPr>
          <w:p>
            <w:pPr>
              <w:spacing w:after="0"/>
              <w:rPr>
                <w:sz w:val="14"/>
                <w:szCs w:val="14"/>
                <w:color w:val="auto"/>
              </w:rPr>
            </w:pPr>
          </w:p>
        </w:tc>
        <w:tc>
          <w:tcPr>
            <w:tcW w:w="900" w:type="dxa"/>
            <w:vAlign w:val="bottom"/>
            <w:tcBorders>
              <w:right w:val="single" w:sz="8" w:color="007CBA"/>
            </w:tcBorders>
            <w:shd w:val="clear" w:color="auto" w:fill="E5F1F8"/>
          </w:tcPr>
          <w:p>
            <w:pPr>
              <w:jc w:val="right"/>
              <w:ind w:right="130"/>
              <w:spacing w:after="0"/>
              <w:rPr>
                <w:sz w:val="20"/>
                <w:szCs w:val="20"/>
                <w:color w:val="auto"/>
              </w:rPr>
            </w:pPr>
            <w:r>
              <w:rPr>
                <w:rFonts w:ascii="Arial" w:cs="Arial" w:eastAsia="Arial" w:hAnsi="Arial"/>
                <w:sz w:val="14"/>
                <w:szCs w:val="14"/>
                <w:color w:val="auto"/>
              </w:rPr>
              <w:t>718</w:t>
            </w:r>
          </w:p>
        </w:tc>
        <w:tc>
          <w:tcPr>
            <w:tcW w:w="1020" w:type="dxa"/>
            <w:vAlign w:val="bottom"/>
            <w:tcBorders>
              <w:right w:val="single" w:sz="8" w:color="007CBA"/>
            </w:tcBorders>
            <w:shd w:val="clear" w:color="auto" w:fill="E5F1F8"/>
          </w:tcPr>
          <w:p>
            <w:pPr>
              <w:jc w:val="right"/>
              <w:ind w:right="192"/>
              <w:spacing w:after="0" w:line="162" w:lineRule="exact"/>
              <w:rPr>
                <w:sz w:val="20"/>
                <w:szCs w:val="20"/>
                <w:color w:val="auto"/>
              </w:rPr>
            </w:pPr>
            <w:r>
              <w:rPr>
                <w:rFonts w:ascii="Arial" w:cs="Arial" w:eastAsia="Arial" w:hAnsi="Arial"/>
                <w:sz w:val="11"/>
                <w:szCs w:val="11"/>
                <w:color w:val="auto"/>
              </w:rPr>
              <w:t>358</w:t>
            </w:r>
            <w:r>
              <w:rPr>
                <w:rFonts w:ascii="Arial" w:cs="Arial" w:eastAsia="Arial" w:hAnsi="Arial"/>
                <w:sz w:val="18"/>
                <w:szCs w:val="18"/>
                <w:color w:val="auto"/>
                <w:vertAlign w:val="superscript"/>
              </w:rPr>
              <w:t>2</w:t>
            </w:r>
          </w:p>
        </w:tc>
        <w:tc>
          <w:tcPr>
            <w:tcW w:w="76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154.58</w:t>
            </w:r>
          </w:p>
        </w:tc>
        <w:tc>
          <w:tcPr>
            <w:tcW w:w="860" w:type="dxa"/>
            <w:vAlign w:val="bottom"/>
            <w:tcBorders>
              <w:right w:val="single" w:sz="8" w:color="007CBA"/>
            </w:tcBorders>
            <w:shd w:val="clear" w:color="auto" w:fill="E5F1F8"/>
          </w:tcPr>
          <w:p>
            <w:pPr>
              <w:jc w:val="right"/>
              <w:ind w:right="29"/>
              <w:spacing w:after="0"/>
              <w:rPr>
                <w:sz w:val="20"/>
                <w:szCs w:val="20"/>
                <w:color w:val="auto"/>
              </w:rPr>
            </w:pPr>
            <w:r>
              <w:rPr>
                <w:rFonts w:ascii="Arial" w:cs="Arial" w:eastAsia="Arial" w:hAnsi="Arial"/>
                <w:sz w:val="14"/>
                <w:szCs w:val="14"/>
                <w:color w:val="auto"/>
              </w:rPr>
              <w:t>5/21/2025</w:t>
            </w:r>
          </w:p>
        </w:tc>
        <w:tc>
          <w:tcPr>
            <w:tcW w:w="1020" w:type="dxa"/>
            <w:vAlign w:val="bottom"/>
            <w:tcBorders>
              <w:right w:val="single" w:sz="8" w:color="007CBA"/>
            </w:tcBorders>
            <w:shd w:val="clear" w:color="auto" w:fill="E5F1F8"/>
          </w:tcPr>
          <w:p>
            <w:pPr>
              <w:jc w:val="right"/>
              <w:ind w:right="78"/>
              <w:spacing w:after="0" w:line="162" w:lineRule="exact"/>
              <w:rPr>
                <w:sz w:val="20"/>
                <w:szCs w:val="20"/>
                <w:color w:val="auto"/>
              </w:rPr>
            </w:pPr>
            <w:r>
              <w:rPr>
                <w:rFonts w:ascii="Arial" w:cs="Arial" w:eastAsia="Arial" w:hAnsi="Arial"/>
                <w:sz w:val="11"/>
                <w:szCs w:val="11"/>
                <w:color w:val="auto"/>
              </w:rPr>
              <w:t>401</w:t>
            </w:r>
            <w:r>
              <w:rPr>
                <w:rFonts w:ascii="Arial" w:cs="Arial" w:eastAsia="Arial" w:hAnsi="Arial"/>
                <w:sz w:val="18"/>
                <w:szCs w:val="18"/>
                <w:color w:val="auto"/>
                <w:vertAlign w:val="superscript"/>
              </w:rPr>
              <w:t>4</w:t>
            </w:r>
          </w:p>
        </w:tc>
        <w:tc>
          <w:tcPr>
            <w:tcW w:w="100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68,920</w:t>
            </w:r>
          </w:p>
        </w:tc>
        <w:tc>
          <w:tcPr>
            <w:tcW w:w="1260" w:type="dxa"/>
            <w:vAlign w:val="bottom"/>
            <w:tcBorders>
              <w:right w:val="single" w:sz="8" w:color="007CBA"/>
            </w:tcBorders>
            <w:shd w:val="clear" w:color="auto" w:fill="E5F1F8"/>
          </w:tcPr>
          <w:p>
            <w:pPr>
              <w:ind w:left="680"/>
              <w:spacing w:after="0" w:line="162" w:lineRule="exact"/>
              <w:rPr>
                <w:sz w:val="20"/>
                <w:szCs w:val="20"/>
                <w:color w:val="auto"/>
              </w:rPr>
            </w:pPr>
            <w:r>
              <w:rPr>
                <w:rFonts w:ascii="Arial" w:cs="Arial" w:eastAsia="Arial" w:hAnsi="Arial"/>
                <w:sz w:val="11"/>
                <w:szCs w:val="11"/>
                <w:color w:val="auto"/>
              </w:rPr>
              <w:t>2,210</w:t>
            </w:r>
            <w:r>
              <w:rPr>
                <w:rFonts w:ascii="Arial" w:cs="Arial" w:eastAsia="Arial" w:hAnsi="Arial"/>
                <w:sz w:val="18"/>
                <w:szCs w:val="18"/>
                <w:color w:val="auto"/>
                <w:vertAlign w:val="superscript"/>
              </w:rPr>
              <w:t>10</w:t>
            </w:r>
          </w:p>
        </w:tc>
        <w:tc>
          <w:tcPr>
            <w:tcW w:w="920" w:type="dxa"/>
            <w:vAlign w:val="bottom"/>
            <w:gridSpan w:val="2"/>
            <w:shd w:val="clear" w:color="auto" w:fill="E5F1F8"/>
          </w:tcPr>
          <w:p>
            <w:pPr>
              <w:jc w:val="right"/>
              <w:ind w:right="37"/>
              <w:spacing w:after="0"/>
              <w:rPr>
                <w:sz w:val="20"/>
                <w:szCs w:val="20"/>
                <w:color w:val="auto"/>
              </w:rPr>
            </w:pPr>
            <w:r>
              <w:rPr>
                <w:rFonts w:ascii="Arial" w:cs="Arial" w:eastAsia="Arial" w:hAnsi="Arial"/>
                <w:sz w:val="14"/>
                <w:szCs w:val="14"/>
                <w:color w:val="auto"/>
              </w:rPr>
              <w:t>379,833</w:t>
            </w:r>
          </w:p>
        </w:tc>
        <w:tc>
          <w:tcPr>
            <w:tcW w:w="0" w:type="dxa"/>
            <w:vAlign w:val="bottom"/>
          </w:tcPr>
          <w:p>
            <w:pPr>
              <w:spacing w:after="0"/>
              <w:rPr>
                <w:sz w:val="1"/>
                <w:szCs w:val="1"/>
                <w:color w:val="auto"/>
              </w:rPr>
            </w:pPr>
          </w:p>
        </w:tc>
      </w:tr>
      <w:tr>
        <w:trPr>
          <w:trHeight w:val="162"/>
        </w:trPr>
        <w:tc>
          <w:tcPr>
            <w:tcW w:w="3260" w:type="dxa"/>
            <w:vAlign w:val="bottom"/>
            <w:tcBorders>
              <w:right w:val="single" w:sz="8" w:color="007CBA"/>
            </w:tcBorders>
            <w:shd w:val="clear" w:color="auto" w:fill="E5F1F8"/>
          </w:tcPr>
          <w:p>
            <w:pPr>
              <w:spacing w:after="0"/>
              <w:rPr>
                <w:sz w:val="14"/>
                <w:szCs w:val="14"/>
                <w:color w:val="auto"/>
              </w:rPr>
            </w:pPr>
          </w:p>
        </w:tc>
        <w:tc>
          <w:tcPr>
            <w:tcW w:w="900" w:type="dxa"/>
            <w:vAlign w:val="bottom"/>
            <w:tcBorders>
              <w:right w:val="single" w:sz="8" w:color="007CBA"/>
            </w:tcBorders>
            <w:shd w:val="clear" w:color="auto" w:fill="E5F1F8"/>
          </w:tcPr>
          <w:p>
            <w:pPr>
              <w:spacing w:after="0"/>
              <w:rPr>
                <w:sz w:val="14"/>
                <w:szCs w:val="14"/>
                <w:color w:val="auto"/>
              </w:rPr>
            </w:pPr>
          </w:p>
        </w:tc>
        <w:tc>
          <w:tcPr>
            <w:tcW w:w="1020" w:type="dxa"/>
            <w:vAlign w:val="bottom"/>
            <w:tcBorders>
              <w:right w:val="single" w:sz="8" w:color="007CBA"/>
            </w:tcBorders>
            <w:shd w:val="clear" w:color="auto" w:fill="E5F1F8"/>
          </w:tcPr>
          <w:p>
            <w:pPr>
              <w:spacing w:after="0"/>
              <w:rPr>
                <w:sz w:val="14"/>
                <w:szCs w:val="14"/>
                <w:color w:val="auto"/>
              </w:rPr>
            </w:pPr>
          </w:p>
        </w:tc>
        <w:tc>
          <w:tcPr>
            <w:tcW w:w="760" w:type="dxa"/>
            <w:vAlign w:val="bottom"/>
            <w:tcBorders>
              <w:right w:val="single" w:sz="8" w:color="007CBA"/>
            </w:tcBorders>
            <w:shd w:val="clear" w:color="auto" w:fill="E5F1F8"/>
          </w:tcPr>
          <w:p>
            <w:pPr>
              <w:spacing w:after="0"/>
              <w:rPr>
                <w:sz w:val="14"/>
                <w:szCs w:val="14"/>
                <w:color w:val="auto"/>
              </w:rPr>
            </w:pPr>
          </w:p>
        </w:tc>
        <w:tc>
          <w:tcPr>
            <w:tcW w:w="860" w:type="dxa"/>
            <w:vAlign w:val="bottom"/>
            <w:tcBorders>
              <w:right w:val="single" w:sz="8" w:color="007CBA"/>
            </w:tcBorders>
            <w:shd w:val="clear" w:color="auto" w:fill="E5F1F8"/>
          </w:tcPr>
          <w:p>
            <w:pPr>
              <w:spacing w:after="0"/>
              <w:rPr>
                <w:sz w:val="14"/>
                <w:szCs w:val="14"/>
                <w:color w:val="auto"/>
              </w:rPr>
            </w:pPr>
          </w:p>
        </w:tc>
        <w:tc>
          <w:tcPr>
            <w:tcW w:w="1020" w:type="dxa"/>
            <w:vAlign w:val="bottom"/>
            <w:tcBorders>
              <w:right w:val="single" w:sz="8" w:color="007CBA"/>
            </w:tcBorders>
            <w:shd w:val="clear" w:color="auto" w:fill="E5F1F8"/>
          </w:tcPr>
          <w:p>
            <w:pPr>
              <w:jc w:val="right"/>
              <w:ind w:right="78"/>
              <w:spacing w:after="0" w:line="162" w:lineRule="exact"/>
              <w:rPr>
                <w:sz w:val="20"/>
                <w:szCs w:val="20"/>
                <w:color w:val="auto"/>
              </w:rPr>
            </w:pPr>
            <w:r>
              <w:rPr>
                <w:rFonts w:ascii="Arial" w:cs="Arial" w:eastAsia="Arial" w:hAnsi="Arial"/>
                <w:sz w:val="11"/>
                <w:szCs w:val="11"/>
                <w:color w:val="auto"/>
              </w:rPr>
              <w:t>1,264</w:t>
            </w:r>
            <w:r>
              <w:rPr>
                <w:rFonts w:ascii="Arial" w:cs="Arial" w:eastAsia="Arial" w:hAnsi="Arial"/>
                <w:sz w:val="18"/>
                <w:szCs w:val="18"/>
                <w:color w:val="auto"/>
                <w:vertAlign w:val="superscript"/>
              </w:rPr>
              <w:t>5</w:t>
            </w:r>
          </w:p>
        </w:tc>
        <w:tc>
          <w:tcPr>
            <w:tcW w:w="100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217,244</w:t>
            </w:r>
          </w:p>
        </w:tc>
        <w:tc>
          <w:tcPr>
            <w:tcW w:w="1260" w:type="dxa"/>
            <w:vAlign w:val="bottom"/>
            <w:tcBorders>
              <w:right w:val="single" w:sz="8" w:color="007CBA"/>
            </w:tcBorders>
            <w:shd w:val="clear" w:color="auto" w:fill="E5F1F8"/>
          </w:tcPr>
          <w:p>
            <w:pPr>
              <w:ind w:left="680"/>
              <w:spacing w:after="0" w:line="162" w:lineRule="exact"/>
              <w:rPr>
                <w:sz w:val="20"/>
                <w:szCs w:val="20"/>
                <w:color w:val="auto"/>
              </w:rPr>
            </w:pPr>
            <w:r>
              <w:rPr>
                <w:rFonts w:ascii="Arial" w:cs="Arial" w:eastAsia="Arial" w:hAnsi="Arial"/>
                <w:sz w:val="11"/>
                <w:szCs w:val="11"/>
                <w:color w:val="auto"/>
              </w:rPr>
              <w:t>1,120</w:t>
            </w:r>
            <w:r>
              <w:rPr>
                <w:rFonts w:ascii="Arial" w:cs="Arial" w:eastAsia="Arial" w:hAnsi="Arial"/>
                <w:sz w:val="18"/>
                <w:szCs w:val="18"/>
                <w:color w:val="auto"/>
                <w:vertAlign w:val="superscript"/>
              </w:rPr>
              <w:t>11</w:t>
            </w:r>
          </w:p>
        </w:tc>
        <w:tc>
          <w:tcPr>
            <w:tcW w:w="920" w:type="dxa"/>
            <w:vAlign w:val="bottom"/>
            <w:gridSpan w:val="2"/>
            <w:shd w:val="clear" w:color="auto" w:fill="E5F1F8"/>
          </w:tcPr>
          <w:p>
            <w:pPr>
              <w:jc w:val="right"/>
              <w:ind w:right="37"/>
              <w:spacing w:after="0"/>
              <w:rPr>
                <w:sz w:val="20"/>
                <w:szCs w:val="20"/>
                <w:color w:val="auto"/>
              </w:rPr>
            </w:pPr>
            <w:r>
              <w:rPr>
                <w:rFonts w:ascii="Arial" w:cs="Arial" w:eastAsia="Arial" w:hAnsi="Arial"/>
                <w:sz w:val="14"/>
                <w:szCs w:val="14"/>
                <w:color w:val="auto"/>
              </w:rPr>
              <w:t>192,494</w:t>
            </w:r>
          </w:p>
        </w:tc>
        <w:tc>
          <w:tcPr>
            <w:tcW w:w="0" w:type="dxa"/>
            <w:vAlign w:val="bottom"/>
          </w:tcPr>
          <w:p>
            <w:pPr>
              <w:spacing w:after="0"/>
              <w:rPr>
                <w:sz w:val="1"/>
                <w:szCs w:val="1"/>
                <w:color w:val="auto"/>
              </w:rPr>
            </w:pPr>
          </w:p>
        </w:tc>
      </w:tr>
      <w:tr>
        <w:trPr>
          <w:trHeight w:val="162"/>
        </w:trPr>
        <w:tc>
          <w:tcPr>
            <w:tcW w:w="3260" w:type="dxa"/>
            <w:vAlign w:val="bottom"/>
            <w:tcBorders>
              <w:right w:val="single" w:sz="8" w:color="007CBA"/>
            </w:tcBorders>
            <w:shd w:val="clear" w:color="auto" w:fill="E5F1F8"/>
          </w:tcPr>
          <w:p>
            <w:pPr>
              <w:spacing w:after="0"/>
              <w:rPr>
                <w:sz w:val="14"/>
                <w:szCs w:val="14"/>
                <w:color w:val="auto"/>
              </w:rPr>
            </w:pPr>
          </w:p>
        </w:tc>
        <w:tc>
          <w:tcPr>
            <w:tcW w:w="900" w:type="dxa"/>
            <w:vAlign w:val="bottom"/>
            <w:tcBorders>
              <w:right w:val="single" w:sz="8" w:color="007CBA"/>
            </w:tcBorders>
            <w:shd w:val="clear" w:color="auto" w:fill="E5F1F8"/>
          </w:tcPr>
          <w:p>
            <w:pPr>
              <w:spacing w:after="0"/>
              <w:rPr>
                <w:sz w:val="14"/>
                <w:szCs w:val="14"/>
                <w:color w:val="auto"/>
              </w:rPr>
            </w:pPr>
          </w:p>
        </w:tc>
        <w:tc>
          <w:tcPr>
            <w:tcW w:w="1020" w:type="dxa"/>
            <w:vAlign w:val="bottom"/>
            <w:tcBorders>
              <w:right w:val="single" w:sz="8" w:color="007CBA"/>
            </w:tcBorders>
            <w:shd w:val="clear" w:color="auto" w:fill="E5F1F8"/>
          </w:tcPr>
          <w:p>
            <w:pPr>
              <w:spacing w:after="0"/>
              <w:rPr>
                <w:sz w:val="14"/>
                <w:szCs w:val="14"/>
                <w:color w:val="auto"/>
              </w:rPr>
            </w:pPr>
          </w:p>
        </w:tc>
        <w:tc>
          <w:tcPr>
            <w:tcW w:w="760" w:type="dxa"/>
            <w:vAlign w:val="bottom"/>
            <w:tcBorders>
              <w:right w:val="single" w:sz="8" w:color="007CBA"/>
            </w:tcBorders>
            <w:shd w:val="clear" w:color="auto" w:fill="E5F1F8"/>
          </w:tcPr>
          <w:p>
            <w:pPr>
              <w:spacing w:after="0"/>
              <w:rPr>
                <w:sz w:val="14"/>
                <w:szCs w:val="14"/>
                <w:color w:val="auto"/>
              </w:rPr>
            </w:pPr>
          </w:p>
        </w:tc>
        <w:tc>
          <w:tcPr>
            <w:tcW w:w="860" w:type="dxa"/>
            <w:vAlign w:val="bottom"/>
            <w:tcBorders>
              <w:right w:val="single" w:sz="8" w:color="007CBA"/>
            </w:tcBorders>
            <w:shd w:val="clear" w:color="auto" w:fill="E5F1F8"/>
          </w:tcPr>
          <w:p>
            <w:pPr>
              <w:spacing w:after="0"/>
              <w:rPr>
                <w:sz w:val="14"/>
                <w:szCs w:val="14"/>
                <w:color w:val="auto"/>
              </w:rPr>
            </w:pPr>
          </w:p>
        </w:tc>
        <w:tc>
          <w:tcPr>
            <w:tcW w:w="1020" w:type="dxa"/>
            <w:vAlign w:val="bottom"/>
            <w:tcBorders>
              <w:right w:val="single" w:sz="8" w:color="007CBA"/>
            </w:tcBorders>
            <w:shd w:val="clear" w:color="auto" w:fill="E5F1F8"/>
          </w:tcPr>
          <w:p>
            <w:pPr>
              <w:jc w:val="right"/>
              <w:ind w:right="78"/>
              <w:spacing w:after="0" w:line="162" w:lineRule="exact"/>
              <w:rPr>
                <w:sz w:val="20"/>
                <w:szCs w:val="20"/>
                <w:color w:val="auto"/>
              </w:rPr>
            </w:pPr>
            <w:r>
              <w:rPr>
                <w:rFonts w:ascii="Arial" w:cs="Arial" w:eastAsia="Arial" w:hAnsi="Arial"/>
                <w:sz w:val="11"/>
                <w:szCs w:val="11"/>
                <w:color w:val="auto"/>
              </w:rPr>
              <w:t>963</w:t>
            </w:r>
            <w:r>
              <w:rPr>
                <w:rFonts w:ascii="Arial" w:cs="Arial" w:eastAsia="Arial" w:hAnsi="Arial"/>
                <w:sz w:val="18"/>
                <w:szCs w:val="18"/>
                <w:color w:val="auto"/>
                <w:vertAlign w:val="superscript"/>
              </w:rPr>
              <w:t>6</w:t>
            </w:r>
          </w:p>
        </w:tc>
        <w:tc>
          <w:tcPr>
            <w:tcW w:w="100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160,011</w:t>
            </w:r>
          </w:p>
        </w:tc>
        <w:tc>
          <w:tcPr>
            <w:tcW w:w="1260" w:type="dxa"/>
            <w:vAlign w:val="bottom"/>
            <w:tcBorders>
              <w:right w:val="single" w:sz="8" w:color="007CBA"/>
            </w:tcBorders>
            <w:shd w:val="clear" w:color="auto" w:fill="E5F1F8"/>
          </w:tcPr>
          <w:p>
            <w:pPr>
              <w:spacing w:after="0"/>
              <w:rPr>
                <w:sz w:val="14"/>
                <w:szCs w:val="14"/>
                <w:color w:val="auto"/>
              </w:rPr>
            </w:pPr>
          </w:p>
        </w:tc>
        <w:tc>
          <w:tcPr>
            <w:tcW w:w="780" w:type="dxa"/>
            <w:vAlign w:val="bottom"/>
            <w:shd w:val="clear" w:color="auto" w:fill="E5F1F8"/>
          </w:tcPr>
          <w:p>
            <w:pPr>
              <w:spacing w:after="0"/>
              <w:rPr>
                <w:sz w:val="14"/>
                <w:szCs w:val="14"/>
                <w:color w:val="auto"/>
              </w:rPr>
            </w:pPr>
          </w:p>
        </w:tc>
        <w:tc>
          <w:tcPr>
            <w:tcW w:w="140" w:type="dxa"/>
            <w:vAlign w:val="bottom"/>
            <w:shd w:val="clear" w:color="auto" w:fill="E5F1F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Borders>
              <w:right w:val="single" w:sz="8" w:color="007CBA"/>
            </w:tcBorders>
            <w:shd w:val="clear" w:color="auto" w:fill="E5F1F8"/>
          </w:tcPr>
          <w:p>
            <w:pPr>
              <w:spacing w:after="0"/>
              <w:rPr>
                <w:sz w:val="14"/>
                <w:szCs w:val="14"/>
                <w:color w:val="auto"/>
              </w:rPr>
            </w:pPr>
          </w:p>
        </w:tc>
        <w:tc>
          <w:tcPr>
            <w:tcW w:w="900" w:type="dxa"/>
            <w:vAlign w:val="bottom"/>
            <w:tcBorders>
              <w:right w:val="single" w:sz="8" w:color="007CBA"/>
            </w:tcBorders>
            <w:shd w:val="clear" w:color="auto" w:fill="E5F1F8"/>
          </w:tcPr>
          <w:p>
            <w:pPr>
              <w:spacing w:after="0"/>
              <w:rPr>
                <w:sz w:val="14"/>
                <w:szCs w:val="14"/>
                <w:color w:val="auto"/>
              </w:rPr>
            </w:pPr>
          </w:p>
        </w:tc>
        <w:tc>
          <w:tcPr>
            <w:tcW w:w="1020" w:type="dxa"/>
            <w:vAlign w:val="bottom"/>
            <w:tcBorders>
              <w:right w:val="single" w:sz="8" w:color="007CBA"/>
            </w:tcBorders>
            <w:shd w:val="clear" w:color="auto" w:fill="E5F1F8"/>
          </w:tcPr>
          <w:p>
            <w:pPr>
              <w:spacing w:after="0"/>
              <w:rPr>
                <w:sz w:val="14"/>
                <w:szCs w:val="14"/>
                <w:color w:val="auto"/>
              </w:rPr>
            </w:pPr>
          </w:p>
        </w:tc>
        <w:tc>
          <w:tcPr>
            <w:tcW w:w="760" w:type="dxa"/>
            <w:vAlign w:val="bottom"/>
            <w:tcBorders>
              <w:right w:val="single" w:sz="8" w:color="007CBA"/>
            </w:tcBorders>
            <w:shd w:val="clear" w:color="auto" w:fill="E5F1F8"/>
          </w:tcPr>
          <w:p>
            <w:pPr>
              <w:spacing w:after="0"/>
              <w:rPr>
                <w:sz w:val="14"/>
                <w:szCs w:val="14"/>
                <w:color w:val="auto"/>
              </w:rPr>
            </w:pPr>
          </w:p>
        </w:tc>
        <w:tc>
          <w:tcPr>
            <w:tcW w:w="860" w:type="dxa"/>
            <w:vAlign w:val="bottom"/>
            <w:tcBorders>
              <w:right w:val="single" w:sz="8" w:color="007CBA"/>
            </w:tcBorders>
            <w:shd w:val="clear" w:color="auto" w:fill="E5F1F8"/>
          </w:tcPr>
          <w:p>
            <w:pPr>
              <w:spacing w:after="0"/>
              <w:rPr>
                <w:sz w:val="14"/>
                <w:szCs w:val="14"/>
                <w:color w:val="auto"/>
              </w:rPr>
            </w:pPr>
          </w:p>
        </w:tc>
        <w:tc>
          <w:tcPr>
            <w:tcW w:w="1020" w:type="dxa"/>
            <w:vAlign w:val="bottom"/>
            <w:tcBorders>
              <w:right w:val="single" w:sz="8" w:color="007CBA"/>
            </w:tcBorders>
            <w:shd w:val="clear" w:color="auto" w:fill="E5F1F8"/>
          </w:tcPr>
          <w:p>
            <w:pPr>
              <w:jc w:val="right"/>
              <w:ind w:right="78"/>
              <w:spacing w:after="0" w:line="162" w:lineRule="exact"/>
              <w:rPr>
                <w:sz w:val="20"/>
                <w:szCs w:val="20"/>
                <w:color w:val="auto"/>
              </w:rPr>
            </w:pPr>
            <w:r>
              <w:rPr>
                <w:rFonts w:ascii="Arial" w:cs="Arial" w:eastAsia="Arial" w:hAnsi="Arial"/>
                <w:sz w:val="11"/>
                <w:szCs w:val="11"/>
                <w:color w:val="auto"/>
              </w:rPr>
              <w:t>568</w:t>
            </w:r>
            <w:r>
              <w:rPr>
                <w:rFonts w:ascii="Arial" w:cs="Arial" w:eastAsia="Arial" w:hAnsi="Arial"/>
                <w:sz w:val="18"/>
                <w:szCs w:val="18"/>
                <w:color w:val="auto"/>
                <w:vertAlign w:val="superscript"/>
              </w:rPr>
              <w:t>7</w:t>
            </w:r>
          </w:p>
        </w:tc>
        <w:tc>
          <w:tcPr>
            <w:tcW w:w="100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97,622</w:t>
            </w:r>
          </w:p>
        </w:tc>
        <w:tc>
          <w:tcPr>
            <w:tcW w:w="1260" w:type="dxa"/>
            <w:vAlign w:val="bottom"/>
            <w:tcBorders>
              <w:right w:val="single" w:sz="8" w:color="007CBA"/>
            </w:tcBorders>
            <w:shd w:val="clear" w:color="auto" w:fill="E5F1F8"/>
          </w:tcPr>
          <w:p>
            <w:pPr>
              <w:spacing w:after="0"/>
              <w:rPr>
                <w:sz w:val="14"/>
                <w:szCs w:val="14"/>
                <w:color w:val="auto"/>
              </w:rPr>
            </w:pPr>
          </w:p>
        </w:tc>
        <w:tc>
          <w:tcPr>
            <w:tcW w:w="780" w:type="dxa"/>
            <w:vAlign w:val="bottom"/>
            <w:shd w:val="clear" w:color="auto" w:fill="E5F1F8"/>
          </w:tcPr>
          <w:p>
            <w:pPr>
              <w:spacing w:after="0"/>
              <w:rPr>
                <w:sz w:val="14"/>
                <w:szCs w:val="14"/>
                <w:color w:val="auto"/>
              </w:rPr>
            </w:pPr>
          </w:p>
        </w:tc>
        <w:tc>
          <w:tcPr>
            <w:tcW w:w="140" w:type="dxa"/>
            <w:vAlign w:val="bottom"/>
            <w:shd w:val="clear" w:color="auto" w:fill="E5F1F8"/>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260" w:type="dxa"/>
            <w:vAlign w:val="bottom"/>
            <w:tcBorders>
              <w:bottom w:val="single" w:sz="8" w:color="007CBA"/>
              <w:right w:val="single" w:sz="8" w:color="007CBA"/>
            </w:tcBorders>
            <w:shd w:val="clear" w:color="auto" w:fill="E5F1F8"/>
          </w:tcPr>
          <w:p>
            <w:pPr>
              <w:spacing w:after="0"/>
              <w:rPr>
                <w:sz w:val="15"/>
                <w:szCs w:val="15"/>
                <w:color w:val="auto"/>
              </w:rPr>
            </w:pPr>
          </w:p>
        </w:tc>
        <w:tc>
          <w:tcPr>
            <w:tcW w:w="900" w:type="dxa"/>
            <w:vAlign w:val="bottom"/>
            <w:tcBorders>
              <w:bottom w:val="single" w:sz="8" w:color="007CBA"/>
              <w:right w:val="single" w:sz="8" w:color="007CBA"/>
            </w:tcBorders>
            <w:shd w:val="clear" w:color="auto" w:fill="E5F1F8"/>
          </w:tcPr>
          <w:p>
            <w:pPr>
              <w:spacing w:after="0"/>
              <w:rPr>
                <w:sz w:val="15"/>
                <w:szCs w:val="15"/>
                <w:color w:val="auto"/>
              </w:rPr>
            </w:pPr>
          </w:p>
        </w:tc>
        <w:tc>
          <w:tcPr>
            <w:tcW w:w="1020" w:type="dxa"/>
            <w:vAlign w:val="bottom"/>
            <w:tcBorders>
              <w:bottom w:val="single" w:sz="8" w:color="007CBA"/>
              <w:right w:val="single" w:sz="8" w:color="007CBA"/>
            </w:tcBorders>
            <w:shd w:val="clear" w:color="auto" w:fill="E5F1F8"/>
          </w:tcPr>
          <w:p>
            <w:pPr>
              <w:spacing w:after="0"/>
              <w:rPr>
                <w:sz w:val="15"/>
                <w:szCs w:val="15"/>
                <w:color w:val="auto"/>
              </w:rPr>
            </w:pPr>
          </w:p>
        </w:tc>
        <w:tc>
          <w:tcPr>
            <w:tcW w:w="760" w:type="dxa"/>
            <w:vAlign w:val="bottom"/>
            <w:tcBorders>
              <w:bottom w:val="single" w:sz="8" w:color="007CBA"/>
              <w:right w:val="single" w:sz="8" w:color="007CBA"/>
            </w:tcBorders>
            <w:shd w:val="clear" w:color="auto" w:fill="E5F1F8"/>
          </w:tcPr>
          <w:p>
            <w:pPr>
              <w:spacing w:after="0"/>
              <w:rPr>
                <w:sz w:val="15"/>
                <w:szCs w:val="15"/>
                <w:color w:val="auto"/>
              </w:rPr>
            </w:pPr>
          </w:p>
        </w:tc>
        <w:tc>
          <w:tcPr>
            <w:tcW w:w="860" w:type="dxa"/>
            <w:vAlign w:val="bottom"/>
            <w:tcBorders>
              <w:bottom w:val="single" w:sz="8" w:color="007CBA"/>
              <w:right w:val="single" w:sz="8" w:color="007CBA"/>
            </w:tcBorders>
            <w:shd w:val="clear" w:color="auto" w:fill="E5F1F8"/>
          </w:tcPr>
          <w:p>
            <w:pPr>
              <w:spacing w:after="0"/>
              <w:rPr>
                <w:sz w:val="15"/>
                <w:szCs w:val="15"/>
                <w:color w:val="auto"/>
              </w:rPr>
            </w:pPr>
          </w:p>
        </w:tc>
        <w:tc>
          <w:tcPr>
            <w:tcW w:w="1020" w:type="dxa"/>
            <w:vAlign w:val="bottom"/>
            <w:tcBorders>
              <w:bottom w:val="single" w:sz="8" w:color="007CBA"/>
              <w:right w:val="single" w:sz="8" w:color="007CBA"/>
            </w:tcBorders>
            <w:shd w:val="clear" w:color="auto" w:fill="E5F1F8"/>
          </w:tcPr>
          <w:p>
            <w:pPr>
              <w:jc w:val="right"/>
              <w:ind w:right="78"/>
              <w:spacing w:after="0" w:line="178" w:lineRule="exact"/>
              <w:rPr>
                <w:sz w:val="20"/>
                <w:szCs w:val="20"/>
                <w:color w:val="auto"/>
              </w:rPr>
            </w:pPr>
            <w:r>
              <w:rPr>
                <w:rFonts w:ascii="Arial" w:cs="Arial" w:eastAsia="Arial" w:hAnsi="Arial"/>
                <w:sz w:val="12"/>
                <w:szCs w:val="12"/>
                <w:color w:val="auto"/>
              </w:rPr>
              <w:t>502</w:t>
            </w:r>
            <w:r>
              <w:rPr>
                <w:rFonts w:ascii="Arial" w:cs="Arial" w:eastAsia="Arial" w:hAnsi="Arial"/>
                <w:sz w:val="20"/>
                <w:szCs w:val="20"/>
                <w:color w:val="auto"/>
                <w:vertAlign w:val="superscript"/>
              </w:rPr>
              <w:t>8</w:t>
            </w:r>
          </w:p>
        </w:tc>
        <w:tc>
          <w:tcPr>
            <w:tcW w:w="1000" w:type="dxa"/>
            <w:vAlign w:val="bottom"/>
            <w:tcBorders>
              <w:bottom w:val="single" w:sz="8" w:color="007CBA"/>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86,279</w:t>
            </w:r>
          </w:p>
        </w:tc>
        <w:tc>
          <w:tcPr>
            <w:tcW w:w="1260" w:type="dxa"/>
            <w:vAlign w:val="bottom"/>
            <w:tcBorders>
              <w:bottom w:val="single" w:sz="8" w:color="007CBA"/>
              <w:right w:val="single" w:sz="8" w:color="007CBA"/>
            </w:tcBorders>
            <w:shd w:val="clear" w:color="auto" w:fill="E5F1F8"/>
          </w:tcPr>
          <w:p>
            <w:pPr>
              <w:spacing w:after="0"/>
              <w:rPr>
                <w:sz w:val="15"/>
                <w:szCs w:val="15"/>
                <w:color w:val="auto"/>
              </w:rPr>
            </w:pPr>
          </w:p>
        </w:tc>
        <w:tc>
          <w:tcPr>
            <w:tcW w:w="780" w:type="dxa"/>
            <w:vAlign w:val="bottom"/>
            <w:tcBorders>
              <w:bottom w:val="single" w:sz="8" w:color="007CBA"/>
            </w:tcBorders>
            <w:shd w:val="clear" w:color="auto" w:fill="E5F1F8"/>
          </w:tcPr>
          <w:p>
            <w:pPr>
              <w:spacing w:after="0"/>
              <w:rPr>
                <w:sz w:val="15"/>
                <w:szCs w:val="15"/>
                <w:color w:val="auto"/>
              </w:rPr>
            </w:pPr>
          </w:p>
        </w:tc>
        <w:tc>
          <w:tcPr>
            <w:tcW w:w="140" w:type="dxa"/>
            <w:vAlign w:val="bottom"/>
            <w:tcBorders>
              <w:bottom w:val="single" w:sz="8" w:color="007CBA"/>
            </w:tcBorders>
            <w:shd w:val="clear" w:color="auto" w:fill="E5F1F8"/>
          </w:tcPr>
          <w:p>
            <w:pPr>
              <w:spacing w:after="0"/>
              <w:rPr>
                <w:sz w:val="15"/>
                <w:szCs w:val="15"/>
                <w:color w:val="auto"/>
              </w:rPr>
            </w:pPr>
          </w:p>
        </w:tc>
        <w:tc>
          <w:tcPr>
            <w:tcW w:w="0" w:type="dxa"/>
            <w:vAlign w:val="bottom"/>
          </w:tcPr>
          <w:p>
            <w:pPr>
              <w:spacing w:after="0"/>
              <w:rPr>
                <w:sz w:val="1"/>
                <w:szCs w:val="1"/>
                <w:color w:val="auto"/>
              </w:rPr>
            </w:pPr>
          </w:p>
        </w:tc>
      </w:tr>
      <w:tr>
        <w:trPr>
          <w:trHeight w:val="328"/>
        </w:trPr>
        <w:tc>
          <w:tcPr>
            <w:tcW w:w="3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40" w:type="dxa"/>
            <w:vAlign w:val="bottom"/>
            <w:gridSpan w:val="2"/>
          </w:tcPr>
          <w:p>
            <w:pPr>
              <w:ind w:left="220"/>
              <w:spacing w:after="0"/>
              <w:rPr>
                <w:sz w:val="20"/>
                <w:szCs w:val="20"/>
                <w:color w:val="auto"/>
              </w:rPr>
            </w:pPr>
            <w:r>
              <w:rPr>
                <w:rFonts w:ascii="Arial" w:cs="Arial" w:eastAsia="Arial" w:hAnsi="Arial"/>
                <w:sz w:val="13"/>
                <w:szCs w:val="13"/>
                <w:color w:val="007CBA"/>
              </w:rPr>
              <w:t>2019 PROXY STATEMENT</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-4897755</wp:posOffset>
            </wp:positionV>
            <wp:extent cx="69024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0245" cy="8255"/>
                    </a:xfrm>
                    <a:prstGeom prst="rect">
                      <a:avLst/>
                    </a:prstGeom>
                    <a:noFill/>
                  </pic:spPr>
                </pic:pic>
              </a:graphicData>
            </a:graphic>
          </wp:anchor>
        </w:drawing>
        <w:drawing>
          <wp:anchor simplePos="0" relativeHeight="251657728" behindDoc="1" locked="0" layoutInCell="0" allowOverlap="1">
            <wp:simplePos x="0" y="0"/>
            <wp:positionH relativeFrom="column">
              <wp:posOffset>2486025</wp:posOffset>
            </wp:positionH>
            <wp:positionV relativeFrom="paragraph">
              <wp:posOffset>-4803140</wp:posOffset>
            </wp:positionV>
            <wp:extent cx="45173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517390" cy="8255"/>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-117475</wp:posOffset>
            </wp:positionV>
            <wp:extent cx="410845" cy="2482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9" w:lineRule="exact"/>
        <w:rPr>
          <w:sz w:val="20"/>
          <w:szCs w:val="20"/>
          <w:color w:val="auto"/>
        </w:rPr>
      </w:pPr>
    </w:p>
    <w:p>
      <w:pPr>
        <w:ind w:left="220"/>
        <w:spacing w:after="0" w:line="251" w:lineRule="exact"/>
        <w:tabs>
          <w:tab w:leader="none" w:pos="1800" w:val="left"/>
        </w:tabs>
        <w:rPr>
          <w:sz w:val="20"/>
          <w:szCs w:val="20"/>
          <w:color w:val="auto"/>
        </w:rPr>
      </w:pPr>
      <w:r>
        <w:rPr>
          <w:rFonts w:ascii="Arial" w:cs="Arial" w:eastAsia="Arial" w:hAnsi="Arial"/>
          <w:sz w:val="13"/>
          <w:szCs w:val="13"/>
          <w:color w:val="007CBA"/>
        </w:rPr>
        <w:t>Executive Compensation</w:t>
      </w:r>
      <w:r>
        <w:rPr>
          <w:sz w:val="20"/>
          <w:szCs w:val="20"/>
          <w:color w:val="auto"/>
        </w:rPr>
        <w:tab/>
      </w:r>
      <w:r>
        <w:rPr>
          <w:rFonts w:ascii="MS PGothic" w:cs="MS PGothic" w:eastAsia="MS PGothic" w:hAnsi="MS PGothic"/>
          <w:sz w:val="25"/>
          <w:szCs w:val="25"/>
          <w:color w:val="007CBA"/>
        </w:rPr>
        <w:t xml:space="preserve">◆ </w:t>
      </w:r>
      <w:r>
        <w:rPr>
          <w:rFonts w:ascii="Arial" w:cs="Arial" w:eastAsia="Arial" w:hAnsi="Arial"/>
          <w:sz w:val="13"/>
          <w:szCs w:val="13"/>
          <w:color w:val="000000"/>
        </w:rPr>
        <w:t>Outstanding Equity Awards at Fiscal Year-End</w:t>
      </w:r>
    </w:p>
    <w:p>
      <w:pPr>
        <w:spacing w:after="0" w:line="376" w:lineRule="exact"/>
        <w:rPr>
          <w:sz w:val="20"/>
          <w:szCs w:val="20"/>
          <w:color w:val="auto"/>
        </w:rPr>
      </w:pPr>
    </w:p>
    <w:p>
      <w:pPr>
        <w:ind w:left="340" w:hanging="130"/>
        <w:spacing w:after="0"/>
        <w:tabs>
          <w:tab w:leader="none" w:pos="340" w:val="left"/>
        </w:tabs>
        <w:numPr>
          <w:ilvl w:val="0"/>
          <w:numId w:val="135"/>
        </w:numPr>
        <w:rPr>
          <w:rFonts w:ascii="Arial" w:cs="Arial" w:eastAsia="Arial" w:hAnsi="Arial"/>
          <w:sz w:val="24"/>
          <w:szCs w:val="24"/>
          <w:color w:val="auto"/>
          <w:vertAlign w:val="superscript"/>
        </w:rPr>
      </w:pPr>
      <w:r>
        <w:rPr>
          <w:rFonts w:ascii="Arial" w:cs="Arial" w:eastAsia="Arial" w:hAnsi="Arial"/>
          <w:sz w:val="14"/>
          <w:szCs w:val="14"/>
          <w:color w:val="auto"/>
        </w:rPr>
        <w:t>Based on the closing price of our common stock as of December 31, 2018 ($171.87).</w:t>
      </w:r>
    </w:p>
    <w:p>
      <w:pPr>
        <w:spacing w:after="0" w:line="70" w:lineRule="exact"/>
        <w:rPr>
          <w:rFonts w:ascii="Arial" w:cs="Arial" w:eastAsia="Arial" w:hAnsi="Arial"/>
          <w:sz w:val="24"/>
          <w:szCs w:val="24"/>
          <w:color w:val="auto"/>
          <w:vertAlign w:val="superscript"/>
        </w:rPr>
      </w:pPr>
    </w:p>
    <w:p>
      <w:pPr>
        <w:ind w:left="220"/>
        <w:spacing w:after="0" w:line="211" w:lineRule="auto"/>
        <w:rPr>
          <w:rFonts w:ascii="Arial" w:cs="Arial" w:eastAsia="Arial" w:hAnsi="Arial"/>
          <w:sz w:val="24"/>
          <w:szCs w:val="24"/>
          <w:color w:val="auto"/>
          <w:vertAlign w:val="superscript"/>
        </w:rPr>
      </w:pPr>
      <w:r>
        <w:rPr>
          <w:rFonts w:ascii="Arial" w:cs="Arial" w:eastAsia="Arial" w:hAnsi="Arial"/>
          <w:sz w:val="24"/>
          <w:szCs w:val="24"/>
          <w:color w:val="auto"/>
          <w:vertAlign w:val="superscript"/>
        </w:rPr>
        <w:t>2</w:t>
      </w:r>
      <w:r>
        <w:rPr>
          <w:rFonts w:ascii="Arial" w:cs="Arial" w:eastAsia="Arial" w:hAnsi="Arial"/>
          <w:sz w:val="14"/>
          <w:szCs w:val="14"/>
          <w:color w:val="auto"/>
        </w:rPr>
        <w:t xml:space="preserve"> Options exercisable on May 21, 2019.</w:t>
      </w:r>
    </w:p>
    <w:p>
      <w:pPr>
        <w:ind w:left="220"/>
        <w:spacing w:after="0" w:line="211" w:lineRule="auto"/>
        <w:rPr>
          <w:rFonts w:ascii="Arial" w:cs="Arial" w:eastAsia="Arial" w:hAnsi="Arial"/>
          <w:sz w:val="24"/>
          <w:szCs w:val="24"/>
          <w:color w:val="auto"/>
          <w:vertAlign w:val="superscript"/>
        </w:rPr>
      </w:pPr>
      <w:r>
        <w:rPr>
          <w:rFonts w:ascii="Arial" w:cs="Arial" w:eastAsia="Arial" w:hAnsi="Arial"/>
          <w:sz w:val="24"/>
          <w:szCs w:val="24"/>
          <w:color w:val="auto"/>
          <w:vertAlign w:val="superscript"/>
        </w:rPr>
        <w:t>3</w:t>
      </w:r>
      <w:r>
        <w:rPr>
          <w:rFonts w:ascii="Arial" w:cs="Arial" w:eastAsia="Arial" w:hAnsi="Arial"/>
          <w:sz w:val="14"/>
          <w:szCs w:val="14"/>
          <w:color w:val="auto"/>
        </w:rPr>
        <w:t xml:space="preserve"> RSU restrictions lapse on August 21, 2019.</w:t>
      </w:r>
    </w:p>
    <w:p>
      <w:pPr>
        <w:ind w:left="220"/>
        <w:spacing w:after="0" w:line="211" w:lineRule="auto"/>
        <w:rPr>
          <w:rFonts w:ascii="Arial" w:cs="Arial" w:eastAsia="Arial" w:hAnsi="Arial"/>
          <w:sz w:val="24"/>
          <w:szCs w:val="24"/>
          <w:color w:val="auto"/>
          <w:vertAlign w:val="superscript"/>
        </w:rPr>
      </w:pPr>
      <w:r>
        <w:rPr>
          <w:rFonts w:ascii="Arial" w:cs="Arial" w:eastAsia="Arial" w:hAnsi="Arial"/>
          <w:sz w:val="24"/>
          <w:szCs w:val="24"/>
          <w:color w:val="auto"/>
          <w:vertAlign w:val="superscript"/>
        </w:rPr>
        <w:t>4</w:t>
      </w:r>
      <w:r>
        <w:rPr>
          <w:rFonts w:ascii="Arial" w:cs="Arial" w:eastAsia="Arial" w:hAnsi="Arial"/>
          <w:sz w:val="14"/>
          <w:szCs w:val="14"/>
          <w:color w:val="auto"/>
        </w:rPr>
        <w:t xml:space="preserve"> RSU restrictions lapsed on February 4, 2019.</w:t>
      </w:r>
    </w:p>
    <w:p>
      <w:pPr>
        <w:ind w:left="220"/>
        <w:spacing w:after="0" w:line="211" w:lineRule="auto"/>
        <w:rPr>
          <w:rFonts w:ascii="Arial" w:cs="Arial" w:eastAsia="Arial" w:hAnsi="Arial"/>
          <w:sz w:val="24"/>
          <w:szCs w:val="24"/>
          <w:color w:val="auto"/>
          <w:vertAlign w:val="superscript"/>
        </w:rPr>
      </w:pPr>
      <w:r>
        <w:rPr>
          <w:rFonts w:ascii="Arial" w:cs="Arial" w:eastAsia="Arial" w:hAnsi="Arial"/>
          <w:sz w:val="24"/>
          <w:szCs w:val="24"/>
          <w:color w:val="auto"/>
          <w:vertAlign w:val="superscript"/>
        </w:rPr>
        <w:t>5</w:t>
      </w:r>
      <w:r>
        <w:rPr>
          <w:rFonts w:ascii="Arial" w:cs="Arial" w:eastAsia="Arial" w:hAnsi="Arial"/>
          <w:sz w:val="14"/>
          <w:szCs w:val="14"/>
          <w:color w:val="auto"/>
        </w:rPr>
        <w:t xml:space="preserve"> RSU restrictions lapse ratably in installments on March 28, 2019 and March 28, 2020.</w:t>
      </w:r>
    </w:p>
    <w:p>
      <w:pPr>
        <w:ind w:left="220"/>
        <w:spacing w:after="0" w:line="211" w:lineRule="auto"/>
        <w:rPr>
          <w:rFonts w:ascii="Arial" w:cs="Arial" w:eastAsia="Arial" w:hAnsi="Arial"/>
          <w:sz w:val="24"/>
          <w:szCs w:val="24"/>
          <w:color w:val="auto"/>
          <w:vertAlign w:val="superscript"/>
        </w:rPr>
      </w:pPr>
      <w:r>
        <w:rPr>
          <w:rFonts w:ascii="Arial" w:cs="Arial" w:eastAsia="Arial" w:hAnsi="Arial"/>
          <w:sz w:val="24"/>
          <w:szCs w:val="24"/>
          <w:color w:val="auto"/>
          <w:vertAlign w:val="superscript"/>
        </w:rPr>
        <w:t>6</w:t>
      </w:r>
      <w:r>
        <w:rPr>
          <w:rFonts w:ascii="Arial" w:cs="Arial" w:eastAsia="Arial" w:hAnsi="Arial"/>
          <w:sz w:val="14"/>
          <w:szCs w:val="14"/>
          <w:color w:val="auto"/>
        </w:rPr>
        <w:t xml:space="preserve"> RSU restrictions lapse ratably in installments on February 22, 2019, February 22, 2020 and February 22, 2021.</w:t>
      </w:r>
    </w:p>
    <w:p>
      <w:pPr>
        <w:ind w:left="220"/>
        <w:spacing w:after="0" w:line="211" w:lineRule="auto"/>
        <w:rPr>
          <w:rFonts w:ascii="Arial" w:cs="Arial" w:eastAsia="Arial" w:hAnsi="Arial"/>
          <w:sz w:val="24"/>
          <w:szCs w:val="24"/>
          <w:color w:val="auto"/>
          <w:vertAlign w:val="superscript"/>
        </w:rPr>
      </w:pPr>
      <w:r>
        <w:rPr>
          <w:rFonts w:ascii="Arial" w:cs="Arial" w:eastAsia="Arial" w:hAnsi="Arial"/>
          <w:sz w:val="24"/>
          <w:szCs w:val="24"/>
          <w:color w:val="auto"/>
          <w:vertAlign w:val="superscript"/>
        </w:rPr>
        <w:t>7</w:t>
      </w:r>
      <w:r>
        <w:rPr>
          <w:rFonts w:ascii="Arial" w:cs="Arial" w:eastAsia="Arial" w:hAnsi="Arial"/>
          <w:sz w:val="14"/>
          <w:szCs w:val="14"/>
          <w:color w:val="auto"/>
        </w:rPr>
        <w:t xml:space="preserve"> Incentive Stock Plan units restrictions lapse on December 1, 2019.</w:t>
      </w:r>
    </w:p>
    <w:p>
      <w:pPr>
        <w:ind w:left="220"/>
        <w:spacing w:after="0" w:line="211" w:lineRule="auto"/>
        <w:rPr>
          <w:rFonts w:ascii="Arial" w:cs="Arial" w:eastAsia="Arial" w:hAnsi="Arial"/>
          <w:sz w:val="24"/>
          <w:szCs w:val="24"/>
          <w:color w:val="auto"/>
          <w:vertAlign w:val="superscript"/>
        </w:rPr>
      </w:pPr>
      <w:r>
        <w:rPr>
          <w:rFonts w:ascii="Arial" w:cs="Arial" w:eastAsia="Arial" w:hAnsi="Arial"/>
          <w:sz w:val="24"/>
          <w:szCs w:val="24"/>
          <w:color w:val="auto"/>
          <w:vertAlign w:val="superscript"/>
        </w:rPr>
        <w:t>8</w:t>
      </w:r>
      <w:r>
        <w:rPr>
          <w:rFonts w:ascii="Arial" w:cs="Arial" w:eastAsia="Arial" w:hAnsi="Arial"/>
          <w:sz w:val="14"/>
          <w:szCs w:val="14"/>
          <w:color w:val="auto"/>
        </w:rPr>
        <w:t xml:space="preserve"> Incentive Stock Plan units restrictions lapse on December 1, 2020.</w:t>
      </w:r>
    </w:p>
    <w:p>
      <w:pPr>
        <w:ind w:left="220" w:right="1360"/>
        <w:spacing w:after="0" w:line="242" w:lineRule="auto"/>
        <w:rPr>
          <w:rFonts w:ascii="Arial" w:cs="Arial" w:eastAsia="Arial" w:hAnsi="Arial"/>
          <w:sz w:val="24"/>
          <w:szCs w:val="24"/>
          <w:color w:val="auto"/>
          <w:vertAlign w:val="superscript"/>
        </w:rPr>
      </w:pPr>
      <w:r>
        <w:rPr>
          <w:rFonts w:ascii="Arial" w:cs="Arial" w:eastAsia="Arial" w:hAnsi="Arial"/>
          <w:sz w:val="24"/>
          <w:szCs w:val="24"/>
          <w:color w:val="auto"/>
          <w:vertAlign w:val="superscript"/>
        </w:rPr>
        <w:t>9</w:t>
      </w:r>
      <w:r>
        <w:rPr>
          <w:rFonts w:ascii="Arial" w:cs="Arial" w:eastAsia="Arial" w:hAnsi="Arial"/>
          <w:sz w:val="14"/>
          <w:szCs w:val="14"/>
          <w:color w:val="auto"/>
        </w:rPr>
        <w:t xml:space="preserve"> The amount for these outstanding awards of PSUs are presented at the target performance levels. The awards generally vest at December 31, 2018. </w:t>
      </w:r>
      <w:r>
        <w:rPr>
          <w:rFonts w:ascii="Arial" w:cs="Arial" w:eastAsia="Arial" w:hAnsi="Arial"/>
          <w:sz w:val="24"/>
          <w:szCs w:val="24"/>
          <w:color w:val="auto"/>
          <w:vertAlign w:val="superscript"/>
        </w:rPr>
        <w:t>10</w:t>
      </w:r>
      <w:r>
        <w:rPr>
          <w:rFonts w:ascii="Arial" w:cs="Arial" w:eastAsia="Arial" w:hAnsi="Arial"/>
          <w:sz w:val="14"/>
          <w:szCs w:val="14"/>
          <w:color w:val="auto"/>
        </w:rPr>
        <w:t xml:space="preserve"> The amount for these outstanding awards of PSUs are presented at the target performance levels. The awards generally vest at December 31, 2019. </w:t>
      </w:r>
      <w:r>
        <w:rPr>
          <w:rFonts w:ascii="Arial" w:cs="Arial" w:eastAsia="Arial" w:hAnsi="Arial"/>
          <w:sz w:val="24"/>
          <w:szCs w:val="24"/>
          <w:color w:val="auto"/>
          <w:vertAlign w:val="superscript"/>
        </w:rPr>
        <w:t>11</w:t>
      </w:r>
      <w:r>
        <w:rPr>
          <w:rFonts w:ascii="Arial" w:cs="Arial" w:eastAsia="Arial" w:hAnsi="Arial"/>
          <w:sz w:val="14"/>
          <w:szCs w:val="14"/>
          <w:color w:val="auto"/>
        </w:rPr>
        <w:t xml:space="preserve"> The amount for these outstanding awards of PSUs are presented at the target performance levels. The awards generally vest at December 31, 2020.</w:t>
      </w:r>
    </w:p>
    <w:p>
      <w:pPr>
        <w:spacing w:after="0" w:line="10" w:lineRule="exact"/>
        <w:rPr>
          <w:sz w:val="20"/>
          <w:szCs w:val="20"/>
          <w:color w:val="auto"/>
        </w:rPr>
      </w:pPr>
    </w:p>
    <w:p>
      <w:pPr>
        <w:jc w:val="both"/>
        <w:ind w:left="400" w:hanging="190"/>
        <w:spacing w:after="0" w:line="199" w:lineRule="auto"/>
        <w:tabs>
          <w:tab w:leader="none" w:pos="400" w:val="left"/>
        </w:tabs>
        <w:numPr>
          <w:ilvl w:val="0"/>
          <w:numId w:val="136"/>
        </w:numPr>
        <w:rPr>
          <w:rFonts w:ascii="Arial" w:cs="Arial" w:eastAsia="Arial" w:hAnsi="Arial"/>
          <w:sz w:val="24"/>
          <w:szCs w:val="24"/>
          <w:color w:val="auto"/>
          <w:vertAlign w:val="superscript"/>
        </w:rPr>
      </w:pPr>
      <w:r>
        <w:rPr>
          <w:rFonts w:ascii="Arial" w:cs="Arial" w:eastAsia="Arial" w:hAnsi="Arial"/>
          <w:sz w:val="14"/>
          <w:szCs w:val="14"/>
          <w:color w:val="auto"/>
        </w:rPr>
        <w:t>RSU vests as follows subject to continued employment on the dates of vesting: 1,083 units vest on December 31, 2019, and 4,047 units vest on August 21, 2022. If Mr. Nickolas’ employment terminates prior to August 21, 2022 as a result of his voluntary termination or the Company’s termination of Mr. Nickolas for cause, all outstanding RSUs expire and he is required to return to the Company the value of any vested shares of common stock that vested in connection with this award.</w:t>
      </w:r>
    </w:p>
    <w:p>
      <w:pPr>
        <w:spacing w:after="0" w:line="143"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7CBA"/>
        </w:rPr>
        <w:t>Option Exercises and Stock Vested</w:t>
      </w:r>
    </w:p>
    <w:p>
      <w:pPr>
        <w:spacing w:after="0" w:line="257" w:lineRule="exact"/>
        <w:rPr>
          <w:sz w:val="20"/>
          <w:szCs w:val="20"/>
          <w:color w:val="auto"/>
        </w:rPr>
      </w:pPr>
    </w:p>
    <w:p>
      <w:pPr>
        <w:jc w:val="both"/>
        <w:ind w:left="220"/>
        <w:spacing w:after="0" w:line="253" w:lineRule="auto"/>
        <w:rPr>
          <w:sz w:val="20"/>
          <w:szCs w:val="20"/>
          <w:color w:val="auto"/>
        </w:rPr>
      </w:pPr>
      <w:r>
        <w:rPr>
          <w:rFonts w:ascii="Arial" w:cs="Arial" w:eastAsia="Arial" w:hAnsi="Arial"/>
          <w:sz w:val="16"/>
          <w:szCs w:val="16"/>
          <w:color w:val="auto"/>
        </w:rPr>
        <w:t>The table below shows on an aggregated basis for each of the named executive officers information on (1) the exercise of options for the purchase of Martin Marietta’s common stock and (2) the vesting of stock, including RSUs, PSUs and Incentive Stock Plan units, during the last completed fiscal year. There are no awards of stock appreciation rights for Martin Marietta’s common stock or other similar instruments.</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OPTION EXERCISES AND STOCK VESTED TABLE</w:t>
      </w:r>
    </w:p>
    <w:p>
      <w:pPr>
        <w:spacing w:after="0" w:line="235"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5880" w:type="dxa"/>
            <w:vAlign w:val="bottom"/>
            <w:tcBorders>
              <w:right w:val="single" w:sz="8" w:color="007CBA"/>
            </w:tcBorders>
            <w:shd w:val="clear" w:color="auto" w:fill="007CBA"/>
          </w:tcPr>
          <w:p>
            <w:pPr>
              <w:spacing w:after="0"/>
              <w:rPr>
                <w:sz w:val="17"/>
                <w:szCs w:val="17"/>
                <w:color w:val="auto"/>
              </w:rPr>
            </w:pPr>
          </w:p>
        </w:tc>
        <w:tc>
          <w:tcPr>
            <w:tcW w:w="2620" w:type="dxa"/>
            <w:vAlign w:val="bottom"/>
            <w:tcBorders>
              <w:right w:val="single" w:sz="8" w:color="007CBA"/>
            </w:tcBorders>
            <w:gridSpan w:val="2"/>
            <w:shd w:val="clear" w:color="auto" w:fill="007CBA"/>
          </w:tcPr>
          <w:p>
            <w:pPr>
              <w:jc w:val="right"/>
              <w:ind w:right="688"/>
              <w:spacing w:after="0"/>
              <w:rPr>
                <w:sz w:val="20"/>
                <w:szCs w:val="20"/>
                <w:color w:val="auto"/>
              </w:rPr>
            </w:pPr>
            <w:r>
              <w:rPr>
                <w:rFonts w:ascii="Arial" w:cs="Arial" w:eastAsia="Arial" w:hAnsi="Arial"/>
                <w:sz w:val="14"/>
                <w:szCs w:val="14"/>
                <w:b w:val="1"/>
                <w:bCs w:val="1"/>
                <w:color w:val="FFFFFF"/>
              </w:rPr>
              <w:t>OPTION AWARDS</w:t>
            </w:r>
          </w:p>
        </w:tc>
        <w:tc>
          <w:tcPr>
            <w:tcW w:w="2500" w:type="dxa"/>
            <w:vAlign w:val="bottom"/>
            <w:gridSpan w:val="2"/>
            <w:shd w:val="clear" w:color="auto" w:fill="007CBA"/>
          </w:tcPr>
          <w:p>
            <w:pPr>
              <w:jc w:val="right"/>
              <w:ind w:right="649"/>
              <w:spacing w:after="0"/>
              <w:rPr>
                <w:sz w:val="20"/>
                <w:szCs w:val="20"/>
                <w:color w:val="auto"/>
              </w:rPr>
            </w:pPr>
            <w:r>
              <w:rPr>
                <w:rFonts w:ascii="Arial" w:cs="Arial" w:eastAsia="Arial" w:hAnsi="Arial"/>
                <w:sz w:val="14"/>
                <w:szCs w:val="14"/>
                <w:b w:val="1"/>
                <w:bCs w:val="1"/>
                <w:color w:val="FFFFFF"/>
              </w:rPr>
              <w:t>STOCK AWARDS</w:t>
            </w:r>
          </w:p>
        </w:tc>
      </w:tr>
      <w:tr>
        <w:trPr>
          <w:trHeight w:val="162"/>
        </w:trPr>
        <w:tc>
          <w:tcPr>
            <w:tcW w:w="5880" w:type="dxa"/>
            <w:vAlign w:val="bottom"/>
            <w:tcBorders>
              <w:right w:val="single" w:sz="8" w:color="007CBA"/>
            </w:tcBorders>
            <w:shd w:val="clear" w:color="auto" w:fill="007CBA"/>
          </w:tcPr>
          <w:p>
            <w:pPr>
              <w:spacing w:after="0"/>
              <w:rPr>
                <w:sz w:val="14"/>
                <w:szCs w:val="14"/>
                <w:color w:val="auto"/>
              </w:rPr>
            </w:pPr>
          </w:p>
        </w:tc>
        <w:tc>
          <w:tcPr>
            <w:tcW w:w="1300" w:type="dxa"/>
            <w:vAlign w:val="bottom"/>
            <w:tcBorders>
              <w:right w:val="single" w:sz="8" w:color="007CBA"/>
            </w:tcBorders>
            <w:shd w:val="clear" w:color="auto" w:fill="007CBA"/>
          </w:tcPr>
          <w:p>
            <w:pPr>
              <w:jc w:val="center"/>
              <w:ind w:right="48"/>
              <w:spacing w:after="0"/>
              <w:rPr>
                <w:sz w:val="20"/>
                <w:szCs w:val="20"/>
                <w:color w:val="auto"/>
              </w:rPr>
            </w:pPr>
            <w:r>
              <w:rPr>
                <w:rFonts w:ascii="Arial" w:cs="Arial" w:eastAsia="Arial" w:hAnsi="Arial"/>
                <w:sz w:val="14"/>
                <w:szCs w:val="14"/>
                <w:b w:val="1"/>
                <w:bCs w:val="1"/>
                <w:color w:val="FFFFFF"/>
              </w:rPr>
              <w:t>Number</w:t>
            </w:r>
          </w:p>
        </w:tc>
        <w:tc>
          <w:tcPr>
            <w:tcW w:w="1320" w:type="dxa"/>
            <w:vAlign w:val="bottom"/>
            <w:tcBorders>
              <w:right w:val="single" w:sz="8" w:color="007CBA"/>
            </w:tcBorders>
            <w:shd w:val="clear" w:color="auto" w:fill="007CBA"/>
          </w:tcPr>
          <w:p>
            <w:pPr>
              <w:spacing w:after="0"/>
              <w:rPr>
                <w:sz w:val="14"/>
                <w:szCs w:val="14"/>
                <w:color w:val="auto"/>
              </w:rPr>
            </w:pPr>
          </w:p>
        </w:tc>
        <w:tc>
          <w:tcPr>
            <w:tcW w:w="1220" w:type="dxa"/>
            <w:vAlign w:val="bottom"/>
            <w:tcBorders>
              <w:right w:val="single" w:sz="8" w:color="007CBA"/>
            </w:tcBorders>
            <w:shd w:val="clear" w:color="auto" w:fill="007CBA"/>
          </w:tcPr>
          <w:p>
            <w:pPr>
              <w:jc w:val="center"/>
              <w:ind w:right="68"/>
              <w:spacing w:after="0"/>
              <w:rPr>
                <w:sz w:val="20"/>
                <w:szCs w:val="20"/>
                <w:color w:val="auto"/>
              </w:rPr>
            </w:pPr>
            <w:r>
              <w:rPr>
                <w:rFonts w:ascii="Arial" w:cs="Arial" w:eastAsia="Arial" w:hAnsi="Arial"/>
                <w:sz w:val="14"/>
                <w:szCs w:val="14"/>
                <w:b w:val="1"/>
                <w:bCs w:val="1"/>
                <w:color w:val="FFFFFF"/>
              </w:rPr>
              <w:t>Number of</w:t>
            </w:r>
          </w:p>
        </w:tc>
        <w:tc>
          <w:tcPr>
            <w:tcW w:w="1280" w:type="dxa"/>
            <w:vAlign w:val="bottom"/>
            <w:shd w:val="clear" w:color="auto" w:fill="007CBA"/>
          </w:tcPr>
          <w:p>
            <w:pPr>
              <w:spacing w:after="0"/>
              <w:rPr>
                <w:sz w:val="14"/>
                <w:szCs w:val="14"/>
                <w:color w:val="auto"/>
              </w:rPr>
            </w:pPr>
          </w:p>
        </w:tc>
      </w:tr>
      <w:tr>
        <w:trPr>
          <w:trHeight w:val="162"/>
        </w:trPr>
        <w:tc>
          <w:tcPr>
            <w:tcW w:w="5880" w:type="dxa"/>
            <w:vAlign w:val="bottom"/>
            <w:tcBorders>
              <w:right w:val="single" w:sz="8" w:color="007CBA"/>
            </w:tcBorders>
            <w:shd w:val="clear" w:color="auto" w:fill="007CBA"/>
          </w:tcPr>
          <w:p>
            <w:pPr>
              <w:spacing w:after="0"/>
              <w:rPr>
                <w:sz w:val="14"/>
                <w:szCs w:val="14"/>
                <w:color w:val="auto"/>
              </w:rPr>
            </w:pPr>
          </w:p>
        </w:tc>
        <w:tc>
          <w:tcPr>
            <w:tcW w:w="1300" w:type="dxa"/>
            <w:vAlign w:val="bottom"/>
            <w:tcBorders>
              <w:right w:val="single" w:sz="8" w:color="007CBA"/>
            </w:tcBorders>
            <w:shd w:val="clear" w:color="auto" w:fill="007CBA"/>
          </w:tcPr>
          <w:p>
            <w:pPr>
              <w:jc w:val="center"/>
              <w:ind w:right="48"/>
              <w:spacing w:after="0"/>
              <w:rPr>
                <w:sz w:val="20"/>
                <w:szCs w:val="20"/>
                <w:color w:val="auto"/>
              </w:rPr>
            </w:pPr>
            <w:r>
              <w:rPr>
                <w:rFonts w:ascii="Arial" w:cs="Arial" w:eastAsia="Arial" w:hAnsi="Arial"/>
                <w:sz w:val="14"/>
                <w:szCs w:val="14"/>
                <w:b w:val="1"/>
                <w:bCs w:val="1"/>
                <w:color w:val="FFFFFF"/>
              </w:rPr>
              <w:t>of Shares</w:t>
            </w:r>
          </w:p>
        </w:tc>
        <w:tc>
          <w:tcPr>
            <w:tcW w:w="1320" w:type="dxa"/>
            <w:vAlign w:val="bottom"/>
            <w:tcBorders>
              <w:right w:val="single" w:sz="8" w:color="007CBA"/>
            </w:tcBorders>
            <w:shd w:val="clear" w:color="auto" w:fill="007CBA"/>
          </w:tcPr>
          <w:p>
            <w:pPr>
              <w:jc w:val="center"/>
              <w:ind w:right="68"/>
              <w:spacing w:after="0"/>
              <w:rPr>
                <w:sz w:val="20"/>
                <w:szCs w:val="20"/>
                <w:color w:val="auto"/>
              </w:rPr>
            </w:pPr>
            <w:r>
              <w:rPr>
                <w:rFonts w:ascii="Arial" w:cs="Arial" w:eastAsia="Arial" w:hAnsi="Arial"/>
                <w:sz w:val="14"/>
                <w:szCs w:val="14"/>
                <w:b w:val="1"/>
                <w:bCs w:val="1"/>
                <w:color w:val="FFFFFF"/>
              </w:rPr>
              <w:t>Value</w:t>
            </w:r>
          </w:p>
        </w:tc>
        <w:tc>
          <w:tcPr>
            <w:tcW w:w="1220" w:type="dxa"/>
            <w:vAlign w:val="bottom"/>
            <w:tcBorders>
              <w:right w:val="single" w:sz="8" w:color="007CBA"/>
            </w:tcBorders>
            <w:shd w:val="clear" w:color="auto" w:fill="007CBA"/>
          </w:tcPr>
          <w:p>
            <w:pPr>
              <w:jc w:val="center"/>
              <w:ind w:right="68"/>
              <w:spacing w:after="0"/>
              <w:rPr>
                <w:sz w:val="20"/>
                <w:szCs w:val="20"/>
                <w:color w:val="auto"/>
              </w:rPr>
            </w:pPr>
            <w:r>
              <w:rPr>
                <w:rFonts w:ascii="Arial" w:cs="Arial" w:eastAsia="Arial" w:hAnsi="Arial"/>
                <w:sz w:val="14"/>
                <w:szCs w:val="14"/>
                <w:b w:val="1"/>
                <w:bCs w:val="1"/>
                <w:color w:val="FFFFFF"/>
              </w:rPr>
              <w:t>Shares</w:t>
            </w:r>
          </w:p>
        </w:tc>
        <w:tc>
          <w:tcPr>
            <w:tcW w:w="1280" w:type="dxa"/>
            <w:vAlign w:val="bottom"/>
            <w:shd w:val="clear" w:color="auto" w:fill="007CBA"/>
          </w:tcPr>
          <w:p>
            <w:pPr>
              <w:jc w:val="center"/>
              <w:ind w:right="29"/>
              <w:spacing w:after="0"/>
              <w:rPr>
                <w:sz w:val="20"/>
                <w:szCs w:val="20"/>
                <w:color w:val="auto"/>
              </w:rPr>
            </w:pPr>
            <w:r>
              <w:rPr>
                <w:rFonts w:ascii="Arial" w:cs="Arial" w:eastAsia="Arial" w:hAnsi="Arial"/>
                <w:sz w:val="14"/>
                <w:szCs w:val="14"/>
                <w:b w:val="1"/>
                <w:bCs w:val="1"/>
                <w:color w:val="FFFFFF"/>
              </w:rPr>
              <w:t>Value</w:t>
            </w:r>
          </w:p>
        </w:tc>
      </w:tr>
      <w:tr>
        <w:trPr>
          <w:trHeight w:val="158"/>
        </w:trPr>
        <w:tc>
          <w:tcPr>
            <w:tcW w:w="5880" w:type="dxa"/>
            <w:vAlign w:val="bottom"/>
            <w:tcBorders>
              <w:right w:val="single" w:sz="8" w:color="007CBA"/>
            </w:tcBorders>
            <w:shd w:val="clear" w:color="auto" w:fill="007CBA"/>
          </w:tcPr>
          <w:p>
            <w:pPr>
              <w:spacing w:after="0"/>
              <w:rPr>
                <w:sz w:val="13"/>
                <w:szCs w:val="13"/>
                <w:color w:val="auto"/>
              </w:rPr>
            </w:pPr>
          </w:p>
        </w:tc>
        <w:tc>
          <w:tcPr>
            <w:tcW w:w="1300" w:type="dxa"/>
            <w:vAlign w:val="bottom"/>
            <w:tcBorders>
              <w:right w:val="single" w:sz="8" w:color="007CBA"/>
            </w:tcBorders>
            <w:shd w:val="clear" w:color="auto" w:fill="007CBA"/>
          </w:tcPr>
          <w:p>
            <w:pPr>
              <w:jc w:val="center"/>
              <w:ind w:right="48"/>
              <w:spacing w:after="0" w:line="159" w:lineRule="exact"/>
              <w:rPr>
                <w:sz w:val="20"/>
                <w:szCs w:val="20"/>
                <w:color w:val="auto"/>
              </w:rPr>
            </w:pPr>
            <w:r>
              <w:rPr>
                <w:rFonts w:ascii="Arial" w:cs="Arial" w:eastAsia="Arial" w:hAnsi="Arial"/>
                <w:sz w:val="14"/>
                <w:szCs w:val="14"/>
                <w:b w:val="1"/>
                <w:bCs w:val="1"/>
                <w:color w:val="FFFFFF"/>
              </w:rPr>
              <w:t>Acquired</w:t>
            </w:r>
          </w:p>
        </w:tc>
        <w:tc>
          <w:tcPr>
            <w:tcW w:w="1320" w:type="dxa"/>
            <w:vAlign w:val="bottom"/>
            <w:tcBorders>
              <w:right w:val="single" w:sz="8" w:color="007CBA"/>
            </w:tcBorders>
            <w:shd w:val="clear" w:color="auto" w:fill="007CBA"/>
          </w:tcPr>
          <w:p>
            <w:pPr>
              <w:jc w:val="center"/>
              <w:ind w:right="68"/>
              <w:spacing w:after="0" w:line="159" w:lineRule="exact"/>
              <w:rPr>
                <w:sz w:val="20"/>
                <w:szCs w:val="20"/>
                <w:color w:val="auto"/>
              </w:rPr>
            </w:pPr>
            <w:r>
              <w:rPr>
                <w:rFonts w:ascii="Arial" w:cs="Arial" w:eastAsia="Arial" w:hAnsi="Arial"/>
                <w:sz w:val="14"/>
                <w:szCs w:val="14"/>
                <w:b w:val="1"/>
                <w:bCs w:val="1"/>
                <w:color w:val="FFFFFF"/>
              </w:rPr>
              <w:t>Realized</w:t>
            </w:r>
          </w:p>
        </w:tc>
        <w:tc>
          <w:tcPr>
            <w:tcW w:w="1220" w:type="dxa"/>
            <w:vAlign w:val="bottom"/>
            <w:tcBorders>
              <w:right w:val="single" w:sz="8" w:color="007CBA"/>
            </w:tcBorders>
            <w:shd w:val="clear" w:color="auto" w:fill="007CBA"/>
          </w:tcPr>
          <w:p>
            <w:pPr>
              <w:jc w:val="center"/>
              <w:ind w:right="48"/>
              <w:spacing w:after="0" w:line="159" w:lineRule="exact"/>
              <w:rPr>
                <w:sz w:val="20"/>
                <w:szCs w:val="20"/>
                <w:color w:val="auto"/>
              </w:rPr>
            </w:pPr>
            <w:r>
              <w:rPr>
                <w:rFonts w:ascii="Arial" w:cs="Arial" w:eastAsia="Arial" w:hAnsi="Arial"/>
                <w:sz w:val="14"/>
                <w:szCs w:val="14"/>
                <w:b w:val="1"/>
                <w:bCs w:val="1"/>
                <w:color w:val="FFFFFF"/>
              </w:rPr>
              <w:t>Acquired</w:t>
            </w:r>
          </w:p>
        </w:tc>
        <w:tc>
          <w:tcPr>
            <w:tcW w:w="1280" w:type="dxa"/>
            <w:vAlign w:val="bottom"/>
            <w:shd w:val="clear" w:color="auto" w:fill="007CBA"/>
          </w:tcPr>
          <w:p>
            <w:pPr>
              <w:jc w:val="center"/>
              <w:ind w:right="29"/>
              <w:spacing w:after="0" w:line="159" w:lineRule="exact"/>
              <w:rPr>
                <w:sz w:val="20"/>
                <w:szCs w:val="20"/>
                <w:color w:val="auto"/>
              </w:rPr>
            </w:pPr>
            <w:r>
              <w:rPr>
                <w:rFonts w:ascii="Arial" w:cs="Arial" w:eastAsia="Arial" w:hAnsi="Arial"/>
                <w:sz w:val="14"/>
                <w:szCs w:val="14"/>
                <w:b w:val="1"/>
                <w:bCs w:val="1"/>
                <w:color w:val="FFFFFF"/>
              </w:rPr>
              <w:t>Realized</w:t>
            </w:r>
          </w:p>
        </w:tc>
      </w:tr>
      <w:tr>
        <w:trPr>
          <w:trHeight w:val="165"/>
        </w:trPr>
        <w:tc>
          <w:tcPr>
            <w:tcW w:w="5880" w:type="dxa"/>
            <w:vAlign w:val="bottom"/>
            <w:tcBorders>
              <w:right w:val="single" w:sz="8" w:color="007CBA"/>
            </w:tcBorders>
            <w:shd w:val="clear" w:color="auto" w:fill="007CBA"/>
          </w:tcPr>
          <w:p>
            <w:pPr>
              <w:spacing w:after="0"/>
              <w:rPr>
                <w:sz w:val="14"/>
                <w:szCs w:val="14"/>
                <w:color w:val="auto"/>
              </w:rPr>
            </w:pPr>
          </w:p>
        </w:tc>
        <w:tc>
          <w:tcPr>
            <w:tcW w:w="1300" w:type="dxa"/>
            <w:vAlign w:val="bottom"/>
            <w:tcBorders>
              <w:right w:val="single" w:sz="8" w:color="007CBA"/>
            </w:tcBorders>
            <w:shd w:val="clear" w:color="auto" w:fill="007CBA"/>
          </w:tcPr>
          <w:p>
            <w:pPr>
              <w:jc w:val="center"/>
              <w:ind w:right="68"/>
              <w:spacing w:after="0"/>
              <w:rPr>
                <w:sz w:val="20"/>
                <w:szCs w:val="20"/>
                <w:color w:val="auto"/>
              </w:rPr>
            </w:pPr>
            <w:r>
              <w:rPr>
                <w:rFonts w:ascii="Arial" w:cs="Arial" w:eastAsia="Arial" w:hAnsi="Arial"/>
                <w:sz w:val="14"/>
                <w:szCs w:val="14"/>
                <w:b w:val="1"/>
                <w:bCs w:val="1"/>
                <w:color w:val="FFFFFF"/>
              </w:rPr>
              <w:t>on Exercise</w:t>
            </w:r>
          </w:p>
        </w:tc>
        <w:tc>
          <w:tcPr>
            <w:tcW w:w="1320" w:type="dxa"/>
            <w:vAlign w:val="bottom"/>
            <w:tcBorders>
              <w:right w:val="single" w:sz="8" w:color="007CBA"/>
            </w:tcBorders>
            <w:shd w:val="clear" w:color="auto" w:fill="007CBA"/>
          </w:tcPr>
          <w:p>
            <w:pPr>
              <w:jc w:val="center"/>
              <w:ind w:right="48"/>
              <w:spacing w:after="0"/>
              <w:rPr>
                <w:sz w:val="20"/>
                <w:szCs w:val="20"/>
                <w:color w:val="auto"/>
              </w:rPr>
            </w:pPr>
            <w:r>
              <w:rPr>
                <w:rFonts w:ascii="Arial" w:cs="Arial" w:eastAsia="Arial" w:hAnsi="Arial"/>
                <w:sz w:val="14"/>
                <w:szCs w:val="14"/>
                <w:b w:val="1"/>
                <w:bCs w:val="1"/>
                <w:color w:val="FFFFFF"/>
              </w:rPr>
              <w:t>on Exercise</w:t>
            </w:r>
          </w:p>
        </w:tc>
        <w:tc>
          <w:tcPr>
            <w:tcW w:w="1220" w:type="dxa"/>
            <w:vAlign w:val="bottom"/>
            <w:tcBorders>
              <w:right w:val="single" w:sz="8" w:color="007CBA"/>
            </w:tcBorders>
            <w:shd w:val="clear" w:color="auto" w:fill="007CBA"/>
          </w:tcPr>
          <w:p>
            <w:pPr>
              <w:jc w:val="center"/>
              <w:ind w:right="68"/>
              <w:spacing w:after="0"/>
              <w:rPr>
                <w:sz w:val="20"/>
                <w:szCs w:val="20"/>
                <w:color w:val="auto"/>
              </w:rPr>
            </w:pPr>
            <w:r>
              <w:rPr>
                <w:rFonts w:ascii="Arial" w:cs="Arial" w:eastAsia="Arial" w:hAnsi="Arial"/>
                <w:sz w:val="14"/>
                <w:szCs w:val="14"/>
                <w:b w:val="1"/>
                <w:bCs w:val="1"/>
                <w:color w:val="FFFFFF"/>
              </w:rPr>
              <w:t>on Vesting</w:t>
            </w:r>
          </w:p>
        </w:tc>
        <w:tc>
          <w:tcPr>
            <w:tcW w:w="1280" w:type="dxa"/>
            <w:vAlign w:val="bottom"/>
            <w:shd w:val="clear" w:color="auto" w:fill="007CBA"/>
          </w:tcPr>
          <w:p>
            <w:pPr>
              <w:jc w:val="center"/>
              <w:ind w:right="49"/>
              <w:spacing w:after="0" w:line="165" w:lineRule="exact"/>
              <w:rPr>
                <w:sz w:val="20"/>
                <w:szCs w:val="20"/>
                <w:color w:val="auto"/>
              </w:rPr>
            </w:pPr>
            <w:r>
              <w:rPr>
                <w:rFonts w:ascii="Arial" w:cs="Arial" w:eastAsia="Arial" w:hAnsi="Arial"/>
                <w:sz w:val="12"/>
                <w:szCs w:val="12"/>
                <w:b w:val="1"/>
                <w:bCs w:val="1"/>
                <w:color w:val="FFFFFF"/>
              </w:rPr>
              <w:t>on Vesting</w:t>
            </w:r>
            <w:r>
              <w:rPr>
                <w:rFonts w:ascii="Arial" w:cs="Arial" w:eastAsia="Arial" w:hAnsi="Arial"/>
                <w:sz w:val="19"/>
                <w:szCs w:val="19"/>
                <w:b w:val="1"/>
                <w:bCs w:val="1"/>
                <w:color w:val="FFFFFF"/>
                <w:vertAlign w:val="superscript"/>
              </w:rPr>
              <w:t>1</w:t>
            </w:r>
          </w:p>
        </w:tc>
      </w:tr>
      <w:tr>
        <w:trPr>
          <w:trHeight w:val="162"/>
        </w:trPr>
        <w:tc>
          <w:tcPr>
            <w:tcW w:w="588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4"/>
                <w:szCs w:val="14"/>
                <w:b w:val="1"/>
                <w:bCs w:val="1"/>
                <w:color w:val="FFFFFF"/>
              </w:rPr>
              <w:t>Name</w:t>
            </w:r>
          </w:p>
        </w:tc>
        <w:tc>
          <w:tcPr>
            <w:tcW w:w="1300" w:type="dxa"/>
            <w:vAlign w:val="bottom"/>
            <w:tcBorders>
              <w:right w:val="single" w:sz="8" w:color="007CBA"/>
            </w:tcBorders>
            <w:shd w:val="clear" w:color="auto" w:fill="007CBA"/>
          </w:tcPr>
          <w:p>
            <w:pPr>
              <w:jc w:val="center"/>
              <w:ind w:right="48"/>
              <w:spacing w:after="0"/>
              <w:rPr>
                <w:sz w:val="20"/>
                <w:szCs w:val="20"/>
                <w:color w:val="auto"/>
              </w:rPr>
            </w:pPr>
            <w:r>
              <w:rPr>
                <w:rFonts w:ascii="Arial" w:cs="Arial" w:eastAsia="Arial" w:hAnsi="Arial"/>
                <w:sz w:val="14"/>
                <w:szCs w:val="14"/>
                <w:b w:val="1"/>
                <w:bCs w:val="1"/>
                <w:color w:val="FFFFFF"/>
              </w:rPr>
              <w:t>(#)</w:t>
            </w:r>
          </w:p>
        </w:tc>
        <w:tc>
          <w:tcPr>
            <w:tcW w:w="1320" w:type="dxa"/>
            <w:vAlign w:val="bottom"/>
            <w:tcBorders>
              <w:right w:val="single" w:sz="8" w:color="007CBA"/>
            </w:tcBorders>
            <w:shd w:val="clear" w:color="auto" w:fill="007CBA"/>
          </w:tcPr>
          <w:p>
            <w:pPr>
              <w:jc w:val="center"/>
              <w:ind w:right="68"/>
              <w:spacing w:after="0"/>
              <w:rPr>
                <w:sz w:val="20"/>
                <w:szCs w:val="20"/>
                <w:color w:val="auto"/>
              </w:rPr>
            </w:pPr>
            <w:r>
              <w:rPr>
                <w:rFonts w:ascii="Arial" w:cs="Arial" w:eastAsia="Arial" w:hAnsi="Arial"/>
                <w:sz w:val="14"/>
                <w:szCs w:val="14"/>
                <w:b w:val="1"/>
                <w:bCs w:val="1"/>
                <w:color w:val="FFFFFF"/>
              </w:rPr>
              <w:t>($)</w:t>
            </w:r>
          </w:p>
        </w:tc>
        <w:tc>
          <w:tcPr>
            <w:tcW w:w="1220" w:type="dxa"/>
            <w:vAlign w:val="bottom"/>
            <w:tcBorders>
              <w:right w:val="single" w:sz="8" w:color="007CBA"/>
            </w:tcBorders>
            <w:shd w:val="clear" w:color="auto" w:fill="007CBA"/>
          </w:tcPr>
          <w:p>
            <w:pPr>
              <w:jc w:val="center"/>
              <w:ind w:right="68"/>
              <w:spacing w:after="0"/>
              <w:rPr>
                <w:sz w:val="20"/>
                <w:szCs w:val="20"/>
                <w:color w:val="auto"/>
              </w:rPr>
            </w:pPr>
            <w:r>
              <w:rPr>
                <w:rFonts w:ascii="Arial" w:cs="Arial" w:eastAsia="Arial" w:hAnsi="Arial"/>
                <w:sz w:val="14"/>
                <w:szCs w:val="14"/>
                <w:b w:val="1"/>
                <w:bCs w:val="1"/>
                <w:color w:val="FFFFFF"/>
                <w:w w:val="93"/>
              </w:rPr>
              <w:t>(#)</w:t>
            </w:r>
          </w:p>
        </w:tc>
        <w:tc>
          <w:tcPr>
            <w:tcW w:w="1280" w:type="dxa"/>
            <w:vAlign w:val="bottom"/>
            <w:shd w:val="clear" w:color="auto" w:fill="007CBA"/>
          </w:tcPr>
          <w:p>
            <w:pPr>
              <w:jc w:val="center"/>
              <w:ind w:right="29"/>
              <w:spacing w:after="0"/>
              <w:rPr>
                <w:sz w:val="20"/>
                <w:szCs w:val="20"/>
                <w:color w:val="auto"/>
              </w:rPr>
            </w:pPr>
            <w:r>
              <w:rPr>
                <w:rFonts w:ascii="Arial" w:cs="Arial" w:eastAsia="Arial" w:hAnsi="Arial"/>
                <w:sz w:val="14"/>
                <w:szCs w:val="14"/>
                <w:b w:val="1"/>
                <w:bCs w:val="1"/>
                <w:color w:val="FFFFFF"/>
              </w:rPr>
              <w:t>($)</w:t>
            </w:r>
          </w:p>
        </w:tc>
      </w:tr>
      <w:tr>
        <w:trPr>
          <w:trHeight w:val="189"/>
        </w:trPr>
        <w:tc>
          <w:tcPr>
            <w:tcW w:w="588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4"/>
                <w:szCs w:val="14"/>
                <w:b w:val="1"/>
                <w:bCs w:val="1"/>
                <w:color w:val="FFFFFF"/>
              </w:rPr>
              <w:t>(a)</w:t>
            </w:r>
          </w:p>
        </w:tc>
        <w:tc>
          <w:tcPr>
            <w:tcW w:w="1300" w:type="dxa"/>
            <w:vAlign w:val="bottom"/>
            <w:tcBorders>
              <w:right w:val="single" w:sz="8" w:color="007CBA"/>
            </w:tcBorders>
            <w:shd w:val="clear" w:color="auto" w:fill="007CBA"/>
          </w:tcPr>
          <w:p>
            <w:pPr>
              <w:jc w:val="center"/>
              <w:ind w:right="48"/>
              <w:spacing w:after="0"/>
              <w:rPr>
                <w:sz w:val="20"/>
                <w:szCs w:val="20"/>
                <w:color w:val="auto"/>
              </w:rPr>
            </w:pPr>
            <w:r>
              <w:rPr>
                <w:rFonts w:ascii="Arial" w:cs="Arial" w:eastAsia="Arial" w:hAnsi="Arial"/>
                <w:sz w:val="14"/>
                <w:szCs w:val="14"/>
                <w:b w:val="1"/>
                <w:bCs w:val="1"/>
                <w:color w:val="FFFFFF"/>
              </w:rPr>
              <w:t>(b)</w:t>
            </w:r>
          </w:p>
        </w:tc>
        <w:tc>
          <w:tcPr>
            <w:tcW w:w="1320" w:type="dxa"/>
            <w:vAlign w:val="bottom"/>
            <w:tcBorders>
              <w:right w:val="single" w:sz="8" w:color="007CBA"/>
            </w:tcBorders>
            <w:shd w:val="clear" w:color="auto" w:fill="007CBA"/>
          </w:tcPr>
          <w:p>
            <w:pPr>
              <w:jc w:val="center"/>
              <w:ind w:right="68"/>
              <w:spacing w:after="0"/>
              <w:rPr>
                <w:sz w:val="20"/>
                <w:szCs w:val="20"/>
                <w:color w:val="auto"/>
              </w:rPr>
            </w:pPr>
            <w:r>
              <w:rPr>
                <w:rFonts w:ascii="Arial" w:cs="Arial" w:eastAsia="Arial" w:hAnsi="Arial"/>
                <w:sz w:val="14"/>
                <w:szCs w:val="14"/>
                <w:b w:val="1"/>
                <w:bCs w:val="1"/>
                <w:color w:val="FFFFFF"/>
              </w:rPr>
              <w:t>(c)</w:t>
            </w:r>
          </w:p>
        </w:tc>
        <w:tc>
          <w:tcPr>
            <w:tcW w:w="1220" w:type="dxa"/>
            <w:vAlign w:val="bottom"/>
            <w:tcBorders>
              <w:right w:val="single" w:sz="8" w:color="007CBA"/>
            </w:tcBorders>
            <w:shd w:val="clear" w:color="auto" w:fill="007CBA"/>
          </w:tcPr>
          <w:p>
            <w:pPr>
              <w:jc w:val="center"/>
              <w:ind w:right="48"/>
              <w:spacing w:after="0"/>
              <w:rPr>
                <w:sz w:val="20"/>
                <w:szCs w:val="20"/>
                <w:color w:val="auto"/>
              </w:rPr>
            </w:pPr>
            <w:r>
              <w:rPr>
                <w:rFonts w:ascii="Arial" w:cs="Arial" w:eastAsia="Arial" w:hAnsi="Arial"/>
                <w:sz w:val="14"/>
                <w:szCs w:val="14"/>
                <w:b w:val="1"/>
                <w:bCs w:val="1"/>
                <w:color w:val="FFFFFF"/>
              </w:rPr>
              <w:t>(d)</w:t>
            </w:r>
          </w:p>
        </w:tc>
        <w:tc>
          <w:tcPr>
            <w:tcW w:w="1280" w:type="dxa"/>
            <w:vAlign w:val="bottom"/>
            <w:shd w:val="clear" w:color="auto" w:fill="007CBA"/>
          </w:tcPr>
          <w:p>
            <w:pPr>
              <w:jc w:val="center"/>
              <w:ind w:right="29"/>
              <w:spacing w:after="0"/>
              <w:rPr>
                <w:sz w:val="20"/>
                <w:szCs w:val="20"/>
                <w:color w:val="auto"/>
              </w:rPr>
            </w:pPr>
            <w:r>
              <w:rPr>
                <w:rFonts w:ascii="Arial" w:cs="Arial" w:eastAsia="Arial" w:hAnsi="Arial"/>
                <w:sz w:val="14"/>
                <w:szCs w:val="14"/>
                <w:b w:val="1"/>
                <w:bCs w:val="1"/>
                <w:color w:val="FFFFFF"/>
              </w:rPr>
              <w:t>(e)</w:t>
            </w:r>
          </w:p>
        </w:tc>
      </w:tr>
      <w:tr>
        <w:trPr>
          <w:trHeight w:val="229"/>
        </w:trPr>
        <w:tc>
          <w:tcPr>
            <w:tcW w:w="588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b w:val="1"/>
                <w:bCs w:val="1"/>
                <w:color w:val="auto"/>
              </w:rPr>
              <w:t>C. Howard Nye</w:t>
            </w:r>
          </w:p>
        </w:tc>
        <w:tc>
          <w:tcPr>
            <w:tcW w:w="1300" w:type="dxa"/>
            <w:vAlign w:val="bottom"/>
            <w:tcBorders>
              <w:right w:val="single" w:sz="8" w:color="007CBA"/>
            </w:tcBorders>
            <w:shd w:val="clear" w:color="auto" w:fill="E5F1F8"/>
          </w:tcPr>
          <w:p>
            <w:pPr>
              <w:jc w:val="right"/>
              <w:ind w:right="388"/>
              <w:spacing w:after="0"/>
              <w:rPr>
                <w:sz w:val="20"/>
                <w:szCs w:val="20"/>
                <w:color w:val="auto"/>
              </w:rPr>
            </w:pPr>
            <w:r>
              <w:rPr>
                <w:rFonts w:ascii="Arial" w:cs="Arial" w:eastAsia="Arial" w:hAnsi="Arial"/>
                <w:sz w:val="14"/>
                <w:szCs w:val="14"/>
                <w:color w:val="auto"/>
              </w:rPr>
              <w:t>11,196</w:t>
            </w:r>
          </w:p>
        </w:tc>
        <w:tc>
          <w:tcPr>
            <w:tcW w:w="1320" w:type="dxa"/>
            <w:vAlign w:val="bottom"/>
            <w:tcBorders>
              <w:right w:val="single" w:sz="8" w:color="007CBA"/>
            </w:tcBorders>
            <w:shd w:val="clear" w:color="auto" w:fill="E5F1F8"/>
          </w:tcPr>
          <w:p>
            <w:pPr>
              <w:jc w:val="right"/>
              <w:ind w:right="248"/>
              <w:spacing w:after="0"/>
              <w:rPr>
                <w:sz w:val="20"/>
                <w:szCs w:val="20"/>
                <w:color w:val="auto"/>
              </w:rPr>
            </w:pPr>
            <w:r>
              <w:rPr>
                <w:rFonts w:ascii="Arial" w:cs="Arial" w:eastAsia="Arial" w:hAnsi="Arial"/>
                <w:sz w:val="14"/>
                <w:szCs w:val="14"/>
                <w:color w:val="auto"/>
              </w:rPr>
              <w:t>1,323,255</w:t>
            </w:r>
          </w:p>
        </w:tc>
        <w:tc>
          <w:tcPr>
            <w:tcW w:w="1220" w:type="dxa"/>
            <w:vAlign w:val="bottom"/>
            <w:tcBorders>
              <w:right w:val="single" w:sz="8" w:color="007CBA"/>
            </w:tcBorders>
            <w:shd w:val="clear" w:color="auto" w:fill="E5F1F8"/>
          </w:tcPr>
          <w:p>
            <w:pPr>
              <w:jc w:val="right"/>
              <w:ind w:right="368"/>
              <w:spacing w:after="0"/>
              <w:rPr>
                <w:sz w:val="20"/>
                <w:szCs w:val="20"/>
                <w:color w:val="auto"/>
              </w:rPr>
            </w:pPr>
            <w:r>
              <w:rPr>
                <w:rFonts w:ascii="Arial" w:cs="Arial" w:eastAsia="Arial" w:hAnsi="Arial"/>
                <w:sz w:val="14"/>
                <w:szCs w:val="14"/>
                <w:color w:val="auto"/>
              </w:rPr>
              <w:t>33,916</w:t>
            </w:r>
          </w:p>
        </w:tc>
        <w:tc>
          <w:tcPr>
            <w:tcW w:w="1280" w:type="dxa"/>
            <w:vAlign w:val="bottom"/>
            <w:shd w:val="clear" w:color="auto" w:fill="E5F1F8"/>
          </w:tcPr>
          <w:p>
            <w:pPr>
              <w:jc w:val="right"/>
              <w:ind w:right="229"/>
              <w:spacing w:after="0"/>
              <w:rPr>
                <w:sz w:val="20"/>
                <w:szCs w:val="20"/>
                <w:color w:val="auto"/>
              </w:rPr>
            </w:pPr>
            <w:r>
              <w:rPr>
                <w:rFonts w:ascii="Arial" w:cs="Arial" w:eastAsia="Arial" w:hAnsi="Arial"/>
                <w:sz w:val="14"/>
                <w:szCs w:val="14"/>
                <w:color w:val="auto"/>
              </w:rPr>
              <w:t>6,319,413</w:t>
            </w:r>
          </w:p>
        </w:tc>
      </w:tr>
      <w:tr>
        <w:trPr>
          <w:trHeight w:val="223"/>
        </w:trPr>
        <w:tc>
          <w:tcPr>
            <w:tcW w:w="5880" w:type="dxa"/>
            <w:vAlign w:val="bottom"/>
            <w:tcBorders>
              <w:right w:val="single" w:sz="8" w:color="007CBA"/>
            </w:tcBorders>
          </w:tcPr>
          <w:p>
            <w:pPr>
              <w:ind w:left="60"/>
              <w:spacing w:after="0"/>
              <w:rPr>
                <w:sz w:val="20"/>
                <w:szCs w:val="20"/>
                <w:color w:val="auto"/>
              </w:rPr>
            </w:pPr>
            <w:r>
              <w:rPr>
                <w:rFonts w:ascii="Arial" w:cs="Arial" w:eastAsia="Arial" w:hAnsi="Arial"/>
                <w:sz w:val="14"/>
                <w:szCs w:val="14"/>
                <w:b w:val="1"/>
                <w:bCs w:val="1"/>
                <w:color w:val="auto"/>
              </w:rPr>
              <w:t>James A. J. Nickolas</w:t>
            </w:r>
          </w:p>
        </w:tc>
        <w:tc>
          <w:tcPr>
            <w:tcW w:w="1300" w:type="dxa"/>
            <w:vAlign w:val="bottom"/>
            <w:tcBorders>
              <w:right w:val="single" w:sz="8" w:color="007CBA"/>
            </w:tcBorders>
          </w:tcPr>
          <w:p>
            <w:pPr>
              <w:jc w:val="right"/>
              <w:ind w:right="388"/>
              <w:spacing w:after="0"/>
              <w:rPr>
                <w:sz w:val="20"/>
                <w:szCs w:val="20"/>
                <w:color w:val="auto"/>
              </w:rPr>
            </w:pPr>
            <w:r>
              <w:rPr>
                <w:rFonts w:ascii="Arial" w:cs="Arial" w:eastAsia="Arial" w:hAnsi="Arial"/>
                <w:sz w:val="14"/>
                <w:szCs w:val="14"/>
                <w:color w:val="auto"/>
              </w:rPr>
              <w:t>0</w:t>
            </w:r>
          </w:p>
        </w:tc>
        <w:tc>
          <w:tcPr>
            <w:tcW w:w="1320" w:type="dxa"/>
            <w:vAlign w:val="bottom"/>
            <w:tcBorders>
              <w:right w:val="single" w:sz="8" w:color="007CBA"/>
            </w:tcBorders>
          </w:tcPr>
          <w:p>
            <w:pPr>
              <w:jc w:val="right"/>
              <w:ind w:right="248"/>
              <w:spacing w:after="0"/>
              <w:rPr>
                <w:sz w:val="20"/>
                <w:szCs w:val="20"/>
                <w:color w:val="auto"/>
              </w:rPr>
            </w:pPr>
            <w:r>
              <w:rPr>
                <w:rFonts w:ascii="Arial" w:cs="Arial" w:eastAsia="Arial" w:hAnsi="Arial"/>
                <w:sz w:val="14"/>
                <w:szCs w:val="14"/>
                <w:color w:val="auto"/>
              </w:rPr>
              <w:t>0</w:t>
            </w:r>
          </w:p>
        </w:tc>
        <w:tc>
          <w:tcPr>
            <w:tcW w:w="1220" w:type="dxa"/>
            <w:vAlign w:val="bottom"/>
            <w:tcBorders>
              <w:right w:val="single" w:sz="8" w:color="007CBA"/>
            </w:tcBorders>
          </w:tcPr>
          <w:p>
            <w:pPr>
              <w:jc w:val="right"/>
              <w:ind w:right="368"/>
              <w:spacing w:after="0"/>
              <w:rPr>
                <w:sz w:val="20"/>
                <w:szCs w:val="20"/>
                <w:color w:val="auto"/>
              </w:rPr>
            </w:pPr>
            <w:r>
              <w:rPr>
                <w:rFonts w:ascii="Arial" w:cs="Arial" w:eastAsia="Arial" w:hAnsi="Arial"/>
                <w:sz w:val="14"/>
                <w:szCs w:val="14"/>
                <w:color w:val="auto"/>
              </w:rPr>
              <w:t>1,506</w:t>
            </w:r>
          </w:p>
        </w:tc>
        <w:tc>
          <w:tcPr>
            <w:tcW w:w="1280" w:type="dxa"/>
            <w:vAlign w:val="bottom"/>
          </w:tcPr>
          <w:p>
            <w:pPr>
              <w:jc w:val="right"/>
              <w:ind w:right="229"/>
              <w:spacing w:after="0"/>
              <w:rPr>
                <w:sz w:val="20"/>
                <w:szCs w:val="20"/>
                <w:color w:val="auto"/>
              </w:rPr>
            </w:pPr>
            <w:r>
              <w:rPr>
                <w:rFonts w:ascii="Arial" w:cs="Arial" w:eastAsia="Arial" w:hAnsi="Arial"/>
                <w:sz w:val="14"/>
                <w:szCs w:val="14"/>
                <w:color w:val="auto"/>
              </w:rPr>
              <w:t>258,836</w:t>
            </w:r>
          </w:p>
        </w:tc>
      </w:tr>
      <w:tr>
        <w:trPr>
          <w:trHeight w:val="235"/>
        </w:trPr>
        <w:tc>
          <w:tcPr>
            <w:tcW w:w="588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b w:val="1"/>
                <w:bCs w:val="1"/>
                <w:color w:val="auto"/>
              </w:rPr>
              <w:t>Roselyn R. Bar</w:t>
            </w:r>
          </w:p>
        </w:tc>
        <w:tc>
          <w:tcPr>
            <w:tcW w:w="1300" w:type="dxa"/>
            <w:vAlign w:val="bottom"/>
            <w:tcBorders>
              <w:right w:val="single" w:sz="8" w:color="007CBA"/>
            </w:tcBorders>
            <w:shd w:val="clear" w:color="auto" w:fill="E5F1F8"/>
          </w:tcPr>
          <w:p>
            <w:pPr>
              <w:jc w:val="right"/>
              <w:ind w:right="388"/>
              <w:spacing w:after="0"/>
              <w:rPr>
                <w:sz w:val="20"/>
                <w:szCs w:val="20"/>
                <w:color w:val="auto"/>
              </w:rPr>
            </w:pPr>
            <w:r>
              <w:rPr>
                <w:rFonts w:ascii="Arial" w:cs="Arial" w:eastAsia="Arial" w:hAnsi="Arial"/>
                <w:sz w:val="14"/>
                <w:szCs w:val="14"/>
                <w:color w:val="auto"/>
              </w:rPr>
              <w:t>7,408</w:t>
            </w:r>
          </w:p>
        </w:tc>
        <w:tc>
          <w:tcPr>
            <w:tcW w:w="1320" w:type="dxa"/>
            <w:vAlign w:val="bottom"/>
            <w:tcBorders>
              <w:right w:val="single" w:sz="8" w:color="007CBA"/>
            </w:tcBorders>
            <w:shd w:val="clear" w:color="auto" w:fill="E5F1F8"/>
          </w:tcPr>
          <w:p>
            <w:pPr>
              <w:jc w:val="right"/>
              <w:ind w:right="248"/>
              <w:spacing w:after="0"/>
              <w:rPr>
                <w:sz w:val="20"/>
                <w:szCs w:val="20"/>
                <w:color w:val="auto"/>
              </w:rPr>
            </w:pPr>
            <w:r>
              <w:rPr>
                <w:rFonts w:ascii="Arial" w:cs="Arial" w:eastAsia="Arial" w:hAnsi="Arial"/>
                <w:sz w:val="14"/>
                <w:szCs w:val="14"/>
                <w:color w:val="auto"/>
              </w:rPr>
              <w:t>835,374</w:t>
            </w:r>
          </w:p>
        </w:tc>
        <w:tc>
          <w:tcPr>
            <w:tcW w:w="1220" w:type="dxa"/>
            <w:vAlign w:val="bottom"/>
            <w:tcBorders>
              <w:right w:val="single" w:sz="8" w:color="007CBA"/>
            </w:tcBorders>
            <w:shd w:val="clear" w:color="auto" w:fill="E5F1F8"/>
          </w:tcPr>
          <w:p>
            <w:pPr>
              <w:jc w:val="right"/>
              <w:ind w:right="368"/>
              <w:spacing w:after="0"/>
              <w:rPr>
                <w:sz w:val="20"/>
                <w:szCs w:val="20"/>
                <w:color w:val="auto"/>
              </w:rPr>
            </w:pPr>
            <w:r>
              <w:rPr>
                <w:rFonts w:ascii="Arial" w:cs="Arial" w:eastAsia="Arial" w:hAnsi="Arial"/>
                <w:sz w:val="14"/>
                <w:szCs w:val="14"/>
                <w:color w:val="auto"/>
              </w:rPr>
              <w:t>7,675</w:t>
            </w:r>
          </w:p>
        </w:tc>
        <w:tc>
          <w:tcPr>
            <w:tcW w:w="1280" w:type="dxa"/>
            <w:vAlign w:val="bottom"/>
            <w:shd w:val="clear" w:color="auto" w:fill="E5F1F8"/>
          </w:tcPr>
          <w:p>
            <w:pPr>
              <w:jc w:val="right"/>
              <w:ind w:right="229"/>
              <w:spacing w:after="0"/>
              <w:rPr>
                <w:sz w:val="20"/>
                <w:szCs w:val="20"/>
                <w:color w:val="auto"/>
              </w:rPr>
            </w:pPr>
            <w:r>
              <w:rPr>
                <w:rFonts w:ascii="Arial" w:cs="Arial" w:eastAsia="Arial" w:hAnsi="Arial"/>
                <w:sz w:val="14"/>
                <w:szCs w:val="14"/>
                <w:color w:val="auto"/>
              </w:rPr>
              <w:t>1,466,285</w:t>
            </w:r>
          </w:p>
        </w:tc>
      </w:tr>
      <w:tr>
        <w:trPr>
          <w:trHeight w:val="223"/>
        </w:trPr>
        <w:tc>
          <w:tcPr>
            <w:tcW w:w="5880" w:type="dxa"/>
            <w:vAlign w:val="bottom"/>
            <w:tcBorders>
              <w:right w:val="single" w:sz="8" w:color="007CBA"/>
            </w:tcBorders>
          </w:tcPr>
          <w:p>
            <w:pPr>
              <w:ind w:left="60"/>
              <w:spacing w:after="0"/>
              <w:rPr>
                <w:sz w:val="20"/>
                <w:szCs w:val="20"/>
                <w:color w:val="auto"/>
              </w:rPr>
            </w:pPr>
            <w:r>
              <w:rPr>
                <w:rFonts w:ascii="Arial" w:cs="Arial" w:eastAsia="Arial" w:hAnsi="Arial"/>
                <w:sz w:val="14"/>
                <w:szCs w:val="14"/>
                <w:b w:val="1"/>
                <w:bCs w:val="1"/>
                <w:color w:val="auto"/>
              </w:rPr>
              <w:t>Donald A. McCunniff</w:t>
            </w:r>
          </w:p>
        </w:tc>
        <w:tc>
          <w:tcPr>
            <w:tcW w:w="1300" w:type="dxa"/>
            <w:vAlign w:val="bottom"/>
            <w:tcBorders>
              <w:right w:val="single" w:sz="8" w:color="007CBA"/>
            </w:tcBorders>
          </w:tcPr>
          <w:p>
            <w:pPr>
              <w:jc w:val="right"/>
              <w:ind w:right="388"/>
              <w:spacing w:after="0"/>
              <w:rPr>
                <w:sz w:val="20"/>
                <w:szCs w:val="20"/>
                <w:color w:val="auto"/>
              </w:rPr>
            </w:pPr>
            <w:r>
              <w:rPr>
                <w:rFonts w:ascii="Arial" w:cs="Arial" w:eastAsia="Arial" w:hAnsi="Arial"/>
                <w:sz w:val="14"/>
                <w:szCs w:val="14"/>
                <w:color w:val="auto"/>
              </w:rPr>
              <w:t>1,818</w:t>
            </w:r>
          </w:p>
        </w:tc>
        <w:tc>
          <w:tcPr>
            <w:tcW w:w="1320" w:type="dxa"/>
            <w:vAlign w:val="bottom"/>
            <w:tcBorders>
              <w:right w:val="single" w:sz="8" w:color="007CBA"/>
            </w:tcBorders>
          </w:tcPr>
          <w:p>
            <w:pPr>
              <w:jc w:val="right"/>
              <w:ind w:right="248"/>
              <w:spacing w:after="0"/>
              <w:rPr>
                <w:sz w:val="20"/>
                <w:szCs w:val="20"/>
                <w:color w:val="auto"/>
              </w:rPr>
            </w:pPr>
            <w:r>
              <w:rPr>
                <w:rFonts w:ascii="Arial" w:cs="Arial" w:eastAsia="Arial" w:hAnsi="Arial"/>
                <w:sz w:val="14"/>
                <w:szCs w:val="14"/>
                <w:color w:val="auto"/>
              </w:rPr>
              <w:t>211,586</w:t>
            </w:r>
          </w:p>
        </w:tc>
        <w:tc>
          <w:tcPr>
            <w:tcW w:w="1220" w:type="dxa"/>
            <w:vAlign w:val="bottom"/>
            <w:tcBorders>
              <w:right w:val="single" w:sz="8" w:color="007CBA"/>
            </w:tcBorders>
          </w:tcPr>
          <w:p>
            <w:pPr>
              <w:jc w:val="right"/>
              <w:ind w:right="368"/>
              <w:spacing w:after="0"/>
              <w:rPr>
                <w:sz w:val="20"/>
                <w:szCs w:val="20"/>
                <w:color w:val="auto"/>
              </w:rPr>
            </w:pPr>
            <w:r>
              <w:rPr>
                <w:rFonts w:ascii="Arial" w:cs="Arial" w:eastAsia="Arial" w:hAnsi="Arial"/>
                <w:sz w:val="14"/>
                <w:szCs w:val="14"/>
                <w:color w:val="auto"/>
              </w:rPr>
              <w:t>5,231</w:t>
            </w:r>
          </w:p>
        </w:tc>
        <w:tc>
          <w:tcPr>
            <w:tcW w:w="1280" w:type="dxa"/>
            <w:vAlign w:val="bottom"/>
          </w:tcPr>
          <w:p>
            <w:pPr>
              <w:jc w:val="right"/>
              <w:ind w:right="229"/>
              <w:spacing w:after="0"/>
              <w:rPr>
                <w:sz w:val="20"/>
                <w:szCs w:val="20"/>
                <w:color w:val="auto"/>
              </w:rPr>
            </w:pPr>
            <w:r>
              <w:rPr>
                <w:rFonts w:ascii="Arial" w:cs="Arial" w:eastAsia="Arial" w:hAnsi="Arial"/>
                <w:sz w:val="14"/>
                <w:szCs w:val="14"/>
                <w:color w:val="auto"/>
              </w:rPr>
              <w:t>1,007,999</w:t>
            </w:r>
          </w:p>
        </w:tc>
      </w:tr>
      <w:tr>
        <w:trPr>
          <w:trHeight w:val="229"/>
        </w:trPr>
        <w:tc>
          <w:tcPr>
            <w:tcW w:w="5880" w:type="dxa"/>
            <w:vAlign w:val="bottom"/>
            <w:tcBorders>
              <w:bottom w:val="single" w:sz="8" w:color="007CBA"/>
              <w:right w:val="single" w:sz="8" w:color="007CBA"/>
            </w:tcBorders>
            <w:shd w:val="clear" w:color="auto" w:fill="E5F1F8"/>
          </w:tcPr>
          <w:p>
            <w:pPr>
              <w:ind w:left="60"/>
              <w:spacing w:after="0"/>
              <w:rPr>
                <w:sz w:val="20"/>
                <w:szCs w:val="20"/>
                <w:color w:val="auto"/>
              </w:rPr>
            </w:pPr>
            <w:r>
              <w:rPr>
                <w:rFonts w:ascii="Arial" w:cs="Arial" w:eastAsia="Arial" w:hAnsi="Arial"/>
                <w:sz w:val="14"/>
                <w:szCs w:val="14"/>
                <w:b w:val="1"/>
                <w:bCs w:val="1"/>
                <w:color w:val="auto"/>
              </w:rPr>
              <w:t>Daniel L. Grant</w:t>
            </w:r>
          </w:p>
        </w:tc>
        <w:tc>
          <w:tcPr>
            <w:tcW w:w="1300" w:type="dxa"/>
            <w:vAlign w:val="bottom"/>
            <w:tcBorders>
              <w:bottom w:val="single" w:sz="8" w:color="007CBA"/>
              <w:right w:val="single" w:sz="8" w:color="007CBA"/>
            </w:tcBorders>
            <w:shd w:val="clear" w:color="auto" w:fill="E5F1F8"/>
          </w:tcPr>
          <w:p>
            <w:pPr>
              <w:jc w:val="right"/>
              <w:ind w:right="388"/>
              <w:spacing w:after="0"/>
              <w:rPr>
                <w:sz w:val="20"/>
                <w:szCs w:val="20"/>
                <w:color w:val="auto"/>
              </w:rPr>
            </w:pPr>
            <w:r>
              <w:rPr>
                <w:rFonts w:ascii="Arial" w:cs="Arial" w:eastAsia="Arial" w:hAnsi="Arial"/>
                <w:sz w:val="14"/>
                <w:szCs w:val="14"/>
                <w:color w:val="auto"/>
              </w:rPr>
              <w:t>0</w:t>
            </w:r>
          </w:p>
        </w:tc>
        <w:tc>
          <w:tcPr>
            <w:tcW w:w="1320" w:type="dxa"/>
            <w:vAlign w:val="bottom"/>
            <w:tcBorders>
              <w:bottom w:val="single" w:sz="8" w:color="007CBA"/>
              <w:right w:val="single" w:sz="8" w:color="007CBA"/>
            </w:tcBorders>
            <w:shd w:val="clear" w:color="auto" w:fill="E5F1F8"/>
          </w:tcPr>
          <w:p>
            <w:pPr>
              <w:jc w:val="right"/>
              <w:ind w:right="248"/>
              <w:spacing w:after="0"/>
              <w:rPr>
                <w:sz w:val="20"/>
                <w:szCs w:val="20"/>
                <w:color w:val="auto"/>
              </w:rPr>
            </w:pPr>
            <w:r>
              <w:rPr>
                <w:rFonts w:ascii="Arial" w:cs="Arial" w:eastAsia="Arial" w:hAnsi="Arial"/>
                <w:sz w:val="14"/>
                <w:szCs w:val="14"/>
                <w:color w:val="auto"/>
              </w:rPr>
              <w:t>0</w:t>
            </w:r>
          </w:p>
        </w:tc>
        <w:tc>
          <w:tcPr>
            <w:tcW w:w="1220" w:type="dxa"/>
            <w:vAlign w:val="bottom"/>
            <w:tcBorders>
              <w:bottom w:val="single" w:sz="8" w:color="007CBA"/>
              <w:right w:val="single" w:sz="8" w:color="007CBA"/>
            </w:tcBorders>
            <w:shd w:val="clear" w:color="auto" w:fill="E5F1F8"/>
          </w:tcPr>
          <w:p>
            <w:pPr>
              <w:jc w:val="right"/>
              <w:ind w:right="368"/>
              <w:spacing w:after="0"/>
              <w:rPr>
                <w:sz w:val="20"/>
                <w:szCs w:val="20"/>
                <w:color w:val="auto"/>
              </w:rPr>
            </w:pPr>
            <w:r>
              <w:rPr>
                <w:rFonts w:ascii="Arial" w:cs="Arial" w:eastAsia="Arial" w:hAnsi="Arial"/>
                <w:sz w:val="14"/>
                <w:szCs w:val="14"/>
                <w:color w:val="auto"/>
              </w:rPr>
              <w:t>4,217</w:t>
            </w:r>
          </w:p>
        </w:tc>
        <w:tc>
          <w:tcPr>
            <w:tcW w:w="1280" w:type="dxa"/>
            <w:vAlign w:val="bottom"/>
            <w:tcBorders>
              <w:bottom w:val="single" w:sz="8" w:color="007CBA"/>
            </w:tcBorders>
            <w:shd w:val="clear" w:color="auto" w:fill="E5F1F8"/>
          </w:tcPr>
          <w:p>
            <w:pPr>
              <w:jc w:val="right"/>
              <w:ind w:right="229"/>
              <w:spacing w:after="0"/>
              <w:rPr>
                <w:sz w:val="20"/>
                <w:szCs w:val="20"/>
                <w:color w:val="auto"/>
              </w:rPr>
            </w:pPr>
            <w:r>
              <w:rPr>
                <w:rFonts w:ascii="Arial" w:cs="Arial" w:eastAsia="Arial" w:hAnsi="Arial"/>
                <w:sz w:val="14"/>
                <w:szCs w:val="14"/>
                <w:color w:val="auto"/>
              </w:rPr>
              <w:t>775,176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3988435</wp:posOffset>
            </wp:positionH>
            <wp:positionV relativeFrom="paragraph">
              <wp:posOffset>-1378585</wp:posOffset>
            </wp:positionV>
            <wp:extent cx="313499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134995" cy="8255"/>
                    </a:xfrm>
                    <a:prstGeom prst="rect">
                      <a:avLst/>
                    </a:prstGeom>
                    <a:noFill/>
                  </pic:spPr>
                </pic:pic>
              </a:graphicData>
            </a:graphic>
          </wp:anchor>
        </w:drawing>
      </w:r>
    </w:p>
    <w:p>
      <w:pPr>
        <w:spacing w:after="0" w:line="66" w:lineRule="exact"/>
        <w:rPr>
          <w:sz w:val="20"/>
          <w:szCs w:val="20"/>
          <w:color w:val="auto"/>
        </w:rPr>
      </w:pPr>
    </w:p>
    <w:p>
      <w:pPr>
        <w:ind w:left="340" w:right="20" w:hanging="130"/>
        <w:spacing w:after="0" w:line="183" w:lineRule="auto"/>
        <w:tabs>
          <w:tab w:leader="none" w:pos="340" w:val="left"/>
        </w:tabs>
        <w:numPr>
          <w:ilvl w:val="0"/>
          <w:numId w:val="137"/>
        </w:numPr>
        <w:rPr>
          <w:rFonts w:ascii="Arial" w:cs="Arial" w:eastAsia="Arial" w:hAnsi="Arial"/>
          <w:sz w:val="24"/>
          <w:szCs w:val="24"/>
          <w:color w:val="auto"/>
          <w:vertAlign w:val="superscript"/>
        </w:rPr>
      </w:pPr>
      <w:r>
        <w:rPr>
          <w:rFonts w:ascii="Arial" w:cs="Arial" w:eastAsia="Arial" w:hAnsi="Arial"/>
          <w:sz w:val="14"/>
          <w:szCs w:val="14"/>
          <w:color w:val="auto"/>
        </w:rPr>
        <w:t>The amounts in column (e) include the value of RSUs and PSUs at the time of vesting and the appreciation of both mandatory and voluntary contributions under the Incentive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3517265</wp:posOffset>
            </wp:positionH>
            <wp:positionV relativeFrom="paragraph">
              <wp:posOffset>85090</wp:posOffset>
            </wp:positionV>
            <wp:extent cx="410845" cy="2482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149" w:lineRule="exact"/>
        <w:rPr>
          <w:sz w:val="20"/>
          <w:szCs w:val="20"/>
          <w:color w:val="auto"/>
        </w:rPr>
      </w:pPr>
    </w:p>
    <w:p>
      <w:pPr>
        <w:ind w:left="640" w:hanging="430"/>
        <w:spacing w:after="0"/>
        <w:tabs>
          <w:tab w:leader="none" w:pos="640" w:val="left"/>
        </w:tabs>
        <w:numPr>
          <w:ilvl w:val="0"/>
          <w:numId w:val="138"/>
        </w:numPr>
        <w:rPr>
          <w:rFonts w:ascii="Arial" w:cs="Arial" w:eastAsia="Arial" w:hAnsi="Arial"/>
          <w:sz w:val="13"/>
          <w:szCs w:val="13"/>
          <w:b w:val="1"/>
          <w:bCs w:val="1"/>
          <w:color w:val="auto"/>
        </w:rPr>
      </w:pPr>
      <w:r>
        <w:rPr>
          <w:rFonts w:ascii="Arial" w:cs="Arial" w:eastAsia="Arial" w:hAnsi="Arial"/>
          <w:sz w:val="13"/>
          <w:szCs w:val="13"/>
          <w:color w:val="007CBA"/>
        </w:rPr>
        <w:t>2019 PROXY STATEMENT</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7CBA"/>
        </w:rPr>
        <w:t>Retirement and Other Benefits</w:t>
      </w:r>
    </w:p>
    <w:p>
      <w:pPr>
        <w:spacing w:after="0" w:line="25" w:lineRule="exact"/>
        <w:rPr>
          <w:sz w:val="20"/>
          <w:szCs w:val="20"/>
          <w:color w:val="auto"/>
        </w:rPr>
      </w:pPr>
    </w:p>
    <w:p>
      <w:pPr>
        <w:jc w:val="both"/>
        <w:ind w:left="220"/>
        <w:spacing w:after="0" w:line="247" w:lineRule="auto"/>
        <w:rPr>
          <w:sz w:val="20"/>
          <w:szCs w:val="20"/>
          <w:color w:val="auto"/>
        </w:rPr>
      </w:pPr>
      <w:r>
        <w:rPr>
          <w:rFonts w:ascii="Arial" w:cs="Arial" w:eastAsia="Arial" w:hAnsi="Arial"/>
          <w:sz w:val="16"/>
          <w:szCs w:val="16"/>
          <w:color w:val="auto"/>
        </w:rPr>
        <w:t>In order to maintain market competitive levels of compensation, we provide retirement and other benefits to the named executive officers and other employees. The benefits under the defined benefit pension plan are more valuable for employees who remain with Martin Marietta for longer periods, thereby furthering Martin Marietta’s objectives of retaining individuals with more expertise in relevant areas and who can participate in management development for purposes of executive succession planning. All of Martin Marietta’s salaried employees in the United States are eligible to participate in the following retirement and other plans. The named executive officers participate in the plans on the same terms as Martin Marietta’s other salaried employees.</w:t>
      </w:r>
    </w:p>
    <w:p>
      <w:pPr>
        <w:spacing w:after="0" w:line="163"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b w:val="1"/>
          <w:bCs w:val="1"/>
          <w:color w:val="auto"/>
        </w:rPr>
        <w:t xml:space="preserve">Pension Plan. </w:t>
      </w:r>
      <w:r>
        <w:rPr>
          <w:rFonts w:ascii="Arial" w:cs="Arial" w:eastAsia="Arial" w:hAnsi="Arial"/>
          <w:sz w:val="16"/>
          <w:szCs w:val="16"/>
          <w:color w:val="auto"/>
        </w:rPr>
        <w:t>We have a tax qualified defined benefit pension plan</w:t>
      </w:r>
      <w:r>
        <w:rPr>
          <w:rFonts w:ascii="Arial" w:cs="Arial" w:eastAsia="Arial" w:hAnsi="Arial"/>
          <w:sz w:val="16"/>
          <w:szCs w:val="16"/>
          <w:b w:val="1"/>
          <w:bCs w:val="1"/>
          <w:color w:val="auto"/>
        </w:rPr>
        <w:t xml:space="preserve"> </w:t>
      </w:r>
      <w:r>
        <w:rPr>
          <w:rFonts w:ascii="Arial" w:cs="Arial" w:eastAsia="Arial" w:hAnsi="Arial"/>
          <w:sz w:val="16"/>
          <w:szCs w:val="16"/>
          <w:color w:val="auto"/>
        </w:rPr>
        <w:t>(“Pension Plan”) under which eligible full-time salaried employees of Martin Marietta who have completed five continuous years of employment with Martin Marietta, including the named executive officers, earn the right to receive certain benefits upon retirement on a reduced basis at or after age 55 and on an unreduced basis at or after age 62. Retirement benefits are monthly payments for life based on a multiple of the years of service and the final average eligible pay for the five highest consecutive years in the last ten years before retirement, less an offset for social security. The amount is equal to the sum of (A), (B) and (C) below:</w:t>
      </w:r>
    </w:p>
    <w:p>
      <w:pPr>
        <w:spacing w:after="0" w:line="113" w:lineRule="exact"/>
        <w:rPr>
          <w:sz w:val="20"/>
          <w:szCs w:val="20"/>
          <w:color w:val="auto"/>
        </w:rPr>
      </w:pPr>
    </w:p>
    <w:p>
      <w:pPr>
        <w:jc w:val="both"/>
        <w:ind w:left="540" w:right="20" w:hanging="330"/>
        <w:spacing w:after="0" w:line="253" w:lineRule="auto"/>
        <w:tabs>
          <w:tab w:leader="none" w:pos="54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1.165% of the participant’s final average eligible pay up to social security covered compensation, multiplied by the participant’s credited years of service up to 35 years;</w:t>
      </w:r>
    </w:p>
    <w:p>
      <w:pPr>
        <w:spacing w:after="0" w:line="106" w:lineRule="exact"/>
        <w:rPr>
          <w:rFonts w:ascii="Arial" w:cs="Arial" w:eastAsia="Arial" w:hAnsi="Arial"/>
          <w:sz w:val="16"/>
          <w:szCs w:val="16"/>
          <w:color w:val="auto"/>
        </w:rPr>
      </w:pPr>
    </w:p>
    <w:p>
      <w:pPr>
        <w:jc w:val="both"/>
        <w:ind w:left="540" w:right="20" w:hanging="330"/>
        <w:spacing w:after="0" w:line="253" w:lineRule="auto"/>
        <w:tabs>
          <w:tab w:leader="none" w:pos="54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1.50% of the participant’s final average eligible pay in excess of social security covered compensation, multiplied by the participant’s credited years of service up to 35 years; and</w:t>
      </w:r>
    </w:p>
    <w:p>
      <w:pPr>
        <w:spacing w:after="0" w:line="106" w:lineRule="exact"/>
        <w:rPr>
          <w:rFonts w:ascii="Arial" w:cs="Arial" w:eastAsia="Arial" w:hAnsi="Arial"/>
          <w:sz w:val="16"/>
          <w:szCs w:val="16"/>
          <w:color w:val="auto"/>
        </w:rPr>
      </w:pPr>
    </w:p>
    <w:p>
      <w:pPr>
        <w:ind w:left="540" w:right="20" w:hanging="330"/>
        <w:spacing w:after="0" w:line="260" w:lineRule="auto"/>
        <w:tabs>
          <w:tab w:leader="none" w:pos="54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1.50% of the participant’s final average eligible pay multiplied by the participant’s credited years of service in excess of 35 years.</w:t>
      </w:r>
    </w:p>
    <w:p>
      <w:pPr>
        <w:spacing w:after="0" w:line="134" w:lineRule="exact"/>
        <w:rPr>
          <w:sz w:val="20"/>
          <w:szCs w:val="20"/>
          <w:color w:val="auto"/>
        </w:rPr>
      </w:pPr>
    </w:p>
    <w:p>
      <w:pPr>
        <w:jc w:val="both"/>
        <w:ind w:left="220"/>
        <w:spacing w:after="0" w:line="252" w:lineRule="auto"/>
        <w:rPr>
          <w:sz w:val="20"/>
          <w:szCs w:val="20"/>
          <w:color w:val="auto"/>
        </w:rPr>
      </w:pPr>
      <w:r>
        <w:rPr>
          <w:rFonts w:ascii="Arial" w:cs="Arial" w:eastAsia="Arial" w:hAnsi="Arial"/>
          <w:sz w:val="16"/>
          <w:szCs w:val="16"/>
          <w:b w:val="1"/>
          <w:bCs w:val="1"/>
          <w:color w:val="auto"/>
        </w:rPr>
        <w:t xml:space="preserve">Supplemental Excess Retirement Plan (SERP). </w:t>
      </w:r>
      <w:r>
        <w:rPr>
          <w:rFonts w:ascii="Arial" w:cs="Arial" w:eastAsia="Arial" w:hAnsi="Arial"/>
          <w:sz w:val="16"/>
          <w:szCs w:val="16"/>
          <w:color w:val="auto"/>
        </w:rPr>
        <w:t>We also have a</w:t>
      </w:r>
      <w:r>
        <w:rPr>
          <w:rFonts w:ascii="Arial" w:cs="Arial" w:eastAsia="Arial" w:hAnsi="Arial"/>
          <w:sz w:val="16"/>
          <w:szCs w:val="16"/>
          <w:b w:val="1"/>
          <w:bCs w:val="1"/>
          <w:color w:val="auto"/>
        </w:rPr>
        <w:t xml:space="preserve"> </w:t>
      </w:r>
      <w:r>
        <w:rPr>
          <w:rFonts w:ascii="Arial" w:cs="Arial" w:eastAsia="Arial" w:hAnsi="Arial"/>
          <w:sz w:val="16"/>
          <w:szCs w:val="16"/>
          <w:color w:val="auto"/>
        </w:rPr>
        <w:t>nonqualified restoration plan that covers any employee in the defined benefit pension plan, including the named executive officers, who are highly compensated and whose qualified plan benefit is reduced by Internal Revenue Code benefit or pay limits in Sections 415(b) and 401(a) (17). The plan is based on the same formula as the qualified Pension Plan described above. Benefits under our nonqualified plan are paid from our general assets.</w:t>
      </w:r>
    </w:p>
    <w:p>
      <w:pPr>
        <w:spacing w:after="0" w:line="141" w:lineRule="exact"/>
        <w:rPr>
          <w:sz w:val="20"/>
          <w:szCs w:val="20"/>
          <w:color w:val="auto"/>
        </w:rPr>
      </w:pPr>
    </w:p>
    <w:p>
      <w:pPr>
        <w:jc w:val="both"/>
        <w:ind w:left="220"/>
        <w:spacing w:after="0" w:line="256" w:lineRule="auto"/>
        <w:rPr>
          <w:sz w:val="20"/>
          <w:szCs w:val="20"/>
          <w:color w:val="auto"/>
        </w:rPr>
      </w:pPr>
      <w:r>
        <w:rPr>
          <w:rFonts w:ascii="Arial" w:cs="Arial" w:eastAsia="Arial" w:hAnsi="Arial"/>
          <w:sz w:val="16"/>
          <w:szCs w:val="16"/>
          <w:b w:val="1"/>
          <w:bCs w:val="1"/>
          <w:color w:val="auto"/>
        </w:rPr>
        <w:t xml:space="preserve">Savings and Investment Plan. </w:t>
      </w:r>
      <w:r>
        <w:rPr>
          <w:rFonts w:ascii="Arial" w:cs="Arial" w:eastAsia="Arial" w:hAnsi="Arial"/>
          <w:sz w:val="16"/>
          <w:szCs w:val="16"/>
          <w:color w:val="auto"/>
        </w:rPr>
        <w:t>The Savings and Investment Plan is a</w:t>
      </w:r>
      <w:r>
        <w:rPr>
          <w:rFonts w:ascii="Arial" w:cs="Arial" w:eastAsia="Arial" w:hAnsi="Arial"/>
          <w:sz w:val="16"/>
          <w:szCs w:val="16"/>
          <w:b w:val="1"/>
          <w:bCs w:val="1"/>
          <w:color w:val="auto"/>
        </w:rPr>
        <w:t xml:space="preserve"> </w:t>
      </w:r>
      <w:r>
        <w:rPr>
          <w:rFonts w:ascii="Arial" w:cs="Arial" w:eastAsia="Arial" w:hAnsi="Arial"/>
          <w:sz w:val="16"/>
          <w:szCs w:val="16"/>
          <w:color w:val="auto"/>
        </w:rPr>
        <w:t>tax-qualified defined contribution retirement savings plan pursuant to which all employees in the United States, including the named executive officers, are eligible to contribute up to 25% or the limit prescribed by the Internal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jc w:val="right"/>
        <w:spacing w:after="0" w:line="251" w:lineRule="exact"/>
        <w:tabs>
          <w:tab w:leader="none" w:pos="1760" w:val="left"/>
        </w:tabs>
        <w:rPr>
          <w:sz w:val="20"/>
          <w:szCs w:val="20"/>
          <w:color w:val="auto"/>
        </w:rPr>
      </w:pPr>
      <w:r>
        <w:rPr>
          <w:rFonts w:ascii="Arial" w:cs="Arial" w:eastAsia="Arial" w:hAnsi="Arial"/>
          <w:sz w:val="13"/>
          <w:szCs w:val="13"/>
          <w:color w:val="auto"/>
        </w:rPr>
        <w:t>Option Exercises and Stock Vested</w:t>
      </w:r>
      <w:r>
        <w:rPr>
          <w:sz w:val="20"/>
          <w:szCs w:val="20"/>
          <w:color w:val="auto"/>
        </w:rPr>
        <w:tab/>
      </w:r>
      <w:r>
        <w:rPr>
          <w:rFonts w:ascii="MS PGothic" w:cs="MS PGothic" w:eastAsia="MS PGothic" w:hAnsi="MS PGothic"/>
          <w:sz w:val="25"/>
          <w:szCs w:val="25"/>
          <w:color w:val="007CBA"/>
        </w:rPr>
        <w:t xml:space="preserve">◆ </w:t>
      </w:r>
      <w:r>
        <w:rPr>
          <w:rFonts w:ascii="Arial" w:cs="Arial" w:eastAsia="Arial" w:hAnsi="Arial"/>
          <w:sz w:val="13"/>
          <w:szCs w:val="13"/>
          <w:color w:val="007CB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-657225</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Service on a ROTH individual retirement account on a before-tax basis and up to an additional 17% of pay on an after-tax basis not to exceed a total of 25% of pay. We match 100% of the first 1% of pay and 50% of the next 5% of pay that is contributed by employees to the Savings and Investment Plan up to Internal Revenue Service limitations. All contributions as well as any matching contributions are fully vested upon contribution. Prior to 2015, the Company sponsored two defined contribution savings plans, the Performance Sharing Plan for salaried employees and the Savings and Investment Plan for hourly employees generally. The two plans were merged in 2014.</w:t>
      </w:r>
    </w:p>
    <w:p>
      <w:pPr>
        <w:spacing w:after="0" w:line="16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color w:val="auto"/>
        </w:rPr>
        <w:t xml:space="preserve">Retiree Medical. </w:t>
      </w:r>
      <w:r>
        <w:rPr>
          <w:rFonts w:ascii="Arial" w:cs="Arial" w:eastAsia="Arial" w:hAnsi="Arial"/>
          <w:sz w:val="16"/>
          <w:szCs w:val="16"/>
          <w:color w:val="auto"/>
        </w:rPr>
        <w:t>Eligible salaried employees who commenced</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with Martin Marietta prior to December 1, 1999 and who retire with at least 5 years of service are currently eligible for retiree medical benefits for life. Eligible salaried employees who commenced employment with Martin Marietta between December 1, 1999 and December 31, 2001 and who retire with at least 15 years of service are currently eligible for retiree medical benefits until age 65. Eligible employees share the cost of retiree medical based on their years of service and a predetermined cap on total payments by Martin Marietta. Employees who commenced employment with Martin Marietta on or after January 1, 2002 are not eligible for retiree medical benefits. Mr. Nye, Mr. Nickolas, Mr. McCunniff and Mr. Grant are not eligible for retiree medical benefits as each commenced employment with Martin Marietta after 2002.</w:t>
      </w:r>
    </w:p>
    <w:p>
      <w:pPr>
        <w:spacing w:after="0" w:line="14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b w:val="1"/>
          <w:bCs w:val="1"/>
          <w:color w:val="auto"/>
        </w:rPr>
        <w:t xml:space="preserve">Medical Insurance. </w:t>
      </w:r>
      <w:r>
        <w:rPr>
          <w:rFonts w:ascii="Arial" w:cs="Arial" w:eastAsia="Arial" w:hAnsi="Arial"/>
          <w:sz w:val="16"/>
          <w:szCs w:val="16"/>
          <w:color w:val="auto"/>
        </w:rPr>
        <w:t>Martin Marietta provides an opportunity to all of its</w:t>
      </w:r>
      <w:r>
        <w:rPr>
          <w:rFonts w:ascii="Arial" w:cs="Arial" w:eastAsia="Arial" w:hAnsi="Arial"/>
          <w:sz w:val="16"/>
          <w:szCs w:val="16"/>
          <w:b w:val="1"/>
          <w:bCs w:val="1"/>
          <w:color w:val="auto"/>
        </w:rPr>
        <w:t xml:space="preserve"> </w:t>
      </w:r>
      <w:r>
        <w:rPr>
          <w:rFonts w:ascii="Arial" w:cs="Arial" w:eastAsia="Arial" w:hAnsi="Arial"/>
          <w:sz w:val="16"/>
          <w:szCs w:val="16"/>
          <w:color w:val="auto"/>
        </w:rPr>
        <w:t>salaried employees in the United States and the employees’ immediate family members to select health, dental and vision insurance coverage. Martin Marietta pays a portion of the premiums for this insurance for all employees. All employees in the United States, including the named executive officers, pay a portion of the premiums depending on the coverage they choose.</w:t>
      </w:r>
    </w:p>
    <w:p>
      <w:pPr>
        <w:spacing w:after="0" w:line="14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b w:val="1"/>
          <w:bCs w:val="1"/>
          <w:color w:val="auto"/>
        </w:rPr>
        <w:t xml:space="preserve">Life and Disability Insurance. </w:t>
      </w:r>
      <w:r>
        <w:rPr>
          <w:rFonts w:ascii="Arial" w:cs="Arial" w:eastAsia="Arial" w:hAnsi="Arial"/>
          <w:sz w:val="16"/>
          <w:szCs w:val="16"/>
          <w:color w:val="auto"/>
        </w:rPr>
        <w:t>Martin Marietta provides to all of its</w:t>
      </w:r>
      <w:r>
        <w:rPr>
          <w:rFonts w:ascii="Arial" w:cs="Arial" w:eastAsia="Arial" w:hAnsi="Arial"/>
          <w:sz w:val="16"/>
          <w:szCs w:val="16"/>
          <w:b w:val="1"/>
          <w:bCs w:val="1"/>
          <w:color w:val="auto"/>
        </w:rPr>
        <w:t xml:space="preserve"> </w:t>
      </w:r>
      <w:r>
        <w:rPr>
          <w:rFonts w:ascii="Arial" w:cs="Arial" w:eastAsia="Arial" w:hAnsi="Arial"/>
          <w:sz w:val="16"/>
          <w:szCs w:val="16"/>
          <w:color w:val="auto"/>
        </w:rPr>
        <w:t>salaried employees in the United States, including the named executive officers, long-term disability and life insurance that provides up to 1.5 times base salary at no cost to the employee. All employees in the United States, including the named executive officers, can choose additional coverage and pay a portion of the premiums depending on the coverage they choose. In addition, Martin Marietta pays an amount equal to one year of base salary in the event of death of any active salaried employee.</w:t>
      </w:r>
    </w:p>
    <w:p>
      <w:pPr>
        <w:spacing w:after="0" w:line="154"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b w:val="1"/>
          <w:bCs w:val="1"/>
          <w:color w:val="auto"/>
        </w:rPr>
        <w:t xml:space="preserve">Housing Allowance and Relocation Costs. </w:t>
      </w:r>
      <w:r>
        <w:rPr>
          <w:rFonts w:ascii="Arial" w:cs="Arial" w:eastAsia="Arial" w:hAnsi="Arial"/>
          <w:sz w:val="16"/>
          <w:szCs w:val="16"/>
          <w:color w:val="auto"/>
        </w:rPr>
        <w:t>Martin Marietta provides</w:t>
      </w:r>
      <w:r>
        <w:rPr>
          <w:rFonts w:ascii="Arial" w:cs="Arial" w:eastAsia="Arial" w:hAnsi="Arial"/>
          <w:sz w:val="16"/>
          <w:szCs w:val="16"/>
          <w:b w:val="1"/>
          <w:bCs w:val="1"/>
          <w:color w:val="auto"/>
        </w:rPr>
        <w:t xml:space="preserve"> </w:t>
      </w:r>
      <w:r>
        <w:rPr>
          <w:rFonts w:ascii="Arial" w:cs="Arial" w:eastAsia="Arial" w:hAnsi="Arial"/>
          <w:sz w:val="16"/>
          <w:szCs w:val="16"/>
          <w:color w:val="auto"/>
        </w:rPr>
        <w:t>relocation benefits, including a housing allowance, to certain employees upon their employment with Martin Marietta or in conjunction with a job relocation or promotion.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406400</wp:posOffset>
            </wp:positionV>
            <wp:extent cx="410845" cy="2482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344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2019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59</w:t>
            </w:r>
          </w:p>
        </w:tc>
      </w:tr>
    </w:tbl>
    <w:p>
      <w:pPr>
        <w:sectPr>
          <w:pgSz w:w="11900" w:h="16838" w:orient="portrait"/>
          <w:cols w:equalWidth="0" w:num="2">
            <w:col w:w="5500" w:space="320"/>
            <w:col w:w="540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9" w:lineRule="exact"/>
        <w:rPr>
          <w:sz w:val="20"/>
          <w:szCs w:val="20"/>
          <w:color w:val="auto"/>
        </w:rPr>
      </w:pPr>
    </w:p>
    <w:p>
      <w:pPr>
        <w:ind w:left="220"/>
        <w:spacing w:after="0" w:line="231" w:lineRule="exact"/>
        <w:tabs>
          <w:tab w:leader="none" w:pos="1800" w:val="left"/>
        </w:tabs>
        <w:rPr>
          <w:sz w:val="20"/>
          <w:szCs w:val="20"/>
          <w:color w:val="auto"/>
        </w:rPr>
      </w:pPr>
      <w:r>
        <w:rPr>
          <w:rFonts w:ascii="Arial" w:cs="Arial" w:eastAsia="Arial" w:hAnsi="Arial"/>
          <w:sz w:val="13"/>
          <w:szCs w:val="13"/>
          <w:color w:val="007CBA"/>
        </w:rPr>
        <w:t>Executive Compensation</w:t>
      </w:r>
      <w:r>
        <w:rPr>
          <w:sz w:val="20"/>
          <w:szCs w:val="20"/>
          <w:color w:val="auto"/>
        </w:rPr>
        <w:tab/>
      </w:r>
      <w:r>
        <w:rPr>
          <w:rFonts w:ascii="MS PGothic" w:cs="MS PGothic" w:eastAsia="MS PGothic" w:hAnsi="MS PGothic"/>
          <w:sz w:val="23"/>
          <w:szCs w:val="23"/>
          <w:color w:val="007CBA"/>
        </w:rPr>
        <w:t xml:space="preserve">◆ </w:t>
      </w:r>
      <w:r>
        <w:rPr>
          <w:rFonts w:ascii="Arial" w:cs="Arial" w:eastAsia="Arial" w:hAnsi="Arial"/>
          <w:sz w:val="12"/>
          <w:szCs w:val="12"/>
          <w:color w:val="000000"/>
        </w:rPr>
        <w:t>Pension Benefits</w:t>
      </w:r>
    </w:p>
    <w:p>
      <w:pPr>
        <w:spacing w:after="0" w:line="200" w:lineRule="exact"/>
        <w:rPr>
          <w:sz w:val="20"/>
          <w:szCs w:val="20"/>
          <w:color w:val="auto"/>
        </w:rPr>
      </w:pPr>
    </w:p>
    <w:p>
      <w:pPr>
        <w:spacing w:after="0" w:line="265"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7CBA"/>
        </w:rPr>
        <w:t>Pension Benefits</w:t>
      </w:r>
    </w:p>
    <w:p>
      <w:pPr>
        <w:spacing w:after="0" w:line="150" w:lineRule="exact"/>
        <w:rPr>
          <w:sz w:val="20"/>
          <w:szCs w:val="20"/>
          <w:color w:val="auto"/>
        </w:rPr>
      </w:pPr>
    </w:p>
    <w:p>
      <w:pPr>
        <w:jc w:val="both"/>
        <w:ind w:left="220"/>
        <w:spacing w:after="0" w:line="253" w:lineRule="auto"/>
        <w:rPr>
          <w:sz w:val="20"/>
          <w:szCs w:val="20"/>
          <w:color w:val="auto"/>
        </w:rPr>
      </w:pPr>
      <w:r>
        <w:rPr>
          <w:rFonts w:ascii="Arial" w:cs="Arial" w:eastAsia="Arial" w:hAnsi="Arial"/>
          <w:sz w:val="16"/>
          <w:szCs w:val="16"/>
          <w:color w:val="auto"/>
        </w:rPr>
        <w:t>The table below shows the present value of accumulated benefits payable to each of the named executive officers, including the number of years of service credited to each such named executive officer, under our Pension Plan and SERP, determined using interest rate and mortality rate assumptions consistent with those used in Martin Marietta’s financial statements.</w:t>
      </w:r>
    </w:p>
    <w:p>
      <w:pPr>
        <w:spacing w:after="0" w:line="146"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PENSION BENEFITS TABLE</w:t>
      </w:r>
    </w:p>
    <w:p>
      <w:pPr>
        <w:spacing w:after="0" w:line="235" w:lineRule="exact"/>
        <w:rPr>
          <w:sz w:val="20"/>
          <w:szCs w:val="20"/>
          <w:color w:val="auto"/>
        </w:rPr>
      </w:pPr>
    </w:p>
    <w:tbl>
      <w:tblPr>
        <w:tblLayout w:type="fixed"/>
        <w:tblInd w:w="220" w:type="dxa"/>
        <w:tblCellMar>
          <w:top w:w="0" w:type="dxa"/>
          <w:left w:w="0" w:type="dxa"/>
          <w:bottom w:w="0" w:type="dxa"/>
          <w:right w:w="0" w:type="dxa"/>
        </w:tblCellMar>
      </w:tblPr>
      <w:tr>
        <w:trPr>
          <w:trHeight w:val="243"/>
        </w:trPr>
        <w:tc>
          <w:tcPr>
            <w:tcW w:w="4320" w:type="dxa"/>
            <w:vAlign w:val="bottom"/>
            <w:tcBorders>
              <w:right w:val="single" w:sz="8" w:color="007CBA"/>
            </w:tcBorders>
            <w:shd w:val="clear" w:color="auto" w:fill="007CBA"/>
          </w:tcPr>
          <w:p>
            <w:pPr>
              <w:spacing w:after="0"/>
              <w:rPr>
                <w:sz w:val="21"/>
                <w:szCs w:val="21"/>
                <w:color w:val="auto"/>
              </w:rPr>
            </w:pPr>
          </w:p>
        </w:tc>
        <w:tc>
          <w:tcPr>
            <w:tcW w:w="1760" w:type="dxa"/>
            <w:vAlign w:val="bottom"/>
            <w:tcBorders>
              <w:right w:val="single" w:sz="8" w:color="007CBA"/>
            </w:tcBorders>
            <w:shd w:val="clear" w:color="auto" w:fill="007CBA"/>
          </w:tcPr>
          <w:p>
            <w:pPr>
              <w:spacing w:after="0"/>
              <w:rPr>
                <w:sz w:val="21"/>
                <w:szCs w:val="21"/>
                <w:color w:val="auto"/>
              </w:rPr>
            </w:pPr>
          </w:p>
        </w:tc>
        <w:tc>
          <w:tcPr>
            <w:tcW w:w="16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Numbers of Years</w:t>
            </w:r>
          </w:p>
        </w:tc>
        <w:tc>
          <w:tcPr>
            <w:tcW w:w="18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Present Value of</w:t>
            </w:r>
          </w:p>
        </w:tc>
        <w:tc>
          <w:tcPr>
            <w:tcW w:w="150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Payments During</w:t>
            </w:r>
          </w:p>
        </w:tc>
      </w:tr>
      <w:tr>
        <w:trPr>
          <w:trHeight w:val="158"/>
        </w:trPr>
        <w:tc>
          <w:tcPr>
            <w:tcW w:w="4320" w:type="dxa"/>
            <w:vAlign w:val="bottom"/>
            <w:tcBorders>
              <w:right w:val="single" w:sz="8" w:color="007CBA"/>
            </w:tcBorders>
            <w:shd w:val="clear" w:color="auto" w:fill="007CBA"/>
          </w:tcPr>
          <w:p>
            <w:pPr>
              <w:spacing w:after="0"/>
              <w:rPr>
                <w:sz w:val="13"/>
                <w:szCs w:val="13"/>
                <w:color w:val="auto"/>
              </w:rPr>
            </w:pPr>
          </w:p>
        </w:tc>
        <w:tc>
          <w:tcPr>
            <w:tcW w:w="1760" w:type="dxa"/>
            <w:vAlign w:val="bottom"/>
            <w:tcBorders>
              <w:right w:val="single" w:sz="8" w:color="007CBA"/>
            </w:tcBorders>
            <w:shd w:val="clear" w:color="auto" w:fill="007CBA"/>
          </w:tcPr>
          <w:p>
            <w:pPr>
              <w:spacing w:after="0"/>
              <w:rPr>
                <w:sz w:val="13"/>
                <w:szCs w:val="13"/>
                <w:color w:val="auto"/>
              </w:rPr>
            </w:pPr>
          </w:p>
        </w:tc>
        <w:tc>
          <w:tcPr>
            <w:tcW w:w="1600" w:type="dxa"/>
            <w:vAlign w:val="bottom"/>
            <w:tcBorders>
              <w:right w:val="single" w:sz="8" w:color="007CBA"/>
            </w:tcBorders>
            <w:shd w:val="clear" w:color="auto" w:fill="007CBA"/>
          </w:tcPr>
          <w:p>
            <w:pPr>
              <w:jc w:val="center"/>
              <w:spacing w:after="0" w:line="159" w:lineRule="exact"/>
              <w:rPr>
                <w:sz w:val="20"/>
                <w:szCs w:val="20"/>
                <w:color w:val="auto"/>
              </w:rPr>
            </w:pPr>
            <w:r>
              <w:rPr>
                <w:rFonts w:ascii="Arial" w:cs="Arial" w:eastAsia="Arial" w:hAnsi="Arial"/>
                <w:sz w:val="14"/>
                <w:szCs w:val="14"/>
                <w:b w:val="1"/>
                <w:bCs w:val="1"/>
                <w:color w:val="FFFFFF"/>
              </w:rPr>
              <w:t>Credited Service</w:t>
            </w:r>
          </w:p>
        </w:tc>
        <w:tc>
          <w:tcPr>
            <w:tcW w:w="1820" w:type="dxa"/>
            <w:vAlign w:val="bottom"/>
            <w:tcBorders>
              <w:right w:val="single" w:sz="8" w:color="007CBA"/>
            </w:tcBorders>
            <w:shd w:val="clear" w:color="auto" w:fill="007CBA"/>
          </w:tcPr>
          <w:p>
            <w:pPr>
              <w:jc w:val="center"/>
              <w:spacing w:after="0" w:line="159" w:lineRule="exact"/>
              <w:rPr>
                <w:sz w:val="20"/>
                <w:szCs w:val="20"/>
                <w:color w:val="auto"/>
              </w:rPr>
            </w:pPr>
            <w:r>
              <w:rPr>
                <w:rFonts w:ascii="Arial" w:cs="Arial" w:eastAsia="Arial" w:hAnsi="Arial"/>
                <w:sz w:val="14"/>
                <w:szCs w:val="14"/>
                <w:b w:val="1"/>
                <w:bCs w:val="1"/>
                <w:color w:val="FFFFFF"/>
              </w:rPr>
              <w:t>Accumulated Benefit</w:t>
            </w:r>
          </w:p>
        </w:tc>
        <w:tc>
          <w:tcPr>
            <w:tcW w:w="1500" w:type="dxa"/>
            <w:vAlign w:val="bottom"/>
            <w:shd w:val="clear" w:color="auto" w:fill="007CBA"/>
          </w:tcPr>
          <w:p>
            <w:pPr>
              <w:jc w:val="center"/>
              <w:spacing w:after="0" w:line="159" w:lineRule="exact"/>
              <w:rPr>
                <w:sz w:val="20"/>
                <w:szCs w:val="20"/>
                <w:color w:val="auto"/>
              </w:rPr>
            </w:pPr>
            <w:r>
              <w:rPr>
                <w:rFonts w:ascii="Arial" w:cs="Arial" w:eastAsia="Arial" w:hAnsi="Arial"/>
                <w:sz w:val="14"/>
                <w:szCs w:val="14"/>
                <w:b w:val="1"/>
                <w:bCs w:val="1"/>
                <w:color w:val="FFFFFF"/>
              </w:rPr>
              <w:t>Last Fiscal Year</w:t>
            </w:r>
          </w:p>
        </w:tc>
      </w:tr>
      <w:tr>
        <w:trPr>
          <w:trHeight w:val="165"/>
        </w:trPr>
        <w:tc>
          <w:tcPr>
            <w:tcW w:w="432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4"/>
                <w:szCs w:val="14"/>
                <w:b w:val="1"/>
                <w:bCs w:val="1"/>
                <w:color w:val="FFFFFF"/>
              </w:rPr>
              <w:t>Name</w:t>
            </w:r>
          </w:p>
        </w:tc>
        <w:tc>
          <w:tcPr>
            <w:tcW w:w="17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Plan Name</w:t>
            </w:r>
          </w:p>
        </w:tc>
        <w:tc>
          <w:tcPr>
            <w:tcW w:w="16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1820" w:type="dxa"/>
            <w:vAlign w:val="bottom"/>
            <w:tcBorders>
              <w:right w:val="single" w:sz="8" w:color="007CBA"/>
            </w:tcBorders>
            <w:shd w:val="clear" w:color="auto" w:fill="007CBA"/>
          </w:tcPr>
          <w:p>
            <w:pPr>
              <w:jc w:val="center"/>
              <w:spacing w:after="0" w:line="165" w:lineRule="exact"/>
              <w:rPr>
                <w:sz w:val="20"/>
                <w:szCs w:val="20"/>
                <w:color w:val="auto"/>
              </w:rPr>
            </w:pPr>
            <w:r>
              <w:rPr>
                <w:rFonts w:ascii="Arial" w:cs="Arial" w:eastAsia="Arial" w:hAnsi="Arial"/>
                <w:sz w:val="12"/>
                <w:szCs w:val="12"/>
                <w:b w:val="1"/>
                <w:bCs w:val="1"/>
                <w:color w:val="FFFFFF"/>
              </w:rPr>
              <w:t>($)</w:t>
            </w:r>
            <w:r>
              <w:rPr>
                <w:rFonts w:ascii="Arial" w:cs="Arial" w:eastAsia="Arial" w:hAnsi="Arial"/>
                <w:sz w:val="19"/>
                <w:szCs w:val="19"/>
                <w:b w:val="1"/>
                <w:bCs w:val="1"/>
                <w:color w:val="FFFFFF"/>
                <w:vertAlign w:val="superscript"/>
              </w:rPr>
              <w:t>1</w:t>
            </w:r>
          </w:p>
        </w:tc>
        <w:tc>
          <w:tcPr>
            <w:tcW w:w="150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r>
      <w:tr>
        <w:trPr>
          <w:trHeight w:val="202"/>
        </w:trPr>
        <w:tc>
          <w:tcPr>
            <w:tcW w:w="432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4"/>
                <w:szCs w:val="14"/>
                <w:b w:val="1"/>
                <w:bCs w:val="1"/>
                <w:color w:val="FFFFFF"/>
              </w:rPr>
              <w:t>(a)</w:t>
            </w:r>
          </w:p>
        </w:tc>
        <w:tc>
          <w:tcPr>
            <w:tcW w:w="17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(b)</w:t>
            </w:r>
          </w:p>
        </w:tc>
        <w:tc>
          <w:tcPr>
            <w:tcW w:w="16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(c)</w:t>
            </w:r>
          </w:p>
        </w:tc>
        <w:tc>
          <w:tcPr>
            <w:tcW w:w="18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(d)</w:t>
            </w:r>
          </w:p>
        </w:tc>
        <w:tc>
          <w:tcPr>
            <w:tcW w:w="150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(e)</w:t>
            </w:r>
          </w:p>
        </w:tc>
      </w:tr>
      <w:tr>
        <w:trPr>
          <w:trHeight w:val="248"/>
        </w:trPr>
        <w:tc>
          <w:tcPr>
            <w:tcW w:w="432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b w:val="1"/>
                <w:bCs w:val="1"/>
                <w:color w:val="auto"/>
              </w:rPr>
              <w:t>C. Howard Nye</w:t>
            </w:r>
          </w:p>
        </w:tc>
        <w:tc>
          <w:tcPr>
            <w:tcW w:w="17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Pension Plan</w:t>
            </w:r>
          </w:p>
        </w:tc>
        <w:tc>
          <w:tcPr>
            <w:tcW w:w="1600" w:type="dxa"/>
            <w:vAlign w:val="bottom"/>
            <w:tcBorders>
              <w:right w:val="single" w:sz="8" w:color="007CBA"/>
            </w:tcBorders>
            <w:shd w:val="clear" w:color="auto" w:fill="E5F1F8"/>
          </w:tcPr>
          <w:p>
            <w:pPr>
              <w:jc w:val="right"/>
              <w:ind w:right="488"/>
              <w:spacing w:after="0"/>
              <w:rPr>
                <w:sz w:val="20"/>
                <w:szCs w:val="20"/>
                <w:color w:val="auto"/>
              </w:rPr>
            </w:pPr>
            <w:r>
              <w:rPr>
                <w:rFonts w:ascii="Arial" w:cs="Arial" w:eastAsia="Arial" w:hAnsi="Arial"/>
                <w:sz w:val="14"/>
                <w:szCs w:val="14"/>
                <w:color w:val="auto"/>
              </w:rPr>
              <w:t>12.417</w:t>
            </w:r>
          </w:p>
        </w:tc>
        <w:tc>
          <w:tcPr>
            <w:tcW w:w="1820" w:type="dxa"/>
            <w:vAlign w:val="bottom"/>
            <w:tcBorders>
              <w:right w:val="single" w:sz="8" w:color="007CBA"/>
            </w:tcBorders>
            <w:shd w:val="clear" w:color="auto" w:fill="E5F1F8"/>
          </w:tcPr>
          <w:p>
            <w:pPr>
              <w:jc w:val="right"/>
              <w:ind w:right="509"/>
              <w:spacing w:after="0"/>
              <w:rPr>
                <w:sz w:val="20"/>
                <w:szCs w:val="20"/>
                <w:color w:val="auto"/>
              </w:rPr>
            </w:pPr>
            <w:r>
              <w:rPr>
                <w:rFonts w:ascii="Arial" w:cs="Arial" w:eastAsia="Arial" w:hAnsi="Arial"/>
                <w:sz w:val="14"/>
                <w:szCs w:val="14"/>
                <w:color w:val="auto"/>
              </w:rPr>
              <w:t>489,661</w:t>
            </w:r>
          </w:p>
        </w:tc>
        <w:tc>
          <w:tcPr>
            <w:tcW w:w="1500" w:type="dxa"/>
            <w:vAlign w:val="bottom"/>
            <w:shd w:val="clear" w:color="auto" w:fill="E5F1F8"/>
          </w:tcPr>
          <w:p>
            <w:pPr>
              <w:spacing w:after="0"/>
              <w:rPr>
                <w:sz w:val="21"/>
                <w:szCs w:val="21"/>
                <w:color w:val="auto"/>
              </w:rPr>
            </w:pPr>
          </w:p>
        </w:tc>
      </w:tr>
      <w:tr>
        <w:trPr>
          <w:trHeight w:val="184"/>
        </w:trPr>
        <w:tc>
          <w:tcPr>
            <w:tcW w:w="4320" w:type="dxa"/>
            <w:vAlign w:val="bottom"/>
            <w:tcBorders>
              <w:right w:val="single" w:sz="8" w:color="007CBA"/>
            </w:tcBorders>
            <w:shd w:val="clear" w:color="auto" w:fill="E5F1F8"/>
          </w:tcPr>
          <w:p>
            <w:pPr>
              <w:spacing w:after="0"/>
              <w:rPr>
                <w:sz w:val="16"/>
                <w:szCs w:val="16"/>
                <w:color w:val="auto"/>
              </w:rPr>
            </w:pPr>
          </w:p>
        </w:tc>
        <w:tc>
          <w:tcPr>
            <w:tcW w:w="17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SERP</w:t>
            </w:r>
          </w:p>
        </w:tc>
        <w:tc>
          <w:tcPr>
            <w:tcW w:w="1600" w:type="dxa"/>
            <w:vAlign w:val="bottom"/>
            <w:tcBorders>
              <w:right w:val="single" w:sz="8" w:color="007CBA"/>
            </w:tcBorders>
            <w:shd w:val="clear" w:color="auto" w:fill="E5F1F8"/>
          </w:tcPr>
          <w:p>
            <w:pPr>
              <w:jc w:val="right"/>
              <w:ind w:right="488"/>
              <w:spacing w:after="0"/>
              <w:rPr>
                <w:sz w:val="20"/>
                <w:szCs w:val="20"/>
                <w:color w:val="auto"/>
              </w:rPr>
            </w:pPr>
            <w:r>
              <w:rPr>
                <w:rFonts w:ascii="Arial" w:cs="Arial" w:eastAsia="Arial" w:hAnsi="Arial"/>
                <w:sz w:val="14"/>
                <w:szCs w:val="14"/>
                <w:color w:val="auto"/>
              </w:rPr>
              <w:t>12.417</w:t>
            </w:r>
          </w:p>
        </w:tc>
        <w:tc>
          <w:tcPr>
            <w:tcW w:w="1820" w:type="dxa"/>
            <w:vAlign w:val="bottom"/>
            <w:tcBorders>
              <w:right w:val="single" w:sz="8" w:color="007CBA"/>
            </w:tcBorders>
            <w:shd w:val="clear" w:color="auto" w:fill="E5F1F8"/>
          </w:tcPr>
          <w:p>
            <w:pPr>
              <w:jc w:val="right"/>
              <w:ind w:right="509"/>
              <w:spacing w:after="0"/>
              <w:rPr>
                <w:sz w:val="20"/>
                <w:szCs w:val="20"/>
                <w:color w:val="auto"/>
              </w:rPr>
            </w:pPr>
            <w:r>
              <w:rPr>
                <w:rFonts w:ascii="Arial" w:cs="Arial" w:eastAsia="Arial" w:hAnsi="Arial"/>
                <w:sz w:val="14"/>
                <w:szCs w:val="14"/>
                <w:color w:val="auto"/>
              </w:rPr>
              <w:t>5,325,892</w:t>
            </w:r>
          </w:p>
        </w:tc>
        <w:tc>
          <w:tcPr>
            <w:tcW w:w="1500" w:type="dxa"/>
            <w:vAlign w:val="bottom"/>
            <w:shd w:val="clear" w:color="auto" w:fill="E5F1F8"/>
          </w:tcPr>
          <w:p>
            <w:pPr>
              <w:spacing w:after="0"/>
              <w:rPr>
                <w:sz w:val="16"/>
                <w:szCs w:val="16"/>
                <w:color w:val="auto"/>
              </w:rPr>
            </w:pPr>
          </w:p>
        </w:tc>
      </w:tr>
      <w:tr>
        <w:trPr>
          <w:trHeight w:val="248"/>
        </w:trPr>
        <w:tc>
          <w:tcPr>
            <w:tcW w:w="4320" w:type="dxa"/>
            <w:vAlign w:val="bottom"/>
            <w:tcBorders>
              <w:right w:val="single" w:sz="8" w:color="007CBA"/>
            </w:tcBorders>
          </w:tcPr>
          <w:p>
            <w:pPr>
              <w:ind w:left="60"/>
              <w:spacing w:after="0"/>
              <w:rPr>
                <w:sz w:val="20"/>
                <w:szCs w:val="20"/>
                <w:color w:val="auto"/>
              </w:rPr>
            </w:pPr>
            <w:r>
              <w:rPr>
                <w:rFonts w:ascii="Arial" w:cs="Arial" w:eastAsia="Arial" w:hAnsi="Arial"/>
                <w:sz w:val="14"/>
                <w:szCs w:val="14"/>
                <w:b w:val="1"/>
                <w:bCs w:val="1"/>
                <w:color w:val="auto"/>
              </w:rPr>
              <w:t>James A. J. Nickolas</w:t>
            </w:r>
          </w:p>
        </w:tc>
        <w:tc>
          <w:tcPr>
            <w:tcW w:w="17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Pension Plan</w:t>
            </w:r>
          </w:p>
        </w:tc>
        <w:tc>
          <w:tcPr>
            <w:tcW w:w="1600" w:type="dxa"/>
            <w:vAlign w:val="bottom"/>
            <w:tcBorders>
              <w:right w:val="single" w:sz="8" w:color="007CBA"/>
            </w:tcBorders>
          </w:tcPr>
          <w:p>
            <w:pPr>
              <w:jc w:val="right"/>
              <w:ind w:right="488"/>
              <w:spacing w:after="0"/>
              <w:rPr>
                <w:sz w:val="20"/>
                <w:szCs w:val="20"/>
                <w:color w:val="auto"/>
              </w:rPr>
            </w:pPr>
            <w:r>
              <w:rPr>
                <w:rFonts w:ascii="Arial" w:cs="Arial" w:eastAsia="Arial" w:hAnsi="Arial"/>
                <w:sz w:val="14"/>
                <w:szCs w:val="14"/>
                <w:color w:val="auto"/>
              </w:rPr>
              <w:t>1.417</w:t>
            </w:r>
          </w:p>
        </w:tc>
        <w:tc>
          <w:tcPr>
            <w:tcW w:w="1820" w:type="dxa"/>
            <w:vAlign w:val="bottom"/>
            <w:tcBorders>
              <w:right w:val="single" w:sz="8" w:color="007CBA"/>
            </w:tcBorders>
          </w:tcPr>
          <w:p>
            <w:pPr>
              <w:jc w:val="right"/>
              <w:ind w:right="509"/>
              <w:spacing w:after="0"/>
              <w:rPr>
                <w:sz w:val="20"/>
                <w:szCs w:val="20"/>
                <w:color w:val="auto"/>
              </w:rPr>
            </w:pPr>
            <w:r>
              <w:rPr>
                <w:rFonts w:ascii="Arial" w:cs="Arial" w:eastAsia="Arial" w:hAnsi="Arial"/>
                <w:sz w:val="14"/>
                <w:szCs w:val="14"/>
                <w:color w:val="auto"/>
              </w:rPr>
              <w:t>40,630</w:t>
            </w:r>
          </w:p>
        </w:tc>
        <w:tc>
          <w:tcPr>
            <w:tcW w:w="1500" w:type="dxa"/>
            <w:vAlign w:val="bottom"/>
          </w:tcPr>
          <w:p>
            <w:pPr>
              <w:spacing w:after="0"/>
              <w:rPr>
                <w:sz w:val="21"/>
                <w:szCs w:val="21"/>
                <w:color w:val="auto"/>
              </w:rPr>
            </w:pPr>
          </w:p>
        </w:tc>
      </w:tr>
      <w:tr>
        <w:trPr>
          <w:trHeight w:val="178"/>
        </w:trPr>
        <w:tc>
          <w:tcPr>
            <w:tcW w:w="4320" w:type="dxa"/>
            <w:vAlign w:val="bottom"/>
            <w:tcBorders>
              <w:right w:val="single" w:sz="8" w:color="007CBA"/>
            </w:tcBorders>
          </w:tcPr>
          <w:p>
            <w:pPr>
              <w:spacing w:after="0"/>
              <w:rPr>
                <w:sz w:val="15"/>
                <w:szCs w:val="15"/>
                <w:color w:val="auto"/>
              </w:rPr>
            </w:pPr>
          </w:p>
        </w:tc>
        <w:tc>
          <w:tcPr>
            <w:tcW w:w="17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SERP</w:t>
            </w:r>
          </w:p>
        </w:tc>
        <w:tc>
          <w:tcPr>
            <w:tcW w:w="1600" w:type="dxa"/>
            <w:vAlign w:val="bottom"/>
            <w:tcBorders>
              <w:right w:val="single" w:sz="8" w:color="007CBA"/>
            </w:tcBorders>
          </w:tcPr>
          <w:p>
            <w:pPr>
              <w:jc w:val="right"/>
              <w:ind w:right="488"/>
              <w:spacing w:after="0"/>
              <w:rPr>
                <w:sz w:val="20"/>
                <w:szCs w:val="20"/>
                <w:color w:val="auto"/>
              </w:rPr>
            </w:pPr>
            <w:r>
              <w:rPr>
                <w:rFonts w:ascii="Arial" w:cs="Arial" w:eastAsia="Arial" w:hAnsi="Arial"/>
                <w:sz w:val="14"/>
                <w:szCs w:val="14"/>
                <w:color w:val="auto"/>
              </w:rPr>
              <w:t>1.417</w:t>
            </w:r>
          </w:p>
        </w:tc>
        <w:tc>
          <w:tcPr>
            <w:tcW w:w="1820" w:type="dxa"/>
            <w:vAlign w:val="bottom"/>
            <w:tcBorders>
              <w:right w:val="single" w:sz="8" w:color="007CBA"/>
            </w:tcBorders>
          </w:tcPr>
          <w:p>
            <w:pPr>
              <w:jc w:val="right"/>
              <w:ind w:right="509"/>
              <w:spacing w:after="0"/>
              <w:rPr>
                <w:sz w:val="20"/>
                <w:szCs w:val="20"/>
                <w:color w:val="auto"/>
              </w:rPr>
            </w:pPr>
            <w:r>
              <w:rPr>
                <w:rFonts w:ascii="Arial" w:cs="Arial" w:eastAsia="Arial" w:hAnsi="Arial"/>
                <w:sz w:val="14"/>
                <w:szCs w:val="14"/>
                <w:color w:val="auto"/>
              </w:rPr>
              <w:t>77,325</w:t>
            </w:r>
          </w:p>
        </w:tc>
        <w:tc>
          <w:tcPr>
            <w:tcW w:w="1500" w:type="dxa"/>
            <w:vAlign w:val="bottom"/>
          </w:tcPr>
          <w:p>
            <w:pPr>
              <w:spacing w:after="0"/>
              <w:rPr>
                <w:sz w:val="15"/>
                <w:szCs w:val="15"/>
                <w:color w:val="auto"/>
              </w:rPr>
            </w:pPr>
          </w:p>
        </w:tc>
      </w:tr>
      <w:tr>
        <w:trPr>
          <w:trHeight w:val="254"/>
        </w:trPr>
        <w:tc>
          <w:tcPr>
            <w:tcW w:w="432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b w:val="1"/>
                <w:bCs w:val="1"/>
                <w:color w:val="auto"/>
              </w:rPr>
              <w:t>Roselyn R. Bar</w:t>
            </w:r>
          </w:p>
        </w:tc>
        <w:tc>
          <w:tcPr>
            <w:tcW w:w="17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Pension Plan</w:t>
            </w:r>
          </w:p>
        </w:tc>
        <w:tc>
          <w:tcPr>
            <w:tcW w:w="1600" w:type="dxa"/>
            <w:vAlign w:val="bottom"/>
            <w:tcBorders>
              <w:right w:val="single" w:sz="8" w:color="007CBA"/>
            </w:tcBorders>
            <w:shd w:val="clear" w:color="auto" w:fill="E5F1F8"/>
          </w:tcPr>
          <w:p>
            <w:pPr>
              <w:jc w:val="right"/>
              <w:ind w:right="488"/>
              <w:spacing w:after="0"/>
              <w:rPr>
                <w:sz w:val="20"/>
                <w:szCs w:val="20"/>
                <w:color w:val="auto"/>
              </w:rPr>
            </w:pPr>
            <w:r>
              <w:rPr>
                <w:rFonts w:ascii="Arial" w:cs="Arial" w:eastAsia="Arial" w:hAnsi="Arial"/>
                <w:sz w:val="14"/>
                <w:szCs w:val="14"/>
                <w:color w:val="auto"/>
              </w:rPr>
              <w:t>24.500</w:t>
            </w:r>
          </w:p>
        </w:tc>
        <w:tc>
          <w:tcPr>
            <w:tcW w:w="1820" w:type="dxa"/>
            <w:vAlign w:val="bottom"/>
            <w:tcBorders>
              <w:right w:val="single" w:sz="8" w:color="007CBA"/>
            </w:tcBorders>
            <w:shd w:val="clear" w:color="auto" w:fill="E5F1F8"/>
          </w:tcPr>
          <w:p>
            <w:pPr>
              <w:jc w:val="right"/>
              <w:ind w:right="509"/>
              <w:spacing w:after="0"/>
              <w:rPr>
                <w:sz w:val="20"/>
                <w:szCs w:val="20"/>
                <w:color w:val="auto"/>
              </w:rPr>
            </w:pPr>
            <w:r>
              <w:rPr>
                <w:rFonts w:ascii="Arial" w:cs="Arial" w:eastAsia="Arial" w:hAnsi="Arial"/>
                <w:sz w:val="14"/>
                <w:szCs w:val="14"/>
                <w:color w:val="auto"/>
              </w:rPr>
              <w:t>1,249,548</w:t>
            </w:r>
          </w:p>
        </w:tc>
        <w:tc>
          <w:tcPr>
            <w:tcW w:w="1500" w:type="dxa"/>
            <w:vAlign w:val="bottom"/>
            <w:shd w:val="clear" w:color="auto" w:fill="E5F1F8"/>
          </w:tcPr>
          <w:p>
            <w:pPr>
              <w:spacing w:after="0"/>
              <w:rPr>
                <w:sz w:val="22"/>
                <w:szCs w:val="22"/>
                <w:color w:val="auto"/>
              </w:rPr>
            </w:pPr>
          </w:p>
        </w:tc>
      </w:tr>
      <w:tr>
        <w:trPr>
          <w:trHeight w:val="184"/>
        </w:trPr>
        <w:tc>
          <w:tcPr>
            <w:tcW w:w="4320" w:type="dxa"/>
            <w:vAlign w:val="bottom"/>
            <w:tcBorders>
              <w:right w:val="single" w:sz="8" w:color="007CBA"/>
            </w:tcBorders>
            <w:shd w:val="clear" w:color="auto" w:fill="E5F1F8"/>
          </w:tcPr>
          <w:p>
            <w:pPr>
              <w:spacing w:after="0"/>
              <w:rPr>
                <w:sz w:val="16"/>
                <w:szCs w:val="16"/>
                <w:color w:val="auto"/>
              </w:rPr>
            </w:pPr>
          </w:p>
        </w:tc>
        <w:tc>
          <w:tcPr>
            <w:tcW w:w="17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SERP</w:t>
            </w:r>
          </w:p>
        </w:tc>
        <w:tc>
          <w:tcPr>
            <w:tcW w:w="1600" w:type="dxa"/>
            <w:vAlign w:val="bottom"/>
            <w:tcBorders>
              <w:right w:val="single" w:sz="8" w:color="007CBA"/>
            </w:tcBorders>
            <w:shd w:val="clear" w:color="auto" w:fill="E5F1F8"/>
          </w:tcPr>
          <w:p>
            <w:pPr>
              <w:jc w:val="right"/>
              <w:ind w:right="488"/>
              <w:spacing w:after="0"/>
              <w:rPr>
                <w:sz w:val="20"/>
                <w:szCs w:val="20"/>
                <w:color w:val="auto"/>
              </w:rPr>
            </w:pPr>
            <w:r>
              <w:rPr>
                <w:rFonts w:ascii="Arial" w:cs="Arial" w:eastAsia="Arial" w:hAnsi="Arial"/>
                <w:sz w:val="14"/>
                <w:szCs w:val="14"/>
                <w:color w:val="auto"/>
              </w:rPr>
              <w:t>24.500</w:t>
            </w:r>
          </w:p>
        </w:tc>
        <w:tc>
          <w:tcPr>
            <w:tcW w:w="1820" w:type="dxa"/>
            <w:vAlign w:val="bottom"/>
            <w:tcBorders>
              <w:right w:val="single" w:sz="8" w:color="007CBA"/>
            </w:tcBorders>
            <w:shd w:val="clear" w:color="auto" w:fill="E5F1F8"/>
          </w:tcPr>
          <w:p>
            <w:pPr>
              <w:jc w:val="right"/>
              <w:ind w:right="509"/>
              <w:spacing w:after="0"/>
              <w:rPr>
                <w:sz w:val="20"/>
                <w:szCs w:val="20"/>
                <w:color w:val="auto"/>
              </w:rPr>
            </w:pPr>
            <w:r>
              <w:rPr>
                <w:rFonts w:ascii="Arial" w:cs="Arial" w:eastAsia="Arial" w:hAnsi="Arial"/>
                <w:sz w:val="14"/>
                <w:szCs w:val="14"/>
                <w:color w:val="auto"/>
              </w:rPr>
              <w:t>3,859,990</w:t>
            </w:r>
          </w:p>
        </w:tc>
        <w:tc>
          <w:tcPr>
            <w:tcW w:w="1500" w:type="dxa"/>
            <w:vAlign w:val="bottom"/>
            <w:shd w:val="clear" w:color="auto" w:fill="E5F1F8"/>
          </w:tcPr>
          <w:p>
            <w:pPr>
              <w:spacing w:after="0"/>
              <w:rPr>
                <w:sz w:val="16"/>
                <w:szCs w:val="16"/>
                <w:color w:val="auto"/>
              </w:rPr>
            </w:pPr>
          </w:p>
        </w:tc>
      </w:tr>
      <w:tr>
        <w:trPr>
          <w:trHeight w:val="248"/>
        </w:trPr>
        <w:tc>
          <w:tcPr>
            <w:tcW w:w="4320" w:type="dxa"/>
            <w:vAlign w:val="bottom"/>
            <w:tcBorders>
              <w:right w:val="single" w:sz="8" w:color="007CBA"/>
            </w:tcBorders>
          </w:tcPr>
          <w:p>
            <w:pPr>
              <w:ind w:left="60"/>
              <w:spacing w:after="0"/>
              <w:rPr>
                <w:sz w:val="20"/>
                <w:szCs w:val="20"/>
                <w:color w:val="auto"/>
              </w:rPr>
            </w:pPr>
            <w:r>
              <w:rPr>
                <w:rFonts w:ascii="Arial" w:cs="Arial" w:eastAsia="Arial" w:hAnsi="Arial"/>
                <w:sz w:val="14"/>
                <w:szCs w:val="14"/>
                <w:b w:val="1"/>
                <w:bCs w:val="1"/>
                <w:color w:val="auto"/>
              </w:rPr>
              <w:t>Donald A. McCunniff</w:t>
            </w:r>
          </w:p>
        </w:tc>
        <w:tc>
          <w:tcPr>
            <w:tcW w:w="17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Pension Plan</w:t>
            </w:r>
          </w:p>
        </w:tc>
        <w:tc>
          <w:tcPr>
            <w:tcW w:w="1600" w:type="dxa"/>
            <w:vAlign w:val="bottom"/>
            <w:tcBorders>
              <w:right w:val="single" w:sz="8" w:color="007CBA"/>
            </w:tcBorders>
          </w:tcPr>
          <w:p>
            <w:pPr>
              <w:jc w:val="right"/>
              <w:ind w:right="488"/>
              <w:spacing w:after="0"/>
              <w:rPr>
                <w:sz w:val="20"/>
                <w:szCs w:val="20"/>
                <w:color w:val="auto"/>
              </w:rPr>
            </w:pPr>
            <w:r>
              <w:rPr>
                <w:rFonts w:ascii="Arial" w:cs="Arial" w:eastAsia="Arial" w:hAnsi="Arial"/>
                <w:sz w:val="14"/>
                <w:szCs w:val="14"/>
                <w:color w:val="auto"/>
              </w:rPr>
              <w:t>7.417</w:t>
            </w:r>
          </w:p>
        </w:tc>
        <w:tc>
          <w:tcPr>
            <w:tcW w:w="1820" w:type="dxa"/>
            <w:vAlign w:val="bottom"/>
            <w:tcBorders>
              <w:right w:val="single" w:sz="8" w:color="007CBA"/>
            </w:tcBorders>
          </w:tcPr>
          <w:p>
            <w:pPr>
              <w:jc w:val="right"/>
              <w:ind w:right="509"/>
              <w:spacing w:after="0"/>
              <w:rPr>
                <w:sz w:val="20"/>
                <w:szCs w:val="20"/>
                <w:color w:val="auto"/>
              </w:rPr>
            </w:pPr>
            <w:r>
              <w:rPr>
                <w:rFonts w:ascii="Arial" w:cs="Arial" w:eastAsia="Arial" w:hAnsi="Arial"/>
                <w:sz w:val="14"/>
                <w:szCs w:val="14"/>
                <w:color w:val="auto"/>
              </w:rPr>
              <w:t>375,116</w:t>
            </w:r>
          </w:p>
        </w:tc>
        <w:tc>
          <w:tcPr>
            <w:tcW w:w="1500" w:type="dxa"/>
            <w:vAlign w:val="bottom"/>
          </w:tcPr>
          <w:p>
            <w:pPr>
              <w:spacing w:after="0"/>
              <w:rPr>
                <w:sz w:val="21"/>
                <w:szCs w:val="21"/>
                <w:color w:val="auto"/>
              </w:rPr>
            </w:pPr>
          </w:p>
        </w:tc>
      </w:tr>
      <w:tr>
        <w:trPr>
          <w:trHeight w:val="178"/>
        </w:trPr>
        <w:tc>
          <w:tcPr>
            <w:tcW w:w="4320" w:type="dxa"/>
            <w:vAlign w:val="bottom"/>
            <w:tcBorders>
              <w:right w:val="single" w:sz="8" w:color="007CBA"/>
            </w:tcBorders>
          </w:tcPr>
          <w:p>
            <w:pPr>
              <w:spacing w:after="0"/>
              <w:rPr>
                <w:sz w:val="15"/>
                <w:szCs w:val="15"/>
                <w:color w:val="auto"/>
              </w:rPr>
            </w:pPr>
          </w:p>
        </w:tc>
        <w:tc>
          <w:tcPr>
            <w:tcW w:w="17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SERP</w:t>
            </w:r>
          </w:p>
        </w:tc>
        <w:tc>
          <w:tcPr>
            <w:tcW w:w="1600" w:type="dxa"/>
            <w:vAlign w:val="bottom"/>
            <w:tcBorders>
              <w:right w:val="single" w:sz="8" w:color="007CBA"/>
            </w:tcBorders>
          </w:tcPr>
          <w:p>
            <w:pPr>
              <w:jc w:val="right"/>
              <w:ind w:right="488"/>
              <w:spacing w:after="0"/>
              <w:rPr>
                <w:sz w:val="20"/>
                <w:szCs w:val="20"/>
                <w:color w:val="auto"/>
              </w:rPr>
            </w:pPr>
            <w:r>
              <w:rPr>
                <w:rFonts w:ascii="Arial" w:cs="Arial" w:eastAsia="Arial" w:hAnsi="Arial"/>
                <w:sz w:val="14"/>
                <w:szCs w:val="14"/>
                <w:color w:val="auto"/>
              </w:rPr>
              <w:t>7.417</w:t>
            </w:r>
          </w:p>
        </w:tc>
        <w:tc>
          <w:tcPr>
            <w:tcW w:w="1820" w:type="dxa"/>
            <w:vAlign w:val="bottom"/>
            <w:tcBorders>
              <w:right w:val="single" w:sz="8" w:color="007CBA"/>
            </w:tcBorders>
          </w:tcPr>
          <w:p>
            <w:pPr>
              <w:jc w:val="right"/>
              <w:ind w:right="509"/>
              <w:spacing w:after="0"/>
              <w:rPr>
                <w:sz w:val="20"/>
                <w:szCs w:val="20"/>
                <w:color w:val="auto"/>
              </w:rPr>
            </w:pPr>
            <w:r>
              <w:rPr>
                <w:rFonts w:ascii="Arial" w:cs="Arial" w:eastAsia="Arial" w:hAnsi="Arial"/>
                <w:sz w:val="14"/>
                <w:szCs w:val="14"/>
                <w:color w:val="auto"/>
              </w:rPr>
              <w:t>777,053</w:t>
            </w:r>
          </w:p>
        </w:tc>
        <w:tc>
          <w:tcPr>
            <w:tcW w:w="1500" w:type="dxa"/>
            <w:vAlign w:val="bottom"/>
          </w:tcPr>
          <w:p>
            <w:pPr>
              <w:spacing w:after="0"/>
              <w:rPr>
                <w:sz w:val="15"/>
                <w:szCs w:val="15"/>
                <w:color w:val="auto"/>
              </w:rPr>
            </w:pPr>
          </w:p>
        </w:tc>
      </w:tr>
      <w:tr>
        <w:trPr>
          <w:trHeight w:val="254"/>
        </w:trPr>
        <w:tc>
          <w:tcPr>
            <w:tcW w:w="432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b w:val="1"/>
                <w:bCs w:val="1"/>
                <w:color w:val="auto"/>
              </w:rPr>
              <w:t>Daniel L. Grant</w:t>
            </w:r>
          </w:p>
        </w:tc>
        <w:tc>
          <w:tcPr>
            <w:tcW w:w="17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Pension Plan</w:t>
            </w:r>
          </w:p>
        </w:tc>
        <w:tc>
          <w:tcPr>
            <w:tcW w:w="1600" w:type="dxa"/>
            <w:vAlign w:val="bottom"/>
            <w:tcBorders>
              <w:right w:val="single" w:sz="8" w:color="007CBA"/>
            </w:tcBorders>
            <w:shd w:val="clear" w:color="auto" w:fill="E5F1F8"/>
          </w:tcPr>
          <w:p>
            <w:pPr>
              <w:jc w:val="right"/>
              <w:ind w:right="488"/>
              <w:spacing w:after="0"/>
              <w:rPr>
                <w:sz w:val="20"/>
                <w:szCs w:val="20"/>
                <w:color w:val="auto"/>
              </w:rPr>
            </w:pPr>
            <w:r>
              <w:rPr>
                <w:rFonts w:ascii="Arial" w:cs="Arial" w:eastAsia="Arial" w:hAnsi="Arial"/>
                <w:sz w:val="14"/>
                <w:szCs w:val="14"/>
                <w:color w:val="auto"/>
              </w:rPr>
              <w:t>5.333</w:t>
            </w:r>
          </w:p>
        </w:tc>
        <w:tc>
          <w:tcPr>
            <w:tcW w:w="1820" w:type="dxa"/>
            <w:vAlign w:val="bottom"/>
            <w:tcBorders>
              <w:right w:val="single" w:sz="8" w:color="007CBA"/>
            </w:tcBorders>
            <w:shd w:val="clear" w:color="auto" w:fill="E5F1F8"/>
          </w:tcPr>
          <w:p>
            <w:pPr>
              <w:jc w:val="right"/>
              <w:ind w:right="509"/>
              <w:spacing w:after="0"/>
              <w:rPr>
                <w:sz w:val="20"/>
                <w:szCs w:val="20"/>
                <w:color w:val="auto"/>
              </w:rPr>
            </w:pPr>
            <w:r>
              <w:rPr>
                <w:rFonts w:ascii="Arial" w:cs="Arial" w:eastAsia="Arial" w:hAnsi="Arial"/>
                <w:sz w:val="14"/>
                <w:szCs w:val="14"/>
                <w:color w:val="auto"/>
              </w:rPr>
              <w:t>262,859</w:t>
            </w:r>
          </w:p>
        </w:tc>
        <w:tc>
          <w:tcPr>
            <w:tcW w:w="1500" w:type="dxa"/>
            <w:vAlign w:val="bottom"/>
            <w:shd w:val="clear" w:color="auto" w:fill="E5F1F8"/>
          </w:tcPr>
          <w:p>
            <w:pPr>
              <w:spacing w:after="0"/>
              <w:rPr>
                <w:sz w:val="22"/>
                <w:szCs w:val="22"/>
                <w:color w:val="auto"/>
              </w:rPr>
            </w:pPr>
          </w:p>
        </w:tc>
      </w:tr>
      <w:tr>
        <w:trPr>
          <w:trHeight w:val="178"/>
        </w:trPr>
        <w:tc>
          <w:tcPr>
            <w:tcW w:w="4320" w:type="dxa"/>
            <w:vAlign w:val="bottom"/>
            <w:tcBorders>
              <w:bottom w:val="single" w:sz="8" w:color="007CBA"/>
              <w:right w:val="single" w:sz="8" w:color="007CBA"/>
            </w:tcBorders>
            <w:shd w:val="clear" w:color="auto" w:fill="E5F1F8"/>
          </w:tcPr>
          <w:p>
            <w:pPr>
              <w:spacing w:after="0"/>
              <w:rPr>
                <w:sz w:val="15"/>
                <w:szCs w:val="15"/>
                <w:color w:val="auto"/>
              </w:rPr>
            </w:pPr>
          </w:p>
        </w:tc>
        <w:tc>
          <w:tcPr>
            <w:tcW w:w="176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SERP</w:t>
            </w:r>
          </w:p>
        </w:tc>
        <w:tc>
          <w:tcPr>
            <w:tcW w:w="1600" w:type="dxa"/>
            <w:vAlign w:val="bottom"/>
            <w:tcBorders>
              <w:bottom w:val="single" w:sz="8" w:color="007CBA"/>
              <w:right w:val="single" w:sz="8" w:color="007CBA"/>
            </w:tcBorders>
            <w:shd w:val="clear" w:color="auto" w:fill="E5F1F8"/>
          </w:tcPr>
          <w:p>
            <w:pPr>
              <w:jc w:val="right"/>
              <w:ind w:right="488"/>
              <w:spacing w:after="0"/>
              <w:rPr>
                <w:sz w:val="20"/>
                <w:szCs w:val="20"/>
                <w:color w:val="auto"/>
              </w:rPr>
            </w:pPr>
            <w:r>
              <w:rPr>
                <w:rFonts w:ascii="Arial" w:cs="Arial" w:eastAsia="Arial" w:hAnsi="Arial"/>
                <w:sz w:val="14"/>
                <w:szCs w:val="14"/>
                <w:color w:val="auto"/>
              </w:rPr>
              <w:t>5.333</w:t>
            </w:r>
          </w:p>
        </w:tc>
        <w:tc>
          <w:tcPr>
            <w:tcW w:w="1820" w:type="dxa"/>
            <w:vAlign w:val="bottom"/>
            <w:tcBorders>
              <w:bottom w:val="single" w:sz="8" w:color="007CBA"/>
              <w:right w:val="single" w:sz="8" w:color="007CBA"/>
            </w:tcBorders>
            <w:shd w:val="clear" w:color="auto" w:fill="E5F1F8"/>
          </w:tcPr>
          <w:p>
            <w:pPr>
              <w:jc w:val="right"/>
              <w:ind w:right="509"/>
              <w:spacing w:after="0"/>
              <w:rPr>
                <w:sz w:val="20"/>
                <w:szCs w:val="20"/>
                <w:color w:val="auto"/>
              </w:rPr>
            </w:pPr>
            <w:r>
              <w:rPr>
                <w:rFonts w:ascii="Arial" w:cs="Arial" w:eastAsia="Arial" w:hAnsi="Arial"/>
                <w:sz w:val="14"/>
                <w:szCs w:val="14"/>
                <w:color w:val="auto"/>
              </w:rPr>
              <w:t>430,878</w:t>
            </w:r>
          </w:p>
        </w:tc>
        <w:tc>
          <w:tcPr>
            <w:tcW w:w="1500" w:type="dxa"/>
            <w:vAlign w:val="bottom"/>
            <w:tcBorders>
              <w:bottom w:val="single" w:sz="8" w:color="007CBA"/>
            </w:tcBorders>
            <w:shd w:val="clear" w:color="auto" w:fill="E5F1F8"/>
          </w:tcPr>
          <w:p>
            <w:pPr>
              <w:spacing w:after="0"/>
              <w:rPr>
                <w:sz w:val="15"/>
                <w:szCs w:val="15"/>
                <w:color w:val="auto"/>
              </w:rPr>
            </w:pPr>
          </w:p>
        </w:tc>
      </w:tr>
    </w:tbl>
    <w:p>
      <w:pPr>
        <w:spacing w:after="0" w:line="72" w:lineRule="exact"/>
        <w:rPr>
          <w:sz w:val="20"/>
          <w:szCs w:val="20"/>
          <w:color w:val="auto"/>
        </w:rPr>
      </w:pPr>
    </w:p>
    <w:p>
      <w:pPr>
        <w:jc w:val="both"/>
        <w:ind w:left="340" w:hanging="130"/>
        <w:spacing w:after="0"/>
        <w:tabs>
          <w:tab w:leader="none" w:pos="340" w:val="left"/>
        </w:tabs>
        <w:numPr>
          <w:ilvl w:val="0"/>
          <w:numId w:val="140"/>
        </w:numPr>
        <w:rPr>
          <w:rFonts w:ascii="Arial" w:cs="Arial" w:eastAsia="Arial" w:hAnsi="Arial"/>
          <w:sz w:val="24"/>
          <w:szCs w:val="24"/>
          <w:color w:val="auto"/>
          <w:vertAlign w:val="superscript"/>
        </w:rPr>
      </w:pPr>
      <w:r>
        <w:rPr>
          <w:rFonts w:ascii="Arial" w:cs="Arial" w:eastAsia="Arial" w:hAnsi="Arial"/>
          <w:sz w:val="14"/>
          <w:szCs w:val="14"/>
          <w:color w:val="auto"/>
        </w:rPr>
        <w:t>Amounts in column (d) reflect the valuation method and use the assumptions that are included in Notes A and J to Martin Marietta’s audited financial statements for the fiscal year ended December 31, 2018, included in Martin Marietta’s Annual Report on Form 10-K filed with the Securities and Exchange Commission on February 25, 2019.</w:t>
      </w:r>
    </w:p>
    <w:p>
      <w:pPr>
        <w:sectPr>
          <w:pgSz w:w="11900" w:h="16838" w:orient="portrait"/>
          <w:cols w:equalWidth="0" w:num="1">
            <w:col w:w="11220"/>
          </w:cols>
          <w:pgMar w:left="240" w:top="459" w:right="439" w:bottom="1440" w:gutter="0" w:footer="0" w:header="0"/>
        </w:sectPr>
      </w:pPr>
    </w:p>
    <w:p>
      <w:pPr>
        <w:spacing w:after="0" w:line="316" w:lineRule="exact"/>
        <w:rPr>
          <w:sz w:val="20"/>
          <w:szCs w:val="20"/>
          <w:color w:val="auto"/>
        </w:rPr>
      </w:pPr>
    </w:p>
    <w:p>
      <w:pPr>
        <w:jc w:val="both"/>
        <w:ind w:left="220"/>
        <w:spacing w:after="0" w:line="246" w:lineRule="auto"/>
        <w:rPr>
          <w:sz w:val="20"/>
          <w:szCs w:val="20"/>
          <w:color w:val="auto"/>
        </w:rPr>
      </w:pPr>
      <w:r>
        <w:rPr>
          <w:rFonts w:ascii="Arial" w:cs="Arial" w:eastAsia="Arial" w:hAnsi="Arial"/>
          <w:sz w:val="16"/>
          <w:szCs w:val="16"/>
          <w:color w:val="auto"/>
        </w:rPr>
        <w:t>The Pension Plan is a defined benefit plan sponsored by Martin Marietta and covers all of Martin Marietta’s executive officers, including the named executive officers, and substantially all of the salaried employees of Martin Marietta on a non-contributing basis. Compensation covered by the Pension Plan generally includes, but is not limited to, base salary, executive incentive compensation awards, lump sum payments in lieu of a salary increase, and overtime. The normal retirement age under the Pension Plan is 65, but unreduced early retirement benefits are available at age 62 and reduced benefits are available as early as age 55. The calculation of benefits under the Pension Plan is generally based on an annual accrual rate, average compensation for the highest consecutive five years of the ten years preceding retirement, and the participant’s number of years of credited service (1.165% of average compensation up to social security covered compensation for service up to 35 years and 1.50% of average compensation over social security covered compensation for service up to 35 years and 1.50% of average compensation for service over 35 years.) Benefits payable under the Pension Plan are subject to current Internal Revenue Code limitations, including a limitation on the amount of annual compensation for purposes of calculating eligible remuneration for a participant under a qualified retirement plan ($275,000 in 2018). Martin Marietta’s SERP is a restoration plan that generally provides for the payment of benefits in excess of</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Internal Revenue Code limits, which benefits vest in the same manner that benefits vest under the Pension Plan. The SERP provides for a lump sum payment of the vested benefits provided by the SERP subject to the provisions of Section 409A of the Internal Revenue Code. Of the named executive officers, Mr. Nye, Ms. Bar, Mr. McCunniff and Mr. Grant are each eligible for early retirement, which allows for payment to employees who are age 55 or older with at least five years of service at a reduced benefit based on the number of years of service and the number of years prior to age 62 at which the benefits began. Mr. Nickolas is not yet eligible for early retirement, but would still be eligible for payments at age 55 at a reduced benefit based on the number of years of service and the number of years prior to age 65 at which the benefits began. The present value of the Pension Plan and SERP benefit, respectively, for Mr. Nye, Mr. Nickolas, Ms. Bar, Mr. McCunniff, and Mr. Grant, if they had terminated on December 31, 2018 and began collecting benefits at age 55 or current age if older would be as follows: Mr. Nye, $527,905 and $5,917,525, respectively; Mr. Nickolas, $0 and $0, respectively, since he is not vested in the plans; Ms. Bar, $1,302,622 and $4,061,198, respectively; Mr. McCunniff, $376,664 and $781,268 respectively; and Mr. Grant, $258,069 and $426,643, respectively. The amounts listed in the foregoing table are not subject to any deduction for Social Security benefits or other offset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412115</wp:posOffset>
            </wp:positionV>
            <wp:extent cx="410845" cy="2482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561"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122" w:lineRule="exact"/>
        <w:rPr>
          <w:sz w:val="20"/>
          <w:szCs w:val="20"/>
          <w:color w:val="auto"/>
        </w:rPr>
      </w:pPr>
    </w:p>
    <w:p>
      <w:pPr>
        <w:ind w:left="640" w:hanging="430"/>
        <w:spacing w:after="0"/>
        <w:tabs>
          <w:tab w:leader="none" w:pos="640" w:val="left"/>
        </w:tabs>
        <w:numPr>
          <w:ilvl w:val="0"/>
          <w:numId w:val="141"/>
        </w:numPr>
        <w:rPr>
          <w:rFonts w:ascii="Arial" w:cs="Arial" w:eastAsia="Arial" w:hAnsi="Arial"/>
          <w:sz w:val="12"/>
          <w:szCs w:val="12"/>
          <w:b w:val="1"/>
          <w:bCs w:val="1"/>
          <w:color w:val="auto"/>
        </w:rPr>
      </w:pPr>
      <w:r>
        <w:rPr>
          <w:rFonts w:ascii="Arial" w:cs="Arial" w:eastAsia="Arial" w:hAnsi="Arial"/>
          <w:sz w:val="12"/>
          <w:szCs w:val="12"/>
          <w:color w:val="007CBA"/>
        </w:rPr>
        <w:t>2019 PROXY STATEMENT</w:t>
      </w:r>
    </w:p>
    <w:p>
      <w:pPr>
        <w:sectPr>
          <w:pgSz w:w="11900" w:h="16838" w:orient="portrait"/>
          <w:cols w:equalWidth="0" w:num="1">
            <w:col w:w="11220"/>
          </w:cols>
          <w:pgMar w:left="240" w:top="459" w:right="4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9" w:lineRule="exact"/>
        <w:rPr>
          <w:sz w:val="20"/>
          <w:szCs w:val="20"/>
          <w:color w:val="auto"/>
        </w:rPr>
      </w:pPr>
    </w:p>
    <w:p>
      <w:pPr>
        <w:ind w:left="5780"/>
        <w:spacing w:after="0" w:line="251" w:lineRule="exact"/>
        <w:tabs>
          <w:tab w:leader="none" w:pos="9420" w:val="left"/>
        </w:tabs>
        <w:rPr>
          <w:sz w:val="20"/>
          <w:szCs w:val="20"/>
          <w:color w:val="auto"/>
        </w:rPr>
      </w:pPr>
      <w:r>
        <w:rPr>
          <w:rFonts w:ascii="Arial" w:cs="Arial" w:eastAsia="Arial" w:hAnsi="Arial"/>
          <w:sz w:val="13"/>
          <w:szCs w:val="13"/>
          <w:color w:val="auto"/>
        </w:rPr>
        <w:t>Potential Payments Upon Termination or Change of Control</w:t>
      </w:r>
      <w:r>
        <w:rPr>
          <w:sz w:val="20"/>
          <w:szCs w:val="20"/>
          <w:color w:val="auto"/>
        </w:rPr>
        <w:tab/>
      </w:r>
      <w:r>
        <w:rPr>
          <w:rFonts w:ascii="MS PGothic" w:cs="MS PGothic" w:eastAsia="MS PGothic" w:hAnsi="MS PGothic"/>
          <w:sz w:val="25"/>
          <w:szCs w:val="25"/>
          <w:color w:val="007CBA"/>
        </w:rPr>
        <w:t xml:space="preserve">◆ </w:t>
      </w:r>
      <w:r>
        <w:rPr>
          <w:rFonts w:ascii="Arial" w:cs="Arial" w:eastAsia="Arial" w:hAnsi="Arial"/>
          <w:sz w:val="13"/>
          <w:szCs w:val="13"/>
          <w:color w:val="007CBA"/>
        </w:rPr>
        <w:t>Executive Compensation</w:t>
      </w: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7CBA"/>
        </w:rPr>
        <w:t>Potential Payments Upon Termination or Change of Control</w:t>
      </w:r>
    </w:p>
    <w:p>
      <w:pPr>
        <w:sectPr>
          <w:pgSz w:w="11900" w:h="16838" w:orient="portrait"/>
          <w:cols w:equalWidth="0" w:num="1">
            <w:col w:w="11220"/>
          </w:cols>
          <w:pgMar w:left="240" w:top="459" w:right="439" w:bottom="1440" w:gutter="0" w:footer="0" w:header="0"/>
        </w:sectPr>
      </w:pPr>
    </w:p>
    <w:p>
      <w:pPr>
        <w:spacing w:after="0" w:line="217" w:lineRule="exact"/>
        <w:rPr>
          <w:sz w:val="20"/>
          <w:szCs w:val="20"/>
          <w:color w:val="auto"/>
        </w:rPr>
      </w:pPr>
    </w:p>
    <w:p>
      <w:pPr>
        <w:jc w:val="both"/>
        <w:ind w:left="220"/>
        <w:spacing w:after="0" w:line="247" w:lineRule="auto"/>
        <w:rPr>
          <w:sz w:val="20"/>
          <w:szCs w:val="20"/>
          <w:color w:val="auto"/>
        </w:rPr>
      </w:pPr>
      <w:r>
        <w:rPr>
          <w:rFonts w:ascii="Arial" w:cs="Arial" w:eastAsia="Arial" w:hAnsi="Arial"/>
          <w:sz w:val="16"/>
          <w:szCs w:val="16"/>
          <w:color w:val="auto"/>
        </w:rPr>
        <w:t>The discussion and tables below reflect the amount of potential payments and benefits to each of the named executive officers at, following, or in connection with any termination of such executive’s employment, including voluntary termination, involuntary not-for-cause termination, for-cause termination, normal retirement, early retirement, in the event of disability or death of the executive, and termination following a change of control. The amounts assume that such termination was effective as of December 31, 2018 and thus includes amounts earned through such time and are estimates of the amounts that would have been paid out to the executives upon their termination at such time. The actual amounts to be paid out can only be determined at the time of such executive’s actual separation from Martin Marietta.</w:t>
      </w:r>
    </w:p>
    <w:p>
      <w:pPr>
        <w:spacing w:after="0" w:line="163" w:lineRule="exact"/>
        <w:rPr>
          <w:sz w:val="20"/>
          <w:szCs w:val="20"/>
          <w:color w:val="auto"/>
        </w:rPr>
      </w:pPr>
    </w:p>
    <w:p>
      <w:pPr>
        <w:jc w:val="both"/>
        <w:ind w:left="220"/>
        <w:spacing w:after="0" w:line="252" w:lineRule="auto"/>
        <w:rPr>
          <w:sz w:val="20"/>
          <w:szCs w:val="20"/>
          <w:color w:val="auto"/>
        </w:rPr>
      </w:pPr>
      <w:r>
        <w:rPr>
          <w:rFonts w:ascii="Arial" w:cs="Arial" w:eastAsia="Arial" w:hAnsi="Arial"/>
          <w:sz w:val="16"/>
          <w:szCs w:val="16"/>
          <w:b w:val="1"/>
          <w:bCs w:val="1"/>
          <w:color w:val="auto"/>
        </w:rPr>
        <w:t xml:space="preserve">Payments Upon Any Termination. </w:t>
      </w:r>
      <w:r>
        <w:rPr>
          <w:rFonts w:ascii="Arial" w:cs="Arial" w:eastAsia="Arial" w:hAnsi="Arial"/>
          <w:sz w:val="16"/>
          <w:szCs w:val="16"/>
          <w:color w:val="auto"/>
        </w:rPr>
        <w:t>Regardless of the manner in which</w:t>
      </w:r>
      <w:r>
        <w:rPr>
          <w:rFonts w:ascii="Arial" w:cs="Arial" w:eastAsia="Arial" w:hAnsi="Arial"/>
          <w:sz w:val="16"/>
          <w:szCs w:val="16"/>
          <w:b w:val="1"/>
          <w:bCs w:val="1"/>
          <w:color w:val="auto"/>
        </w:rPr>
        <w:t xml:space="preserve"> </w:t>
      </w:r>
      <w:r>
        <w:rPr>
          <w:rFonts w:ascii="Arial" w:cs="Arial" w:eastAsia="Arial" w:hAnsi="Arial"/>
          <w:sz w:val="16"/>
          <w:szCs w:val="16"/>
          <w:color w:val="auto"/>
        </w:rPr>
        <w:t>the employment of a named executive officer terminates, he or she is entitled to receive the amounts earned during the term of employment, including cash compensation earned during the fiscal year, amounts contributed by the employee and Martin Marietta’s matching contributions to the Savings and Investment Plan, unused earned vacation pay and amounts accrued and vested through Martin Marietta’s Pension Plan and SERP.</w:t>
      </w:r>
    </w:p>
    <w:p>
      <w:pPr>
        <w:spacing w:after="0" w:line="141" w:lineRule="exact"/>
        <w:rPr>
          <w:sz w:val="20"/>
          <w:szCs w:val="20"/>
          <w:color w:val="auto"/>
        </w:rPr>
      </w:pPr>
    </w:p>
    <w:p>
      <w:pPr>
        <w:jc w:val="both"/>
        <w:ind w:left="220"/>
        <w:spacing w:after="0" w:line="252" w:lineRule="auto"/>
        <w:rPr>
          <w:sz w:val="20"/>
          <w:szCs w:val="20"/>
          <w:color w:val="auto"/>
        </w:rPr>
      </w:pPr>
      <w:r>
        <w:rPr>
          <w:rFonts w:ascii="Arial" w:cs="Arial" w:eastAsia="Arial" w:hAnsi="Arial"/>
          <w:sz w:val="16"/>
          <w:szCs w:val="16"/>
          <w:b w:val="1"/>
          <w:bCs w:val="1"/>
          <w:color w:val="auto"/>
        </w:rPr>
        <w:t xml:space="preserve">Payments Upon Voluntary Termination. </w:t>
      </w:r>
      <w:r>
        <w:rPr>
          <w:rFonts w:ascii="Arial" w:cs="Arial" w:eastAsia="Arial" w:hAnsi="Arial"/>
          <w:sz w:val="16"/>
          <w:szCs w:val="16"/>
          <w:color w:val="auto"/>
        </w:rPr>
        <w:t>In addition to the amounts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described under the heading </w:t>
      </w:r>
      <w:r>
        <w:rPr>
          <w:rFonts w:ascii="Arial" w:cs="Arial" w:eastAsia="Arial" w:hAnsi="Arial"/>
          <w:sz w:val="16"/>
          <w:szCs w:val="16"/>
          <w:i w:val="1"/>
          <w:iCs w:val="1"/>
          <w:color w:val="auto"/>
        </w:rPr>
        <w:t>Payments Upon Any Termination</w:t>
      </w:r>
      <w:r>
        <w:rPr>
          <w:rFonts w:ascii="Arial" w:cs="Arial" w:eastAsia="Arial" w:hAnsi="Arial"/>
          <w:sz w:val="16"/>
          <w:szCs w:val="16"/>
          <w:color w:val="auto"/>
        </w:rPr>
        <w:t>, upon a voluntary termination of employment, the named executive officer would be entitled to receive the lower of the amount of cash contributed to the Incentive Stock Plan or the current market value of the common stock units credited to the employee measured by the NYSE closing price of Martin Marietta’s common stock on the date of termination.</w:t>
      </w:r>
    </w:p>
    <w:p>
      <w:pPr>
        <w:spacing w:after="0" w:line="145" w:lineRule="exact"/>
        <w:rPr>
          <w:sz w:val="20"/>
          <w:szCs w:val="20"/>
          <w:color w:val="auto"/>
        </w:rPr>
      </w:pPr>
    </w:p>
    <w:p>
      <w:pPr>
        <w:jc w:val="both"/>
        <w:ind w:left="220"/>
        <w:spacing w:after="0" w:line="252" w:lineRule="auto"/>
        <w:rPr>
          <w:sz w:val="20"/>
          <w:szCs w:val="20"/>
          <w:color w:val="auto"/>
        </w:rPr>
      </w:pPr>
      <w:r>
        <w:rPr>
          <w:rFonts w:ascii="Arial" w:cs="Arial" w:eastAsia="Arial" w:hAnsi="Arial"/>
          <w:sz w:val="16"/>
          <w:szCs w:val="16"/>
          <w:b w:val="1"/>
          <w:bCs w:val="1"/>
          <w:color w:val="auto"/>
        </w:rPr>
        <w:t xml:space="preserve">Payments Upon Involuntary Not-For-Cause Termination. </w:t>
      </w:r>
      <w:r>
        <w:rPr>
          <w:rFonts w:ascii="Arial" w:cs="Arial" w:eastAsia="Arial" w:hAnsi="Arial"/>
          <w:sz w:val="16"/>
          <w:szCs w:val="16"/>
          <w:color w:val="auto"/>
        </w:rPr>
        <w:t>In addition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the amounts described under the heading </w:t>
      </w:r>
      <w:r>
        <w:rPr>
          <w:rFonts w:ascii="Arial" w:cs="Arial" w:eastAsia="Arial" w:hAnsi="Arial"/>
          <w:sz w:val="16"/>
          <w:szCs w:val="16"/>
          <w:i w:val="1"/>
          <w:iCs w:val="1"/>
          <w:color w:val="auto"/>
        </w:rPr>
        <w:t>Payments Upon Any</w:t>
      </w:r>
      <w:r>
        <w:rPr>
          <w:rFonts w:ascii="Arial" w:cs="Arial" w:eastAsia="Arial" w:hAnsi="Arial"/>
          <w:sz w:val="16"/>
          <w:szCs w:val="16"/>
          <w:color w:val="auto"/>
        </w:rPr>
        <w:t xml:space="preserve"> </w:t>
      </w:r>
      <w:r>
        <w:rPr>
          <w:rFonts w:ascii="Arial" w:cs="Arial" w:eastAsia="Arial" w:hAnsi="Arial"/>
          <w:sz w:val="16"/>
          <w:szCs w:val="16"/>
          <w:i w:val="1"/>
          <w:iCs w:val="1"/>
          <w:color w:val="auto"/>
        </w:rPr>
        <w:t>Termination</w:t>
      </w:r>
      <w:r>
        <w:rPr>
          <w:rFonts w:ascii="Arial" w:cs="Arial" w:eastAsia="Arial" w:hAnsi="Arial"/>
          <w:sz w:val="16"/>
          <w:szCs w:val="16"/>
          <w:color w:val="auto"/>
        </w:rPr>
        <w:t>, upon an involuntary termination of employment not for</w:t>
      </w:r>
      <w:r>
        <w:rPr>
          <w:rFonts w:ascii="Arial" w:cs="Arial" w:eastAsia="Arial" w:hAnsi="Arial"/>
          <w:sz w:val="16"/>
          <w:szCs w:val="16"/>
          <w:i w:val="1"/>
          <w:iCs w:val="1"/>
          <w:color w:val="auto"/>
        </w:rPr>
        <w:t xml:space="preserve"> </w:t>
      </w:r>
      <w:r>
        <w:rPr>
          <w:rFonts w:ascii="Arial" w:cs="Arial" w:eastAsia="Arial" w:hAnsi="Arial"/>
          <w:sz w:val="16"/>
          <w:szCs w:val="16"/>
          <w:color w:val="auto"/>
        </w:rPr>
        <w:t>cause, the named executive officer would be entitled to receive a prorated share of the common stock units credited to him or her under the Incentive Stock Plan paid out as shares of common stock and the remaining cash contribution invested by the employee in the plan.</w:t>
      </w:r>
    </w:p>
    <w:p>
      <w:pPr>
        <w:spacing w:after="0" w:line="159" w:lineRule="exact"/>
        <w:rPr>
          <w:sz w:val="20"/>
          <w:szCs w:val="20"/>
          <w:color w:val="auto"/>
        </w:rPr>
      </w:pPr>
    </w:p>
    <w:p>
      <w:pPr>
        <w:jc w:val="both"/>
        <w:ind w:left="220" w:right="20"/>
        <w:spacing w:after="0" w:line="256" w:lineRule="auto"/>
        <w:rPr>
          <w:sz w:val="20"/>
          <w:szCs w:val="20"/>
          <w:color w:val="auto"/>
        </w:rPr>
      </w:pPr>
      <w:r>
        <w:rPr>
          <w:rFonts w:ascii="Arial" w:cs="Arial" w:eastAsia="Arial" w:hAnsi="Arial"/>
          <w:sz w:val="16"/>
          <w:szCs w:val="16"/>
          <w:b w:val="1"/>
          <w:bCs w:val="1"/>
          <w:color w:val="auto"/>
        </w:rPr>
        <w:t xml:space="preserve">Payments Upon Involuntary For-Cause Termination. </w:t>
      </w:r>
      <w:r>
        <w:rPr>
          <w:rFonts w:ascii="Arial" w:cs="Arial" w:eastAsia="Arial" w:hAnsi="Arial"/>
          <w:sz w:val="16"/>
          <w:szCs w:val="16"/>
          <w:color w:val="auto"/>
        </w:rPr>
        <w:t>In the event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involuntary termination for cause, which is defined in the Employment Protection Agreement and the Stock Plan, the named executive officer would be entitled to receive the payments and benefits described under the heading </w:t>
      </w:r>
      <w:r>
        <w:rPr>
          <w:rFonts w:ascii="Arial" w:cs="Arial" w:eastAsia="Arial" w:hAnsi="Arial"/>
          <w:sz w:val="16"/>
          <w:szCs w:val="16"/>
          <w:i w:val="1"/>
          <w:iCs w:val="1"/>
          <w:color w:val="auto"/>
        </w:rPr>
        <w:t>Payments Upon Voluntary Termination</w:t>
      </w:r>
      <w:r>
        <w:rPr>
          <w:rFonts w:ascii="Arial" w:cs="Arial" w:eastAsia="Arial" w:hAnsi="Arial"/>
          <w:sz w:val="16"/>
          <w:szCs w:val="16"/>
          <w:color w:val="auto"/>
        </w:rPr>
        <w:t>.</w:t>
      </w:r>
    </w:p>
    <w:p>
      <w:pPr>
        <w:spacing w:after="0" w:line="138" w:lineRule="exact"/>
        <w:rPr>
          <w:sz w:val="20"/>
          <w:szCs w:val="20"/>
          <w:color w:val="auto"/>
        </w:rPr>
      </w:pPr>
    </w:p>
    <w:p>
      <w:pPr>
        <w:jc w:val="both"/>
        <w:ind w:left="220"/>
        <w:spacing w:after="0" w:line="256" w:lineRule="auto"/>
        <w:rPr>
          <w:sz w:val="20"/>
          <w:szCs w:val="20"/>
          <w:color w:val="auto"/>
        </w:rPr>
      </w:pPr>
      <w:r>
        <w:rPr>
          <w:rFonts w:ascii="Arial" w:cs="Arial" w:eastAsia="Arial" w:hAnsi="Arial"/>
          <w:sz w:val="16"/>
          <w:szCs w:val="16"/>
          <w:b w:val="1"/>
          <w:bCs w:val="1"/>
          <w:color w:val="auto"/>
        </w:rPr>
        <w:t xml:space="preserve">Payments Upon Retirement. </w:t>
      </w:r>
      <w:r>
        <w:rPr>
          <w:rFonts w:ascii="Arial" w:cs="Arial" w:eastAsia="Arial" w:hAnsi="Arial"/>
          <w:sz w:val="16"/>
          <w:szCs w:val="16"/>
          <w:color w:val="auto"/>
        </w:rPr>
        <w:t>In the event of the retirement at age 62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above of a named executive officer, in addition to the items described under the heading </w:t>
      </w:r>
      <w:r>
        <w:rPr>
          <w:rFonts w:ascii="Arial" w:cs="Arial" w:eastAsia="Arial" w:hAnsi="Arial"/>
          <w:sz w:val="16"/>
          <w:szCs w:val="16"/>
          <w:i w:val="1"/>
          <w:iCs w:val="1"/>
          <w:color w:val="auto"/>
        </w:rPr>
        <w:t>Payments Upon Any Termination</w:t>
      </w:r>
      <w:r>
        <w:rPr>
          <w:rFonts w:ascii="Arial" w:cs="Arial" w:eastAsia="Arial" w:hAnsi="Arial"/>
          <w:sz w:val="16"/>
          <w:szCs w:val="16"/>
          <w:color w:val="auto"/>
        </w:rPr>
        <w:t>, the executive will receive a portion of the cash incentive bonus based upon performance and payable under the</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 xml:space="preserve">Executive Cash Incentive Plan that correlates to the percentage of the year in which the employee worked for the Company; will continue to hold all outstanding options unaffected by the retirement and retain such options for the remainder of the outstanding term; will continue to hold all awards of RSUs and PSUs for the remainder of the outstanding term unaffected by the retirement; will vest in all outstanding awards of common stock units under the Incentive Stock Plan; in the case of Ms. Bar, will be eligible to receive health and welfare benefits as described under the heading </w:t>
      </w:r>
      <w:r>
        <w:rPr>
          <w:rFonts w:ascii="Arial" w:cs="Arial" w:eastAsia="Arial" w:hAnsi="Arial"/>
          <w:sz w:val="16"/>
          <w:szCs w:val="16"/>
          <w:i w:val="1"/>
          <w:iCs w:val="1"/>
          <w:color w:val="auto"/>
        </w:rPr>
        <w:t>Retiree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Medical </w:t>
      </w:r>
      <w:r>
        <w:rPr>
          <w:rFonts w:ascii="Arial" w:cs="Arial" w:eastAsia="Arial" w:hAnsi="Arial"/>
          <w:sz w:val="16"/>
          <w:szCs w:val="16"/>
          <w:color w:val="auto"/>
        </w:rPr>
        <w:t>on page 59; and will continue to receive life insurance coverage</w:t>
      </w:r>
      <w:r>
        <w:rPr>
          <w:rFonts w:ascii="Arial" w:cs="Arial" w:eastAsia="Arial" w:hAnsi="Arial"/>
          <w:sz w:val="16"/>
          <w:szCs w:val="16"/>
          <w:i w:val="1"/>
          <w:iCs w:val="1"/>
          <w:color w:val="auto"/>
        </w:rPr>
        <w:t xml:space="preserve"> </w:t>
      </w:r>
      <w:r>
        <w:rPr>
          <w:rFonts w:ascii="Arial" w:cs="Arial" w:eastAsia="Arial" w:hAnsi="Arial"/>
          <w:sz w:val="16"/>
          <w:szCs w:val="16"/>
          <w:color w:val="auto"/>
        </w:rPr>
        <w:t>until his or her death.</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b w:val="1"/>
          <w:bCs w:val="1"/>
          <w:color w:val="auto"/>
        </w:rPr>
        <w:t xml:space="preserve">Payments Made Upon Early Retirement. </w:t>
      </w:r>
      <w:r>
        <w:rPr>
          <w:rFonts w:ascii="Arial" w:cs="Arial" w:eastAsia="Arial" w:hAnsi="Arial"/>
          <w:sz w:val="16"/>
          <w:szCs w:val="16"/>
          <w:color w:val="auto"/>
        </w:rPr>
        <w:t>In the event of retirement prior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reaching age 62 but on or after reaching age 55, the named executive officer will receive benefits as described under the heading </w:t>
      </w:r>
      <w:r>
        <w:rPr>
          <w:rFonts w:ascii="Arial" w:cs="Arial" w:eastAsia="Arial" w:hAnsi="Arial"/>
          <w:sz w:val="16"/>
          <w:szCs w:val="16"/>
          <w:i w:val="1"/>
          <w:iCs w:val="1"/>
          <w:color w:val="auto"/>
        </w:rPr>
        <w:t>Payments</w:t>
      </w:r>
      <w:r>
        <w:rPr>
          <w:rFonts w:ascii="Arial" w:cs="Arial" w:eastAsia="Arial" w:hAnsi="Arial"/>
          <w:sz w:val="16"/>
          <w:szCs w:val="16"/>
          <w:color w:val="auto"/>
        </w:rPr>
        <w:t xml:space="preserve"> </w:t>
      </w:r>
      <w:r>
        <w:rPr>
          <w:rFonts w:ascii="Arial" w:cs="Arial" w:eastAsia="Arial" w:hAnsi="Arial"/>
          <w:sz w:val="16"/>
          <w:szCs w:val="16"/>
          <w:i w:val="1"/>
          <w:iCs w:val="1"/>
          <w:color w:val="auto"/>
        </w:rPr>
        <w:t>Upon Voluntary Termination</w:t>
      </w:r>
      <w:r>
        <w:rPr>
          <w:rFonts w:ascii="Arial" w:cs="Arial" w:eastAsia="Arial" w:hAnsi="Arial"/>
          <w:sz w:val="16"/>
          <w:szCs w:val="16"/>
          <w:color w:val="auto"/>
        </w:rPr>
        <w:t>. In addition, the named executive officer will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receive reduced benefits of the type described under </w:t>
      </w:r>
      <w:r>
        <w:rPr>
          <w:rFonts w:ascii="Arial" w:cs="Arial" w:eastAsia="Arial" w:hAnsi="Arial"/>
          <w:sz w:val="16"/>
          <w:szCs w:val="16"/>
          <w:i w:val="1"/>
          <w:iCs w:val="1"/>
          <w:color w:val="auto"/>
        </w:rPr>
        <w:t>Pension Benefits</w:t>
      </w:r>
      <w:r>
        <w:rPr>
          <w:rFonts w:ascii="Arial" w:cs="Arial" w:eastAsia="Arial" w:hAnsi="Arial"/>
          <w:sz w:val="16"/>
          <w:szCs w:val="16"/>
          <w:color w:val="auto"/>
        </w:rPr>
        <w:t xml:space="preserve"> on page 60 and may be eligible for benefits described under the heading </w:t>
      </w:r>
      <w:r>
        <w:rPr>
          <w:rFonts w:ascii="Arial" w:cs="Arial" w:eastAsia="Arial" w:hAnsi="Arial"/>
          <w:sz w:val="16"/>
          <w:szCs w:val="16"/>
          <w:i w:val="1"/>
          <w:iCs w:val="1"/>
          <w:color w:val="auto"/>
        </w:rPr>
        <w:t xml:space="preserve">Retiree Medical </w:t>
      </w:r>
      <w:r>
        <w:rPr>
          <w:rFonts w:ascii="Arial" w:cs="Arial" w:eastAsia="Arial" w:hAnsi="Arial"/>
          <w:sz w:val="16"/>
          <w:szCs w:val="16"/>
          <w:color w:val="auto"/>
        </w:rPr>
        <w:t>beginning on page 59 at a higher cost.</w:t>
      </w:r>
    </w:p>
    <w:p>
      <w:pPr>
        <w:spacing w:after="0" w:line="14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b w:val="1"/>
          <w:bCs w:val="1"/>
          <w:color w:val="auto"/>
        </w:rPr>
        <w:t xml:space="preserve">Payments Upon Death or Disability. </w:t>
      </w:r>
      <w:r>
        <w:rPr>
          <w:rFonts w:ascii="Arial" w:cs="Arial" w:eastAsia="Arial" w:hAnsi="Arial"/>
          <w:sz w:val="16"/>
          <w:szCs w:val="16"/>
          <w:color w:val="auto"/>
        </w:rPr>
        <w:t>In the event of the death or disability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a named executive officer, in addition to the payments and benefits under the heading </w:t>
      </w:r>
      <w:r>
        <w:rPr>
          <w:rFonts w:ascii="Arial" w:cs="Arial" w:eastAsia="Arial" w:hAnsi="Arial"/>
          <w:sz w:val="16"/>
          <w:szCs w:val="16"/>
          <w:i w:val="1"/>
          <w:iCs w:val="1"/>
          <w:color w:val="auto"/>
        </w:rPr>
        <w:t>Payments Upon Any Termination</w:t>
      </w:r>
      <w:r>
        <w:rPr>
          <w:rFonts w:ascii="Arial" w:cs="Arial" w:eastAsia="Arial" w:hAnsi="Arial"/>
          <w:sz w:val="16"/>
          <w:szCs w:val="16"/>
          <w:color w:val="auto"/>
        </w:rPr>
        <w:t>, the named executive officer or his or her estate will receive benefits under Martin Marietta’s long-term disability plan or life insurance plan, as appropriate, and a death benefit payment equal to the then-current base salary of such employee paid under the Pension Plan plus one month base salary. In addition, in the event of death, all options will vest and the executor of their estate will have one year to exercise the options. In the event of disability, the executive will receive a portion of the cash incentive compensation based upon performance and payable under the Executive Cash Incentive Plan that correlates to the percentage of the year in which the employee worked for the Company; continue to hold all outstanding options unaffected by the disability and retain such options for the remainder of the outstanding term; will continue to hold all awards of PSUs and RSUs for the remainder of the outstanding term unaffected by the disability; and will vest in all outstanding awards of common stock units under the Incentive Stock Plan.</w:t>
      </w:r>
    </w:p>
    <w:p>
      <w:pPr>
        <w:spacing w:after="0" w:line="15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color w:val="auto"/>
        </w:rPr>
        <w:t>Payments Upon or in Connection With a Change of Control</w:t>
      </w:r>
      <w:r>
        <w:rPr>
          <w:rFonts w:ascii="Arial" w:cs="Arial" w:eastAsia="Arial" w:hAnsi="Arial"/>
          <w:sz w:val="16"/>
          <w:szCs w:val="16"/>
          <w:color w:val="auto"/>
        </w:rPr>
        <w:t>. Martin</w:t>
      </w:r>
      <w:r>
        <w:rPr>
          <w:rFonts w:ascii="Arial" w:cs="Arial" w:eastAsia="Arial" w:hAnsi="Arial"/>
          <w:sz w:val="16"/>
          <w:szCs w:val="16"/>
          <w:b w:val="1"/>
          <w:bCs w:val="1"/>
          <w:color w:val="auto"/>
        </w:rPr>
        <w:t xml:space="preserve"> </w:t>
      </w:r>
      <w:r>
        <w:rPr>
          <w:rFonts w:ascii="Arial" w:cs="Arial" w:eastAsia="Arial" w:hAnsi="Arial"/>
          <w:sz w:val="16"/>
          <w:szCs w:val="16"/>
          <w:color w:val="auto"/>
        </w:rPr>
        <w:t>Marietta has entered into Employment Protection Agreements, as amended from time to time, with each of the named executive officers. The purpose of these agreements is to provide Martin Marietta’s key executives with payments and benefits upon certain types of terminations within two years following a “Change of Control.” For purposes of the agreements, a Change of Control is generally defined as (i) the acquisition by any person, or related group of persons, of 40% or more of either the outstanding common stock of Martin Marietta or the combined voting power of Martin Marietta’s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535305</wp:posOffset>
            </wp:positionV>
            <wp:extent cx="410845" cy="2482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764"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96" w:lineRule="exact"/>
        <w:rPr>
          <w:sz w:val="20"/>
          <w:szCs w:val="20"/>
          <w:color w:val="auto"/>
        </w:rPr>
      </w:pPr>
    </w:p>
    <w:tbl>
      <w:tblPr>
        <w:tblLayout w:type="fixed"/>
        <w:tblInd w:w="926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2019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61</w:t>
            </w:r>
          </w:p>
        </w:tc>
      </w:tr>
    </w:tbl>
    <w:p>
      <w:pPr>
        <w:sectPr>
          <w:pgSz w:w="11900" w:h="16838" w:orient="portrait"/>
          <w:cols w:equalWidth="0" w:num="1">
            <w:col w:w="11220"/>
          </w:cols>
          <w:pgMar w:left="240" w:top="459" w:right="4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9" w:lineRule="exact"/>
        <w:rPr>
          <w:sz w:val="20"/>
          <w:szCs w:val="20"/>
          <w:color w:val="auto"/>
        </w:rPr>
      </w:pPr>
    </w:p>
    <w:p>
      <w:pPr>
        <w:ind w:left="220"/>
        <w:spacing w:after="0" w:line="251" w:lineRule="exact"/>
        <w:tabs>
          <w:tab w:leader="none" w:pos="1800" w:val="left"/>
        </w:tabs>
        <w:rPr>
          <w:sz w:val="20"/>
          <w:szCs w:val="20"/>
          <w:color w:val="auto"/>
        </w:rPr>
      </w:pPr>
      <w:r>
        <w:rPr>
          <w:rFonts w:ascii="Arial" w:cs="Arial" w:eastAsia="Arial" w:hAnsi="Arial"/>
          <w:sz w:val="13"/>
          <w:szCs w:val="13"/>
          <w:color w:val="007CBA"/>
        </w:rPr>
        <w:t>Executive Compensation</w:t>
      </w:r>
      <w:r>
        <w:rPr>
          <w:sz w:val="20"/>
          <w:szCs w:val="20"/>
          <w:color w:val="auto"/>
        </w:rPr>
        <w:tab/>
      </w:r>
      <w:r>
        <w:rPr>
          <w:rFonts w:ascii="MS PGothic" w:cs="MS PGothic" w:eastAsia="MS PGothic" w:hAnsi="MS PGothic"/>
          <w:sz w:val="25"/>
          <w:szCs w:val="25"/>
          <w:color w:val="007CBA"/>
        </w:rPr>
        <w:t xml:space="preserve">◆ </w:t>
      </w:r>
      <w:r>
        <w:rPr>
          <w:rFonts w:ascii="Arial" w:cs="Arial" w:eastAsia="Arial" w:hAnsi="Arial"/>
          <w:sz w:val="13"/>
          <w:szCs w:val="13"/>
          <w:color w:val="000000"/>
        </w:rPr>
        <w:t>Potential Payments Upon Termination or Change of Control</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outstanding securities, (ii) consummation of a reorganization, merger or consolidation or sale or other disposition of all or substantially all of Martin Marietta’s assets following which Martin Marietta’s shareholders before such event fail to own more than 50% of the resulting entity, (iii) a change in the majority membership of the Board, or (iv) a liquidation or dissolution of Martin Marietta.</w:t>
      </w:r>
    </w:p>
    <w:p>
      <w:pPr>
        <w:spacing w:after="0" w:line="177" w:lineRule="exact"/>
        <w:rPr>
          <w:sz w:val="20"/>
          <w:szCs w:val="20"/>
          <w:color w:val="auto"/>
        </w:rPr>
      </w:pPr>
    </w:p>
    <w:p>
      <w:pPr>
        <w:jc w:val="both"/>
        <w:ind w:left="220"/>
        <w:spacing w:after="0" w:line="246" w:lineRule="auto"/>
        <w:rPr>
          <w:sz w:val="20"/>
          <w:szCs w:val="20"/>
          <w:color w:val="auto"/>
        </w:rPr>
      </w:pPr>
      <w:r>
        <w:rPr>
          <w:rFonts w:ascii="Arial" w:cs="Arial" w:eastAsia="Arial" w:hAnsi="Arial"/>
          <w:sz w:val="16"/>
          <w:szCs w:val="16"/>
          <w:color w:val="auto"/>
        </w:rPr>
        <w:t>The agreements provide that if, within the two-year period following a Change of Control, an executive is terminated without “Cause” (as defined in the agreements) or terminates his or her employment with “Good Reason” (as defined in the agreements), Martin Marietta is obligated to pay the executive, in a lump sum, an amount equal to three times the sum of the executive’s base salary, annual bonus, and Martin Marietta’s match to the defined contribution plan; the payment of a pro-rata annual target bonus in the year of termination as determined under the Executive Cash Incentive Plan (for Mr. Nye such target bonus is 110% for purposes of the Employment Protection Agreement) and to provide continuation of health, medical and other insurance benefits for a period of three years following termination. The rationale for selecting these triggers is to encourage the named executive officers to remain focused on Martin Marietta, its performance and matters that are in the best interests of its shareholders rather than be distracted by the personal impact to their employment that the Change of Control may have. For purposes of the agreements, “base salary” means the highest annual rate of base salary that the executive received within the twelve-month period ending on the date of the Change of Control, and “annual bonus” means the executive’s highest annual bonus paid during the period beginning five years prior to the Change of Control and ending on the date of the executive’s termination of employment. Executives also are credited with an additional three years of service under the Pension Plan and are eligible to retire after age 55 without reduction in benefits and with a lump sum payment based on a 0% discount rate. Martin Marietta must also continue to provide the executive all benefits provided under Martin Marietta’s defined benefit and defined contribution retirement plans and provide the executive with the same retiree medical benefits that were in effect for retirees immediately prior to the Change of Control. The agreements also have</w:t>
      </w:r>
    </w:p>
    <w:p>
      <w:pPr>
        <w:spacing w:after="0" w:line="200" w:lineRule="exact"/>
        <w:rPr>
          <w:sz w:val="20"/>
          <w:szCs w:val="20"/>
          <w:color w:val="auto"/>
        </w:rPr>
      </w:pPr>
    </w:p>
    <w:p>
      <w:pPr>
        <w:spacing w:after="0" w:line="313" w:lineRule="exact"/>
        <w:rPr>
          <w:sz w:val="20"/>
          <w:szCs w:val="20"/>
          <w:color w:val="auto"/>
        </w:rPr>
      </w:pPr>
    </w:p>
    <w:p>
      <w:pPr>
        <w:ind w:left="640" w:hanging="430"/>
        <w:spacing w:after="0"/>
        <w:tabs>
          <w:tab w:leader="none" w:pos="640" w:val="left"/>
        </w:tabs>
        <w:numPr>
          <w:ilvl w:val="0"/>
          <w:numId w:val="142"/>
        </w:numPr>
        <w:rPr>
          <w:rFonts w:ascii="Arial" w:cs="Arial" w:eastAsia="Arial" w:hAnsi="Arial"/>
          <w:sz w:val="13"/>
          <w:szCs w:val="13"/>
          <w:b w:val="1"/>
          <w:bCs w:val="1"/>
          <w:color w:val="auto"/>
        </w:rPr>
      </w:pPr>
      <w:r>
        <w:rPr>
          <w:rFonts w:ascii="Arial" w:cs="Arial" w:eastAsia="Arial" w:hAnsi="Arial"/>
          <w:sz w:val="13"/>
          <w:szCs w:val="13"/>
          <w:color w:val="007CBA"/>
        </w:rPr>
        <w:t>2019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confidentiality requirements to ensure that the executives do not disclose any confidential information relating to Martin Marietta.</w:t>
      </w:r>
    </w:p>
    <w:p>
      <w:pPr>
        <w:spacing w:after="0" w:line="1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agreements were amended in December 2018 in response to the 2018 Say On Pay vote that was supported by 78.9% of the shareholders that voted. The amendments eliminated (1) the “gross up” payments that compensate the executives for any golden parachute excise taxes imposed under the Internal Revenue Code; (2) the “walk-right” if the executive voluntarily terminates his or her employment for any reason during the thirty-day period following the second anniversary of the Change of Control; and (3) the inclusion of the value of perquisites in the severance payment provided for in the agreements.</w:t>
      </w:r>
    </w:p>
    <w:p>
      <w:pPr>
        <w:spacing w:after="0" w:line="20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term of the agreements is one year following their effective dates. On each anniversary date of the effective date, the agreements are renewed for one additional year, unless either party gives notice of its intent to cancel the automatic extension. If, prior to termination, a Change of Control occurs or the Board becomes aware of circumstances which in the ordinary course could result in a Change of Control, then under no circumstances will the agreements terminate prior to the second anniversary of the Change of Control.</w:t>
      </w:r>
    </w:p>
    <w:p>
      <w:pPr>
        <w:spacing w:after="0" w:line="20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addition, the Stock Plan, pursuant to which equity-based awards are made to the executive officers, provides that upon the occurrence of a Change of Control of Martin Marietta as provided in the Employment Protection Agreements, all time periods for purposes of vesting in, or realizing gain from, any outstanding award under the plan will automatically accelerate. For purposes of such vesting, any performance criteria will be deemed achieved at the greater of target performance and actual performance, as measured through the date of the Change of Control. In December 2018, in response to the 2018 Say On Pay vote, the Company’s form of restricted stock unit (RSU) award agreement and performance share unit (PSU) award agreement were changed such that future grants of RSUs and PSUs will require termination of the executive’s employment in connection with a Change of Control in order for accelerated vesting to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259715</wp:posOffset>
            </wp:positionV>
            <wp:extent cx="410845" cy="2482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ectPr>
          <w:pgSz w:w="11900" w:h="16838" w:orient="portrait"/>
          <w:cols w:equalWidth="0" w:num="2">
            <w:col w:w="5500" w:space="320"/>
            <w:col w:w="5400"/>
          </w:cols>
          <w:pgMar w:left="240" w:top="459" w:right="43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9" w:lineRule="exact"/>
        <w:rPr>
          <w:sz w:val="20"/>
          <w:szCs w:val="20"/>
          <w:color w:val="auto"/>
        </w:rPr>
      </w:pPr>
    </w:p>
    <w:p>
      <w:pPr>
        <w:ind w:left="5780"/>
        <w:spacing w:after="0" w:line="251" w:lineRule="exact"/>
        <w:tabs>
          <w:tab w:leader="none" w:pos="9420" w:val="left"/>
        </w:tabs>
        <w:rPr>
          <w:sz w:val="20"/>
          <w:szCs w:val="20"/>
          <w:color w:val="auto"/>
        </w:rPr>
      </w:pPr>
      <w:r>
        <w:rPr>
          <w:rFonts w:ascii="Arial" w:cs="Arial" w:eastAsia="Arial" w:hAnsi="Arial"/>
          <w:sz w:val="13"/>
          <w:szCs w:val="13"/>
          <w:color w:val="auto"/>
        </w:rPr>
        <w:t>Potential Payments Upon Termination or Change of Control</w:t>
      </w:r>
      <w:r>
        <w:rPr>
          <w:sz w:val="20"/>
          <w:szCs w:val="20"/>
          <w:color w:val="auto"/>
        </w:rPr>
        <w:tab/>
      </w:r>
      <w:r>
        <w:rPr>
          <w:rFonts w:ascii="MS PGothic" w:cs="MS PGothic" w:eastAsia="MS PGothic" w:hAnsi="MS PGothic"/>
          <w:sz w:val="25"/>
          <w:szCs w:val="25"/>
          <w:color w:val="007CBA"/>
        </w:rPr>
        <w:t xml:space="preserve">◆ </w:t>
      </w:r>
      <w:r>
        <w:rPr>
          <w:rFonts w:ascii="Arial" w:cs="Arial" w:eastAsia="Arial" w:hAnsi="Arial"/>
          <w:sz w:val="13"/>
          <w:szCs w:val="13"/>
          <w:color w:val="007CBA"/>
        </w:rPr>
        <w:t>Executive Compensation</w:t>
      </w:r>
    </w:p>
    <w:p>
      <w:pPr>
        <w:spacing w:after="0" w:line="200" w:lineRule="exact"/>
        <w:rPr>
          <w:sz w:val="20"/>
          <w:szCs w:val="20"/>
          <w:color w:val="auto"/>
        </w:rPr>
      </w:pPr>
    </w:p>
    <w:p>
      <w:pPr>
        <w:spacing w:after="0" w:line="257" w:lineRule="exact"/>
        <w:rPr>
          <w:sz w:val="20"/>
          <w:szCs w:val="20"/>
          <w:color w:val="auto"/>
        </w:rPr>
      </w:pPr>
    </w:p>
    <w:p>
      <w:pPr>
        <w:jc w:val="both"/>
        <w:ind w:left="220"/>
        <w:spacing w:after="0" w:line="266" w:lineRule="auto"/>
        <w:rPr>
          <w:sz w:val="20"/>
          <w:szCs w:val="20"/>
          <w:color w:val="auto"/>
        </w:rPr>
      </w:pPr>
      <w:r>
        <w:rPr>
          <w:rFonts w:ascii="Arial" w:cs="Arial" w:eastAsia="Arial" w:hAnsi="Arial"/>
          <w:sz w:val="16"/>
          <w:szCs w:val="16"/>
          <w:b w:val="1"/>
          <w:bCs w:val="1"/>
          <w:color w:val="auto"/>
        </w:rPr>
        <w:t>Value of Payments Upon Termination</w:t>
      </w:r>
      <w:r>
        <w:rPr>
          <w:rFonts w:ascii="Arial" w:cs="Arial" w:eastAsia="Arial" w:hAnsi="Arial"/>
          <w:sz w:val="16"/>
          <w:szCs w:val="16"/>
          <w:color w:val="auto"/>
        </w:rPr>
        <w:t>. The following table shows the potential incremental value of payments to each of our named executive 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upon termination, including in the event of a Change of Control of Martin Marietta, assuming a December 31, 2018 termination date and, where applicable, using the NYSE closing price of our common stock of $171.87 on December 31, 2018 (the last trading day of 2018).</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POTENTIAL INCREMENTAL VALUE OF PAYMENTS UPON TERMINATION</w:t>
      </w:r>
    </w:p>
    <w:p>
      <w:pPr>
        <w:spacing w:after="0" w:line="13"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OR CHANGE OF CONTROL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136525</wp:posOffset>
            </wp:positionV>
            <wp:extent cx="6998335" cy="44970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8335" cy="4497070"/>
                    </a:xfrm>
                    <a:prstGeom prst="rect">
                      <a:avLst/>
                    </a:prstGeom>
                    <a:noFill/>
                  </pic:spPr>
                </pic:pic>
              </a:graphicData>
            </a:graphic>
          </wp:anchor>
        </w:drawing>
      </w:r>
    </w:p>
    <w:p>
      <w:pPr>
        <w:spacing w:after="0" w:line="195" w:lineRule="exact"/>
        <w:rPr>
          <w:sz w:val="20"/>
          <w:szCs w:val="20"/>
          <w:color w:val="auto"/>
        </w:rPr>
      </w:pPr>
    </w:p>
    <w:tbl>
      <w:tblPr>
        <w:tblLayout w:type="fixed"/>
        <w:tblInd w:w="220" w:type="dxa"/>
        <w:tblCellMar>
          <w:top w:w="0" w:type="dxa"/>
          <w:left w:w="0" w:type="dxa"/>
          <w:bottom w:w="0" w:type="dxa"/>
          <w:right w:w="0" w:type="dxa"/>
        </w:tblCellMar>
      </w:tblPr>
      <w:tr>
        <w:trPr>
          <w:trHeight w:val="27"/>
        </w:trPr>
        <w:tc>
          <w:tcPr>
            <w:tcW w:w="1780" w:type="dxa"/>
            <w:vAlign w:val="bottom"/>
            <w:shd w:val="clear" w:color="auto" w:fill="007CBA"/>
          </w:tcPr>
          <w:p>
            <w:pPr>
              <w:spacing w:after="0"/>
              <w:rPr>
                <w:sz w:val="2"/>
                <w:szCs w:val="2"/>
                <w:color w:val="auto"/>
              </w:rPr>
            </w:pPr>
          </w:p>
        </w:tc>
        <w:tc>
          <w:tcPr>
            <w:tcW w:w="3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780" w:type="dxa"/>
            <w:vAlign w:val="bottom"/>
            <w:shd w:val="clear" w:color="auto" w:fill="007CBA"/>
          </w:tcPr>
          <w:p>
            <w:pPr>
              <w:spacing w:after="0"/>
              <w:rPr>
                <w:sz w:val="12"/>
                <w:szCs w:val="12"/>
                <w:color w:val="auto"/>
              </w:rPr>
            </w:pPr>
          </w:p>
        </w:tc>
        <w:tc>
          <w:tcPr>
            <w:tcW w:w="3580" w:type="dxa"/>
            <w:vAlign w:val="bottom"/>
            <w:shd w:val="clear" w:color="auto" w:fill="007CBA"/>
          </w:tcPr>
          <w:p>
            <w:pPr>
              <w:spacing w:after="0"/>
              <w:rPr>
                <w:sz w:val="12"/>
                <w:szCs w:val="12"/>
                <w:color w:val="auto"/>
              </w:rPr>
            </w:pPr>
          </w:p>
        </w:tc>
        <w:tc>
          <w:tcPr>
            <w:tcW w:w="1180" w:type="dxa"/>
            <w:vAlign w:val="bottom"/>
            <w:shd w:val="clear" w:color="auto" w:fill="007CBA"/>
          </w:tcPr>
          <w:p>
            <w:pPr>
              <w:spacing w:after="0"/>
              <w:rPr>
                <w:sz w:val="12"/>
                <w:szCs w:val="12"/>
                <w:color w:val="auto"/>
              </w:rPr>
            </w:pPr>
          </w:p>
        </w:tc>
        <w:tc>
          <w:tcPr>
            <w:tcW w:w="1220" w:type="dxa"/>
            <w:vAlign w:val="bottom"/>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rPr>
              <w:t>Involuntary</w:t>
            </w:r>
          </w:p>
        </w:tc>
        <w:tc>
          <w:tcPr>
            <w:tcW w:w="1080" w:type="dxa"/>
            <w:vAlign w:val="bottom"/>
            <w:shd w:val="clear" w:color="auto" w:fill="007CBA"/>
          </w:tcPr>
          <w:p>
            <w:pPr>
              <w:spacing w:after="0"/>
              <w:rPr>
                <w:sz w:val="12"/>
                <w:szCs w:val="12"/>
                <w:color w:val="auto"/>
              </w:rPr>
            </w:pPr>
          </w:p>
        </w:tc>
        <w:tc>
          <w:tcPr>
            <w:tcW w:w="1060" w:type="dxa"/>
            <w:vAlign w:val="bottom"/>
            <w:shd w:val="clear" w:color="auto" w:fill="007CBA"/>
          </w:tcPr>
          <w:p>
            <w:pPr>
              <w:spacing w:after="0"/>
              <w:rPr>
                <w:sz w:val="12"/>
                <w:szCs w:val="12"/>
                <w:color w:val="auto"/>
              </w:rPr>
            </w:pPr>
          </w:p>
        </w:tc>
        <w:tc>
          <w:tcPr>
            <w:tcW w:w="110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007CBA"/>
          </w:tcPr>
          <w:p>
            <w:pPr>
              <w:spacing w:after="0"/>
              <w:rPr>
                <w:sz w:val="14"/>
                <w:szCs w:val="14"/>
                <w:color w:val="auto"/>
              </w:rPr>
            </w:pPr>
          </w:p>
        </w:tc>
        <w:tc>
          <w:tcPr>
            <w:tcW w:w="3580" w:type="dxa"/>
            <w:vAlign w:val="bottom"/>
            <w:shd w:val="clear" w:color="auto" w:fill="007CBA"/>
          </w:tcPr>
          <w:p>
            <w:pPr>
              <w:spacing w:after="0"/>
              <w:rPr>
                <w:sz w:val="14"/>
                <w:szCs w:val="14"/>
                <w:color w:val="auto"/>
              </w:rPr>
            </w:pPr>
          </w:p>
        </w:tc>
        <w:tc>
          <w:tcPr>
            <w:tcW w:w="1180" w:type="dxa"/>
            <w:vAlign w:val="bottom"/>
            <w:shd w:val="clear" w:color="auto" w:fill="007CBA"/>
          </w:tcPr>
          <w:p>
            <w:pPr>
              <w:spacing w:after="0"/>
              <w:rPr>
                <w:sz w:val="14"/>
                <w:szCs w:val="14"/>
                <w:color w:val="auto"/>
              </w:rPr>
            </w:pPr>
          </w:p>
        </w:tc>
        <w:tc>
          <w:tcPr>
            <w:tcW w:w="122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Not-for-</w:t>
            </w:r>
          </w:p>
        </w:tc>
        <w:tc>
          <w:tcPr>
            <w:tcW w:w="1080" w:type="dxa"/>
            <w:vAlign w:val="bottom"/>
            <w:shd w:val="clear" w:color="auto" w:fill="007CBA"/>
          </w:tcPr>
          <w:p>
            <w:pPr>
              <w:spacing w:after="0"/>
              <w:rPr>
                <w:sz w:val="14"/>
                <w:szCs w:val="14"/>
                <w:color w:val="auto"/>
              </w:rPr>
            </w:pPr>
          </w:p>
        </w:tc>
        <w:tc>
          <w:tcPr>
            <w:tcW w:w="1060" w:type="dxa"/>
            <w:vAlign w:val="bottom"/>
            <w:shd w:val="clear" w:color="auto" w:fill="007CBA"/>
          </w:tcPr>
          <w:p>
            <w:pPr>
              <w:spacing w:after="0"/>
              <w:rPr>
                <w:sz w:val="14"/>
                <w:szCs w:val="14"/>
                <w:color w:val="auto"/>
              </w:rPr>
            </w:pPr>
          </w:p>
        </w:tc>
        <w:tc>
          <w:tcPr>
            <w:tcW w:w="110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w w:val="99"/>
              </w:rPr>
              <w:t>Change-</w:t>
            </w:r>
          </w:p>
        </w:tc>
        <w:tc>
          <w:tcPr>
            <w:tcW w:w="0" w:type="dxa"/>
            <w:vAlign w:val="bottom"/>
          </w:tcPr>
          <w:p>
            <w:pPr>
              <w:spacing w:after="0"/>
              <w:rPr>
                <w:sz w:val="1"/>
                <w:szCs w:val="1"/>
                <w:color w:val="auto"/>
              </w:rPr>
            </w:pPr>
          </w:p>
        </w:tc>
      </w:tr>
      <w:tr>
        <w:trPr>
          <w:trHeight w:val="162"/>
        </w:trPr>
        <w:tc>
          <w:tcPr>
            <w:tcW w:w="1780" w:type="dxa"/>
            <w:vAlign w:val="bottom"/>
            <w:shd w:val="clear" w:color="auto" w:fill="007CBA"/>
          </w:tcPr>
          <w:p>
            <w:pPr>
              <w:spacing w:after="0"/>
              <w:rPr>
                <w:sz w:val="14"/>
                <w:szCs w:val="14"/>
                <w:color w:val="auto"/>
              </w:rPr>
            </w:pPr>
          </w:p>
        </w:tc>
        <w:tc>
          <w:tcPr>
            <w:tcW w:w="3580" w:type="dxa"/>
            <w:vAlign w:val="bottom"/>
            <w:shd w:val="clear" w:color="auto" w:fill="007CBA"/>
          </w:tcPr>
          <w:p>
            <w:pPr>
              <w:spacing w:after="0"/>
              <w:rPr>
                <w:sz w:val="14"/>
                <w:szCs w:val="14"/>
                <w:color w:val="auto"/>
              </w:rPr>
            </w:pPr>
          </w:p>
        </w:tc>
        <w:tc>
          <w:tcPr>
            <w:tcW w:w="1180" w:type="dxa"/>
            <w:vAlign w:val="bottom"/>
            <w:shd w:val="clear" w:color="auto" w:fill="007CBA"/>
          </w:tcPr>
          <w:p>
            <w:pPr>
              <w:spacing w:after="0"/>
              <w:rPr>
                <w:sz w:val="14"/>
                <w:szCs w:val="14"/>
                <w:color w:val="auto"/>
              </w:rPr>
            </w:pPr>
          </w:p>
        </w:tc>
        <w:tc>
          <w:tcPr>
            <w:tcW w:w="122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w w:val="99"/>
              </w:rPr>
              <w:t>Cause</w:t>
            </w:r>
          </w:p>
        </w:tc>
        <w:tc>
          <w:tcPr>
            <w:tcW w:w="1080" w:type="dxa"/>
            <w:vAlign w:val="bottom"/>
            <w:shd w:val="clear" w:color="auto" w:fill="007CBA"/>
          </w:tcPr>
          <w:p>
            <w:pPr>
              <w:spacing w:after="0"/>
              <w:rPr>
                <w:sz w:val="14"/>
                <w:szCs w:val="14"/>
                <w:color w:val="auto"/>
              </w:rPr>
            </w:pPr>
          </w:p>
        </w:tc>
        <w:tc>
          <w:tcPr>
            <w:tcW w:w="1060" w:type="dxa"/>
            <w:vAlign w:val="bottom"/>
            <w:shd w:val="clear" w:color="auto" w:fill="007CBA"/>
          </w:tcPr>
          <w:p>
            <w:pPr>
              <w:spacing w:after="0"/>
              <w:rPr>
                <w:sz w:val="14"/>
                <w:szCs w:val="14"/>
                <w:color w:val="auto"/>
              </w:rPr>
            </w:pPr>
          </w:p>
        </w:tc>
        <w:tc>
          <w:tcPr>
            <w:tcW w:w="110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of-</w:t>
            </w:r>
          </w:p>
        </w:tc>
        <w:tc>
          <w:tcPr>
            <w:tcW w:w="0" w:type="dxa"/>
            <w:vAlign w:val="bottom"/>
          </w:tcPr>
          <w:p>
            <w:pPr>
              <w:spacing w:after="0"/>
              <w:rPr>
                <w:sz w:val="1"/>
                <w:szCs w:val="1"/>
                <w:color w:val="auto"/>
              </w:rPr>
            </w:pPr>
          </w:p>
        </w:tc>
      </w:tr>
      <w:tr>
        <w:trPr>
          <w:trHeight w:val="162"/>
        </w:trPr>
        <w:tc>
          <w:tcPr>
            <w:tcW w:w="1780" w:type="dxa"/>
            <w:vAlign w:val="bottom"/>
            <w:shd w:val="clear" w:color="auto" w:fill="007CBA"/>
          </w:tcPr>
          <w:p>
            <w:pPr>
              <w:ind w:left="140"/>
              <w:spacing w:after="0"/>
              <w:rPr>
                <w:sz w:val="20"/>
                <w:szCs w:val="20"/>
                <w:color w:val="auto"/>
              </w:rPr>
            </w:pPr>
            <w:r>
              <w:rPr>
                <w:rFonts w:ascii="Arial" w:cs="Arial" w:eastAsia="Arial" w:hAnsi="Arial"/>
                <w:sz w:val="14"/>
                <w:szCs w:val="14"/>
                <w:b w:val="1"/>
                <w:bCs w:val="1"/>
                <w:color w:val="FFFFFF"/>
              </w:rPr>
              <w:t>Name</w:t>
            </w:r>
          </w:p>
        </w:tc>
        <w:tc>
          <w:tcPr>
            <w:tcW w:w="3580" w:type="dxa"/>
            <w:vAlign w:val="bottom"/>
            <w:vMerge w:val="restart"/>
            <w:shd w:val="clear" w:color="auto" w:fill="007CBA"/>
          </w:tcPr>
          <w:p>
            <w:pPr>
              <w:ind w:left="1100"/>
              <w:spacing w:after="0"/>
              <w:rPr>
                <w:sz w:val="20"/>
                <w:szCs w:val="20"/>
                <w:color w:val="auto"/>
              </w:rPr>
            </w:pPr>
            <w:r>
              <w:rPr>
                <w:rFonts w:ascii="Arial" w:cs="Arial" w:eastAsia="Arial" w:hAnsi="Arial"/>
                <w:sz w:val="14"/>
                <w:szCs w:val="14"/>
                <w:b w:val="1"/>
                <w:bCs w:val="1"/>
                <w:color w:val="FFFFFF"/>
              </w:rPr>
              <w:t>Benefit or Payment</w:t>
            </w:r>
            <w:r>
              <w:rPr>
                <w:rFonts w:ascii="Arial" w:cs="Arial" w:eastAsia="Arial" w:hAnsi="Arial"/>
                <w:sz w:val="24"/>
                <w:szCs w:val="24"/>
                <w:b w:val="1"/>
                <w:bCs w:val="1"/>
                <w:color w:val="FFFFFF"/>
                <w:vertAlign w:val="superscript"/>
              </w:rPr>
              <w:t>1</w:t>
            </w:r>
          </w:p>
        </w:tc>
        <w:tc>
          <w:tcPr>
            <w:tcW w:w="1180" w:type="dxa"/>
            <w:vAlign w:val="bottom"/>
            <w:shd w:val="clear" w:color="auto" w:fill="007CBA"/>
          </w:tcPr>
          <w:p>
            <w:pPr>
              <w:jc w:val="right"/>
              <w:ind w:right="148"/>
              <w:spacing w:after="0"/>
              <w:rPr>
                <w:sz w:val="20"/>
                <w:szCs w:val="20"/>
                <w:color w:val="auto"/>
              </w:rPr>
            </w:pPr>
            <w:r>
              <w:rPr>
                <w:rFonts w:ascii="Arial" w:cs="Arial" w:eastAsia="Arial" w:hAnsi="Arial"/>
                <w:sz w:val="14"/>
                <w:szCs w:val="14"/>
                <w:b w:val="1"/>
                <w:bCs w:val="1"/>
                <w:color w:val="FFFFFF"/>
              </w:rPr>
              <w:t>Retirement</w:t>
            </w:r>
          </w:p>
        </w:tc>
        <w:tc>
          <w:tcPr>
            <w:tcW w:w="122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Termination</w:t>
            </w:r>
          </w:p>
        </w:tc>
        <w:tc>
          <w:tcPr>
            <w:tcW w:w="1080" w:type="dxa"/>
            <w:vAlign w:val="bottom"/>
            <w:shd w:val="clear" w:color="auto" w:fill="007CBA"/>
          </w:tcPr>
          <w:p>
            <w:pPr>
              <w:jc w:val="right"/>
              <w:ind w:right="148"/>
              <w:spacing w:after="0"/>
              <w:rPr>
                <w:sz w:val="20"/>
                <w:szCs w:val="20"/>
                <w:color w:val="auto"/>
              </w:rPr>
            </w:pPr>
            <w:r>
              <w:rPr>
                <w:rFonts w:ascii="Arial" w:cs="Arial" w:eastAsia="Arial" w:hAnsi="Arial"/>
                <w:sz w:val="14"/>
                <w:szCs w:val="14"/>
                <w:b w:val="1"/>
                <w:bCs w:val="1"/>
                <w:color w:val="FFFFFF"/>
              </w:rPr>
              <w:t>Disability</w:t>
            </w:r>
          </w:p>
        </w:tc>
        <w:tc>
          <w:tcPr>
            <w:tcW w:w="1060" w:type="dxa"/>
            <w:vAlign w:val="bottom"/>
            <w:shd w:val="clear" w:color="auto" w:fill="007CBA"/>
          </w:tcPr>
          <w:p>
            <w:pPr>
              <w:jc w:val="right"/>
              <w:ind w:right="288"/>
              <w:spacing w:after="0"/>
              <w:rPr>
                <w:sz w:val="20"/>
                <w:szCs w:val="20"/>
                <w:color w:val="auto"/>
              </w:rPr>
            </w:pPr>
            <w:r>
              <w:rPr>
                <w:rFonts w:ascii="Arial" w:cs="Arial" w:eastAsia="Arial" w:hAnsi="Arial"/>
                <w:sz w:val="14"/>
                <w:szCs w:val="14"/>
                <w:b w:val="1"/>
                <w:bCs w:val="1"/>
                <w:color w:val="FFFFFF"/>
              </w:rPr>
              <w:t>Death</w:t>
            </w:r>
          </w:p>
        </w:tc>
        <w:tc>
          <w:tcPr>
            <w:tcW w:w="110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Control</w:t>
            </w:r>
          </w:p>
        </w:tc>
        <w:tc>
          <w:tcPr>
            <w:tcW w:w="0" w:type="dxa"/>
            <w:vAlign w:val="bottom"/>
          </w:tcPr>
          <w:p>
            <w:pPr>
              <w:spacing w:after="0"/>
              <w:rPr>
                <w:sz w:val="1"/>
                <w:szCs w:val="1"/>
                <w:color w:val="auto"/>
              </w:rPr>
            </w:pPr>
          </w:p>
        </w:tc>
      </w:tr>
      <w:tr>
        <w:trPr>
          <w:trHeight w:val="202"/>
        </w:trPr>
        <w:tc>
          <w:tcPr>
            <w:tcW w:w="1780" w:type="dxa"/>
            <w:vAlign w:val="bottom"/>
            <w:shd w:val="clear" w:color="auto" w:fill="007CBA"/>
          </w:tcPr>
          <w:p>
            <w:pPr>
              <w:spacing w:after="0"/>
              <w:rPr>
                <w:sz w:val="17"/>
                <w:szCs w:val="17"/>
                <w:color w:val="auto"/>
              </w:rPr>
            </w:pPr>
          </w:p>
        </w:tc>
        <w:tc>
          <w:tcPr>
            <w:tcW w:w="3580" w:type="dxa"/>
            <w:vAlign w:val="bottom"/>
            <w:vMerge w:val="continue"/>
            <w:shd w:val="clear" w:color="auto" w:fill="007CBA"/>
          </w:tcPr>
          <w:p>
            <w:pPr>
              <w:spacing w:after="0"/>
              <w:rPr>
                <w:sz w:val="17"/>
                <w:szCs w:val="17"/>
                <w:color w:val="auto"/>
              </w:rPr>
            </w:pPr>
          </w:p>
        </w:tc>
        <w:tc>
          <w:tcPr>
            <w:tcW w:w="1180" w:type="dxa"/>
            <w:vAlign w:val="bottom"/>
            <w:shd w:val="clear" w:color="auto" w:fill="007CBA"/>
          </w:tcPr>
          <w:p>
            <w:pPr>
              <w:jc w:val="right"/>
              <w:ind w:right="428"/>
              <w:spacing w:after="0"/>
              <w:rPr>
                <w:sz w:val="20"/>
                <w:szCs w:val="20"/>
                <w:color w:val="auto"/>
              </w:rPr>
            </w:pPr>
            <w:r>
              <w:rPr>
                <w:rFonts w:ascii="Arial" w:cs="Arial" w:eastAsia="Arial" w:hAnsi="Arial"/>
                <w:sz w:val="14"/>
                <w:szCs w:val="14"/>
                <w:b w:val="1"/>
                <w:bCs w:val="1"/>
                <w:color w:val="FFFFFF"/>
              </w:rPr>
              <w:t>($)</w:t>
            </w:r>
          </w:p>
        </w:tc>
        <w:tc>
          <w:tcPr>
            <w:tcW w:w="122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1080" w:type="dxa"/>
            <w:vAlign w:val="bottom"/>
            <w:shd w:val="clear" w:color="auto" w:fill="007CBA"/>
          </w:tcPr>
          <w:p>
            <w:pPr>
              <w:jc w:val="right"/>
              <w:ind w:right="388"/>
              <w:spacing w:after="0"/>
              <w:rPr>
                <w:sz w:val="20"/>
                <w:szCs w:val="20"/>
                <w:color w:val="auto"/>
              </w:rPr>
            </w:pPr>
            <w:r>
              <w:rPr>
                <w:rFonts w:ascii="Arial" w:cs="Arial" w:eastAsia="Arial" w:hAnsi="Arial"/>
                <w:sz w:val="14"/>
                <w:szCs w:val="14"/>
                <w:b w:val="1"/>
                <w:bCs w:val="1"/>
                <w:color w:val="FFFFFF"/>
              </w:rPr>
              <w:t>($)</w:t>
            </w:r>
          </w:p>
        </w:tc>
        <w:tc>
          <w:tcPr>
            <w:tcW w:w="1060" w:type="dxa"/>
            <w:vAlign w:val="bottom"/>
            <w:shd w:val="clear" w:color="auto" w:fill="007CBA"/>
          </w:tcPr>
          <w:p>
            <w:pPr>
              <w:jc w:val="right"/>
              <w:ind w:right="388"/>
              <w:spacing w:after="0"/>
              <w:rPr>
                <w:sz w:val="20"/>
                <w:szCs w:val="20"/>
                <w:color w:val="auto"/>
              </w:rPr>
            </w:pPr>
            <w:r>
              <w:rPr>
                <w:rFonts w:ascii="Arial" w:cs="Arial" w:eastAsia="Arial" w:hAnsi="Arial"/>
                <w:sz w:val="14"/>
                <w:szCs w:val="14"/>
                <w:b w:val="1"/>
                <w:bCs w:val="1"/>
                <w:color w:val="FFFFFF"/>
              </w:rPr>
              <w:t>($)</w:t>
            </w:r>
          </w:p>
        </w:tc>
        <w:tc>
          <w:tcPr>
            <w:tcW w:w="110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w w:val="93"/>
              </w:rPr>
              <w:t>($)</w:t>
            </w:r>
          </w:p>
        </w:tc>
        <w:tc>
          <w:tcPr>
            <w:tcW w:w="0" w:type="dxa"/>
            <w:vAlign w:val="bottom"/>
          </w:tcPr>
          <w:p>
            <w:pPr>
              <w:spacing w:after="0"/>
              <w:rPr>
                <w:sz w:val="1"/>
                <w:szCs w:val="1"/>
                <w:color w:val="auto"/>
              </w:rPr>
            </w:pPr>
          </w:p>
        </w:tc>
      </w:tr>
      <w:tr>
        <w:trPr>
          <w:trHeight w:val="240"/>
        </w:trPr>
        <w:tc>
          <w:tcPr>
            <w:tcW w:w="1780" w:type="dxa"/>
            <w:vAlign w:val="bottom"/>
            <w:shd w:val="clear" w:color="auto" w:fill="E5F1F8"/>
          </w:tcPr>
          <w:p>
            <w:pPr>
              <w:spacing w:after="0"/>
              <w:rPr>
                <w:sz w:val="20"/>
                <w:szCs w:val="20"/>
                <w:color w:val="auto"/>
              </w:rPr>
            </w:pPr>
          </w:p>
        </w:tc>
        <w:tc>
          <w:tcPr>
            <w:tcW w:w="3580" w:type="dxa"/>
            <w:vAlign w:val="bottom"/>
            <w:shd w:val="clear" w:color="auto" w:fill="E5F1F8"/>
          </w:tcPr>
          <w:p>
            <w:pPr>
              <w:ind w:left="80"/>
              <w:spacing w:after="0" w:line="240" w:lineRule="exact"/>
              <w:rPr>
                <w:sz w:val="20"/>
                <w:szCs w:val="20"/>
                <w:color w:val="auto"/>
              </w:rPr>
            </w:pPr>
            <w:r>
              <w:rPr>
                <w:rFonts w:ascii="Arial" w:cs="Arial" w:eastAsia="Arial" w:hAnsi="Arial"/>
                <w:sz w:val="14"/>
                <w:szCs w:val="14"/>
                <w:color w:val="auto"/>
              </w:rPr>
              <w:t>Cash Severance</w:t>
            </w:r>
            <w:r>
              <w:rPr>
                <w:rFonts w:ascii="Arial" w:cs="Arial" w:eastAsia="Arial" w:hAnsi="Arial"/>
                <w:sz w:val="24"/>
                <w:szCs w:val="24"/>
                <w:color w:val="auto"/>
                <w:vertAlign w:val="superscript"/>
              </w:rPr>
              <w:t>2</w:t>
            </w:r>
          </w:p>
        </w:tc>
        <w:tc>
          <w:tcPr>
            <w:tcW w:w="1180" w:type="dxa"/>
            <w:vAlign w:val="bottom"/>
            <w:shd w:val="clear" w:color="auto" w:fill="E5F1F8"/>
          </w:tcPr>
          <w:p>
            <w:pPr>
              <w:spacing w:after="0"/>
              <w:rPr>
                <w:sz w:val="20"/>
                <w:szCs w:val="20"/>
                <w:color w:val="auto"/>
              </w:rPr>
            </w:pPr>
          </w:p>
        </w:tc>
        <w:tc>
          <w:tcPr>
            <w:tcW w:w="1220" w:type="dxa"/>
            <w:vAlign w:val="bottom"/>
            <w:shd w:val="clear" w:color="auto" w:fill="E5F1F8"/>
          </w:tcPr>
          <w:p>
            <w:pPr>
              <w:spacing w:after="0"/>
              <w:rPr>
                <w:sz w:val="20"/>
                <w:szCs w:val="20"/>
                <w:color w:val="auto"/>
              </w:rPr>
            </w:pPr>
          </w:p>
        </w:tc>
        <w:tc>
          <w:tcPr>
            <w:tcW w:w="1080" w:type="dxa"/>
            <w:vAlign w:val="bottom"/>
            <w:shd w:val="clear" w:color="auto" w:fill="E5F1F8"/>
          </w:tcPr>
          <w:p>
            <w:pPr>
              <w:spacing w:after="0"/>
              <w:rPr>
                <w:sz w:val="20"/>
                <w:szCs w:val="20"/>
                <w:color w:val="auto"/>
              </w:rPr>
            </w:pPr>
          </w:p>
        </w:tc>
        <w:tc>
          <w:tcPr>
            <w:tcW w:w="1060" w:type="dxa"/>
            <w:vAlign w:val="bottom"/>
            <w:shd w:val="clear" w:color="auto" w:fill="E5F1F8"/>
          </w:tcPr>
          <w:p>
            <w:pPr>
              <w:spacing w:after="0"/>
              <w:rPr>
                <w:sz w:val="20"/>
                <w:szCs w:val="20"/>
                <w:color w:val="auto"/>
              </w:rPr>
            </w:pPr>
          </w:p>
        </w:tc>
        <w:tc>
          <w:tcPr>
            <w:tcW w:w="1100" w:type="dxa"/>
            <w:vAlign w:val="bottom"/>
            <w:shd w:val="clear" w:color="auto" w:fill="E5F1F8"/>
          </w:tcPr>
          <w:p>
            <w:pPr>
              <w:jc w:val="right"/>
              <w:ind w:right="108"/>
              <w:spacing w:after="0"/>
              <w:rPr>
                <w:sz w:val="20"/>
                <w:szCs w:val="20"/>
                <w:color w:val="auto"/>
              </w:rPr>
            </w:pPr>
            <w:r>
              <w:rPr>
                <w:rFonts w:ascii="Arial" w:cs="Arial" w:eastAsia="Arial" w:hAnsi="Arial"/>
                <w:sz w:val="14"/>
                <w:szCs w:val="14"/>
                <w:color w:val="auto"/>
              </w:rPr>
              <w:t>9,300,000</w:t>
            </w:r>
          </w:p>
        </w:tc>
        <w:tc>
          <w:tcPr>
            <w:tcW w:w="0" w:type="dxa"/>
            <w:vAlign w:val="bottom"/>
          </w:tcPr>
          <w:p>
            <w:pPr>
              <w:spacing w:after="0"/>
              <w:rPr>
                <w:sz w:val="1"/>
                <w:szCs w:val="1"/>
                <w:color w:val="auto"/>
              </w:rPr>
            </w:pPr>
          </w:p>
        </w:tc>
      </w:tr>
      <w:tr>
        <w:trPr>
          <w:trHeight w:val="162"/>
        </w:trPr>
        <w:tc>
          <w:tcPr>
            <w:tcW w:w="1780" w:type="dxa"/>
            <w:vAlign w:val="bottom"/>
            <w:shd w:val="clear" w:color="auto" w:fill="E5F1F8"/>
          </w:tcPr>
          <w:p>
            <w:pPr>
              <w:spacing w:after="0"/>
              <w:rPr>
                <w:sz w:val="14"/>
                <w:szCs w:val="14"/>
                <w:color w:val="auto"/>
              </w:rPr>
            </w:pPr>
          </w:p>
        </w:tc>
        <w:tc>
          <w:tcPr>
            <w:tcW w:w="3580" w:type="dxa"/>
            <w:vAlign w:val="bottom"/>
            <w:shd w:val="clear" w:color="auto" w:fill="E5F1F8"/>
          </w:tcPr>
          <w:p>
            <w:pPr>
              <w:ind w:left="80"/>
              <w:spacing w:after="0" w:line="162" w:lineRule="exact"/>
              <w:rPr>
                <w:sz w:val="20"/>
                <w:szCs w:val="20"/>
                <w:color w:val="auto"/>
              </w:rPr>
            </w:pPr>
            <w:r>
              <w:rPr>
                <w:rFonts w:ascii="Arial" w:cs="Arial" w:eastAsia="Arial" w:hAnsi="Arial"/>
                <w:sz w:val="11"/>
                <w:szCs w:val="11"/>
                <w:color w:val="auto"/>
              </w:rPr>
              <w:t>Unvested RSUs</w:t>
            </w:r>
            <w:r>
              <w:rPr>
                <w:rFonts w:ascii="Arial" w:cs="Arial" w:eastAsia="Arial" w:hAnsi="Arial"/>
                <w:sz w:val="18"/>
                <w:szCs w:val="18"/>
                <w:color w:val="auto"/>
                <w:vertAlign w:val="superscript"/>
              </w:rPr>
              <w:t>3</w:t>
            </w:r>
          </w:p>
        </w:tc>
        <w:tc>
          <w:tcPr>
            <w:tcW w:w="1180" w:type="dxa"/>
            <w:vAlign w:val="bottom"/>
            <w:shd w:val="clear" w:color="auto" w:fill="E5F1F8"/>
          </w:tcPr>
          <w:p>
            <w:pPr>
              <w:jc w:val="right"/>
              <w:ind w:right="188"/>
              <w:spacing w:after="0"/>
              <w:rPr>
                <w:sz w:val="20"/>
                <w:szCs w:val="20"/>
                <w:color w:val="auto"/>
              </w:rPr>
            </w:pPr>
            <w:r>
              <w:rPr>
                <w:rFonts w:ascii="Arial" w:cs="Arial" w:eastAsia="Arial" w:hAnsi="Arial"/>
                <w:sz w:val="14"/>
                <w:szCs w:val="14"/>
                <w:color w:val="auto"/>
              </w:rPr>
              <w:t>3,196,266</w:t>
            </w:r>
          </w:p>
        </w:tc>
        <w:tc>
          <w:tcPr>
            <w:tcW w:w="1220" w:type="dxa"/>
            <w:vAlign w:val="bottom"/>
            <w:shd w:val="clear" w:color="auto" w:fill="E5F1F8"/>
          </w:tcPr>
          <w:p>
            <w:pPr>
              <w:jc w:val="right"/>
              <w:ind w:right="188"/>
              <w:spacing w:after="0"/>
              <w:rPr>
                <w:sz w:val="20"/>
                <w:szCs w:val="20"/>
                <w:color w:val="auto"/>
              </w:rPr>
            </w:pPr>
            <w:r>
              <w:rPr>
                <w:rFonts w:ascii="Arial" w:cs="Arial" w:eastAsia="Arial" w:hAnsi="Arial"/>
                <w:sz w:val="14"/>
                <w:szCs w:val="14"/>
                <w:color w:val="auto"/>
              </w:rPr>
              <w:t>3,793,171</w:t>
            </w:r>
          </w:p>
        </w:tc>
        <w:tc>
          <w:tcPr>
            <w:tcW w:w="1080" w:type="dxa"/>
            <w:vAlign w:val="bottom"/>
            <w:shd w:val="clear" w:color="auto" w:fill="E5F1F8"/>
          </w:tcPr>
          <w:p>
            <w:pPr>
              <w:jc w:val="right"/>
              <w:ind w:right="128"/>
              <w:spacing w:after="0"/>
              <w:rPr>
                <w:sz w:val="20"/>
                <w:szCs w:val="20"/>
                <w:color w:val="auto"/>
              </w:rPr>
            </w:pPr>
            <w:r>
              <w:rPr>
                <w:rFonts w:ascii="Arial" w:cs="Arial" w:eastAsia="Arial" w:hAnsi="Arial"/>
                <w:sz w:val="14"/>
                <w:szCs w:val="14"/>
                <w:color w:val="auto"/>
              </w:rPr>
              <w:t>6,989,437</w:t>
            </w:r>
          </w:p>
        </w:tc>
        <w:tc>
          <w:tcPr>
            <w:tcW w:w="1060" w:type="dxa"/>
            <w:vAlign w:val="bottom"/>
            <w:shd w:val="clear" w:color="auto" w:fill="E5F1F8"/>
          </w:tcPr>
          <w:p>
            <w:pPr>
              <w:jc w:val="right"/>
              <w:ind w:right="148"/>
              <w:spacing w:after="0"/>
              <w:rPr>
                <w:sz w:val="20"/>
                <w:szCs w:val="20"/>
                <w:color w:val="auto"/>
              </w:rPr>
            </w:pPr>
            <w:r>
              <w:rPr>
                <w:rFonts w:ascii="Arial" w:cs="Arial" w:eastAsia="Arial" w:hAnsi="Arial"/>
                <w:sz w:val="14"/>
                <w:szCs w:val="14"/>
                <w:color w:val="auto"/>
              </w:rPr>
              <w:t>6,989,437</w:t>
            </w:r>
          </w:p>
        </w:tc>
        <w:tc>
          <w:tcPr>
            <w:tcW w:w="1100" w:type="dxa"/>
            <w:vAlign w:val="bottom"/>
            <w:shd w:val="clear" w:color="auto" w:fill="E5F1F8"/>
          </w:tcPr>
          <w:p>
            <w:pPr>
              <w:jc w:val="right"/>
              <w:ind w:right="108"/>
              <w:spacing w:after="0"/>
              <w:rPr>
                <w:sz w:val="20"/>
                <w:szCs w:val="20"/>
                <w:color w:val="auto"/>
              </w:rPr>
            </w:pPr>
            <w:r>
              <w:rPr>
                <w:rFonts w:ascii="Arial" w:cs="Arial" w:eastAsia="Arial" w:hAnsi="Arial"/>
                <w:sz w:val="14"/>
                <w:szCs w:val="14"/>
                <w:color w:val="auto"/>
              </w:rPr>
              <w:t>6,989,437</w:t>
            </w:r>
          </w:p>
        </w:tc>
        <w:tc>
          <w:tcPr>
            <w:tcW w:w="0" w:type="dxa"/>
            <w:vAlign w:val="bottom"/>
          </w:tcPr>
          <w:p>
            <w:pPr>
              <w:spacing w:after="0"/>
              <w:rPr>
                <w:sz w:val="1"/>
                <w:szCs w:val="1"/>
                <w:color w:val="auto"/>
              </w:rPr>
            </w:pPr>
          </w:p>
        </w:tc>
      </w:tr>
      <w:tr>
        <w:trPr>
          <w:trHeight w:val="162"/>
        </w:trPr>
        <w:tc>
          <w:tcPr>
            <w:tcW w:w="1780" w:type="dxa"/>
            <w:vAlign w:val="bottom"/>
            <w:shd w:val="clear" w:color="auto" w:fill="E5F1F8"/>
          </w:tcPr>
          <w:p>
            <w:pPr>
              <w:spacing w:after="0"/>
              <w:rPr>
                <w:sz w:val="14"/>
                <w:szCs w:val="14"/>
                <w:color w:val="auto"/>
              </w:rPr>
            </w:pPr>
          </w:p>
        </w:tc>
        <w:tc>
          <w:tcPr>
            <w:tcW w:w="3580" w:type="dxa"/>
            <w:vAlign w:val="bottom"/>
            <w:shd w:val="clear" w:color="auto" w:fill="E5F1F8"/>
          </w:tcPr>
          <w:p>
            <w:pPr>
              <w:ind w:left="80"/>
              <w:spacing w:after="0" w:line="162" w:lineRule="exact"/>
              <w:rPr>
                <w:sz w:val="20"/>
                <w:szCs w:val="20"/>
                <w:color w:val="auto"/>
              </w:rPr>
            </w:pPr>
            <w:r>
              <w:rPr>
                <w:rFonts w:ascii="Arial" w:cs="Arial" w:eastAsia="Arial" w:hAnsi="Arial"/>
                <w:sz w:val="11"/>
                <w:szCs w:val="11"/>
                <w:color w:val="auto"/>
              </w:rPr>
              <w:t>Unexercisable Options</w:t>
            </w:r>
            <w:r>
              <w:rPr>
                <w:rFonts w:ascii="Arial" w:cs="Arial" w:eastAsia="Arial" w:hAnsi="Arial"/>
                <w:sz w:val="18"/>
                <w:szCs w:val="18"/>
                <w:color w:val="auto"/>
                <w:vertAlign w:val="superscript"/>
              </w:rPr>
              <w:t>4</w:t>
            </w:r>
          </w:p>
        </w:tc>
        <w:tc>
          <w:tcPr>
            <w:tcW w:w="1180" w:type="dxa"/>
            <w:vAlign w:val="bottom"/>
            <w:shd w:val="clear" w:color="auto" w:fill="E5F1F8"/>
          </w:tcPr>
          <w:p>
            <w:pPr>
              <w:jc w:val="right"/>
              <w:ind w:right="168"/>
              <w:spacing w:after="0"/>
              <w:rPr>
                <w:sz w:val="20"/>
                <w:szCs w:val="20"/>
                <w:color w:val="auto"/>
              </w:rPr>
            </w:pPr>
            <w:r>
              <w:rPr>
                <w:rFonts w:ascii="Arial" w:cs="Arial" w:eastAsia="Arial" w:hAnsi="Arial"/>
                <w:sz w:val="14"/>
                <w:szCs w:val="14"/>
                <w:color w:val="auto"/>
              </w:rPr>
              <w:t>57,207</w:t>
            </w:r>
          </w:p>
        </w:tc>
        <w:tc>
          <w:tcPr>
            <w:tcW w:w="1220" w:type="dxa"/>
            <w:vAlign w:val="bottom"/>
            <w:shd w:val="clear" w:color="auto" w:fill="E5F1F8"/>
          </w:tcPr>
          <w:p>
            <w:pPr>
              <w:spacing w:after="0"/>
              <w:rPr>
                <w:sz w:val="14"/>
                <w:szCs w:val="14"/>
                <w:color w:val="auto"/>
              </w:rPr>
            </w:pPr>
          </w:p>
        </w:tc>
        <w:tc>
          <w:tcPr>
            <w:tcW w:w="1080" w:type="dxa"/>
            <w:vAlign w:val="bottom"/>
            <w:shd w:val="clear" w:color="auto" w:fill="E5F1F8"/>
          </w:tcPr>
          <w:p>
            <w:pPr>
              <w:jc w:val="right"/>
              <w:ind w:right="128"/>
              <w:spacing w:after="0"/>
              <w:rPr>
                <w:sz w:val="20"/>
                <w:szCs w:val="20"/>
                <w:color w:val="auto"/>
              </w:rPr>
            </w:pPr>
            <w:r>
              <w:rPr>
                <w:rFonts w:ascii="Arial" w:cs="Arial" w:eastAsia="Arial" w:hAnsi="Arial"/>
                <w:sz w:val="14"/>
                <w:szCs w:val="14"/>
                <w:color w:val="auto"/>
              </w:rPr>
              <w:t>57,207</w:t>
            </w:r>
          </w:p>
        </w:tc>
        <w:tc>
          <w:tcPr>
            <w:tcW w:w="1060" w:type="dxa"/>
            <w:vAlign w:val="bottom"/>
            <w:shd w:val="clear" w:color="auto" w:fill="E5F1F8"/>
          </w:tcPr>
          <w:p>
            <w:pPr>
              <w:jc w:val="right"/>
              <w:ind w:right="148"/>
              <w:spacing w:after="0"/>
              <w:rPr>
                <w:sz w:val="20"/>
                <w:szCs w:val="20"/>
                <w:color w:val="auto"/>
              </w:rPr>
            </w:pPr>
            <w:r>
              <w:rPr>
                <w:rFonts w:ascii="Arial" w:cs="Arial" w:eastAsia="Arial" w:hAnsi="Arial"/>
                <w:sz w:val="14"/>
                <w:szCs w:val="14"/>
                <w:color w:val="auto"/>
              </w:rPr>
              <w:t>57,207</w:t>
            </w:r>
          </w:p>
        </w:tc>
        <w:tc>
          <w:tcPr>
            <w:tcW w:w="1100" w:type="dxa"/>
            <w:vAlign w:val="bottom"/>
            <w:shd w:val="clear" w:color="auto" w:fill="E5F1F8"/>
          </w:tcPr>
          <w:p>
            <w:pPr>
              <w:jc w:val="right"/>
              <w:ind w:right="108"/>
              <w:spacing w:after="0"/>
              <w:rPr>
                <w:sz w:val="20"/>
                <w:szCs w:val="20"/>
                <w:color w:val="auto"/>
              </w:rPr>
            </w:pPr>
            <w:r>
              <w:rPr>
                <w:rFonts w:ascii="Arial" w:cs="Arial" w:eastAsia="Arial" w:hAnsi="Arial"/>
                <w:sz w:val="14"/>
                <w:szCs w:val="14"/>
                <w:color w:val="auto"/>
              </w:rPr>
              <w:t>57,207</w:t>
            </w:r>
          </w:p>
        </w:tc>
        <w:tc>
          <w:tcPr>
            <w:tcW w:w="0" w:type="dxa"/>
            <w:vAlign w:val="bottom"/>
          </w:tcPr>
          <w:p>
            <w:pPr>
              <w:spacing w:after="0"/>
              <w:rPr>
                <w:sz w:val="1"/>
                <w:szCs w:val="1"/>
                <w:color w:val="auto"/>
              </w:rPr>
            </w:pPr>
          </w:p>
        </w:tc>
      </w:tr>
      <w:tr>
        <w:trPr>
          <w:trHeight w:val="162"/>
        </w:trPr>
        <w:tc>
          <w:tcPr>
            <w:tcW w:w="1780" w:type="dxa"/>
            <w:vAlign w:val="bottom"/>
            <w:vMerge w:val="restart"/>
            <w:shd w:val="clear" w:color="auto" w:fill="E5F1F8"/>
          </w:tcPr>
          <w:p>
            <w:pPr>
              <w:ind w:left="140"/>
              <w:spacing w:after="0"/>
              <w:rPr>
                <w:sz w:val="20"/>
                <w:szCs w:val="20"/>
                <w:color w:val="auto"/>
              </w:rPr>
            </w:pPr>
            <w:r>
              <w:rPr>
                <w:rFonts w:ascii="Arial" w:cs="Arial" w:eastAsia="Arial" w:hAnsi="Arial"/>
                <w:sz w:val="14"/>
                <w:szCs w:val="14"/>
                <w:b w:val="1"/>
                <w:bCs w:val="1"/>
                <w:color w:val="auto"/>
              </w:rPr>
              <w:t>C. Howard Nye</w:t>
            </w:r>
          </w:p>
        </w:tc>
        <w:tc>
          <w:tcPr>
            <w:tcW w:w="3580" w:type="dxa"/>
            <w:vAlign w:val="bottom"/>
            <w:shd w:val="clear" w:color="auto" w:fill="E5F1F8"/>
          </w:tcPr>
          <w:p>
            <w:pPr>
              <w:ind w:left="80"/>
              <w:spacing w:after="0" w:line="162" w:lineRule="exact"/>
              <w:rPr>
                <w:sz w:val="20"/>
                <w:szCs w:val="20"/>
                <w:color w:val="auto"/>
              </w:rPr>
            </w:pPr>
            <w:r>
              <w:rPr>
                <w:rFonts w:ascii="Arial" w:cs="Arial" w:eastAsia="Arial" w:hAnsi="Arial"/>
                <w:sz w:val="11"/>
                <w:szCs w:val="11"/>
                <w:color w:val="auto"/>
              </w:rPr>
              <w:t>Unvested Incentive Stock Plan Units</w:t>
            </w:r>
            <w:r>
              <w:rPr>
                <w:rFonts w:ascii="Arial" w:cs="Arial" w:eastAsia="Arial" w:hAnsi="Arial"/>
                <w:sz w:val="18"/>
                <w:szCs w:val="18"/>
                <w:color w:val="auto"/>
                <w:vertAlign w:val="superscript"/>
              </w:rPr>
              <w:t>5</w:t>
            </w:r>
          </w:p>
        </w:tc>
        <w:tc>
          <w:tcPr>
            <w:tcW w:w="1180" w:type="dxa"/>
            <w:vAlign w:val="bottom"/>
            <w:shd w:val="clear" w:color="auto" w:fill="E5F1F8"/>
          </w:tcPr>
          <w:p>
            <w:pPr>
              <w:jc w:val="right"/>
              <w:ind w:right="168"/>
              <w:spacing w:after="0"/>
              <w:rPr>
                <w:sz w:val="20"/>
                <w:szCs w:val="20"/>
                <w:color w:val="auto"/>
              </w:rPr>
            </w:pPr>
            <w:r>
              <w:rPr>
                <w:rFonts w:ascii="Arial" w:cs="Arial" w:eastAsia="Arial" w:hAnsi="Arial"/>
                <w:sz w:val="14"/>
                <w:szCs w:val="14"/>
                <w:color w:val="auto"/>
              </w:rPr>
              <w:t>42,503</w:t>
            </w:r>
          </w:p>
        </w:tc>
        <w:tc>
          <w:tcPr>
            <w:tcW w:w="1220" w:type="dxa"/>
            <w:vAlign w:val="bottom"/>
            <w:shd w:val="clear" w:color="auto" w:fill="E5F1F8"/>
          </w:tcPr>
          <w:p>
            <w:pPr>
              <w:jc w:val="right"/>
              <w:ind w:right="188"/>
              <w:spacing w:after="0"/>
              <w:rPr>
                <w:sz w:val="20"/>
                <w:szCs w:val="20"/>
                <w:color w:val="auto"/>
              </w:rPr>
            </w:pPr>
            <w:r>
              <w:rPr>
                <w:rFonts w:ascii="Arial" w:cs="Arial" w:eastAsia="Arial" w:hAnsi="Arial"/>
                <w:sz w:val="14"/>
                <w:szCs w:val="14"/>
                <w:color w:val="auto"/>
              </w:rPr>
              <w:t>22,974</w:t>
            </w:r>
          </w:p>
        </w:tc>
        <w:tc>
          <w:tcPr>
            <w:tcW w:w="1080" w:type="dxa"/>
            <w:vAlign w:val="bottom"/>
            <w:shd w:val="clear" w:color="auto" w:fill="E5F1F8"/>
          </w:tcPr>
          <w:p>
            <w:pPr>
              <w:jc w:val="right"/>
              <w:ind w:right="128"/>
              <w:spacing w:after="0"/>
              <w:rPr>
                <w:sz w:val="20"/>
                <w:szCs w:val="20"/>
                <w:color w:val="auto"/>
              </w:rPr>
            </w:pPr>
            <w:r>
              <w:rPr>
                <w:rFonts w:ascii="Arial" w:cs="Arial" w:eastAsia="Arial" w:hAnsi="Arial"/>
                <w:sz w:val="14"/>
                <w:szCs w:val="14"/>
                <w:color w:val="auto"/>
              </w:rPr>
              <w:t>42,503</w:t>
            </w:r>
          </w:p>
        </w:tc>
        <w:tc>
          <w:tcPr>
            <w:tcW w:w="1060" w:type="dxa"/>
            <w:vAlign w:val="bottom"/>
            <w:shd w:val="clear" w:color="auto" w:fill="E5F1F8"/>
          </w:tcPr>
          <w:p>
            <w:pPr>
              <w:jc w:val="right"/>
              <w:ind w:right="148"/>
              <w:spacing w:after="0"/>
              <w:rPr>
                <w:sz w:val="20"/>
                <w:szCs w:val="20"/>
                <w:color w:val="auto"/>
              </w:rPr>
            </w:pPr>
            <w:r>
              <w:rPr>
                <w:rFonts w:ascii="Arial" w:cs="Arial" w:eastAsia="Arial" w:hAnsi="Arial"/>
                <w:sz w:val="14"/>
                <w:szCs w:val="14"/>
                <w:color w:val="auto"/>
              </w:rPr>
              <w:t>42,503</w:t>
            </w:r>
          </w:p>
        </w:tc>
        <w:tc>
          <w:tcPr>
            <w:tcW w:w="1100" w:type="dxa"/>
            <w:vAlign w:val="bottom"/>
            <w:shd w:val="clear" w:color="auto" w:fill="E5F1F8"/>
          </w:tcPr>
          <w:p>
            <w:pPr>
              <w:jc w:val="right"/>
              <w:ind w:right="108"/>
              <w:spacing w:after="0"/>
              <w:rPr>
                <w:sz w:val="20"/>
                <w:szCs w:val="20"/>
                <w:color w:val="auto"/>
              </w:rPr>
            </w:pPr>
            <w:r>
              <w:rPr>
                <w:rFonts w:ascii="Arial" w:cs="Arial" w:eastAsia="Arial" w:hAnsi="Arial"/>
                <w:sz w:val="14"/>
                <w:szCs w:val="14"/>
                <w:color w:val="auto"/>
              </w:rPr>
              <w:t>42,503</w:t>
            </w:r>
          </w:p>
        </w:tc>
        <w:tc>
          <w:tcPr>
            <w:tcW w:w="0" w:type="dxa"/>
            <w:vAlign w:val="bottom"/>
          </w:tcPr>
          <w:p>
            <w:pPr>
              <w:spacing w:after="0"/>
              <w:rPr>
                <w:sz w:val="1"/>
                <w:szCs w:val="1"/>
                <w:color w:val="auto"/>
              </w:rPr>
            </w:pPr>
          </w:p>
        </w:tc>
      </w:tr>
      <w:tr>
        <w:trPr>
          <w:trHeight w:val="162"/>
        </w:trPr>
        <w:tc>
          <w:tcPr>
            <w:tcW w:w="1780" w:type="dxa"/>
            <w:vAlign w:val="bottom"/>
            <w:vMerge w:val="continue"/>
            <w:shd w:val="clear" w:color="auto" w:fill="E5F1F8"/>
          </w:tcPr>
          <w:p>
            <w:pPr>
              <w:spacing w:after="0"/>
              <w:rPr>
                <w:sz w:val="14"/>
                <w:szCs w:val="14"/>
                <w:color w:val="auto"/>
              </w:rPr>
            </w:pPr>
          </w:p>
        </w:tc>
        <w:tc>
          <w:tcPr>
            <w:tcW w:w="3580" w:type="dxa"/>
            <w:vAlign w:val="bottom"/>
            <w:shd w:val="clear" w:color="auto" w:fill="E5F1F8"/>
          </w:tcPr>
          <w:p>
            <w:pPr>
              <w:ind w:left="80"/>
              <w:spacing w:after="0" w:line="162" w:lineRule="exact"/>
              <w:rPr>
                <w:sz w:val="20"/>
                <w:szCs w:val="20"/>
                <w:color w:val="auto"/>
              </w:rPr>
            </w:pPr>
            <w:r>
              <w:rPr>
                <w:rFonts w:ascii="Arial" w:cs="Arial" w:eastAsia="Arial" w:hAnsi="Arial"/>
                <w:sz w:val="11"/>
                <w:szCs w:val="11"/>
                <w:color w:val="auto"/>
              </w:rPr>
              <w:t>PSUs</w:t>
            </w:r>
            <w:r>
              <w:rPr>
                <w:rFonts w:ascii="Arial" w:cs="Arial" w:eastAsia="Arial" w:hAnsi="Arial"/>
                <w:sz w:val="18"/>
                <w:szCs w:val="18"/>
                <w:color w:val="auto"/>
                <w:vertAlign w:val="superscript"/>
              </w:rPr>
              <w:t>6</w:t>
            </w:r>
          </w:p>
        </w:tc>
        <w:tc>
          <w:tcPr>
            <w:tcW w:w="1180" w:type="dxa"/>
            <w:vAlign w:val="bottom"/>
            <w:shd w:val="clear" w:color="auto" w:fill="E5F1F8"/>
          </w:tcPr>
          <w:p>
            <w:pPr>
              <w:jc w:val="right"/>
              <w:ind w:right="188"/>
              <w:spacing w:after="0"/>
              <w:rPr>
                <w:sz w:val="20"/>
                <w:szCs w:val="20"/>
                <w:color w:val="auto"/>
              </w:rPr>
            </w:pPr>
            <w:r>
              <w:rPr>
                <w:rFonts w:ascii="Arial" w:cs="Arial" w:eastAsia="Arial" w:hAnsi="Arial"/>
                <w:sz w:val="14"/>
                <w:szCs w:val="14"/>
                <w:color w:val="auto"/>
              </w:rPr>
              <w:t>3,659,972</w:t>
            </w:r>
          </w:p>
        </w:tc>
        <w:tc>
          <w:tcPr>
            <w:tcW w:w="1220" w:type="dxa"/>
            <w:vAlign w:val="bottom"/>
            <w:shd w:val="clear" w:color="auto" w:fill="E5F1F8"/>
          </w:tcPr>
          <w:p>
            <w:pPr>
              <w:spacing w:after="0"/>
              <w:rPr>
                <w:sz w:val="14"/>
                <w:szCs w:val="14"/>
                <w:color w:val="auto"/>
              </w:rPr>
            </w:pPr>
          </w:p>
        </w:tc>
        <w:tc>
          <w:tcPr>
            <w:tcW w:w="1080" w:type="dxa"/>
            <w:vAlign w:val="bottom"/>
            <w:shd w:val="clear" w:color="auto" w:fill="E5F1F8"/>
          </w:tcPr>
          <w:p>
            <w:pPr>
              <w:jc w:val="right"/>
              <w:ind w:right="128"/>
              <w:spacing w:after="0"/>
              <w:rPr>
                <w:sz w:val="20"/>
                <w:szCs w:val="20"/>
                <w:color w:val="auto"/>
              </w:rPr>
            </w:pPr>
            <w:r>
              <w:rPr>
                <w:rFonts w:ascii="Arial" w:cs="Arial" w:eastAsia="Arial" w:hAnsi="Arial"/>
                <w:sz w:val="14"/>
                <w:szCs w:val="14"/>
                <w:color w:val="auto"/>
              </w:rPr>
              <w:t>3,659,972</w:t>
            </w:r>
          </w:p>
        </w:tc>
        <w:tc>
          <w:tcPr>
            <w:tcW w:w="1060" w:type="dxa"/>
            <w:vAlign w:val="bottom"/>
            <w:shd w:val="clear" w:color="auto" w:fill="E5F1F8"/>
          </w:tcPr>
          <w:p>
            <w:pPr>
              <w:jc w:val="right"/>
              <w:ind w:right="148"/>
              <w:spacing w:after="0"/>
              <w:rPr>
                <w:sz w:val="20"/>
                <w:szCs w:val="20"/>
                <w:color w:val="auto"/>
              </w:rPr>
            </w:pPr>
            <w:r>
              <w:rPr>
                <w:rFonts w:ascii="Arial" w:cs="Arial" w:eastAsia="Arial" w:hAnsi="Arial"/>
                <w:sz w:val="14"/>
                <w:szCs w:val="14"/>
                <w:color w:val="auto"/>
              </w:rPr>
              <w:t>3,659,972</w:t>
            </w:r>
          </w:p>
        </w:tc>
        <w:tc>
          <w:tcPr>
            <w:tcW w:w="1100" w:type="dxa"/>
            <w:vAlign w:val="bottom"/>
            <w:shd w:val="clear" w:color="auto" w:fill="E5F1F8"/>
          </w:tcPr>
          <w:p>
            <w:pPr>
              <w:jc w:val="right"/>
              <w:ind w:right="108"/>
              <w:spacing w:after="0"/>
              <w:rPr>
                <w:sz w:val="20"/>
                <w:szCs w:val="20"/>
                <w:color w:val="auto"/>
              </w:rPr>
            </w:pPr>
            <w:r>
              <w:rPr>
                <w:rFonts w:ascii="Arial" w:cs="Arial" w:eastAsia="Arial" w:hAnsi="Arial"/>
                <w:sz w:val="14"/>
                <w:szCs w:val="14"/>
                <w:color w:val="auto"/>
              </w:rPr>
              <w:t>3,659,972</w:t>
            </w:r>
          </w:p>
        </w:tc>
        <w:tc>
          <w:tcPr>
            <w:tcW w:w="0" w:type="dxa"/>
            <w:vAlign w:val="bottom"/>
          </w:tcPr>
          <w:p>
            <w:pPr>
              <w:spacing w:after="0"/>
              <w:rPr>
                <w:sz w:val="1"/>
                <w:szCs w:val="1"/>
                <w:color w:val="auto"/>
              </w:rPr>
            </w:pPr>
          </w:p>
        </w:tc>
      </w:tr>
      <w:tr>
        <w:trPr>
          <w:trHeight w:val="162"/>
        </w:trPr>
        <w:tc>
          <w:tcPr>
            <w:tcW w:w="1780" w:type="dxa"/>
            <w:vAlign w:val="bottom"/>
            <w:shd w:val="clear" w:color="auto" w:fill="E5F1F8"/>
          </w:tcPr>
          <w:p>
            <w:pPr>
              <w:spacing w:after="0"/>
              <w:rPr>
                <w:sz w:val="14"/>
                <w:szCs w:val="14"/>
                <w:color w:val="auto"/>
              </w:rPr>
            </w:pPr>
          </w:p>
        </w:tc>
        <w:tc>
          <w:tcPr>
            <w:tcW w:w="3580" w:type="dxa"/>
            <w:vAlign w:val="bottom"/>
            <w:shd w:val="clear" w:color="auto" w:fill="E5F1F8"/>
          </w:tcPr>
          <w:p>
            <w:pPr>
              <w:ind w:left="80"/>
              <w:spacing w:after="0" w:line="162" w:lineRule="exact"/>
              <w:rPr>
                <w:sz w:val="20"/>
                <w:szCs w:val="20"/>
                <w:color w:val="auto"/>
              </w:rPr>
            </w:pPr>
            <w:r>
              <w:rPr>
                <w:rFonts w:ascii="Arial" w:cs="Arial" w:eastAsia="Arial" w:hAnsi="Arial"/>
                <w:sz w:val="11"/>
                <w:szCs w:val="11"/>
                <w:color w:val="auto"/>
              </w:rPr>
              <w:t>Retirement Plans</w:t>
            </w:r>
            <w:r>
              <w:rPr>
                <w:rFonts w:ascii="Arial" w:cs="Arial" w:eastAsia="Arial" w:hAnsi="Arial"/>
                <w:sz w:val="18"/>
                <w:szCs w:val="18"/>
                <w:color w:val="auto"/>
                <w:vertAlign w:val="superscript"/>
              </w:rPr>
              <w:t>7</w:t>
            </w:r>
          </w:p>
        </w:tc>
        <w:tc>
          <w:tcPr>
            <w:tcW w:w="1180" w:type="dxa"/>
            <w:vAlign w:val="bottom"/>
            <w:shd w:val="clear" w:color="auto" w:fill="E5F1F8"/>
          </w:tcPr>
          <w:p>
            <w:pPr>
              <w:spacing w:after="0"/>
              <w:rPr>
                <w:sz w:val="14"/>
                <w:szCs w:val="14"/>
                <w:color w:val="auto"/>
              </w:rPr>
            </w:pPr>
          </w:p>
        </w:tc>
        <w:tc>
          <w:tcPr>
            <w:tcW w:w="1220" w:type="dxa"/>
            <w:vAlign w:val="bottom"/>
            <w:shd w:val="clear" w:color="auto" w:fill="E5F1F8"/>
          </w:tcPr>
          <w:p>
            <w:pPr>
              <w:spacing w:after="0"/>
              <w:rPr>
                <w:sz w:val="14"/>
                <w:szCs w:val="14"/>
                <w:color w:val="auto"/>
              </w:rPr>
            </w:pPr>
          </w:p>
        </w:tc>
        <w:tc>
          <w:tcPr>
            <w:tcW w:w="1080" w:type="dxa"/>
            <w:vAlign w:val="bottom"/>
            <w:shd w:val="clear" w:color="auto" w:fill="E5F1F8"/>
          </w:tcPr>
          <w:p>
            <w:pPr>
              <w:jc w:val="right"/>
              <w:ind w:right="128"/>
              <w:spacing w:after="0"/>
              <w:rPr>
                <w:sz w:val="20"/>
                <w:szCs w:val="20"/>
                <w:color w:val="auto"/>
              </w:rPr>
            </w:pPr>
            <w:r>
              <w:rPr>
                <w:rFonts w:ascii="Arial" w:cs="Arial" w:eastAsia="Arial" w:hAnsi="Arial"/>
                <w:sz w:val="14"/>
                <w:szCs w:val="14"/>
                <w:color w:val="auto"/>
              </w:rPr>
              <w:t>1,437,564</w:t>
            </w:r>
          </w:p>
        </w:tc>
        <w:tc>
          <w:tcPr>
            <w:tcW w:w="1060" w:type="dxa"/>
            <w:vAlign w:val="bottom"/>
            <w:shd w:val="clear" w:color="auto" w:fill="E5F1F8"/>
          </w:tcPr>
          <w:p>
            <w:pPr>
              <w:spacing w:after="0"/>
              <w:rPr>
                <w:sz w:val="14"/>
                <w:szCs w:val="14"/>
                <w:color w:val="auto"/>
              </w:rPr>
            </w:pPr>
          </w:p>
        </w:tc>
        <w:tc>
          <w:tcPr>
            <w:tcW w:w="1100" w:type="dxa"/>
            <w:vAlign w:val="bottom"/>
            <w:shd w:val="clear" w:color="auto" w:fill="E5F1F8"/>
          </w:tcPr>
          <w:p>
            <w:pPr>
              <w:jc w:val="right"/>
              <w:ind w:right="108"/>
              <w:spacing w:after="0"/>
              <w:rPr>
                <w:sz w:val="20"/>
                <w:szCs w:val="20"/>
                <w:color w:val="auto"/>
              </w:rPr>
            </w:pPr>
            <w:r>
              <w:rPr>
                <w:rFonts w:ascii="Arial" w:cs="Arial" w:eastAsia="Arial" w:hAnsi="Arial"/>
                <w:sz w:val="14"/>
                <w:szCs w:val="14"/>
                <w:color w:val="auto"/>
              </w:rPr>
              <w:t>13,615,299</w:t>
            </w:r>
          </w:p>
        </w:tc>
        <w:tc>
          <w:tcPr>
            <w:tcW w:w="0" w:type="dxa"/>
            <w:vAlign w:val="bottom"/>
          </w:tcPr>
          <w:p>
            <w:pPr>
              <w:spacing w:after="0"/>
              <w:rPr>
                <w:sz w:val="1"/>
                <w:szCs w:val="1"/>
                <w:color w:val="auto"/>
              </w:rPr>
            </w:pPr>
          </w:p>
        </w:tc>
      </w:tr>
      <w:tr>
        <w:trPr>
          <w:trHeight w:val="192"/>
        </w:trPr>
        <w:tc>
          <w:tcPr>
            <w:tcW w:w="1780" w:type="dxa"/>
            <w:vAlign w:val="bottom"/>
            <w:shd w:val="clear" w:color="auto" w:fill="E5F1F8"/>
          </w:tcPr>
          <w:p>
            <w:pPr>
              <w:spacing w:after="0"/>
              <w:rPr>
                <w:sz w:val="16"/>
                <w:szCs w:val="16"/>
                <w:color w:val="auto"/>
              </w:rPr>
            </w:pPr>
          </w:p>
        </w:tc>
        <w:tc>
          <w:tcPr>
            <w:tcW w:w="3580" w:type="dxa"/>
            <w:vAlign w:val="bottom"/>
            <w:shd w:val="clear" w:color="auto" w:fill="E5F1F8"/>
          </w:tcPr>
          <w:p>
            <w:pPr>
              <w:ind w:left="80"/>
              <w:spacing w:after="0" w:line="191" w:lineRule="exact"/>
              <w:rPr>
                <w:sz w:val="20"/>
                <w:szCs w:val="20"/>
                <w:color w:val="auto"/>
              </w:rPr>
            </w:pPr>
            <w:r>
              <w:rPr>
                <w:rFonts w:ascii="Arial" w:cs="Arial" w:eastAsia="Arial" w:hAnsi="Arial"/>
                <w:sz w:val="13"/>
                <w:szCs w:val="13"/>
                <w:color w:val="auto"/>
              </w:rPr>
              <w:t>Health and Welfare Benefits</w:t>
            </w:r>
            <w:r>
              <w:rPr>
                <w:rFonts w:ascii="Arial" w:cs="Arial" w:eastAsia="Arial" w:hAnsi="Arial"/>
                <w:sz w:val="22"/>
                <w:szCs w:val="22"/>
                <w:color w:val="auto"/>
                <w:vertAlign w:val="superscript"/>
              </w:rPr>
              <w:t>8</w:t>
            </w:r>
          </w:p>
        </w:tc>
        <w:tc>
          <w:tcPr>
            <w:tcW w:w="1180" w:type="dxa"/>
            <w:vAlign w:val="bottom"/>
            <w:shd w:val="clear" w:color="auto" w:fill="E5F1F8"/>
          </w:tcPr>
          <w:p>
            <w:pPr>
              <w:spacing w:after="0"/>
              <w:rPr>
                <w:sz w:val="16"/>
                <w:szCs w:val="16"/>
                <w:color w:val="auto"/>
              </w:rPr>
            </w:pPr>
          </w:p>
        </w:tc>
        <w:tc>
          <w:tcPr>
            <w:tcW w:w="1220" w:type="dxa"/>
            <w:vAlign w:val="bottom"/>
            <w:shd w:val="clear" w:color="auto" w:fill="E5F1F8"/>
          </w:tcPr>
          <w:p>
            <w:pPr>
              <w:spacing w:after="0"/>
              <w:rPr>
                <w:sz w:val="16"/>
                <w:szCs w:val="16"/>
                <w:color w:val="auto"/>
              </w:rPr>
            </w:pPr>
          </w:p>
        </w:tc>
        <w:tc>
          <w:tcPr>
            <w:tcW w:w="1080" w:type="dxa"/>
            <w:vAlign w:val="bottom"/>
            <w:shd w:val="clear" w:color="auto" w:fill="E5F1F8"/>
          </w:tcPr>
          <w:p>
            <w:pPr>
              <w:spacing w:after="0"/>
              <w:rPr>
                <w:sz w:val="16"/>
                <w:szCs w:val="16"/>
                <w:color w:val="auto"/>
              </w:rPr>
            </w:pPr>
          </w:p>
        </w:tc>
        <w:tc>
          <w:tcPr>
            <w:tcW w:w="1060" w:type="dxa"/>
            <w:vAlign w:val="bottom"/>
            <w:shd w:val="clear" w:color="auto" w:fill="E5F1F8"/>
          </w:tcPr>
          <w:p>
            <w:pPr>
              <w:spacing w:after="0"/>
              <w:rPr>
                <w:sz w:val="16"/>
                <w:szCs w:val="16"/>
                <w:color w:val="auto"/>
              </w:rPr>
            </w:pPr>
          </w:p>
        </w:tc>
        <w:tc>
          <w:tcPr>
            <w:tcW w:w="1100" w:type="dxa"/>
            <w:vAlign w:val="bottom"/>
            <w:shd w:val="clear" w:color="auto" w:fill="E5F1F8"/>
          </w:tcPr>
          <w:p>
            <w:pPr>
              <w:jc w:val="right"/>
              <w:ind w:right="108"/>
              <w:spacing w:after="0"/>
              <w:rPr>
                <w:sz w:val="20"/>
                <w:szCs w:val="20"/>
                <w:color w:val="auto"/>
              </w:rPr>
            </w:pPr>
            <w:r>
              <w:rPr>
                <w:rFonts w:ascii="Arial" w:cs="Arial" w:eastAsia="Arial" w:hAnsi="Arial"/>
                <w:sz w:val="14"/>
                <w:szCs w:val="14"/>
                <w:color w:val="auto"/>
              </w:rPr>
              <w:t>65,760</w:t>
            </w:r>
          </w:p>
        </w:tc>
        <w:tc>
          <w:tcPr>
            <w:tcW w:w="0" w:type="dxa"/>
            <w:vAlign w:val="bottom"/>
          </w:tcPr>
          <w:p>
            <w:pPr>
              <w:spacing w:after="0"/>
              <w:rPr>
                <w:sz w:val="1"/>
                <w:szCs w:val="1"/>
                <w:color w:val="auto"/>
              </w:rPr>
            </w:pPr>
          </w:p>
        </w:tc>
      </w:tr>
      <w:tr>
        <w:trPr>
          <w:trHeight w:val="240"/>
        </w:trPr>
        <w:tc>
          <w:tcPr>
            <w:tcW w:w="1780" w:type="dxa"/>
            <w:vAlign w:val="bottom"/>
          </w:tcPr>
          <w:p>
            <w:pPr>
              <w:spacing w:after="0"/>
              <w:rPr>
                <w:sz w:val="20"/>
                <w:szCs w:val="20"/>
                <w:color w:val="auto"/>
              </w:rPr>
            </w:pPr>
          </w:p>
        </w:tc>
        <w:tc>
          <w:tcPr>
            <w:tcW w:w="3580" w:type="dxa"/>
            <w:vAlign w:val="bottom"/>
          </w:tcPr>
          <w:p>
            <w:pPr>
              <w:ind w:left="80"/>
              <w:spacing w:after="0" w:line="240" w:lineRule="exact"/>
              <w:rPr>
                <w:sz w:val="20"/>
                <w:szCs w:val="20"/>
                <w:color w:val="auto"/>
              </w:rPr>
            </w:pPr>
            <w:r>
              <w:rPr>
                <w:rFonts w:ascii="Arial" w:cs="Arial" w:eastAsia="Arial" w:hAnsi="Arial"/>
                <w:sz w:val="14"/>
                <w:szCs w:val="14"/>
                <w:color w:val="auto"/>
              </w:rPr>
              <w:t>Cash Severance</w:t>
            </w:r>
            <w:r>
              <w:rPr>
                <w:rFonts w:ascii="Arial" w:cs="Arial" w:eastAsia="Arial" w:hAnsi="Arial"/>
                <w:sz w:val="24"/>
                <w:szCs w:val="24"/>
                <w:color w:val="auto"/>
                <w:vertAlign w:val="superscript"/>
              </w:rPr>
              <w:t>2</w:t>
            </w: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1,953,051</w:t>
            </w: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3580" w:type="dxa"/>
            <w:vAlign w:val="bottom"/>
          </w:tcPr>
          <w:p>
            <w:pPr>
              <w:ind w:left="80"/>
              <w:spacing w:after="0" w:line="162" w:lineRule="exact"/>
              <w:rPr>
                <w:sz w:val="20"/>
                <w:szCs w:val="20"/>
                <w:color w:val="auto"/>
              </w:rPr>
            </w:pPr>
            <w:r>
              <w:rPr>
                <w:rFonts w:ascii="Arial" w:cs="Arial" w:eastAsia="Arial" w:hAnsi="Arial"/>
                <w:sz w:val="11"/>
                <w:szCs w:val="11"/>
                <w:color w:val="auto"/>
              </w:rPr>
              <w:t>Unvested RSUs</w:t>
            </w:r>
            <w:r>
              <w:rPr>
                <w:rFonts w:ascii="Arial" w:cs="Arial" w:eastAsia="Arial" w:hAnsi="Arial"/>
                <w:sz w:val="18"/>
                <w:szCs w:val="18"/>
                <w:color w:val="auto"/>
                <w:vertAlign w:val="superscript"/>
              </w:rPr>
              <w:t>3</w:t>
            </w:r>
          </w:p>
        </w:tc>
        <w:tc>
          <w:tcPr>
            <w:tcW w:w="1180" w:type="dxa"/>
            <w:vAlign w:val="bottom"/>
          </w:tcPr>
          <w:p>
            <w:pPr>
              <w:jc w:val="right"/>
              <w:ind w:right="188"/>
              <w:spacing w:after="0"/>
              <w:rPr>
                <w:sz w:val="20"/>
                <w:szCs w:val="20"/>
                <w:color w:val="auto"/>
              </w:rPr>
            </w:pPr>
            <w:r>
              <w:rPr>
                <w:rFonts w:ascii="Arial" w:cs="Arial" w:eastAsia="Arial" w:hAnsi="Arial"/>
                <w:sz w:val="14"/>
                <w:szCs w:val="14"/>
                <w:color w:val="auto"/>
              </w:rPr>
              <w:t>1,170,607</w:t>
            </w:r>
          </w:p>
        </w:tc>
        <w:tc>
          <w:tcPr>
            <w:tcW w:w="1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1,170,607</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1,170,607</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1,170,607</w:t>
            </w: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3580" w:type="dxa"/>
            <w:vAlign w:val="bottom"/>
          </w:tcPr>
          <w:p>
            <w:pPr>
              <w:ind w:left="80"/>
              <w:spacing w:after="0" w:line="162" w:lineRule="exact"/>
              <w:rPr>
                <w:sz w:val="20"/>
                <w:szCs w:val="20"/>
                <w:color w:val="auto"/>
              </w:rPr>
            </w:pPr>
            <w:r>
              <w:rPr>
                <w:rFonts w:ascii="Arial" w:cs="Arial" w:eastAsia="Arial" w:hAnsi="Arial"/>
                <w:sz w:val="11"/>
                <w:szCs w:val="11"/>
                <w:color w:val="auto"/>
              </w:rPr>
              <w:t>Unexercisable Options</w:t>
            </w:r>
            <w:r>
              <w:rPr>
                <w:rFonts w:ascii="Arial" w:cs="Arial" w:eastAsia="Arial" w:hAnsi="Arial"/>
                <w:sz w:val="18"/>
                <w:szCs w:val="18"/>
                <w:color w:val="auto"/>
                <w:vertAlign w:val="superscript"/>
              </w:rPr>
              <w:t>4</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James A. J. Nickolas</w:t>
            </w:r>
          </w:p>
        </w:tc>
        <w:tc>
          <w:tcPr>
            <w:tcW w:w="3580" w:type="dxa"/>
            <w:vAlign w:val="bottom"/>
          </w:tcPr>
          <w:p>
            <w:pPr>
              <w:ind w:left="80"/>
              <w:spacing w:after="0" w:line="162" w:lineRule="exact"/>
              <w:rPr>
                <w:sz w:val="20"/>
                <w:szCs w:val="20"/>
                <w:color w:val="auto"/>
              </w:rPr>
            </w:pPr>
            <w:r>
              <w:rPr>
                <w:rFonts w:ascii="Arial" w:cs="Arial" w:eastAsia="Arial" w:hAnsi="Arial"/>
                <w:sz w:val="11"/>
                <w:szCs w:val="11"/>
                <w:color w:val="auto"/>
              </w:rPr>
              <w:t>Unvested Incentive Stock Plan Units</w:t>
            </w:r>
            <w:r>
              <w:rPr>
                <w:rFonts w:ascii="Arial" w:cs="Arial" w:eastAsia="Arial" w:hAnsi="Arial"/>
                <w:sz w:val="18"/>
                <w:szCs w:val="18"/>
                <w:color w:val="auto"/>
                <w:vertAlign w:val="superscript"/>
              </w:rPr>
              <w:t>5</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vMerge w:val="continue"/>
          </w:tcPr>
          <w:p>
            <w:pPr>
              <w:spacing w:after="0"/>
              <w:rPr>
                <w:sz w:val="14"/>
                <w:szCs w:val="14"/>
                <w:color w:val="auto"/>
              </w:rPr>
            </w:pPr>
          </w:p>
        </w:tc>
        <w:tc>
          <w:tcPr>
            <w:tcW w:w="3580" w:type="dxa"/>
            <w:vAlign w:val="bottom"/>
          </w:tcPr>
          <w:p>
            <w:pPr>
              <w:ind w:left="80"/>
              <w:spacing w:after="0" w:line="162" w:lineRule="exact"/>
              <w:rPr>
                <w:sz w:val="20"/>
                <w:szCs w:val="20"/>
                <w:color w:val="auto"/>
              </w:rPr>
            </w:pPr>
            <w:r>
              <w:rPr>
                <w:rFonts w:ascii="Arial" w:cs="Arial" w:eastAsia="Arial" w:hAnsi="Arial"/>
                <w:sz w:val="11"/>
                <w:szCs w:val="11"/>
                <w:color w:val="auto"/>
              </w:rPr>
              <w:t>PSUs</w:t>
            </w:r>
            <w:r>
              <w:rPr>
                <w:rFonts w:ascii="Arial" w:cs="Arial" w:eastAsia="Arial" w:hAnsi="Arial"/>
                <w:sz w:val="18"/>
                <w:szCs w:val="18"/>
                <w:color w:val="auto"/>
                <w:vertAlign w:val="superscript"/>
              </w:rPr>
              <w:t>6</w:t>
            </w:r>
          </w:p>
        </w:tc>
        <w:tc>
          <w:tcPr>
            <w:tcW w:w="1180" w:type="dxa"/>
            <w:vAlign w:val="bottom"/>
          </w:tcPr>
          <w:p>
            <w:pPr>
              <w:jc w:val="right"/>
              <w:ind w:right="168"/>
              <w:spacing w:after="0"/>
              <w:rPr>
                <w:sz w:val="20"/>
                <w:szCs w:val="20"/>
                <w:color w:val="auto"/>
              </w:rPr>
            </w:pPr>
            <w:r>
              <w:rPr>
                <w:rFonts w:ascii="Arial" w:cs="Arial" w:eastAsia="Arial" w:hAnsi="Arial"/>
                <w:sz w:val="14"/>
                <w:szCs w:val="14"/>
                <w:color w:val="auto"/>
              </w:rPr>
              <w:t>336,178</w:t>
            </w:r>
          </w:p>
        </w:tc>
        <w:tc>
          <w:tcPr>
            <w:tcW w:w="1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336,178</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336,178</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336,178</w:t>
            </w: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3580" w:type="dxa"/>
            <w:vAlign w:val="bottom"/>
          </w:tcPr>
          <w:p>
            <w:pPr>
              <w:ind w:left="80"/>
              <w:spacing w:after="0" w:line="162" w:lineRule="exact"/>
              <w:rPr>
                <w:sz w:val="20"/>
                <w:szCs w:val="20"/>
                <w:color w:val="auto"/>
              </w:rPr>
            </w:pPr>
            <w:r>
              <w:rPr>
                <w:rFonts w:ascii="Arial" w:cs="Arial" w:eastAsia="Arial" w:hAnsi="Arial"/>
                <w:sz w:val="11"/>
                <w:szCs w:val="11"/>
                <w:color w:val="auto"/>
              </w:rPr>
              <w:t>Retirement Plans</w:t>
            </w:r>
            <w:r>
              <w:rPr>
                <w:rFonts w:ascii="Arial" w:cs="Arial" w:eastAsia="Arial" w:hAnsi="Arial"/>
                <w:sz w:val="18"/>
                <w:szCs w:val="18"/>
                <w:color w:val="auto"/>
                <w:vertAlign w:val="superscript"/>
              </w:rPr>
              <w:t>7</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799,962</w:t>
            </w:r>
          </w:p>
        </w:tc>
        <w:tc>
          <w:tcPr>
            <w:tcW w:w="10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1,052,447</w:t>
            </w:r>
          </w:p>
        </w:tc>
        <w:tc>
          <w:tcPr>
            <w:tcW w:w="0" w:type="dxa"/>
            <w:vAlign w:val="bottom"/>
          </w:tcPr>
          <w:p>
            <w:pPr>
              <w:spacing w:after="0"/>
              <w:rPr>
                <w:sz w:val="1"/>
                <w:szCs w:val="1"/>
                <w:color w:val="auto"/>
              </w:rPr>
            </w:pPr>
          </w:p>
        </w:tc>
      </w:tr>
      <w:tr>
        <w:trPr>
          <w:trHeight w:val="192"/>
        </w:trPr>
        <w:tc>
          <w:tcPr>
            <w:tcW w:w="1780" w:type="dxa"/>
            <w:vAlign w:val="bottom"/>
          </w:tcPr>
          <w:p>
            <w:pPr>
              <w:spacing w:after="0"/>
              <w:rPr>
                <w:sz w:val="16"/>
                <w:szCs w:val="16"/>
                <w:color w:val="auto"/>
              </w:rPr>
            </w:pPr>
          </w:p>
        </w:tc>
        <w:tc>
          <w:tcPr>
            <w:tcW w:w="3580" w:type="dxa"/>
            <w:vAlign w:val="bottom"/>
          </w:tcPr>
          <w:p>
            <w:pPr>
              <w:ind w:left="80"/>
              <w:spacing w:after="0" w:line="191" w:lineRule="exact"/>
              <w:rPr>
                <w:sz w:val="20"/>
                <w:szCs w:val="20"/>
                <w:color w:val="auto"/>
              </w:rPr>
            </w:pPr>
            <w:r>
              <w:rPr>
                <w:rFonts w:ascii="Arial" w:cs="Arial" w:eastAsia="Arial" w:hAnsi="Arial"/>
                <w:sz w:val="13"/>
                <w:szCs w:val="13"/>
                <w:color w:val="auto"/>
              </w:rPr>
              <w:t>Health and Welfare Benefits</w:t>
            </w:r>
            <w:r>
              <w:rPr>
                <w:rFonts w:ascii="Arial" w:cs="Arial" w:eastAsia="Arial" w:hAnsi="Arial"/>
                <w:sz w:val="22"/>
                <w:szCs w:val="22"/>
                <w:color w:val="auto"/>
                <w:vertAlign w:val="superscript"/>
              </w:rPr>
              <w:t>8</w:t>
            </w: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78,328</w:t>
            </w:r>
          </w:p>
        </w:tc>
        <w:tc>
          <w:tcPr>
            <w:tcW w:w="0" w:type="dxa"/>
            <w:vAlign w:val="bottom"/>
          </w:tcPr>
          <w:p>
            <w:pPr>
              <w:spacing w:after="0"/>
              <w:rPr>
                <w:sz w:val="1"/>
                <w:szCs w:val="1"/>
                <w:color w:val="auto"/>
              </w:rPr>
            </w:pPr>
          </w:p>
        </w:tc>
      </w:tr>
      <w:tr>
        <w:trPr>
          <w:trHeight w:val="240"/>
        </w:trPr>
        <w:tc>
          <w:tcPr>
            <w:tcW w:w="1780" w:type="dxa"/>
            <w:vAlign w:val="bottom"/>
            <w:shd w:val="clear" w:color="auto" w:fill="E5F1F8"/>
          </w:tcPr>
          <w:p>
            <w:pPr>
              <w:spacing w:after="0"/>
              <w:rPr>
                <w:sz w:val="20"/>
                <w:szCs w:val="20"/>
                <w:color w:val="auto"/>
              </w:rPr>
            </w:pPr>
          </w:p>
        </w:tc>
        <w:tc>
          <w:tcPr>
            <w:tcW w:w="3580" w:type="dxa"/>
            <w:vAlign w:val="bottom"/>
            <w:shd w:val="clear" w:color="auto" w:fill="E5F1F8"/>
          </w:tcPr>
          <w:p>
            <w:pPr>
              <w:ind w:left="80"/>
              <w:spacing w:after="0" w:line="240" w:lineRule="exact"/>
              <w:rPr>
                <w:sz w:val="20"/>
                <w:szCs w:val="20"/>
                <w:color w:val="auto"/>
              </w:rPr>
            </w:pPr>
            <w:r>
              <w:rPr>
                <w:rFonts w:ascii="Arial" w:cs="Arial" w:eastAsia="Arial" w:hAnsi="Arial"/>
                <w:sz w:val="14"/>
                <w:szCs w:val="14"/>
                <w:color w:val="auto"/>
              </w:rPr>
              <w:t>Cash Severance</w:t>
            </w:r>
            <w:r>
              <w:rPr>
                <w:rFonts w:ascii="Arial" w:cs="Arial" w:eastAsia="Arial" w:hAnsi="Arial"/>
                <w:sz w:val="24"/>
                <w:szCs w:val="24"/>
                <w:color w:val="auto"/>
                <w:vertAlign w:val="superscript"/>
              </w:rPr>
              <w:t>2</w:t>
            </w:r>
          </w:p>
        </w:tc>
        <w:tc>
          <w:tcPr>
            <w:tcW w:w="1180" w:type="dxa"/>
            <w:vAlign w:val="bottom"/>
            <w:shd w:val="clear" w:color="auto" w:fill="E5F1F8"/>
          </w:tcPr>
          <w:p>
            <w:pPr>
              <w:spacing w:after="0"/>
              <w:rPr>
                <w:sz w:val="20"/>
                <w:szCs w:val="20"/>
                <w:color w:val="auto"/>
              </w:rPr>
            </w:pPr>
          </w:p>
        </w:tc>
        <w:tc>
          <w:tcPr>
            <w:tcW w:w="1220" w:type="dxa"/>
            <w:vAlign w:val="bottom"/>
            <w:shd w:val="clear" w:color="auto" w:fill="E5F1F8"/>
          </w:tcPr>
          <w:p>
            <w:pPr>
              <w:spacing w:after="0"/>
              <w:rPr>
                <w:sz w:val="20"/>
                <w:szCs w:val="20"/>
                <w:color w:val="auto"/>
              </w:rPr>
            </w:pPr>
          </w:p>
        </w:tc>
        <w:tc>
          <w:tcPr>
            <w:tcW w:w="1080" w:type="dxa"/>
            <w:vAlign w:val="bottom"/>
            <w:shd w:val="clear" w:color="auto" w:fill="E5F1F8"/>
          </w:tcPr>
          <w:p>
            <w:pPr>
              <w:spacing w:after="0"/>
              <w:rPr>
                <w:sz w:val="20"/>
                <w:szCs w:val="20"/>
                <w:color w:val="auto"/>
              </w:rPr>
            </w:pPr>
          </w:p>
        </w:tc>
        <w:tc>
          <w:tcPr>
            <w:tcW w:w="1060" w:type="dxa"/>
            <w:vAlign w:val="bottom"/>
            <w:shd w:val="clear" w:color="auto" w:fill="E5F1F8"/>
          </w:tcPr>
          <w:p>
            <w:pPr>
              <w:spacing w:after="0"/>
              <w:rPr>
                <w:sz w:val="20"/>
                <w:szCs w:val="20"/>
                <w:color w:val="auto"/>
              </w:rPr>
            </w:pPr>
          </w:p>
        </w:tc>
        <w:tc>
          <w:tcPr>
            <w:tcW w:w="1100" w:type="dxa"/>
            <w:vAlign w:val="bottom"/>
            <w:shd w:val="clear" w:color="auto" w:fill="E5F1F8"/>
          </w:tcPr>
          <w:p>
            <w:pPr>
              <w:jc w:val="right"/>
              <w:ind w:right="108"/>
              <w:spacing w:after="0"/>
              <w:rPr>
                <w:sz w:val="20"/>
                <w:szCs w:val="20"/>
                <w:color w:val="auto"/>
              </w:rPr>
            </w:pPr>
            <w:r>
              <w:rPr>
                <w:rFonts w:ascii="Arial" w:cs="Arial" w:eastAsia="Arial" w:hAnsi="Arial"/>
                <w:sz w:val="14"/>
                <w:szCs w:val="14"/>
                <w:color w:val="auto"/>
              </w:rPr>
              <w:t>3,529,845</w:t>
            </w:r>
          </w:p>
        </w:tc>
        <w:tc>
          <w:tcPr>
            <w:tcW w:w="0" w:type="dxa"/>
            <w:vAlign w:val="bottom"/>
          </w:tcPr>
          <w:p>
            <w:pPr>
              <w:spacing w:after="0"/>
              <w:rPr>
                <w:sz w:val="1"/>
                <w:szCs w:val="1"/>
                <w:color w:val="auto"/>
              </w:rPr>
            </w:pPr>
          </w:p>
        </w:tc>
      </w:tr>
      <w:tr>
        <w:trPr>
          <w:trHeight w:val="162"/>
        </w:trPr>
        <w:tc>
          <w:tcPr>
            <w:tcW w:w="1780" w:type="dxa"/>
            <w:vAlign w:val="bottom"/>
            <w:shd w:val="clear" w:color="auto" w:fill="E5F1F8"/>
          </w:tcPr>
          <w:p>
            <w:pPr>
              <w:spacing w:after="0"/>
              <w:rPr>
                <w:sz w:val="14"/>
                <w:szCs w:val="14"/>
                <w:color w:val="auto"/>
              </w:rPr>
            </w:pPr>
          </w:p>
        </w:tc>
        <w:tc>
          <w:tcPr>
            <w:tcW w:w="3580" w:type="dxa"/>
            <w:vAlign w:val="bottom"/>
            <w:shd w:val="clear" w:color="auto" w:fill="E5F1F8"/>
          </w:tcPr>
          <w:p>
            <w:pPr>
              <w:ind w:left="80"/>
              <w:spacing w:after="0" w:line="162" w:lineRule="exact"/>
              <w:rPr>
                <w:sz w:val="20"/>
                <w:szCs w:val="20"/>
                <w:color w:val="auto"/>
              </w:rPr>
            </w:pPr>
            <w:r>
              <w:rPr>
                <w:rFonts w:ascii="Arial" w:cs="Arial" w:eastAsia="Arial" w:hAnsi="Arial"/>
                <w:sz w:val="11"/>
                <w:szCs w:val="11"/>
                <w:color w:val="auto"/>
              </w:rPr>
              <w:t>Unvested RSUs</w:t>
            </w:r>
            <w:r>
              <w:rPr>
                <w:rFonts w:ascii="Arial" w:cs="Arial" w:eastAsia="Arial" w:hAnsi="Arial"/>
                <w:sz w:val="18"/>
                <w:szCs w:val="18"/>
                <w:color w:val="auto"/>
                <w:vertAlign w:val="superscript"/>
              </w:rPr>
              <w:t>3</w:t>
            </w:r>
          </w:p>
        </w:tc>
        <w:tc>
          <w:tcPr>
            <w:tcW w:w="1180" w:type="dxa"/>
            <w:vAlign w:val="bottom"/>
            <w:shd w:val="clear" w:color="auto" w:fill="E5F1F8"/>
          </w:tcPr>
          <w:p>
            <w:pPr>
              <w:jc w:val="right"/>
              <w:ind w:right="168"/>
              <w:spacing w:after="0"/>
              <w:rPr>
                <w:sz w:val="20"/>
                <w:szCs w:val="20"/>
                <w:color w:val="auto"/>
              </w:rPr>
            </w:pPr>
            <w:r>
              <w:rPr>
                <w:rFonts w:ascii="Arial" w:cs="Arial" w:eastAsia="Arial" w:hAnsi="Arial"/>
                <w:sz w:val="14"/>
                <w:szCs w:val="14"/>
                <w:color w:val="auto"/>
              </w:rPr>
              <w:t>772,040</w:t>
            </w:r>
          </w:p>
        </w:tc>
        <w:tc>
          <w:tcPr>
            <w:tcW w:w="1220" w:type="dxa"/>
            <w:vAlign w:val="bottom"/>
            <w:shd w:val="clear" w:color="auto" w:fill="E5F1F8"/>
          </w:tcPr>
          <w:p>
            <w:pPr>
              <w:jc w:val="right"/>
              <w:ind w:right="188"/>
              <w:spacing w:after="0"/>
              <w:rPr>
                <w:sz w:val="20"/>
                <w:szCs w:val="20"/>
                <w:color w:val="auto"/>
              </w:rPr>
            </w:pPr>
            <w:r>
              <w:rPr>
                <w:rFonts w:ascii="Arial" w:cs="Arial" w:eastAsia="Arial" w:hAnsi="Arial"/>
                <w:sz w:val="14"/>
                <w:szCs w:val="14"/>
                <w:color w:val="auto"/>
              </w:rPr>
              <w:t>1,703,747</w:t>
            </w:r>
          </w:p>
        </w:tc>
        <w:tc>
          <w:tcPr>
            <w:tcW w:w="1080" w:type="dxa"/>
            <w:vAlign w:val="bottom"/>
            <w:shd w:val="clear" w:color="auto" w:fill="E5F1F8"/>
          </w:tcPr>
          <w:p>
            <w:pPr>
              <w:jc w:val="right"/>
              <w:ind w:right="128"/>
              <w:spacing w:after="0"/>
              <w:rPr>
                <w:sz w:val="20"/>
                <w:szCs w:val="20"/>
                <w:color w:val="auto"/>
              </w:rPr>
            </w:pPr>
            <w:r>
              <w:rPr>
                <w:rFonts w:ascii="Arial" w:cs="Arial" w:eastAsia="Arial" w:hAnsi="Arial"/>
                <w:sz w:val="14"/>
                <w:szCs w:val="14"/>
                <w:color w:val="auto"/>
              </w:rPr>
              <w:t>2,475,787</w:t>
            </w:r>
          </w:p>
        </w:tc>
        <w:tc>
          <w:tcPr>
            <w:tcW w:w="1060" w:type="dxa"/>
            <w:vAlign w:val="bottom"/>
            <w:shd w:val="clear" w:color="auto" w:fill="E5F1F8"/>
          </w:tcPr>
          <w:p>
            <w:pPr>
              <w:jc w:val="right"/>
              <w:ind w:right="148"/>
              <w:spacing w:after="0"/>
              <w:rPr>
                <w:sz w:val="20"/>
                <w:szCs w:val="20"/>
                <w:color w:val="auto"/>
              </w:rPr>
            </w:pPr>
            <w:r>
              <w:rPr>
                <w:rFonts w:ascii="Arial" w:cs="Arial" w:eastAsia="Arial" w:hAnsi="Arial"/>
                <w:sz w:val="14"/>
                <w:szCs w:val="14"/>
                <w:color w:val="auto"/>
              </w:rPr>
              <w:t>2,475,787</w:t>
            </w:r>
          </w:p>
        </w:tc>
        <w:tc>
          <w:tcPr>
            <w:tcW w:w="1100" w:type="dxa"/>
            <w:vAlign w:val="bottom"/>
            <w:shd w:val="clear" w:color="auto" w:fill="E5F1F8"/>
          </w:tcPr>
          <w:p>
            <w:pPr>
              <w:jc w:val="right"/>
              <w:ind w:right="108"/>
              <w:spacing w:after="0"/>
              <w:rPr>
                <w:sz w:val="20"/>
                <w:szCs w:val="20"/>
                <w:color w:val="auto"/>
              </w:rPr>
            </w:pPr>
            <w:r>
              <w:rPr>
                <w:rFonts w:ascii="Arial" w:cs="Arial" w:eastAsia="Arial" w:hAnsi="Arial"/>
                <w:sz w:val="14"/>
                <w:szCs w:val="14"/>
                <w:color w:val="auto"/>
              </w:rPr>
              <w:t>2,475,787</w:t>
            </w:r>
          </w:p>
        </w:tc>
        <w:tc>
          <w:tcPr>
            <w:tcW w:w="0" w:type="dxa"/>
            <w:vAlign w:val="bottom"/>
          </w:tcPr>
          <w:p>
            <w:pPr>
              <w:spacing w:after="0"/>
              <w:rPr>
                <w:sz w:val="1"/>
                <w:szCs w:val="1"/>
                <w:color w:val="auto"/>
              </w:rPr>
            </w:pPr>
          </w:p>
        </w:tc>
      </w:tr>
      <w:tr>
        <w:trPr>
          <w:trHeight w:val="162"/>
        </w:trPr>
        <w:tc>
          <w:tcPr>
            <w:tcW w:w="1780" w:type="dxa"/>
            <w:vAlign w:val="bottom"/>
            <w:shd w:val="clear" w:color="auto" w:fill="E5F1F8"/>
          </w:tcPr>
          <w:p>
            <w:pPr>
              <w:spacing w:after="0"/>
              <w:rPr>
                <w:sz w:val="14"/>
                <w:szCs w:val="14"/>
                <w:color w:val="auto"/>
              </w:rPr>
            </w:pPr>
          </w:p>
        </w:tc>
        <w:tc>
          <w:tcPr>
            <w:tcW w:w="3580" w:type="dxa"/>
            <w:vAlign w:val="bottom"/>
            <w:shd w:val="clear" w:color="auto" w:fill="E5F1F8"/>
          </w:tcPr>
          <w:p>
            <w:pPr>
              <w:ind w:left="80"/>
              <w:spacing w:after="0" w:line="162" w:lineRule="exact"/>
              <w:rPr>
                <w:sz w:val="20"/>
                <w:szCs w:val="20"/>
                <w:color w:val="auto"/>
              </w:rPr>
            </w:pPr>
            <w:r>
              <w:rPr>
                <w:rFonts w:ascii="Arial" w:cs="Arial" w:eastAsia="Arial" w:hAnsi="Arial"/>
                <w:sz w:val="11"/>
                <w:szCs w:val="11"/>
                <w:color w:val="auto"/>
              </w:rPr>
              <w:t>Unexercisable Options</w:t>
            </w:r>
            <w:r>
              <w:rPr>
                <w:rFonts w:ascii="Arial" w:cs="Arial" w:eastAsia="Arial" w:hAnsi="Arial"/>
                <w:sz w:val="18"/>
                <w:szCs w:val="18"/>
                <w:color w:val="auto"/>
                <w:vertAlign w:val="superscript"/>
              </w:rPr>
              <w:t>4</w:t>
            </w:r>
          </w:p>
        </w:tc>
        <w:tc>
          <w:tcPr>
            <w:tcW w:w="1180" w:type="dxa"/>
            <w:vAlign w:val="bottom"/>
            <w:shd w:val="clear" w:color="auto" w:fill="E5F1F8"/>
          </w:tcPr>
          <w:p>
            <w:pPr>
              <w:jc w:val="right"/>
              <w:ind w:right="168"/>
              <w:spacing w:after="0"/>
              <w:rPr>
                <w:sz w:val="20"/>
                <w:szCs w:val="20"/>
                <w:color w:val="auto"/>
              </w:rPr>
            </w:pPr>
            <w:r>
              <w:rPr>
                <w:rFonts w:ascii="Arial" w:cs="Arial" w:eastAsia="Arial" w:hAnsi="Arial"/>
                <w:sz w:val="14"/>
                <w:szCs w:val="14"/>
                <w:color w:val="auto"/>
              </w:rPr>
              <w:t>14,924</w:t>
            </w:r>
          </w:p>
        </w:tc>
        <w:tc>
          <w:tcPr>
            <w:tcW w:w="1220" w:type="dxa"/>
            <w:vAlign w:val="bottom"/>
            <w:shd w:val="clear" w:color="auto" w:fill="E5F1F8"/>
          </w:tcPr>
          <w:p>
            <w:pPr>
              <w:spacing w:after="0"/>
              <w:rPr>
                <w:sz w:val="14"/>
                <w:szCs w:val="14"/>
                <w:color w:val="auto"/>
              </w:rPr>
            </w:pPr>
          </w:p>
        </w:tc>
        <w:tc>
          <w:tcPr>
            <w:tcW w:w="1080" w:type="dxa"/>
            <w:vAlign w:val="bottom"/>
            <w:shd w:val="clear" w:color="auto" w:fill="E5F1F8"/>
          </w:tcPr>
          <w:p>
            <w:pPr>
              <w:jc w:val="right"/>
              <w:ind w:right="128"/>
              <w:spacing w:after="0"/>
              <w:rPr>
                <w:sz w:val="20"/>
                <w:szCs w:val="20"/>
                <w:color w:val="auto"/>
              </w:rPr>
            </w:pPr>
            <w:r>
              <w:rPr>
                <w:rFonts w:ascii="Arial" w:cs="Arial" w:eastAsia="Arial" w:hAnsi="Arial"/>
                <w:sz w:val="14"/>
                <w:szCs w:val="14"/>
                <w:color w:val="auto"/>
              </w:rPr>
              <w:t>14,924</w:t>
            </w:r>
          </w:p>
        </w:tc>
        <w:tc>
          <w:tcPr>
            <w:tcW w:w="1060" w:type="dxa"/>
            <w:vAlign w:val="bottom"/>
            <w:shd w:val="clear" w:color="auto" w:fill="E5F1F8"/>
          </w:tcPr>
          <w:p>
            <w:pPr>
              <w:jc w:val="right"/>
              <w:ind w:right="148"/>
              <w:spacing w:after="0"/>
              <w:rPr>
                <w:sz w:val="20"/>
                <w:szCs w:val="20"/>
                <w:color w:val="auto"/>
              </w:rPr>
            </w:pPr>
            <w:r>
              <w:rPr>
                <w:rFonts w:ascii="Arial" w:cs="Arial" w:eastAsia="Arial" w:hAnsi="Arial"/>
                <w:sz w:val="14"/>
                <w:szCs w:val="14"/>
                <w:color w:val="auto"/>
              </w:rPr>
              <w:t>14,924</w:t>
            </w:r>
          </w:p>
        </w:tc>
        <w:tc>
          <w:tcPr>
            <w:tcW w:w="1100" w:type="dxa"/>
            <w:vAlign w:val="bottom"/>
            <w:shd w:val="clear" w:color="auto" w:fill="E5F1F8"/>
          </w:tcPr>
          <w:p>
            <w:pPr>
              <w:jc w:val="right"/>
              <w:ind w:right="108"/>
              <w:spacing w:after="0"/>
              <w:rPr>
                <w:sz w:val="20"/>
                <w:szCs w:val="20"/>
                <w:color w:val="auto"/>
              </w:rPr>
            </w:pPr>
            <w:r>
              <w:rPr>
                <w:rFonts w:ascii="Arial" w:cs="Arial" w:eastAsia="Arial" w:hAnsi="Arial"/>
                <w:sz w:val="14"/>
                <w:szCs w:val="14"/>
                <w:color w:val="auto"/>
              </w:rPr>
              <w:t>14,924</w:t>
            </w:r>
          </w:p>
        </w:tc>
        <w:tc>
          <w:tcPr>
            <w:tcW w:w="0" w:type="dxa"/>
            <w:vAlign w:val="bottom"/>
          </w:tcPr>
          <w:p>
            <w:pPr>
              <w:spacing w:after="0"/>
              <w:rPr>
                <w:sz w:val="1"/>
                <w:szCs w:val="1"/>
                <w:color w:val="auto"/>
              </w:rPr>
            </w:pPr>
          </w:p>
        </w:tc>
      </w:tr>
      <w:tr>
        <w:trPr>
          <w:trHeight w:val="162"/>
        </w:trPr>
        <w:tc>
          <w:tcPr>
            <w:tcW w:w="1780" w:type="dxa"/>
            <w:vAlign w:val="bottom"/>
            <w:vMerge w:val="restart"/>
            <w:shd w:val="clear" w:color="auto" w:fill="E5F1F8"/>
          </w:tcPr>
          <w:p>
            <w:pPr>
              <w:ind w:left="140"/>
              <w:spacing w:after="0"/>
              <w:rPr>
                <w:sz w:val="20"/>
                <w:szCs w:val="20"/>
                <w:color w:val="auto"/>
              </w:rPr>
            </w:pPr>
            <w:r>
              <w:rPr>
                <w:rFonts w:ascii="Arial" w:cs="Arial" w:eastAsia="Arial" w:hAnsi="Arial"/>
                <w:sz w:val="14"/>
                <w:szCs w:val="14"/>
                <w:b w:val="1"/>
                <w:bCs w:val="1"/>
                <w:color w:val="auto"/>
              </w:rPr>
              <w:t>Roselyn R. Bar</w:t>
            </w:r>
          </w:p>
        </w:tc>
        <w:tc>
          <w:tcPr>
            <w:tcW w:w="3580" w:type="dxa"/>
            <w:vAlign w:val="bottom"/>
            <w:shd w:val="clear" w:color="auto" w:fill="E5F1F8"/>
          </w:tcPr>
          <w:p>
            <w:pPr>
              <w:ind w:left="80"/>
              <w:spacing w:after="0" w:line="162" w:lineRule="exact"/>
              <w:rPr>
                <w:sz w:val="20"/>
                <w:szCs w:val="20"/>
                <w:color w:val="auto"/>
              </w:rPr>
            </w:pPr>
            <w:r>
              <w:rPr>
                <w:rFonts w:ascii="Arial" w:cs="Arial" w:eastAsia="Arial" w:hAnsi="Arial"/>
                <w:sz w:val="11"/>
                <w:szCs w:val="11"/>
                <w:color w:val="auto"/>
              </w:rPr>
              <w:t>Unvested Incentive Stock Plan Units</w:t>
            </w:r>
            <w:r>
              <w:rPr>
                <w:rFonts w:ascii="Arial" w:cs="Arial" w:eastAsia="Arial" w:hAnsi="Arial"/>
                <w:sz w:val="18"/>
                <w:szCs w:val="18"/>
                <w:color w:val="auto"/>
                <w:vertAlign w:val="superscript"/>
              </w:rPr>
              <w:t>5</w:t>
            </w:r>
          </w:p>
        </w:tc>
        <w:tc>
          <w:tcPr>
            <w:tcW w:w="1180" w:type="dxa"/>
            <w:vAlign w:val="bottom"/>
            <w:shd w:val="clear" w:color="auto" w:fill="E5F1F8"/>
          </w:tcPr>
          <w:p>
            <w:pPr>
              <w:jc w:val="right"/>
              <w:ind w:right="168"/>
              <w:spacing w:after="0"/>
              <w:rPr>
                <w:sz w:val="20"/>
                <w:szCs w:val="20"/>
                <w:color w:val="auto"/>
              </w:rPr>
            </w:pPr>
            <w:r>
              <w:rPr>
                <w:rFonts w:ascii="Arial" w:cs="Arial" w:eastAsia="Arial" w:hAnsi="Arial"/>
                <w:sz w:val="14"/>
                <w:szCs w:val="14"/>
                <w:color w:val="auto"/>
              </w:rPr>
              <w:t>7,723</w:t>
            </w:r>
          </w:p>
        </w:tc>
        <w:tc>
          <w:tcPr>
            <w:tcW w:w="1220" w:type="dxa"/>
            <w:vAlign w:val="bottom"/>
            <w:shd w:val="clear" w:color="auto" w:fill="E5F1F8"/>
          </w:tcPr>
          <w:p>
            <w:pPr>
              <w:jc w:val="right"/>
              <w:ind w:right="188"/>
              <w:spacing w:after="0"/>
              <w:rPr>
                <w:sz w:val="20"/>
                <w:szCs w:val="20"/>
                <w:color w:val="auto"/>
              </w:rPr>
            </w:pPr>
            <w:r>
              <w:rPr>
                <w:rFonts w:ascii="Arial" w:cs="Arial" w:eastAsia="Arial" w:hAnsi="Arial"/>
                <w:sz w:val="14"/>
                <w:szCs w:val="14"/>
                <w:color w:val="auto"/>
              </w:rPr>
              <w:t>4,231</w:t>
            </w:r>
          </w:p>
        </w:tc>
        <w:tc>
          <w:tcPr>
            <w:tcW w:w="1080" w:type="dxa"/>
            <w:vAlign w:val="bottom"/>
            <w:shd w:val="clear" w:color="auto" w:fill="E5F1F8"/>
          </w:tcPr>
          <w:p>
            <w:pPr>
              <w:jc w:val="right"/>
              <w:ind w:right="128"/>
              <w:spacing w:after="0"/>
              <w:rPr>
                <w:sz w:val="20"/>
                <w:szCs w:val="20"/>
                <w:color w:val="auto"/>
              </w:rPr>
            </w:pPr>
            <w:r>
              <w:rPr>
                <w:rFonts w:ascii="Arial" w:cs="Arial" w:eastAsia="Arial" w:hAnsi="Arial"/>
                <w:sz w:val="14"/>
                <w:szCs w:val="14"/>
                <w:color w:val="auto"/>
              </w:rPr>
              <w:t>7,723</w:t>
            </w:r>
          </w:p>
        </w:tc>
        <w:tc>
          <w:tcPr>
            <w:tcW w:w="1060" w:type="dxa"/>
            <w:vAlign w:val="bottom"/>
            <w:shd w:val="clear" w:color="auto" w:fill="E5F1F8"/>
          </w:tcPr>
          <w:p>
            <w:pPr>
              <w:jc w:val="right"/>
              <w:ind w:right="148"/>
              <w:spacing w:after="0"/>
              <w:rPr>
                <w:sz w:val="20"/>
                <w:szCs w:val="20"/>
                <w:color w:val="auto"/>
              </w:rPr>
            </w:pPr>
            <w:r>
              <w:rPr>
                <w:rFonts w:ascii="Arial" w:cs="Arial" w:eastAsia="Arial" w:hAnsi="Arial"/>
                <w:sz w:val="14"/>
                <w:szCs w:val="14"/>
                <w:color w:val="auto"/>
              </w:rPr>
              <w:t>7,723</w:t>
            </w:r>
          </w:p>
        </w:tc>
        <w:tc>
          <w:tcPr>
            <w:tcW w:w="1100" w:type="dxa"/>
            <w:vAlign w:val="bottom"/>
            <w:shd w:val="clear" w:color="auto" w:fill="E5F1F8"/>
          </w:tcPr>
          <w:p>
            <w:pPr>
              <w:jc w:val="right"/>
              <w:ind w:right="108"/>
              <w:spacing w:after="0"/>
              <w:rPr>
                <w:sz w:val="20"/>
                <w:szCs w:val="20"/>
                <w:color w:val="auto"/>
              </w:rPr>
            </w:pPr>
            <w:r>
              <w:rPr>
                <w:rFonts w:ascii="Arial" w:cs="Arial" w:eastAsia="Arial" w:hAnsi="Arial"/>
                <w:sz w:val="14"/>
                <w:szCs w:val="14"/>
                <w:color w:val="auto"/>
              </w:rPr>
              <w:t>7,723</w:t>
            </w:r>
          </w:p>
        </w:tc>
        <w:tc>
          <w:tcPr>
            <w:tcW w:w="0" w:type="dxa"/>
            <w:vAlign w:val="bottom"/>
          </w:tcPr>
          <w:p>
            <w:pPr>
              <w:spacing w:after="0"/>
              <w:rPr>
                <w:sz w:val="1"/>
                <w:szCs w:val="1"/>
                <w:color w:val="auto"/>
              </w:rPr>
            </w:pPr>
          </w:p>
        </w:tc>
      </w:tr>
      <w:tr>
        <w:trPr>
          <w:trHeight w:val="162"/>
        </w:trPr>
        <w:tc>
          <w:tcPr>
            <w:tcW w:w="1780" w:type="dxa"/>
            <w:vAlign w:val="bottom"/>
            <w:vMerge w:val="continue"/>
            <w:shd w:val="clear" w:color="auto" w:fill="E5F1F8"/>
          </w:tcPr>
          <w:p>
            <w:pPr>
              <w:spacing w:after="0"/>
              <w:rPr>
                <w:sz w:val="14"/>
                <w:szCs w:val="14"/>
                <w:color w:val="auto"/>
              </w:rPr>
            </w:pPr>
          </w:p>
        </w:tc>
        <w:tc>
          <w:tcPr>
            <w:tcW w:w="3580" w:type="dxa"/>
            <w:vAlign w:val="bottom"/>
            <w:shd w:val="clear" w:color="auto" w:fill="E5F1F8"/>
          </w:tcPr>
          <w:p>
            <w:pPr>
              <w:ind w:left="80"/>
              <w:spacing w:after="0" w:line="162" w:lineRule="exact"/>
              <w:rPr>
                <w:sz w:val="20"/>
                <w:szCs w:val="20"/>
                <w:color w:val="auto"/>
              </w:rPr>
            </w:pPr>
            <w:r>
              <w:rPr>
                <w:rFonts w:ascii="Arial" w:cs="Arial" w:eastAsia="Arial" w:hAnsi="Arial"/>
                <w:sz w:val="11"/>
                <w:szCs w:val="11"/>
                <w:color w:val="auto"/>
              </w:rPr>
              <w:t>PSUs</w:t>
            </w:r>
            <w:r>
              <w:rPr>
                <w:rFonts w:ascii="Arial" w:cs="Arial" w:eastAsia="Arial" w:hAnsi="Arial"/>
                <w:sz w:val="18"/>
                <w:szCs w:val="18"/>
                <w:color w:val="auto"/>
                <w:vertAlign w:val="superscript"/>
              </w:rPr>
              <w:t>6</w:t>
            </w:r>
          </w:p>
        </w:tc>
        <w:tc>
          <w:tcPr>
            <w:tcW w:w="1180" w:type="dxa"/>
            <w:vAlign w:val="bottom"/>
            <w:shd w:val="clear" w:color="auto" w:fill="E5F1F8"/>
          </w:tcPr>
          <w:p>
            <w:pPr>
              <w:jc w:val="right"/>
              <w:ind w:right="168"/>
              <w:spacing w:after="0"/>
              <w:rPr>
                <w:sz w:val="20"/>
                <w:szCs w:val="20"/>
                <w:color w:val="auto"/>
              </w:rPr>
            </w:pPr>
            <w:r>
              <w:rPr>
                <w:rFonts w:ascii="Arial" w:cs="Arial" w:eastAsia="Arial" w:hAnsi="Arial"/>
                <w:sz w:val="14"/>
                <w:szCs w:val="14"/>
                <w:color w:val="auto"/>
              </w:rPr>
              <w:t>929,301</w:t>
            </w:r>
          </w:p>
        </w:tc>
        <w:tc>
          <w:tcPr>
            <w:tcW w:w="1220" w:type="dxa"/>
            <w:vAlign w:val="bottom"/>
            <w:shd w:val="clear" w:color="auto" w:fill="E5F1F8"/>
          </w:tcPr>
          <w:p>
            <w:pPr>
              <w:spacing w:after="0"/>
              <w:rPr>
                <w:sz w:val="14"/>
                <w:szCs w:val="14"/>
                <w:color w:val="auto"/>
              </w:rPr>
            </w:pPr>
          </w:p>
        </w:tc>
        <w:tc>
          <w:tcPr>
            <w:tcW w:w="1080" w:type="dxa"/>
            <w:vAlign w:val="bottom"/>
            <w:shd w:val="clear" w:color="auto" w:fill="E5F1F8"/>
          </w:tcPr>
          <w:p>
            <w:pPr>
              <w:jc w:val="right"/>
              <w:ind w:right="128"/>
              <w:spacing w:after="0"/>
              <w:rPr>
                <w:sz w:val="20"/>
                <w:szCs w:val="20"/>
                <w:color w:val="auto"/>
              </w:rPr>
            </w:pPr>
            <w:r>
              <w:rPr>
                <w:rFonts w:ascii="Arial" w:cs="Arial" w:eastAsia="Arial" w:hAnsi="Arial"/>
                <w:sz w:val="14"/>
                <w:szCs w:val="14"/>
                <w:color w:val="auto"/>
              </w:rPr>
              <w:t>929,301</w:t>
            </w:r>
          </w:p>
        </w:tc>
        <w:tc>
          <w:tcPr>
            <w:tcW w:w="1060" w:type="dxa"/>
            <w:vAlign w:val="bottom"/>
            <w:shd w:val="clear" w:color="auto" w:fill="E5F1F8"/>
          </w:tcPr>
          <w:p>
            <w:pPr>
              <w:jc w:val="right"/>
              <w:ind w:right="148"/>
              <w:spacing w:after="0"/>
              <w:rPr>
                <w:sz w:val="20"/>
                <w:szCs w:val="20"/>
                <w:color w:val="auto"/>
              </w:rPr>
            </w:pPr>
            <w:r>
              <w:rPr>
                <w:rFonts w:ascii="Arial" w:cs="Arial" w:eastAsia="Arial" w:hAnsi="Arial"/>
                <w:sz w:val="14"/>
                <w:szCs w:val="14"/>
                <w:color w:val="auto"/>
              </w:rPr>
              <w:t>929,301</w:t>
            </w:r>
          </w:p>
        </w:tc>
        <w:tc>
          <w:tcPr>
            <w:tcW w:w="1100" w:type="dxa"/>
            <w:vAlign w:val="bottom"/>
            <w:shd w:val="clear" w:color="auto" w:fill="E5F1F8"/>
          </w:tcPr>
          <w:p>
            <w:pPr>
              <w:jc w:val="right"/>
              <w:ind w:right="108"/>
              <w:spacing w:after="0"/>
              <w:rPr>
                <w:sz w:val="20"/>
                <w:szCs w:val="20"/>
                <w:color w:val="auto"/>
              </w:rPr>
            </w:pPr>
            <w:r>
              <w:rPr>
                <w:rFonts w:ascii="Arial" w:cs="Arial" w:eastAsia="Arial" w:hAnsi="Arial"/>
                <w:sz w:val="14"/>
                <w:szCs w:val="14"/>
                <w:color w:val="auto"/>
              </w:rPr>
              <w:t>929,301</w:t>
            </w:r>
          </w:p>
        </w:tc>
        <w:tc>
          <w:tcPr>
            <w:tcW w:w="0" w:type="dxa"/>
            <w:vAlign w:val="bottom"/>
          </w:tcPr>
          <w:p>
            <w:pPr>
              <w:spacing w:after="0"/>
              <w:rPr>
                <w:sz w:val="1"/>
                <w:szCs w:val="1"/>
                <w:color w:val="auto"/>
              </w:rPr>
            </w:pPr>
          </w:p>
        </w:tc>
      </w:tr>
      <w:tr>
        <w:trPr>
          <w:trHeight w:val="162"/>
        </w:trPr>
        <w:tc>
          <w:tcPr>
            <w:tcW w:w="1780" w:type="dxa"/>
            <w:vAlign w:val="bottom"/>
            <w:shd w:val="clear" w:color="auto" w:fill="E5F1F8"/>
          </w:tcPr>
          <w:p>
            <w:pPr>
              <w:spacing w:after="0"/>
              <w:rPr>
                <w:sz w:val="14"/>
                <w:szCs w:val="14"/>
                <w:color w:val="auto"/>
              </w:rPr>
            </w:pPr>
          </w:p>
        </w:tc>
        <w:tc>
          <w:tcPr>
            <w:tcW w:w="3580" w:type="dxa"/>
            <w:vAlign w:val="bottom"/>
            <w:shd w:val="clear" w:color="auto" w:fill="E5F1F8"/>
          </w:tcPr>
          <w:p>
            <w:pPr>
              <w:ind w:left="80"/>
              <w:spacing w:after="0" w:line="162" w:lineRule="exact"/>
              <w:rPr>
                <w:sz w:val="20"/>
                <w:szCs w:val="20"/>
                <w:color w:val="auto"/>
              </w:rPr>
            </w:pPr>
            <w:r>
              <w:rPr>
                <w:rFonts w:ascii="Arial" w:cs="Arial" w:eastAsia="Arial" w:hAnsi="Arial"/>
                <w:sz w:val="11"/>
                <w:szCs w:val="11"/>
                <w:color w:val="auto"/>
              </w:rPr>
              <w:t>Retirement Plans</w:t>
            </w:r>
            <w:r>
              <w:rPr>
                <w:rFonts w:ascii="Arial" w:cs="Arial" w:eastAsia="Arial" w:hAnsi="Arial"/>
                <w:sz w:val="18"/>
                <w:szCs w:val="18"/>
                <w:color w:val="auto"/>
                <w:vertAlign w:val="superscript"/>
              </w:rPr>
              <w:t>7</w:t>
            </w:r>
          </w:p>
        </w:tc>
        <w:tc>
          <w:tcPr>
            <w:tcW w:w="1180" w:type="dxa"/>
            <w:vAlign w:val="bottom"/>
            <w:shd w:val="clear" w:color="auto" w:fill="E5F1F8"/>
          </w:tcPr>
          <w:p>
            <w:pPr>
              <w:spacing w:after="0"/>
              <w:rPr>
                <w:sz w:val="14"/>
                <w:szCs w:val="14"/>
                <w:color w:val="auto"/>
              </w:rPr>
            </w:pPr>
          </w:p>
        </w:tc>
        <w:tc>
          <w:tcPr>
            <w:tcW w:w="1220" w:type="dxa"/>
            <w:vAlign w:val="bottom"/>
            <w:shd w:val="clear" w:color="auto" w:fill="E5F1F8"/>
          </w:tcPr>
          <w:p>
            <w:pPr>
              <w:spacing w:after="0"/>
              <w:rPr>
                <w:sz w:val="14"/>
                <w:szCs w:val="14"/>
                <w:color w:val="auto"/>
              </w:rPr>
            </w:pPr>
          </w:p>
        </w:tc>
        <w:tc>
          <w:tcPr>
            <w:tcW w:w="1080" w:type="dxa"/>
            <w:vAlign w:val="bottom"/>
            <w:shd w:val="clear" w:color="auto" w:fill="E5F1F8"/>
          </w:tcPr>
          <w:p>
            <w:pPr>
              <w:spacing w:after="0"/>
              <w:rPr>
                <w:sz w:val="14"/>
                <w:szCs w:val="14"/>
                <w:color w:val="auto"/>
              </w:rPr>
            </w:pPr>
          </w:p>
        </w:tc>
        <w:tc>
          <w:tcPr>
            <w:tcW w:w="1060" w:type="dxa"/>
            <w:vAlign w:val="bottom"/>
            <w:shd w:val="clear" w:color="auto" w:fill="E5F1F8"/>
          </w:tcPr>
          <w:p>
            <w:pPr>
              <w:spacing w:after="0"/>
              <w:rPr>
                <w:sz w:val="14"/>
                <w:szCs w:val="14"/>
                <w:color w:val="auto"/>
              </w:rPr>
            </w:pPr>
          </w:p>
        </w:tc>
        <w:tc>
          <w:tcPr>
            <w:tcW w:w="1100" w:type="dxa"/>
            <w:vAlign w:val="bottom"/>
            <w:shd w:val="clear" w:color="auto" w:fill="E5F1F8"/>
          </w:tcPr>
          <w:p>
            <w:pPr>
              <w:jc w:val="right"/>
              <w:ind w:right="108"/>
              <w:spacing w:after="0"/>
              <w:rPr>
                <w:sz w:val="20"/>
                <w:szCs w:val="20"/>
                <w:color w:val="auto"/>
              </w:rPr>
            </w:pPr>
            <w:r>
              <w:rPr>
                <w:rFonts w:ascii="Arial" w:cs="Arial" w:eastAsia="Arial" w:hAnsi="Arial"/>
                <w:sz w:val="14"/>
                <w:szCs w:val="14"/>
                <w:color w:val="auto"/>
              </w:rPr>
              <w:t>5,644,123</w:t>
            </w:r>
          </w:p>
        </w:tc>
        <w:tc>
          <w:tcPr>
            <w:tcW w:w="0" w:type="dxa"/>
            <w:vAlign w:val="bottom"/>
          </w:tcPr>
          <w:p>
            <w:pPr>
              <w:spacing w:after="0"/>
              <w:rPr>
                <w:sz w:val="1"/>
                <w:szCs w:val="1"/>
                <w:color w:val="auto"/>
              </w:rPr>
            </w:pPr>
          </w:p>
        </w:tc>
      </w:tr>
      <w:tr>
        <w:trPr>
          <w:trHeight w:val="192"/>
        </w:trPr>
        <w:tc>
          <w:tcPr>
            <w:tcW w:w="1780" w:type="dxa"/>
            <w:vAlign w:val="bottom"/>
            <w:shd w:val="clear" w:color="auto" w:fill="E5F1F8"/>
          </w:tcPr>
          <w:p>
            <w:pPr>
              <w:spacing w:after="0"/>
              <w:rPr>
                <w:sz w:val="16"/>
                <w:szCs w:val="16"/>
                <w:color w:val="auto"/>
              </w:rPr>
            </w:pPr>
          </w:p>
        </w:tc>
        <w:tc>
          <w:tcPr>
            <w:tcW w:w="3580" w:type="dxa"/>
            <w:vAlign w:val="bottom"/>
            <w:shd w:val="clear" w:color="auto" w:fill="E5F1F8"/>
          </w:tcPr>
          <w:p>
            <w:pPr>
              <w:ind w:left="80"/>
              <w:spacing w:after="0" w:line="191" w:lineRule="exact"/>
              <w:rPr>
                <w:sz w:val="20"/>
                <w:szCs w:val="20"/>
                <w:color w:val="auto"/>
              </w:rPr>
            </w:pPr>
            <w:r>
              <w:rPr>
                <w:rFonts w:ascii="Arial" w:cs="Arial" w:eastAsia="Arial" w:hAnsi="Arial"/>
                <w:sz w:val="13"/>
                <w:szCs w:val="13"/>
                <w:color w:val="auto"/>
              </w:rPr>
              <w:t>Health and Welfare Benefits</w:t>
            </w:r>
            <w:r>
              <w:rPr>
                <w:rFonts w:ascii="Arial" w:cs="Arial" w:eastAsia="Arial" w:hAnsi="Arial"/>
                <w:sz w:val="22"/>
                <w:szCs w:val="22"/>
                <w:color w:val="auto"/>
                <w:vertAlign w:val="superscript"/>
              </w:rPr>
              <w:t>8</w:t>
            </w:r>
          </w:p>
        </w:tc>
        <w:tc>
          <w:tcPr>
            <w:tcW w:w="1180" w:type="dxa"/>
            <w:vAlign w:val="bottom"/>
            <w:shd w:val="clear" w:color="auto" w:fill="E5F1F8"/>
          </w:tcPr>
          <w:p>
            <w:pPr>
              <w:spacing w:after="0"/>
              <w:rPr>
                <w:sz w:val="16"/>
                <w:szCs w:val="16"/>
                <w:color w:val="auto"/>
              </w:rPr>
            </w:pPr>
          </w:p>
        </w:tc>
        <w:tc>
          <w:tcPr>
            <w:tcW w:w="1220" w:type="dxa"/>
            <w:vAlign w:val="bottom"/>
            <w:shd w:val="clear" w:color="auto" w:fill="E5F1F8"/>
          </w:tcPr>
          <w:p>
            <w:pPr>
              <w:spacing w:after="0"/>
              <w:rPr>
                <w:sz w:val="16"/>
                <w:szCs w:val="16"/>
                <w:color w:val="auto"/>
              </w:rPr>
            </w:pPr>
          </w:p>
        </w:tc>
        <w:tc>
          <w:tcPr>
            <w:tcW w:w="1080" w:type="dxa"/>
            <w:vAlign w:val="bottom"/>
            <w:shd w:val="clear" w:color="auto" w:fill="E5F1F8"/>
          </w:tcPr>
          <w:p>
            <w:pPr>
              <w:spacing w:after="0"/>
              <w:rPr>
                <w:sz w:val="16"/>
                <w:szCs w:val="16"/>
                <w:color w:val="auto"/>
              </w:rPr>
            </w:pPr>
          </w:p>
        </w:tc>
        <w:tc>
          <w:tcPr>
            <w:tcW w:w="1060" w:type="dxa"/>
            <w:vAlign w:val="bottom"/>
            <w:shd w:val="clear" w:color="auto" w:fill="E5F1F8"/>
          </w:tcPr>
          <w:p>
            <w:pPr>
              <w:spacing w:after="0"/>
              <w:rPr>
                <w:sz w:val="16"/>
                <w:szCs w:val="16"/>
                <w:color w:val="auto"/>
              </w:rPr>
            </w:pPr>
          </w:p>
        </w:tc>
        <w:tc>
          <w:tcPr>
            <w:tcW w:w="1100" w:type="dxa"/>
            <w:vAlign w:val="bottom"/>
            <w:shd w:val="clear" w:color="auto" w:fill="E5F1F8"/>
          </w:tcPr>
          <w:p>
            <w:pPr>
              <w:jc w:val="right"/>
              <w:ind w:right="108"/>
              <w:spacing w:after="0"/>
              <w:rPr>
                <w:sz w:val="20"/>
                <w:szCs w:val="20"/>
                <w:color w:val="auto"/>
              </w:rPr>
            </w:pPr>
            <w:r>
              <w:rPr>
                <w:rFonts w:ascii="Arial" w:cs="Arial" w:eastAsia="Arial" w:hAnsi="Arial"/>
                <w:sz w:val="14"/>
                <w:szCs w:val="14"/>
                <w:color w:val="auto"/>
              </w:rPr>
              <w:t>34,483</w:t>
            </w:r>
          </w:p>
        </w:tc>
        <w:tc>
          <w:tcPr>
            <w:tcW w:w="0" w:type="dxa"/>
            <w:vAlign w:val="bottom"/>
          </w:tcPr>
          <w:p>
            <w:pPr>
              <w:spacing w:after="0"/>
              <w:rPr>
                <w:sz w:val="1"/>
                <w:szCs w:val="1"/>
                <w:color w:val="auto"/>
              </w:rPr>
            </w:pPr>
          </w:p>
        </w:tc>
      </w:tr>
      <w:tr>
        <w:trPr>
          <w:trHeight w:val="240"/>
        </w:trPr>
        <w:tc>
          <w:tcPr>
            <w:tcW w:w="1780" w:type="dxa"/>
            <w:vAlign w:val="bottom"/>
          </w:tcPr>
          <w:p>
            <w:pPr>
              <w:spacing w:after="0"/>
              <w:rPr>
                <w:sz w:val="20"/>
                <w:szCs w:val="20"/>
                <w:color w:val="auto"/>
              </w:rPr>
            </w:pPr>
          </w:p>
        </w:tc>
        <w:tc>
          <w:tcPr>
            <w:tcW w:w="3580" w:type="dxa"/>
            <w:vAlign w:val="bottom"/>
          </w:tcPr>
          <w:p>
            <w:pPr>
              <w:ind w:left="80"/>
              <w:spacing w:after="0" w:line="240" w:lineRule="exact"/>
              <w:rPr>
                <w:sz w:val="20"/>
                <w:szCs w:val="20"/>
                <w:color w:val="auto"/>
              </w:rPr>
            </w:pPr>
            <w:r>
              <w:rPr>
                <w:rFonts w:ascii="Arial" w:cs="Arial" w:eastAsia="Arial" w:hAnsi="Arial"/>
                <w:sz w:val="14"/>
                <w:szCs w:val="14"/>
                <w:color w:val="auto"/>
              </w:rPr>
              <w:t>Cash Severance</w:t>
            </w:r>
            <w:r>
              <w:rPr>
                <w:rFonts w:ascii="Arial" w:cs="Arial" w:eastAsia="Arial" w:hAnsi="Arial"/>
                <w:sz w:val="24"/>
                <w:szCs w:val="24"/>
                <w:color w:val="auto"/>
                <w:vertAlign w:val="superscript"/>
              </w:rPr>
              <w:t>2</w:t>
            </w: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2,468,985</w:t>
            </w: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3580" w:type="dxa"/>
            <w:vAlign w:val="bottom"/>
          </w:tcPr>
          <w:p>
            <w:pPr>
              <w:ind w:left="80"/>
              <w:spacing w:after="0" w:line="162" w:lineRule="exact"/>
              <w:rPr>
                <w:sz w:val="20"/>
                <w:szCs w:val="20"/>
                <w:color w:val="auto"/>
              </w:rPr>
            </w:pPr>
            <w:r>
              <w:rPr>
                <w:rFonts w:ascii="Arial" w:cs="Arial" w:eastAsia="Arial" w:hAnsi="Arial"/>
                <w:sz w:val="11"/>
                <w:szCs w:val="11"/>
                <w:color w:val="auto"/>
              </w:rPr>
              <w:t>Unvested RSUs</w:t>
            </w:r>
            <w:r>
              <w:rPr>
                <w:rFonts w:ascii="Arial" w:cs="Arial" w:eastAsia="Arial" w:hAnsi="Arial"/>
                <w:sz w:val="18"/>
                <w:szCs w:val="18"/>
                <w:color w:val="auto"/>
                <w:vertAlign w:val="superscript"/>
              </w:rPr>
              <w:t>3</w:t>
            </w:r>
          </w:p>
        </w:tc>
        <w:tc>
          <w:tcPr>
            <w:tcW w:w="1180" w:type="dxa"/>
            <w:vAlign w:val="bottom"/>
          </w:tcPr>
          <w:p>
            <w:pPr>
              <w:jc w:val="right"/>
              <w:ind w:right="168"/>
              <w:spacing w:after="0"/>
              <w:rPr>
                <w:sz w:val="20"/>
                <w:szCs w:val="20"/>
                <w:color w:val="auto"/>
              </w:rPr>
            </w:pPr>
            <w:r>
              <w:rPr>
                <w:rFonts w:ascii="Arial" w:cs="Arial" w:eastAsia="Arial" w:hAnsi="Arial"/>
                <w:sz w:val="14"/>
                <w:szCs w:val="14"/>
                <w:color w:val="auto"/>
              </w:rPr>
              <w:t>529,704</w:t>
            </w: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1,396,787</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1,926,491</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1,926,491</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1,926,491</w:t>
            </w: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3580" w:type="dxa"/>
            <w:vAlign w:val="bottom"/>
          </w:tcPr>
          <w:p>
            <w:pPr>
              <w:ind w:left="80"/>
              <w:spacing w:after="0" w:line="162" w:lineRule="exact"/>
              <w:rPr>
                <w:sz w:val="20"/>
                <w:szCs w:val="20"/>
                <w:color w:val="auto"/>
              </w:rPr>
            </w:pPr>
            <w:r>
              <w:rPr>
                <w:rFonts w:ascii="Arial" w:cs="Arial" w:eastAsia="Arial" w:hAnsi="Arial"/>
                <w:sz w:val="11"/>
                <w:szCs w:val="11"/>
                <w:color w:val="auto"/>
              </w:rPr>
              <w:t>Unexercisable Options</w:t>
            </w:r>
            <w:r>
              <w:rPr>
                <w:rFonts w:ascii="Arial" w:cs="Arial" w:eastAsia="Arial" w:hAnsi="Arial"/>
                <w:sz w:val="18"/>
                <w:szCs w:val="18"/>
                <w:color w:val="auto"/>
                <w:vertAlign w:val="superscript"/>
              </w:rPr>
              <w:t>4</w:t>
            </w:r>
          </w:p>
        </w:tc>
        <w:tc>
          <w:tcPr>
            <w:tcW w:w="1180" w:type="dxa"/>
            <w:vAlign w:val="bottom"/>
          </w:tcPr>
          <w:p>
            <w:pPr>
              <w:jc w:val="right"/>
              <w:ind w:right="168"/>
              <w:spacing w:after="0"/>
              <w:rPr>
                <w:sz w:val="20"/>
                <w:szCs w:val="20"/>
                <w:color w:val="auto"/>
              </w:rPr>
            </w:pPr>
            <w:r>
              <w:rPr>
                <w:rFonts w:ascii="Arial" w:cs="Arial" w:eastAsia="Arial" w:hAnsi="Arial"/>
                <w:sz w:val="14"/>
                <w:szCs w:val="14"/>
                <w:color w:val="auto"/>
              </w:rPr>
              <w:t>12,001</w:t>
            </w:r>
          </w:p>
        </w:tc>
        <w:tc>
          <w:tcPr>
            <w:tcW w:w="1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12,001</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12,001</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12,001</w:t>
            </w:r>
          </w:p>
        </w:tc>
        <w:tc>
          <w:tcPr>
            <w:tcW w:w="0" w:type="dxa"/>
            <w:vAlign w:val="bottom"/>
          </w:tcPr>
          <w:p>
            <w:pPr>
              <w:spacing w:after="0"/>
              <w:rPr>
                <w:sz w:val="1"/>
                <w:szCs w:val="1"/>
                <w:color w:val="auto"/>
              </w:rPr>
            </w:pPr>
          </w:p>
        </w:tc>
      </w:tr>
      <w:tr>
        <w:trPr>
          <w:trHeight w:val="162"/>
        </w:trPr>
        <w:tc>
          <w:tcPr>
            <w:tcW w:w="17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Donald A. McCunniff</w:t>
            </w:r>
          </w:p>
        </w:tc>
        <w:tc>
          <w:tcPr>
            <w:tcW w:w="3580" w:type="dxa"/>
            <w:vAlign w:val="bottom"/>
          </w:tcPr>
          <w:p>
            <w:pPr>
              <w:ind w:left="80"/>
              <w:spacing w:after="0" w:line="162" w:lineRule="exact"/>
              <w:rPr>
                <w:sz w:val="20"/>
                <w:szCs w:val="20"/>
                <w:color w:val="auto"/>
              </w:rPr>
            </w:pPr>
            <w:r>
              <w:rPr>
                <w:rFonts w:ascii="Arial" w:cs="Arial" w:eastAsia="Arial" w:hAnsi="Arial"/>
                <w:sz w:val="11"/>
                <w:szCs w:val="11"/>
                <w:color w:val="auto"/>
              </w:rPr>
              <w:t>Unvested Incentive Stock Plan Units</w:t>
            </w:r>
            <w:r>
              <w:rPr>
                <w:rFonts w:ascii="Arial" w:cs="Arial" w:eastAsia="Arial" w:hAnsi="Arial"/>
                <w:sz w:val="18"/>
                <w:szCs w:val="18"/>
                <w:color w:val="auto"/>
                <w:vertAlign w:val="superscript"/>
              </w:rPr>
              <w:t>5</w:t>
            </w:r>
          </w:p>
        </w:tc>
        <w:tc>
          <w:tcPr>
            <w:tcW w:w="1180" w:type="dxa"/>
            <w:vAlign w:val="bottom"/>
          </w:tcPr>
          <w:p>
            <w:pPr>
              <w:jc w:val="right"/>
              <w:ind w:right="168"/>
              <w:spacing w:after="0"/>
              <w:rPr>
                <w:sz w:val="20"/>
                <w:szCs w:val="20"/>
                <w:color w:val="auto"/>
              </w:rPr>
            </w:pPr>
            <w:r>
              <w:rPr>
                <w:rFonts w:ascii="Arial" w:cs="Arial" w:eastAsia="Arial" w:hAnsi="Arial"/>
                <w:sz w:val="14"/>
                <w:szCs w:val="14"/>
                <w:color w:val="auto"/>
              </w:rPr>
              <w:t>3,731</w:t>
            </w: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1,993</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3,731</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3,731</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3,731</w:t>
            </w:r>
          </w:p>
        </w:tc>
        <w:tc>
          <w:tcPr>
            <w:tcW w:w="0" w:type="dxa"/>
            <w:vAlign w:val="bottom"/>
          </w:tcPr>
          <w:p>
            <w:pPr>
              <w:spacing w:after="0"/>
              <w:rPr>
                <w:sz w:val="1"/>
                <w:szCs w:val="1"/>
                <w:color w:val="auto"/>
              </w:rPr>
            </w:pPr>
          </w:p>
        </w:tc>
      </w:tr>
      <w:tr>
        <w:trPr>
          <w:trHeight w:val="162"/>
        </w:trPr>
        <w:tc>
          <w:tcPr>
            <w:tcW w:w="1780" w:type="dxa"/>
            <w:vAlign w:val="bottom"/>
            <w:vMerge w:val="continue"/>
          </w:tcPr>
          <w:p>
            <w:pPr>
              <w:spacing w:after="0"/>
              <w:rPr>
                <w:sz w:val="14"/>
                <w:szCs w:val="14"/>
                <w:color w:val="auto"/>
              </w:rPr>
            </w:pPr>
          </w:p>
        </w:tc>
        <w:tc>
          <w:tcPr>
            <w:tcW w:w="3580" w:type="dxa"/>
            <w:vAlign w:val="bottom"/>
          </w:tcPr>
          <w:p>
            <w:pPr>
              <w:ind w:left="80"/>
              <w:spacing w:after="0" w:line="162" w:lineRule="exact"/>
              <w:rPr>
                <w:sz w:val="20"/>
                <w:szCs w:val="20"/>
                <w:color w:val="auto"/>
              </w:rPr>
            </w:pPr>
            <w:r>
              <w:rPr>
                <w:rFonts w:ascii="Arial" w:cs="Arial" w:eastAsia="Arial" w:hAnsi="Arial"/>
                <w:sz w:val="11"/>
                <w:szCs w:val="11"/>
                <w:color w:val="auto"/>
              </w:rPr>
              <w:t>PSUs</w:t>
            </w:r>
            <w:r>
              <w:rPr>
                <w:rFonts w:ascii="Arial" w:cs="Arial" w:eastAsia="Arial" w:hAnsi="Arial"/>
                <w:sz w:val="18"/>
                <w:szCs w:val="18"/>
                <w:color w:val="auto"/>
                <w:vertAlign w:val="superscript"/>
              </w:rPr>
              <w:t>6</w:t>
            </w:r>
          </w:p>
        </w:tc>
        <w:tc>
          <w:tcPr>
            <w:tcW w:w="1180" w:type="dxa"/>
            <w:vAlign w:val="bottom"/>
          </w:tcPr>
          <w:p>
            <w:pPr>
              <w:jc w:val="right"/>
              <w:ind w:right="168"/>
              <w:spacing w:after="0"/>
              <w:rPr>
                <w:sz w:val="20"/>
                <w:szCs w:val="20"/>
                <w:color w:val="auto"/>
              </w:rPr>
            </w:pPr>
            <w:r>
              <w:rPr>
                <w:rFonts w:ascii="Arial" w:cs="Arial" w:eastAsia="Arial" w:hAnsi="Arial"/>
                <w:sz w:val="14"/>
                <w:szCs w:val="14"/>
                <w:color w:val="auto"/>
              </w:rPr>
              <w:t>660,153</w:t>
            </w:r>
          </w:p>
        </w:tc>
        <w:tc>
          <w:tcPr>
            <w:tcW w:w="1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660,153</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660,153</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660,153</w:t>
            </w: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3580" w:type="dxa"/>
            <w:vAlign w:val="bottom"/>
          </w:tcPr>
          <w:p>
            <w:pPr>
              <w:ind w:left="80"/>
              <w:spacing w:after="0" w:line="162" w:lineRule="exact"/>
              <w:rPr>
                <w:sz w:val="20"/>
                <w:szCs w:val="20"/>
                <w:color w:val="auto"/>
              </w:rPr>
            </w:pPr>
            <w:r>
              <w:rPr>
                <w:rFonts w:ascii="Arial" w:cs="Arial" w:eastAsia="Arial" w:hAnsi="Arial"/>
                <w:sz w:val="11"/>
                <w:szCs w:val="11"/>
                <w:color w:val="auto"/>
              </w:rPr>
              <w:t>Retirement Plans</w:t>
            </w:r>
            <w:r>
              <w:rPr>
                <w:rFonts w:ascii="Arial" w:cs="Arial" w:eastAsia="Arial" w:hAnsi="Arial"/>
                <w:sz w:val="18"/>
                <w:szCs w:val="18"/>
                <w:color w:val="auto"/>
                <w:vertAlign w:val="superscript"/>
              </w:rPr>
              <w:t>7</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120,543</w:t>
            </w:r>
          </w:p>
        </w:tc>
        <w:tc>
          <w:tcPr>
            <w:tcW w:w="10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1,596,909</w:t>
            </w:r>
          </w:p>
        </w:tc>
        <w:tc>
          <w:tcPr>
            <w:tcW w:w="0" w:type="dxa"/>
            <w:vAlign w:val="bottom"/>
          </w:tcPr>
          <w:p>
            <w:pPr>
              <w:spacing w:after="0"/>
              <w:rPr>
                <w:sz w:val="1"/>
                <w:szCs w:val="1"/>
                <w:color w:val="auto"/>
              </w:rPr>
            </w:pPr>
          </w:p>
        </w:tc>
      </w:tr>
      <w:tr>
        <w:trPr>
          <w:trHeight w:val="192"/>
        </w:trPr>
        <w:tc>
          <w:tcPr>
            <w:tcW w:w="1780" w:type="dxa"/>
            <w:vAlign w:val="bottom"/>
          </w:tcPr>
          <w:p>
            <w:pPr>
              <w:spacing w:after="0"/>
              <w:rPr>
                <w:sz w:val="16"/>
                <w:szCs w:val="16"/>
                <w:color w:val="auto"/>
              </w:rPr>
            </w:pPr>
          </w:p>
        </w:tc>
        <w:tc>
          <w:tcPr>
            <w:tcW w:w="3580" w:type="dxa"/>
            <w:vAlign w:val="bottom"/>
          </w:tcPr>
          <w:p>
            <w:pPr>
              <w:ind w:left="80"/>
              <w:spacing w:after="0" w:line="191" w:lineRule="exact"/>
              <w:rPr>
                <w:sz w:val="20"/>
                <w:szCs w:val="20"/>
                <w:color w:val="auto"/>
              </w:rPr>
            </w:pPr>
            <w:r>
              <w:rPr>
                <w:rFonts w:ascii="Arial" w:cs="Arial" w:eastAsia="Arial" w:hAnsi="Arial"/>
                <w:sz w:val="13"/>
                <w:szCs w:val="13"/>
                <w:color w:val="auto"/>
              </w:rPr>
              <w:t>Health and Welfare Benefits</w:t>
            </w:r>
            <w:r>
              <w:rPr>
                <w:rFonts w:ascii="Arial" w:cs="Arial" w:eastAsia="Arial" w:hAnsi="Arial"/>
                <w:sz w:val="22"/>
                <w:szCs w:val="22"/>
                <w:color w:val="auto"/>
                <w:vertAlign w:val="superscript"/>
              </w:rPr>
              <w:t>8</w:t>
            </w: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34,977</w:t>
            </w:r>
          </w:p>
        </w:tc>
        <w:tc>
          <w:tcPr>
            <w:tcW w:w="0" w:type="dxa"/>
            <w:vAlign w:val="bottom"/>
          </w:tcPr>
          <w:p>
            <w:pPr>
              <w:spacing w:after="0"/>
              <w:rPr>
                <w:sz w:val="1"/>
                <w:szCs w:val="1"/>
                <w:color w:val="auto"/>
              </w:rPr>
            </w:pPr>
          </w:p>
        </w:tc>
      </w:tr>
      <w:tr>
        <w:trPr>
          <w:trHeight w:val="240"/>
        </w:trPr>
        <w:tc>
          <w:tcPr>
            <w:tcW w:w="1780" w:type="dxa"/>
            <w:vAlign w:val="bottom"/>
            <w:shd w:val="clear" w:color="auto" w:fill="E5F1F8"/>
          </w:tcPr>
          <w:p>
            <w:pPr>
              <w:spacing w:after="0"/>
              <w:rPr>
                <w:sz w:val="20"/>
                <w:szCs w:val="20"/>
                <w:color w:val="auto"/>
              </w:rPr>
            </w:pPr>
          </w:p>
        </w:tc>
        <w:tc>
          <w:tcPr>
            <w:tcW w:w="3580" w:type="dxa"/>
            <w:vAlign w:val="bottom"/>
            <w:shd w:val="clear" w:color="auto" w:fill="E5F1F8"/>
          </w:tcPr>
          <w:p>
            <w:pPr>
              <w:ind w:left="80"/>
              <w:spacing w:after="0" w:line="240" w:lineRule="exact"/>
              <w:rPr>
                <w:sz w:val="20"/>
                <w:szCs w:val="20"/>
                <w:color w:val="auto"/>
              </w:rPr>
            </w:pPr>
            <w:r>
              <w:rPr>
                <w:rFonts w:ascii="Arial" w:cs="Arial" w:eastAsia="Arial" w:hAnsi="Arial"/>
                <w:sz w:val="14"/>
                <w:szCs w:val="14"/>
                <w:color w:val="auto"/>
              </w:rPr>
              <w:t>Cash Severance</w:t>
            </w:r>
            <w:r>
              <w:rPr>
                <w:rFonts w:ascii="Arial" w:cs="Arial" w:eastAsia="Arial" w:hAnsi="Arial"/>
                <w:sz w:val="24"/>
                <w:szCs w:val="24"/>
                <w:color w:val="auto"/>
                <w:vertAlign w:val="superscript"/>
              </w:rPr>
              <w:t>2</w:t>
            </w:r>
          </w:p>
        </w:tc>
        <w:tc>
          <w:tcPr>
            <w:tcW w:w="1180" w:type="dxa"/>
            <w:vAlign w:val="bottom"/>
            <w:shd w:val="clear" w:color="auto" w:fill="E5F1F8"/>
          </w:tcPr>
          <w:p>
            <w:pPr>
              <w:spacing w:after="0"/>
              <w:rPr>
                <w:sz w:val="20"/>
                <w:szCs w:val="20"/>
                <w:color w:val="auto"/>
              </w:rPr>
            </w:pPr>
          </w:p>
        </w:tc>
        <w:tc>
          <w:tcPr>
            <w:tcW w:w="1220" w:type="dxa"/>
            <w:vAlign w:val="bottom"/>
            <w:shd w:val="clear" w:color="auto" w:fill="E5F1F8"/>
          </w:tcPr>
          <w:p>
            <w:pPr>
              <w:spacing w:after="0"/>
              <w:rPr>
                <w:sz w:val="20"/>
                <w:szCs w:val="20"/>
                <w:color w:val="auto"/>
              </w:rPr>
            </w:pPr>
          </w:p>
        </w:tc>
        <w:tc>
          <w:tcPr>
            <w:tcW w:w="1080" w:type="dxa"/>
            <w:vAlign w:val="bottom"/>
            <w:shd w:val="clear" w:color="auto" w:fill="E5F1F8"/>
          </w:tcPr>
          <w:p>
            <w:pPr>
              <w:spacing w:after="0"/>
              <w:rPr>
                <w:sz w:val="20"/>
                <w:szCs w:val="20"/>
                <w:color w:val="auto"/>
              </w:rPr>
            </w:pPr>
          </w:p>
        </w:tc>
        <w:tc>
          <w:tcPr>
            <w:tcW w:w="1060" w:type="dxa"/>
            <w:vAlign w:val="bottom"/>
            <w:shd w:val="clear" w:color="auto" w:fill="E5F1F8"/>
          </w:tcPr>
          <w:p>
            <w:pPr>
              <w:spacing w:after="0"/>
              <w:rPr>
                <w:sz w:val="20"/>
                <w:szCs w:val="20"/>
                <w:color w:val="auto"/>
              </w:rPr>
            </w:pPr>
          </w:p>
        </w:tc>
        <w:tc>
          <w:tcPr>
            <w:tcW w:w="1100" w:type="dxa"/>
            <w:vAlign w:val="bottom"/>
            <w:shd w:val="clear" w:color="auto" w:fill="E5F1F8"/>
          </w:tcPr>
          <w:p>
            <w:pPr>
              <w:jc w:val="right"/>
              <w:ind w:right="108"/>
              <w:spacing w:after="0"/>
              <w:rPr>
                <w:sz w:val="20"/>
                <w:szCs w:val="20"/>
                <w:color w:val="auto"/>
              </w:rPr>
            </w:pPr>
            <w:r>
              <w:rPr>
                <w:rFonts w:ascii="Arial" w:cs="Arial" w:eastAsia="Arial" w:hAnsi="Arial"/>
                <w:sz w:val="14"/>
                <w:szCs w:val="14"/>
                <w:color w:val="auto"/>
              </w:rPr>
              <w:t>2,288,809</w:t>
            </w:r>
          </w:p>
        </w:tc>
        <w:tc>
          <w:tcPr>
            <w:tcW w:w="0" w:type="dxa"/>
            <w:vAlign w:val="bottom"/>
          </w:tcPr>
          <w:p>
            <w:pPr>
              <w:spacing w:after="0"/>
              <w:rPr>
                <w:sz w:val="1"/>
                <w:szCs w:val="1"/>
                <w:color w:val="auto"/>
              </w:rPr>
            </w:pPr>
          </w:p>
        </w:tc>
      </w:tr>
      <w:tr>
        <w:trPr>
          <w:trHeight w:val="162"/>
        </w:trPr>
        <w:tc>
          <w:tcPr>
            <w:tcW w:w="1780" w:type="dxa"/>
            <w:vAlign w:val="bottom"/>
            <w:shd w:val="clear" w:color="auto" w:fill="E5F1F8"/>
          </w:tcPr>
          <w:p>
            <w:pPr>
              <w:spacing w:after="0"/>
              <w:rPr>
                <w:sz w:val="14"/>
                <w:szCs w:val="14"/>
                <w:color w:val="auto"/>
              </w:rPr>
            </w:pPr>
          </w:p>
        </w:tc>
        <w:tc>
          <w:tcPr>
            <w:tcW w:w="3580" w:type="dxa"/>
            <w:vAlign w:val="bottom"/>
            <w:shd w:val="clear" w:color="auto" w:fill="E5F1F8"/>
          </w:tcPr>
          <w:p>
            <w:pPr>
              <w:ind w:left="80"/>
              <w:spacing w:after="0" w:line="162" w:lineRule="exact"/>
              <w:rPr>
                <w:sz w:val="20"/>
                <w:szCs w:val="20"/>
                <w:color w:val="auto"/>
              </w:rPr>
            </w:pPr>
            <w:r>
              <w:rPr>
                <w:rFonts w:ascii="Arial" w:cs="Arial" w:eastAsia="Arial" w:hAnsi="Arial"/>
                <w:sz w:val="11"/>
                <w:szCs w:val="11"/>
                <w:color w:val="auto"/>
              </w:rPr>
              <w:t>Unvested RSUs</w:t>
            </w:r>
            <w:r>
              <w:rPr>
                <w:rFonts w:ascii="Arial" w:cs="Arial" w:eastAsia="Arial" w:hAnsi="Arial"/>
                <w:sz w:val="18"/>
                <w:szCs w:val="18"/>
                <w:color w:val="auto"/>
                <w:vertAlign w:val="superscript"/>
              </w:rPr>
              <w:t>3</w:t>
            </w:r>
          </w:p>
        </w:tc>
        <w:tc>
          <w:tcPr>
            <w:tcW w:w="1180" w:type="dxa"/>
            <w:vAlign w:val="bottom"/>
            <w:shd w:val="clear" w:color="auto" w:fill="E5F1F8"/>
          </w:tcPr>
          <w:p>
            <w:pPr>
              <w:jc w:val="right"/>
              <w:ind w:right="168"/>
              <w:spacing w:after="0"/>
              <w:rPr>
                <w:sz w:val="20"/>
                <w:szCs w:val="20"/>
                <w:color w:val="auto"/>
              </w:rPr>
            </w:pPr>
            <w:r>
              <w:rPr>
                <w:rFonts w:ascii="Arial" w:cs="Arial" w:eastAsia="Arial" w:hAnsi="Arial"/>
                <w:sz w:val="14"/>
                <w:szCs w:val="14"/>
                <w:color w:val="auto"/>
              </w:rPr>
              <w:t>446,175</w:t>
            </w:r>
          </w:p>
        </w:tc>
        <w:tc>
          <w:tcPr>
            <w:tcW w:w="1220" w:type="dxa"/>
            <w:vAlign w:val="bottom"/>
            <w:shd w:val="clear" w:color="auto" w:fill="E5F1F8"/>
          </w:tcPr>
          <w:p>
            <w:pPr>
              <w:jc w:val="right"/>
              <w:ind w:right="188"/>
              <w:spacing w:after="0"/>
              <w:rPr>
                <w:sz w:val="20"/>
                <w:szCs w:val="20"/>
                <w:color w:val="auto"/>
              </w:rPr>
            </w:pPr>
            <w:r>
              <w:rPr>
                <w:rFonts w:ascii="Arial" w:cs="Arial" w:eastAsia="Arial" w:hAnsi="Arial"/>
                <w:sz w:val="14"/>
                <w:szCs w:val="14"/>
                <w:color w:val="auto"/>
              </w:rPr>
              <w:t>1,313,602</w:t>
            </w:r>
          </w:p>
        </w:tc>
        <w:tc>
          <w:tcPr>
            <w:tcW w:w="1080" w:type="dxa"/>
            <w:vAlign w:val="bottom"/>
            <w:shd w:val="clear" w:color="auto" w:fill="E5F1F8"/>
          </w:tcPr>
          <w:p>
            <w:pPr>
              <w:jc w:val="right"/>
              <w:ind w:right="128"/>
              <w:spacing w:after="0"/>
              <w:rPr>
                <w:sz w:val="20"/>
                <w:szCs w:val="20"/>
                <w:color w:val="auto"/>
              </w:rPr>
            </w:pPr>
            <w:r>
              <w:rPr>
                <w:rFonts w:ascii="Arial" w:cs="Arial" w:eastAsia="Arial" w:hAnsi="Arial"/>
                <w:sz w:val="14"/>
                <w:szCs w:val="14"/>
                <w:color w:val="auto"/>
              </w:rPr>
              <w:t>1,759,777</w:t>
            </w:r>
          </w:p>
        </w:tc>
        <w:tc>
          <w:tcPr>
            <w:tcW w:w="1060" w:type="dxa"/>
            <w:vAlign w:val="bottom"/>
            <w:shd w:val="clear" w:color="auto" w:fill="E5F1F8"/>
          </w:tcPr>
          <w:p>
            <w:pPr>
              <w:jc w:val="right"/>
              <w:ind w:right="148"/>
              <w:spacing w:after="0"/>
              <w:rPr>
                <w:sz w:val="20"/>
                <w:szCs w:val="20"/>
                <w:color w:val="auto"/>
              </w:rPr>
            </w:pPr>
            <w:r>
              <w:rPr>
                <w:rFonts w:ascii="Arial" w:cs="Arial" w:eastAsia="Arial" w:hAnsi="Arial"/>
                <w:sz w:val="14"/>
                <w:szCs w:val="14"/>
                <w:color w:val="auto"/>
              </w:rPr>
              <w:t>1,759,777</w:t>
            </w:r>
          </w:p>
        </w:tc>
        <w:tc>
          <w:tcPr>
            <w:tcW w:w="1100" w:type="dxa"/>
            <w:vAlign w:val="bottom"/>
            <w:shd w:val="clear" w:color="auto" w:fill="E5F1F8"/>
          </w:tcPr>
          <w:p>
            <w:pPr>
              <w:jc w:val="right"/>
              <w:ind w:right="108"/>
              <w:spacing w:after="0"/>
              <w:rPr>
                <w:sz w:val="20"/>
                <w:szCs w:val="20"/>
                <w:color w:val="auto"/>
              </w:rPr>
            </w:pPr>
            <w:r>
              <w:rPr>
                <w:rFonts w:ascii="Arial" w:cs="Arial" w:eastAsia="Arial" w:hAnsi="Arial"/>
                <w:sz w:val="14"/>
                <w:szCs w:val="14"/>
                <w:color w:val="auto"/>
              </w:rPr>
              <w:t>1,759,777</w:t>
            </w:r>
          </w:p>
        </w:tc>
        <w:tc>
          <w:tcPr>
            <w:tcW w:w="0" w:type="dxa"/>
            <w:vAlign w:val="bottom"/>
          </w:tcPr>
          <w:p>
            <w:pPr>
              <w:spacing w:after="0"/>
              <w:rPr>
                <w:sz w:val="1"/>
                <w:szCs w:val="1"/>
                <w:color w:val="auto"/>
              </w:rPr>
            </w:pPr>
          </w:p>
        </w:tc>
      </w:tr>
      <w:tr>
        <w:trPr>
          <w:trHeight w:val="162"/>
        </w:trPr>
        <w:tc>
          <w:tcPr>
            <w:tcW w:w="1780" w:type="dxa"/>
            <w:vAlign w:val="bottom"/>
            <w:shd w:val="clear" w:color="auto" w:fill="E5F1F8"/>
          </w:tcPr>
          <w:p>
            <w:pPr>
              <w:spacing w:after="0"/>
              <w:rPr>
                <w:sz w:val="14"/>
                <w:szCs w:val="14"/>
                <w:color w:val="auto"/>
              </w:rPr>
            </w:pPr>
          </w:p>
        </w:tc>
        <w:tc>
          <w:tcPr>
            <w:tcW w:w="3580" w:type="dxa"/>
            <w:vAlign w:val="bottom"/>
            <w:shd w:val="clear" w:color="auto" w:fill="E5F1F8"/>
          </w:tcPr>
          <w:p>
            <w:pPr>
              <w:ind w:left="80"/>
              <w:spacing w:after="0" w:line="162" w:lineRule="exact"/>
              <w:rPr>
                <w:sz w:val="20"/>
                <w:szCs w:val="20"/>
                <w:color w:val="auto"/>
              </w:rPr>
            </w:pPr>
            <w:r>
              <w:rPr>
                <w:rFonts w:ascii="Arial" w:cs="Arial" w:eastAsia="Arial" w:hAnsi="Arial"/>
                <w:sz w:val="11"/>
                <w:szCs w:val="11"/>
                <w:color w:val="auto"/>
              </w:rPr>
              <w:t>Unexercisable Options</w:t>
            </w:r>
            <w:r>
              <w:rPr>
                <w:rFonts w:ascii="Arial" w:cs="Arial" w:eastAsia="Arial" w:hAnsi="Arial"/>
                <w:sz w:val="18"/>
                <w:szCs w:val="18"/>
                <w:color w:val="auto"/>
                <w:vertAlign w:val="superscript"/>
              </w:rPr>
              <w:t>4</w:t>
            </w:r>
          </w:p>
        </w:tc>
        <w:tc>
          <w:tcPr>
            <w:tcW w:w="1180" w:type="dxa"/>
            <w:vAlign w:val="bottom"/>
            <w:shd w:val="clear" w:color="auto" w:fill="E5F1F8"/>
          </w:tcPr>
          <w:p>
            <w:pPr>
              <w:jc w:val="right"/>
              <w:ind w:right="168"/>
              <w:spacing w:after="0"/>
              <w:rPr>
                <w:sz w:val="20"/>
                <w:szCs w:val="20"/>
                <w:color w:val="auto"/>
              </w:rPr>
            </w:pPr>
            <w:r>
              <w:rPr>
                <w:rFonts w:ascii="Arial" w:cs="Arial" w:eastAsia="Arial" w:hAnsi="Arial"/>
                <w:sz w:val="14"/>
                <w:szCs w:val="14"/>
                <w:color w:val="auto"/>
              </w:rPr>
              <w:t>6,461</w:t>
            </w:r>
          </w:p>
        </w:tc>
        <w:tc>
          <w:tcPr>
            <w:tcW w:w="1220" w:type="dxa"/>
            <w:vAlign w:val="bottom"/>
            <w:shd w:val="clear" w:color="auto" w:fill="E5F1F8"/>
          </w:tcPr>
          <w:p>
            <w:pPr>
              <w:spacing w:after="0"/>
              <w:rPr>
                <w:sz w:val="14"/>
                <w:szCs w:val="14"/>
                <w:color w:val="auto"/>
              </w:rPr>
            </w:pPr>
          </w:p>
        </w:tc>
        <w:tc>
          <w:tcPr>
            <w:tcW w:w="1080" w:type="dxa"/>
            <w:vAlign w:val="bottom"/>
            <w:shd w:val="clear" w:color="auto" w:fill="E5F1F8"/>
          </w:tcPr>
          <w:p>
            <w:pPr>
              <w:jc w:val="right"/>
              <w:ind w:right="128"/>
              <w:spacing w:after="0"/>
              <w:rPr>
                <w:sz w:val="20"/>
                <w:szCs w:val="20"/>
                <w:color w:val="auto"/>
              </w:rPr>
            </w:pPr>
            <w:r>
              <w:rPr>
                <w:rFonts w:ascii="Arial" w:cs="Arial" w:eastAsia="Arial" w:hAnsi="Arial"/>
                <w:sz w:val="14"/>
                <w:szCs w:val="14"/>
                <w:color w:val="auto"/>
              </w:rPr>
              <w:t>6,461</w:t>
            </w:r>
          </w:p>
        </w:tc>
        <w:tc>
          <w:tcPr>
            <w:tcW w:w="1060" w:type="dxa"/>
            <w:vAlign w:val="bottom"/>
            <w:shd w:val="clear" w:color="auto" w:fill="E5F1F8"/>
          </w:tcPr>
          <w:p>
            <w:pPr>
              <w:jc w:val="right"/>
              <w:ind w:right="148"/>
              <w:spacing w:after="0"/>
              <w:rPr>
                <w:sz w:val="20"/>
                <w:szCs w:val="20"/>
                <w:color w:val="auto"/>
              </w:rPr>
            </w:pPr>
            <w:r>
              <w:rPr>
                <w:rFonts w:ascii="Arial" w:cs="Arial" w:eastAsia="Arial" w:hAnsi="Arial"/>
                <w:sz w:val="14"/>
                <w:szCs w:val="14"/>
                <w:color w:val="auto"/>
              </w:rPr>
              <w:t>6,461</w:t>
            </w:r>
          </w:p>
        </w:tc>
        <w:tc>
          <w:tcPr>
            <w:tcW w:w="1100" w:type="dxa"/>
            <w:vAlign w:val="bottom"/>
            <w:shd w:val="clear" w:color="auto" w:fill="E5F1F8"/>
          </w:tcPr>
          <w:p>
            <w:pPr>
              <w:jc w:val="right"/>
              <w:ind w:right="108"/>
              <w:spacing w:after="0"/>
              <w:rPr>
                <w:sz w:val="20"/>
                <w:szCs w:val="20"/>
                <w:color w:val="auto"/>
              </w:rPr>
            </w:pPr>
            <w:r>
              <w:rPr>
                <w:rFonts w:ascii="Arial" w:cs="Arial" w:eastAsia="Arial" w:hAnsi="Arial"/>
                <w:sz w:val="14"/>
                <w:szCs w:val="14"/>
                <w:color w:val="auto"/>
              </w:rPr>
              <w:t>6,461</w:t>
            </w:r>
          </w:p>
        </w:tc>
        <w:tc>
          <w:tcPr>
            <w:tcW w:w="0" w:type="dxa"/>
            <w:vAlign w:val="bottom"/>
          </w:tcPr>
          <w:p>
            <w:pPr>
              <w:spacing w:after="0"/>
              <w:rPr>
                <w:sz w:val="1"/>
                <w:szCs w:val="1"/>
                <w:color w:val="auto"/>
              </w:rPr>
            </w:pPr>
          </w:p>
        </w:tc>
      </w:tr>
      <w:tr>
        <w:trPr>
          <w:trHeight w:val="162"/>
        </w:trPr>
        <w:tc>
          <w:tcPr>
            <w:tcW w:w="1780" w:type="dxa"/>
            <w:vAlign w:val="bottom"/>
            <w:vMerge w:val="restart"/>
            <w:shd w:val="clear" w:color="auto" w:fill="E5F1F8"/>
          </w:tcPr>
          <w:p>
            <w:pPr>
              <w:ind w:left="140"/>
              <w:spacing w:after="0"/>
              <w:rPr>
                <w:sz w:val="20"/>
                <w:szCs w:val="20"/>
                <w:color w:val="auto"/>
              </w:rPr>
            </w:pPr>
            <w:r>
              <w:rPr>
                <w:rFonts w:ascii="Arial" w:cs="Arial" w:eastAsia="Arial" w:hAnsi="Arial"/>
                <w:sz w:val="14"/>
                <w:szCs w:val="14"/>
                <w:b w:val="1"/>
                <w:bCs w:val="1"/>
                <w:color w:val="auto"/>
              </w:rPr>
              <w:t>Daniel L. Grant</w:t>
            </w:r>
          </w:p>
        </w:tc>
        <w:tc>
          <w:tcPr>
            <w:tcW w:w="3580" w:type="dxa"/>
            <w:vAlign w:val="bottom"/>
            <w:shd w:val="clear" w:color="auto" w:fill="E5F1F8"/>
          </w:tcPr>
          <w:p>
            <w:pPr>
              <w:ind w:left="80"/>
              <w:spacing w:after="0" w:line="162" w:lineRule="exact"/>
              <w:rPr>
                <w:sz w:val="20"/>
                <w:szCs w:val="20"/>
                <w:color w:val="auto"/>
              </w:rPr>
            </w:pPr>
            <w:r>
              <w:rPr>
                <w:rFonts w:ascii="Arial" w:cs="Arial" w:eastAsia="Arial" w:hAnsi="Arial"/>
                <w:sz w:val="11"/>
                <w:szCs w:val="11"/>
                <w:color w:val="auto"/>
              </w:rPr>
              <w:t>Unvested Incentive Stock Plan Units</w:t>
            </w:r>
            <w:r>
              <w:rPr>
                <w:rFonts w:ascii="Arial" w:cs="Arial" w:eastAsia="Arial" w:hAnsi="Arial"/>
                <w:sz w:val="18"/>
                <w:szCs w:val="18"/>
                <w:color w:val="auto"/>
                <w:vertAlign w:val="superscript"/>
              </w:rPr>
              <w:t>5</w:t>
            </w:r>
          </w:p>
        </w:tc>
        <w:tc>
          <w:tcPr>
            <w:tcW w:w="1180" w:type="dxa"/>
            <w:vAlign w:val="bottom"/>
            <w:shd w:val="clear" w:color="auto" w:fill="E5F1F8"/>
          </w:tcPr>
          <w:p>
            <w:pPr>
              <w:jc w:val="right"/>
              <w:ind w:right="168"/>
              <w:spacing w:after="0"/>
              <w:rPr>
                <w:sz w:val="20"/>
                <w:szCs w:val="20"/>
                <w:color w:val="auto"/>
              </w:rPr>
            </w:pPr>
            <w:r>
              <w:rPr>
                <w:rFonts w:ascii="Arial" w:cs="Arial" w:eastAsia="Arial" w:hAnsi="Arial"/>
                <w:sz w:val="14"/>
                <w:szCs w:val="14"/>
                <w:color w:val="auto"/>
              </w:rPr>
              <w:t>4,015</w:t>
            </w:r>
          </w:p>
        </w:tc>
        <w:tc>
          <w:tcPr>
            <w:tcW w:w="1220" w:type="dxa"/>
            <w:vAlign w:val="bottom"/>
            <w:shd w:val="clear" w:color="auto" w:fill="E5F1F8"/>
          </w:tcPr>
          <w:p>
            <w:pPr>
              <w:jc w:val="right"/>
              <w:ind w:right="188"/>
              <w:spacing w:after="0"/>
              <w:rPr>
                <w:sz w:val="20"/>
                <w:szCs w:val="20"/>
                <w:color w:val="auto"/>
              </w:rPr>
            </w:pPr>
            <w:r>
              <w:rPr>
                <w:rFonts w:ascii="Arial" w:cs="Arial" w:eastAsia="Arial" w:hAnsi="Arial"/>
                <w:sz w:val="14"/>
                <w:szCs w:val="14"/>
                <w:color w:val="auto"/>
              </w:rPr>
              <w:t>2,200</w:t>
            </w:r>
          </w:p>
        </w:tc>
        <w:tc>
          <w:tcPr>
            <w:tcW w:w="1080" w:type="dxa"/>
            <w:vAlign w:val="bottom"/>
            <w:shd w:val="clear" w:color="auto" w:fill="E5F1F8"/>
          </w:tcPr>
          <w:p>
            <w:pPr>
              <w:jc w:val="right"/>
              <w:ind w:right="128"/>
              <w:spacing w:after="0"/>
              <w:rPr>
                <w:sz w:val="20"/>
                <w:szCs w:val="20"/>
                <w:color w:val="auto"/>
              </w:rPr>
            </w:pPr>
            <w:r>
              <w:rPr>
                <w:rFonts w:ascii="Arial" w:cs="Arial" w:eastAsia="Arial" w:hAnsi="Arial"/>
                <w:sz w:val="14"/>
                <w:szCs w:val="14"/>
                <w:color w:val="auto"/>
              </w:rPr>
              <w:t>4,015</w:t>
            </w:r>
          </w:p>
        </w:tc>
        <w:tc>
          <w:tcPr>
            <w:tcW w:w="1060" w:type="dxa"/>
            <w:vAlign w:val="bottom"/>
            <w:shd w:val="clear" w:color="auto" w:fill="E5F1F8"/>
          </w:tcPr>
          <w:p>
            <w:pPr>
              <w:jc w:val="right"/>
              <w:ind w:right="148"/>
              <w:spacing w:after="0"/>
              <w:rPr>
                <w:sz w:val="20"/>
                <w:szCs w:val="20"/>
                <w:color w:val="auto"/>
              </w:rPr>
            </w:pPr>
            <w:r>
              <w:rPr>
                <w:rFonts w:ascii="Arial" w:cs="Arial" w:eastAsia="Arial" w:hAnsi="Arial"/>
                <w:sz w:val="14"/>
                <w:szCs w:val="14"/>
                <w:color w:val="auto"/>
              </w:rPr>
              <w:t>4,015</w:t>
            </w:r>
          </w:p>
        </w:tc>
        <w:tc>
          <w:tcPr>
            <w:tcW w:w="1100" w:type="dxa"/>
            <w:vAlign w:val="bottom"/>
            <w:shd w:val="clear" w:color="auto" w:fill="E5F1F8"/>
          </w:tcPr>
          <w:p>
            <w:pPr>
              <w:jc w:val="right"/>
              <w:ind w:right="108"/>
              <w:spacing w:after="0"/>
              <w:rPr>
                <w:sz w:val="20"/>
                <w:szCs w:val="20"/>
                <w:color w:val="auto"/>
              </w:rPr>
            </w:pPr>
            <w:r>
              <w:rPr>
                <w:rFonts w:ascii="Arial" w:cs="Arial" w:eastAsia="Arial" w:hAnsi="Arial"/>
                <w:sz w:val="14"/>
                <w:szCs w:val="14"/>
                <w:color w:val="auto"/>
              </w:rPr>
              <w:t>4,015</w:t>
            </w:r>
          </w:p>
        </w:tc>
        <w:tc>
          <w:tcPr>
            <w:tcW w:w="0" w:type="dxa"/>
            <w:vAlign w:val="bottom"/>
          </w:tcPr>
          <w:p>
            <w:pPr>
              <w:spacing w:after="0"/>
              <w:rPr>
                <w:sz w:val="1"/>
                <w:szCs w:val="1"/>
                <w:color w:val="auto"/>
              </w:rPr>
            </w:pPr>
          </w:p>
        </w:tc>
      </w:tr>
      <w:tr>
        <w:trPr>
          <w:trHeight w:val="162"/>
        </w:trPr>
        <w:tc>
          <w:tcPr>
            <w:tcW w:w="1780" w:type="dxa"/>
            <w:vAlign w:val="bottom"/>
            <w:vMerge w:val="continue"/>
            <w:shd w:val="clear" w:color="auto" w:fill="E5F1F8"/>
          </w:tcPr>
          <w:p>
            <w:pPr>
              <w:spacing w:after="0"/>
              <w:rPr>
                <w:sz w:val="14"/>
                <w:szCs w:val="14"/>
                <w:color w:val="auto"/>
              </w:rPr>
            </w:pPr>
          </w:p>
        </w:tc>
        <w:tc>
          <w:tcPr>
            <w:tcW w:w="3580" w:type="dxa"/>
            <w:vAlign w:val="bottom"/>
            <w:shd w:val="clear" w:color="auto" w:fill="E5F1F8"/>
          </w:tcPr>
          <w:p>
            <w:pPr>
              <w:ind w:left="80"/>
              <w:spacing w:after="0" w:line="162" w:lineRule="exact"/>
              <w:rPr>
                <w:sz w:val="20"/>
                <w:szCs w:val="20"/>
                <w:color w:val="auto"/>
              </w:rPr>
            </w:pPr>
            <w:r>
              <w:rPr>
                <w:rFonts w:ascii="Arial" w:cs="Arial" w:eastAsia="Arial" w:hAnsi="Arial"/>
                <w:sz w:val="11"/>
                <w:szCs w:val="11"/>
                <w:color w:val="auto"/>
              </w:rPr>
              <w:t>PSUs</w:t>
            </w:r>
            <w:r>
              <w:rPr>
                <w:rFonts w:ascii="Arial" w:cs="Arial" w:eastAsia="Arial" w:hAnsi="Arial"/>
                <w:sz w:val="18"/>
                <w:szCs w:val="18"/>
                <w:color w:val="auto"/>
                <w:vertAlign w:val="superscript"/>
              </w:rPr>
              <w:t>6</w:t>
            </w:r>
          </w:p>
        </w:tc>
        <w:tc>
          <w:tcPr>
            <w:tcW w:w="1180" w:type="dxa"/>
            <w:vAlign w:val="bottom"/>
            <w:shd w:val="clear" w:color="auto" w:fill="E5F1F8"/>
          </w:tcPr>
          <w:p>
            <w:pPr>
              <w:jc w:val="right"/>
              <w:ind w:right="168"/>
              <w:spacing w:after="0"/>
              <w:rPr>
                <w:sz w:val="20"/>
                <w:szCs w:val="20"/>
                <w:color w:val="auto"/>
              </w:rPr>
            </w:pPr>
            <w:r>
              <w:rPr>
                <w:rFonts w:ascii="Arial" w:cs="Arial" w:eastAsia="Arial" w:hAnsi="Arial"/>
                <w:sz w:val="14"/>
                <w:szCs w:val="14"/>
                <w:color w:val="auto"/>
              </w:rPr>
              <w:t>572,327</w:t>
            </w:r>
          </w:p>
        </w:tc>
        <w:tc>
          <w:tcPr>
            <w:tcW w:w="1220" w:type="dxa"/>
            <w:vAlign w:val="bottom"/>
            <w:shd w:val="clear" w:color="auto" w:fill="E5F1F8"/>
          </w:tcPr>
          <w:p>
            <w:pPr>
              <w:spacing w:after="0"/>
              <w:rPr>
                <w:sz w:val="14"/>
                <w:szCs w:val="14"/>
                <w:color w:val="auto"/>
              </w:rPr>
            </w:pPr>
          </w:p>
        </w:tc>
        <w:tc>
          <w:tcPr>
            <w:tcW w:w="1080" w:type="dxa"/>
            <w:vAlign w:val="bottom"/>
            <w:shd w:val="clear" w:color="auto" w:fill="E5F1F8"/>
          </w:tcPr>
          <w:p>
            <w:pPr>
              <w:jc w:val="right"/>
              <w:ind w:right="128"/>
              <w:spacing w:after="0"/>
              <w:rPr>
                <w:sz w:val="20"/>
                <w:szCs w:val="20"/>
                <w:color w:val="auto"/>
              </w:rPr>
            </w:pPr>
            <w:r>
              <w:rPr>
                <w:rFonts w:ascii="Arial" w:cs="Arial" w:eastAsia="Arial" w:hAnsi="Arial"/>
                <w:sz w:val="14"/>
                <w:szCs w:val="14"/>
                <w:color w:val="auto"/>
              </w:rPr>
              <w:t>572,327</w:t>
            </w:r>
          </w:p>
        </w:tc>
        <w:tc>
          <w:tcPr>
            <w:tcW w:w="1060" w:type="dxa"/>
            <w:vAlign w:val="bottom"/>
            <w:shd w:val="clear" w:color="auto" w:fill="E5F1F8"/>
          </w:tcPr>
          <w:p>
            <w:pPr>
              <w:jc w:val="right"/>
              <w:ind w:right="148"/>
              <w:spacing w:after="0"/>
              <w:rPr>
                <w:sz w:val="20"/>
                <w:szCs w:val="20"/>
                <w:color w:val="auto"/>
              </w:rPr>
            </w:pPr>
            <w:r>
              <w:rPr>
                <w:rFonts w:ascii="Arial" w:cs="Arial" w:eastAsia="Arial" w:hAnsi="Arial"/>
                <w:sz w:val="14"/>
                <w:szCs w:val="14"/>
                <w:color w:val="auto"/>
              </w:rPr>
              <w:t>572,327</w:t>
            </w:r>
          </w:p>
        </w:tc>
        <w:tc>
          <w:tcPr>
            <w:tcW w:w="1100" w:type="dxa"/>
            <w:vAlign w:val="bottom"/>
            <w:shd w:val="clear" w:color="auto" w:fill="E5F1F8"/>
          </w:tcPr>
          <w:p>
            <w:pPr>
              <w:jc w:val="right"/>
              <w:ind w:right="108"/>
              <w:spacing w:after="0"/>
              <w:rPr>
                <w:sz w:val="20"/>
                <w:szCs w:val="20"/>
                <w:color w:val="auto"/>
              </w:rPr>
            </w:pPr>
            <w:r>
              <w:rPr>
                <w:rFonts w:ascii="Arial" w:cs="Arial" w:eastAsia="Arial" w:hAnsi="Arial"/>
                <w:sz w:val="14"/>
                <w:szCs w:val="14"/>
                <w:color w:val="auto"/>
              </w:rPr>
              <w:t>572,327</w:t>
            </w:r>
          </w:p>
        </w:tc>
        <w:tc>
          <w:tcPr>
            <w:tcW w:w="0" w:type="dxa"/>
            <w:vAlign w:val="bottom"/>
          </w:tcPr>
          <w:p>
            <w:pPr>
              <w:spacing w:after="0"/>
              <w:rPr>
                <w:sz w:val="1"/>
                <w:szCs w:val="1"/>
                <w:color w:val="auto"/>
              </w:rPr>
            </w:pPr>
          </w:p>
        </w:tc>
      </w:tr>
      <w:tr>
        <w:trPr>
          <w:trHeight w:val="162"/>
        </w:trPr>
        <w:tc>
          <w:tcPr>
            <w:tcW w:w="1780" w:type="dxa"/>
            <w:vAlign w:val="bottom"/>
            <w:shd w:val="clear" w:color="auto" w:fill="E5F1F8"/>
          </w:tcPr>
          <w:p>
            <w:pPr>
              <w:spacing w:after="0"/>
              <w:rPr>
                <w:sz w:val="14"/>
                <w:szCs w:val="14"/>
                <w:color w:val="auto"/>
              </w:rPr>
            </w:pPr>
          </w:p>
        </w:tc>
        <w:tc>
          <w:tcPr>
            <w:tcW w:w="3580" w:type="dxa"/>
            <w:vAlign w:val="bottom"/>
            <w:shd w:val="clear" w:color="auto" w:fill="E5F1F8"/>
          </w:tcPr>
          <w:p>
            <w:pPr>
              <w:ind w:left="80"/>
              <w:spacing w:after="0" w:line="162" w:lineRule="exact"/>
              <w:rPr>
                <w:sz w:val="20"/>
                <w:szCs w:val="20"/>
                <w:color w:val="auto"/>
              </w:rPr>
            </w:pPr>
            <w:r>
              <w:rPr>
                <w:rFonts w:ascii="Arial" w:cs="Arial" w:eastAsia="Arial" w:hAnsi="Arial"/>
                <w:sz w:val="11"/>
                <w:szCs w:val="11"/>
                <w:color w:val="auto"/>
              </w:rPr>
              <w:t>Retirement Plans</w:t>
            </w:r>
            <w:r>
              <w:rPr>
                <w:rFonts w:ascii="Arial" w:cs="Arial" w:eastAsia="Arial" w:hAnsi="Arial"/>
                <w:sz w:val="18"/>
                <w:szCs w:val="18"/>
                <w:color w:val="auto"/>
                <w:vertAlign w:val="superscript"/>
              </w:rPr>
              <w:t>7</w:t>
            </w:r>
          </w:p>
        </w:tc>
        <w:tc>
          <w:tcPr>
            <w:tcW w:w="1180" w:type="dxa"/>
            <w:vAlign w:val="bottom"/>
            <w:shd w:val="clear" w:color="auto" w:fill="E5F1F8"/>
          </w:tcPr>
          <w:p>
            <w:pPr>
              <w:spacing w:after="0"/>
              <w:rPr>
                <w:sz w:val="14"/>
                <w:szCs w:val="14"/>
                <w:color w:val="auto"/>
              </w:rPr>
            </w:pPr>
          </w:p>
        </w:tc>
        <w:tc>
          <w:tcPr>
            <w:tcW w:w="1220" w:type="dxa"/>
            <w:vAlign w:val="bottom"/>
            <w:shd w:val="clear" w:color="auto" w:fill="E5F1F8"/>
          </w:tcPr>
          <w:p>
            <w:pPr>
              <w:spacing w:after="0"/>
              <w:rPr>
                <w:sz w:val="14"/>
                <w:szCs w:val="14"/>
                <w:color w:val="auto"/>
              </w:rPr>
            </w:pPr>
          </w:p>
        </w:tc>
        <w:tc>
          <w:tcPr>
            <w:tcW w:w="1080" w:type="dxa"/>
            <w:vAlign w:val="bottom"/>
            <w:shd w:val="clear" w:color="auto" w:fill="E5F1F8"/>
          </w:tcPr>
          <w:p>
            <w:pPr>
              <w:jc w:val="right"/>
              <w:ind w:right="128"/>
              <w:spacing w:after="0"/>
              <w:rPr>
                <w:sz w:val="20"/>
                <w:szCs w:val="20"/>
                <w:color w:val="auto"/>
              </w:rPr>
            </w:pPr>
            <w:r>
              <w:rPr>
                <w:rFonts w:ascii="Arial" w:cs="Arial" w:eastAsia="Arial" w:hAnsi="Arial"/>
                <w:sz w:val="14"/>
                <w:szCs w:val="14"/>
                <w:color w:val="auto"/>
              </w:rPr>
              <w:t>11,954</w:t>
            </w:r>
          </w:p>
        </w:tc>
        <w:tc>
          <w:tcPr>
            <w:tcW w:w="1060" w:type="dxa"/>
            <w:vAlign w:val="bottom"/>
            <w:shd w:val="clear" w:color="auto" w:fill="E5F1F8"/>
          </w:tcPr>
          <w:p>
            <w:pPr>
              <w:spacing w:after="0"/>
              <w:rPr>
                <w:sz w:val="14"/>
                <w:szCs w:val="14"/>
                <w:color w:val="auto"/>
              </w:rPr>
            </w:pPr>
          </w:p>
        </w:tc>
        <w:tc>
          <w:tcPr>
            <w:tcW w:w="1100" w:type="dxa"/>
            <w:vAlign w:val="bottom"/>
            <w:shd w:val="clear" w:color="auto" w:fill="E5F1F8"/>
          </w:tcPr>
          <w:p>
            <w:pPr>
              <w:jc w:val="right"/>
              <w:ind w:right="108"/>
              <w:spacing w:after="0"/>
              <w:rPr>
                <w:sz w:val="20"/>
                <w:szCs w:val="20"/>
                <w:color w:val="auto"/>
              </w:rPr>
            </w:pPr>
            <w:r>
              <w:rPr>
                <w:rFonts w:ascii="Arial" w:cs="Arial" w:eastAsia="Arial" w:hAnsi="Arial"/>
                <w:sz w:val="14"/>
                <w:szCs w:val="14"/>
                <w:color w:val="auto"/>
              </w:rPr>
              <w:t>1,153,066</w:t>
            </w:r>
          </w:p>
        </w:tc>
        <w:tc>
          <w:tcPr>
            <w:tcW w:w="0" w:type="dxa"/>
            <w:vAlign w:val="bottom"/>
          </w:tcPr>
          <w:p>
            <w:pPr>
              <w:spacing w:after="0"/>
              <w:rPr>
                <w:sz w:val="1"/>
                <w:szCs w:val="1"/>
                <w:color w:val="auto"/>
              </w:rPr>
            </w:pPr>
          </w:p>
        </w:tc>
      </w:tr>
      <w:tr>
        <w:trPr>
          <w:trHeight w:val="192"/>
        </w:trPr>
        <w:tc>
          <w:tcPr>
            <w:tcW w:w="1780" w:type="dxa"/>
            <w:vAlign w:val="bottom"/>
            <w:shd w:val="clear" w:color="auto" w:fill="E5F1F8"/>
          </w:tcPr>
          <w:p>
            <w:pPr>
              <w:spacing w:after="0"/>
              <w:rPr>
                <w:sz w:val="16"/>
                <w:szCs w:val="16"/>
                <w:color w:val="auto"/>
              </w:rPr>
            </w:pPr>
          </w:p>
        </w:tc>
        <w:tc>
          <w:tcPr>
            <w:tcW w:w="3580" w:type="dxa"/>
            <w:vAlign w:val="bottom"/>
            <w:shd w:val="clear" w:color="auto" w:fill="E5F1F8"/>
          </w:tcPr>
          <w:p>
            <w:pPr>
              <w:ind w:left="80"/>
              <w:spacing w:after="0" w:line="191" w:lineRule="exact"/>
              <w:rPr>
                <w:sz w:val="20"/>
                <w:szCs w:val="20"/>
                <w:color w:val="auto"/>
              </w:rPr>
            </w:pPr>
            <w:r>
              <w:rPr>
                <w:rFonts w:ascii="Arial" w:cs="Arial" w:eastAsia="Arial" w:hAnsi="Arial"/>
                <w:sz w:val="13"/>
                <w:szCs w:val="13"/>
                <w:color w:val="auto"/>
              </w:rPr>
              <w:t>Health and Welfare Benefits</w:t>
            </w:r>
            <w:r>
              <w:rPr>
                <w:rFonts w:ascii="Arial" w:cs="Arial" w:eastAsia="Arial" w:hAnsi="Arial"/>
                <w:sz w:val="22"/>
                <w:szCs w:val="22"/>
                <w:color w:val="auto"/>
                <w:vertAlign w:val="superscript"/>
              </w:rPr>
              <w:t>8</w:t>
            </w:r>
          </w:p>
        </w:tc>
        <w:tc>
          <w:tcPr>
            <w:tcW w:w="1180" w:type="dxa"/>
            <w:vAlign w:val="bottom"/>
            <w:shd w:val="clear" w:color="auto" w:fill="E5F1F8"/>
          </w:tcPr>
          <w:p>
            <w:pPr>
              <w:spacing w:after="0"/>
              <w:rPr>
                <w:sz w:val="16"/>
                <w:szCs w:val="16"/>
                <w:color w:val="auto"/>
              </w:rPr>
            </w:pPr>
          </w:p>
        </w:tc>
        <w:tc>
          <w:tcPr>
            <w:tcW w:w="1220" w:type="dxa"/>
            <w:vAlign w:val="bottom"/>
            <w:shd w:val="clear" w:color="auto" w:fill="E5F1F8"/>
          </w:tcPr>
          <w:p>
            <w:pPr>
              <w:spacing w:after="0"/>
              <w:rPr>
                <w:sz w:val="16"/>
                <w:szCs w:val="16"/>
                <w:color w:val="auto"/>
              </w:rPr>
            </w:pPr>
          </w:p>
        </w:tc>
        <w:tc>
          <w:tcPr>
            <w:tcW w:w="1080" w:type="dxa"/>
            <w:vAlign w:val="bottom"/>
            <w:shd w:val="clear" w:color="auto" w:fill="E5F1F8"/>
          </w:tcPr>
          <w:p>
            <w:pPr>
              <w:spacing w:after="0"/>
              <w:rPr>
                <w:sz w:val="16"/>
                <w:szCs w:val="16"/>
                <w:color w:val="auto"/>
              </w:rPr>
            </w:pPr>
          </w:p>
        </w:tc>
        <w:tc>
          <w:tcPr>
            <w:tcW w:w="1060" w:type="dxa"/>
            <w:vAlign w:val="bottom"/>
            <w:shd w:val="clear" w:color="auto" w:fill="E5F1F8"/>
          </w:tcPr>
          <w:p>
            <w:pPr>
              <w:spacing w:after="0"/>
              <w:rPr>
                <w:sz w:val="16"/>
                <w:szCs w:val="16"/>
                <w:color w:val="auto"/>
              </w:rPr>
            </w:pPr>
          </w:p>
        </w:tc>
        <w:tc>
          <w:tcPr>
            <w:tcW w:w="1100" w:type="dxa"/>
            <w:vAlign w:val="bottom"/>
            <w:shd w:val="clear" w:color="auto" w:fill="E5F1F8"/>
          </w:tcPr>
          <w:p>
            <w:pPr>
              <w:jc w:val="right"/>
              <w:ind w:right="108"/>
              <w:spacing w:after="0"/>
              <w:rPr>
                <w:sz w:val="20"/>
                <w:szCs w:val="20"/>
                <w:color w:val="auto"/>
              </w:rPr>
            </w:pPr>
            <w:r>
              <w:rPr>
                <w:rFonts w:ascii="Arial" w:cs="Arial" w:eastAsia="Arial" w:hAnsi="Arial"/>
                <w:sz w:val="14"/>
                <w:szCs w:val="14"/>
                <w:color w:val="auto"/>
              </w:rPr>
              <w:t>34,044</w:t>
            </w:r>
          </w:p>
        </w:tc>
        <w:tc>
          <w:tcPr>
            <w:tcW w:w="0" w:type="dxa"/>
            <w:vAlign w:val="bottom"/>
          </w:tcPr>
          <w:p>
            <w:pPr>
              <w:spacing w:after="0"/>
              <w:rPr>
                <w:sz w:val="1"/>
                <w:szCs w:val="1"/>
                <w:color w:val="auto"/>
              </w:rPr>
            </w:pPr>
          </w:p>
        </w:tc>
      </w:tr>
    </w:tbl>
    <w:p>
      <w:pPr>
        <w:spacing w:after="0" w:line="18" w:lineRule="exact"/>
        <w:rPr>
          <w:sz w:val="20"/>
          <w:szCs w:val="20"/>
          <w:color w:val="auto"/>
        </w:rPr>
      </w:pPr>
    </w:p>
    <w:p>
      <w:pPr>
        <w:jc w:val="both"/>
        <w:ind w:left="340" w:right="20" w:hanging="130"/>
        <w:spacing w:after="0" w:line="199" w:lineRule="auto"/>
        <w:tabs>
          <w:tab w:leader="none" w:pos="340" w:val="left"/>
        </w:tabs>
        <w:numPr>
          <w:ilvl w:val="0"/>
          <w:numId w:val="143"/>
        </w:numPr>
        <w:rPr>
          <w:rFonts w:ascii="Arial" w:cs="Arial" w:eastAsia="Arial" w:hAnsi="Arial"/>
          <w:sz w:val="24"/>
          <w:szCs w:val="24"/>
          <w:color w:val="auto"/>
          <w:vertAlign w:val="superscript"/>
        </w:rPr>
      </w:pPr>
      <w:r>
        <w:rPr>
          <w:rFonts w:ascii="Arial" w:cs="Arial" w:eastAsia="Arial" w:hAnsi="Arial"/>
          <w:sz w:val="14"/>
          <w:szCs w:val="14"/>
          <w:color w:val="auto"/>
        </w:rPr>
        <w:t>The table does not include information with respect to plans or arrangements that are available generally to all salaried employees and that do not discriminate in favor of executive officers. The table reflects the incremental value over the amounts to which the named executive officer would have been entitled on a voluntary resignation on December 31, 2018.</w:t>
      </w:r>
    </w:p>
    <w:p>
      <w:pPr>
        <w:ind w:left="340" w:hanging="130"/>
        <w:spacing w:after="0" w:line="211" w:lineRule="auto"/>
        <w:tabs>
          <w:tab w:leader="none" w:pos="340" w:val="left"/>
        </w:tabs>
        <w:numPr>
          <w:ilvl w:val="0"/>
          <w:numId w:val="144"/>
        </w:numPr>
        <w:rPr>
          <w:rFonts w:ascii="Arial" w:cs="Arial" w:eastAsia="Arial" w:hAnsi="Arial"/>
          <w:sz w:val="24"/>
          <w:szCs w:val="24"/>
          <w:color w:val="auto"/>
          <w:vertAlign w:val="superscript"/>
        </w:rPr>
      </w:pPr>
      <w:r>
        <w:rPr>
          <w:rFonts w:ascii="Arial" w:cs="Arial" w:eastAsia="Arial" w:hAnsi="Arial"/>
          <w:sz w:val="14"/>
          <w:szCs w:val="14"/>
          <w:color w:val="auto"/>
        </w:rPr>
        <w:t>Assumes all earned base salary has been paid.</w:t>
      </w:r>
    </w:p>
    <w:p>
      <w:pPr>
        <w:ind w:left="340" w:hanging="130"/>
        <w:spacing w:after="0" w:line="211" w:lineRule="auto"/>
        <w:tabs>
          <w:tab w:leader="none" w:pos="340" w:val="left"/>
        </w:tabs>
        <w:numPr>
          <w:ilvl w:val="0"/>
          <w:numId w:val="145"/>
        </w:numPr>
        <w:rPr>
          <w:rFonts w:ascii="Arial" w:cs="Arial" w:eastAsia="Arial" w:hAnsi="Arial"/>
          <w:sz w:val="24"/>
          <w:szCs w:val="24"/>
          <w:color w:val="auto"/>
          <w:vertAlign w:val="superscript"/>
        </w:rPr>
      </w:pPr>
      <w:r>
        <w:rPr>
          <w:rFonts w:ascii="Arial" w:cs="Arial" w:eastAsia="Arial" w:hAnsi="Arial"/>
          <w:sz w:val="14"/>
          <w:szCs w:val="14"/>
          <w:color w:val="auto"/>
        </w:rPr>
        <w:t>Reflects the estimated lump-sum intrinsic value of all unvested RSUs.</w:t>
      </w:r>
    </w:p>
    <w:p>
      <w:pPr>
        <w:ind w:left="340" w:hanging="130"/>
        <w:spacing w:after="0" w:line="211" w:lineRule="auto"/>
        <w:tabs>
          <w:tab w:leader="none" w:pos="340" w:val="left"/>
        </w:tabs>
        <w:numPr>
          <w:ilvl w:val="0"/>
          <w:numId w:val="146"/>
        </w:numPr>
        <w:rPr>
          <w:rFonts w:ascii="Arial" w:cs="Arial" w:eastAsia="Arial" w:hAnsi="Arial"/>
          <w:sz w:val="24"/>
          <w:szCs w:val="24"/>
          <w:color w:val="auto"/>
          <w:vertAlign w:val="superscript"/>
        </w:rPr>
      </w:pPr>
      <w:r>
        <w:rPr>
          <w:rFonts w:ascii="Arial" w:cs="Arial" w:eastAsia="Arial" w:hAnsi="Arial"/>
          <w:sz w:val="14"/>
          <w:szCs w:val="14"/>
          <w:color w:val="auto"/>
        </w:rPr>
        <w:t>Reflects the estimated lump-sum intrinsic value of all unvested stock options.</w:t>
      </w:r>
    </w:p>
    <w:p>
      <w:pPr>
        <w:spacing w:after="0" w:line="71" w:lineRule="exact"/>
        <w:rPr>
          <w:sz w:val="20"/>
          <w:szCs w:val="20"/>
          <w:color w:val="auto"/>
        </w:rPr>
      </w:pPr>
    </w:p>
    <w:p>
      <w:pPr>
        <w:ind w:left="320" w:right="20" w:hanging="110"/>
        <w:spacing w:after="0" w:line="183" w:lineRule="auto"/>
        <w:tabs>
          <w:tab w:leader="none" w:pos="320" w:val="left"/>
        </w:tabs>
        <w:numPr>
          <w:ilvl w:val="0"/>
          <w:numId w:val="147"/>
        </w:numPr>
        <w:rPr>
          <w:rFonts w:ascii="Arial" w:cs="Arial" w:eastAsia="Arial" w:hAnsi="Arial"/>
          <w:sz w:val="24"/>
          <w:szCs w:val="24"/>
          <w:color w:val="auto"/>
          <w:vertAlign w:val="superscript"/>
        </w:rPr>
      </w:pPr>
      <w:r>
        <w:rPr>
          <w:rFonts w:ascii="Arial" w:cs="Arial" w:eastAsia="Arial" w:hAnsi="Arial"/>
          <w:sz w:val="14"/>
          <w:szCs w:val="14"/>
          <w:color w:val="auto"/>
        </w:rPr>
        <w:t>Reflects the difference between the value of the unvested Incentive Stock Plan share units at year-end and the amount of cash invested by the executive officer in the share units.</w:t>
      </w:r>
    </w:p>
    <w:p>
      <w:pPr>
        <w:ind w:left="340" w:hanging="130"/>
        <w:spacing w:after="0" w:line="211" w:lineRule="auto"/>
        <w:tabs>
          <w:tab w:leader="none" w:pos="340" w:val="left"/>
        </w:tabs>
        <w:numPr>
          <w:ilvl w:val="0"/>
          <w:numId w:val="148"/>
        </w:numPr>
        <w:rPr>
          <w:rFonts w:ascii="Arial" w:cs="Arial" w:eastAsia="Arial" w:hAnsi="Arial"/>
          <w:sz w:val="24"/>
          <w:szCs w:val="24"/>
          <w:color w:val="auto"/>
          <w:vertAlign w:val="superscript"/>
        </w:rPr>
      </w:pPr>
      <w:r>
        <w:rPr>
          <w:rFonts w:ascii="Arial" w:cs="Arial" w:eastAsia="Arial" w:hAnsi="Arial"/>
          <w:sz w:val="14"/>
          <w:szCs w:val="14"/>
          <w:color w:val="auto"/>
        </w:rPr>
        <w:t>Reflects the estimated lump-sum intrinsic value of all unvested PSUs.</w:t>
      </w:r>
    </w:p>
    <w:p>
      <w:pPr>
        <w:spacing w:after="0" w:line="72" w:lineRule="exact"/>
        <w:rPr>
          <w:sz w:val="20"/>
          <w:szCs w:val="20"/>
          <w:color w:val="auto"/>
        </w:rPr>
      </w:pPr>
    </w:p>
    <w:p>
      <w:pPr>
        <w:jc w:val="both"/>
        <w:ind w:left="340" w:hanging="130"/>
        <w:spacing w:after="0" w:line="207" w:lineRule="auto"/>
        <w:tabs>
          <w:tab w:leader="none" w:pos="340" w:val="left"/>
        </w:tabs>
        <w:numPr>
          <w:ilvl w:val="0"/>
          <w:numId w:val="149"/>
        </w:numPr>
        <w:rPr>
          <w:rFonts w:ascii="Arial" w:cs="Arial" w:eastAsia="Arial" w:hAnsi="Arial"/>
          <w:sz w:val="24"/>
          <w:szCs w:val="24"/>
          <w:color w:val="auto"/>
          <w:vertAlign w:val="superscript"/>
        </w:rPr>
      </w:pPr>
      <w:r>
        <w:rPr>
          <w:rFonts w:ascii="Arial" w:cs="Arial" w:eastAsia="Arial" w:hAnsi="Arial"/>
          <w:sz w:val="14"/>
          <w:szCs w:val="14"/>
          <w:color w:val="auto"/>
        </w:rPr>
        <w:t>The table does not include information related to the form and amount of payments or benefits that are not enhanced or accelerated in connection with any termination that would be provided by Martin Marietta’s retirement plans, which is disclosed in the Pension Benefits Table and the accompanying narrative on page 60. Change of Control values include the incremental value of the benefit (including three times Martin Marietta’s match to the defined contribution plan) payable upon a qualifying termination of employment following a Change of Control.</w:t>
      </w:r>
    </w:p>
    <w:p>
      <w:pPr>
        <w:spacing w:after="0" w:line="74" w:lineRule="exact"/>
        <w:rPr>
          <w:sz w:val="20"/>
          <w:szCs w:val="20"/>
          <w:color w:val="auto"/>
        </w:rPr>
      </w:pPr>
    </w:p>
    <w:p>
      <w:pPr>
        <w:ind w:left="340" w:hanging="130"/>
        <w:spacing w:after="0" w:line="183" w:lineRule="auto"/>
        <w:tabs>
          <w:tab w:leader="none" w:pos="340" w:val="left"/>
        </w:tabs>
        <w:numPr>
          <w:ilvl w:val="0"/>
          <w:numId w:val="150"/>
        </w:numPr>
        <w:rPr>
          <w:rFonts w:ascii="Arial" w:cs="Arial" w:eastAsia="Arial" w:hAnsi="Arial"/>
          <w:sz w:val="24"/>
          <w:szCs w:val="24"/>
          <w:color w:val="auto"/>
          <w:vertAlign w:val="superscript"/>
        </w:rPr>
      </w:pPr>
      <w:r>
        <w:rPr>
          <w:rFonts w:ascii="Arial" w:cs="Arial" w:eastAsia="Arial" w:hAnsi="Arial"/>
          <w:sz w:val="14"/>
          <w:szCs w:val="14"/>
          <w:color w:val="auto"/>
        </w:rPr>
        <w:t>Reflects the estimated incremental lump-sum present value of all future premiums that would be paid on behalf of the named executive officer under Martin Marietta’s health and welfare plans, including long-term disability and life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3439795</wp:posOffset>
            </wp:positionH>
            <wp:positionV relativeFrom="paragraph">
              <wp:posOffset>85090</wp:posOffset>
            </wp:positionV>
            <wp:extent cx="410845" cy="2482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133" w:lineRule="exact"/>
        <w:rPr>
          <w:sz w:val="20"/>
          <w:szCs w:val="20"/>
          <w:color w:val="auto"/>
        </w:rPr>
      </w:pPr>
    </w:p>
    <w:tbl>
      <w:tblPr>
        <w:tblLayout w:type="fixed"/>
        <w:tblInd w:w="926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2019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63</w:t>
            </w:r>
          </w:p>
        </w:tc>
      </w:tr>
    </w:tbl>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59" w:lineRule="exact"/>
        <w:rPr>
          <w:sz w:val="20"/>
          <w:szCs w:val="20"/>
          <w:color w:val="auto"/>
        </w:rPr>
      </w:pPr>
    </w:p>
    <w:p>
      <w:pPr>
        <w:ind w:left="220"/>
        <w:spacing w:after="0" w:line="251" w:lineRule="exact"/>
        <w:tabs>
          <w:tab w:leader="none" w:pos="1800" w:val="left"/>
        </w:tabs>
        <w:rPr>
          <w:sz w:val="20"/>
          <w:szCs w:val="20"/>
          <w:color w:val="auto"/>
        </w:rPr>
      </w:pPr>
      <w:r>
        <w:rPr>
          <w:rFonts w:ascii="Arial" w:cs="Arial" w:eastAsia="Arial" w:hAnsi="Arial"/>
          <w:sz w:val="13"/>
          <w:szCs w:val="13"/>
          <w:color w:val="007CBA"/>
        </w:rPr>
        <w:t>Executive Compensation</w:t>
      </w:r>
      <w:r>
        <w:rPr>
          <w:sz w:val="20"/>
          <w:szCs w:val="20"/>
          <w:color w:val="auto"/>
        </w:rPr>
        <w:tab/>
      </w:r>
      <w:r>
        <w:rPr>
          <w:rFonts w:ascii="MS PGothic" w:cs="MS PGothic" w:eastAsia="MS PGothic" w:hAnsi="MS PGothic"/>
          <w:sz w:val="25"/>
          <w:szCs w:val="25"/>
          <w:color w:val="007CBA"/>
        </w:rPr>
        <w:t xml:space="preserve">◆ </w:t>
      </w:r>
      <w:r>
        <w:rPr>
          <w:rFonts w:ascii="Arial" w:cs="Arial" w:eastAsia="Arial" w:hAnsi="Arial"/>
          <w:sz w:val="13"/>
          <w:szCs w:val="13"/>
          <w:color w:val="000000"/>
        </w:rPr>
        <w:t>CEO Pay Ratio Disclosure</w:t>
      </w: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7CBA"/>
        </w:rPr>
        <w:t>CEO Pay Ratio Disclosure</w:t>
      </w:r>
    </w:p>
    <w:p>
      <w:pPr>
        <w:spacing w:after="0" w:line="217" w:lineRule="exact"/>
        <w:rPr>
          <w:sz w:val="20"/>
          <w:szCs w:val="20"/>
          <w:color w:val="auto"/>
        </w:rPr>
      </w:pPr>
    </w:p>
    <w:p>
      <w:pPr>
        <w:jc w:val="both"/>
        <w:ind w:left="220" w:right="20"/>
        <w:spacing w:after="0" w:line="249" w:lineRule="auto"/>
        <w:rPr>
          <w:sz w:val="20"/>
          <w:szCs w:val="20"/>
          <w:color w:val="auto"/>
        </w:rPr>
      </w:pPr>
      <w:r>
        <w:rPr>
          <w:rFonts w:ascii="Arial" w:cs="Arial" w:eastAsia="Arial" w:hAnsi="Arial"/>
          <w:sz w:val="16"/>
          <w:szCs w:val="16"/>
          <w:color w:val="auto"/>
        </w:rPr>
        <w:t>The Company is required to disclose in its proxy statement the annual total compensation of the median-compensated employee of, generally, all Company employees (excluding the CEO), the annual total compensation of its CEO, and the ratio of the CEO compensation to the median employee’s compensation.</w:t>
      </w:r>
    </w:p>
    <w:p>
      <w:pPr>
        <w:spacing w:after="0" w:line="179" w:lineRule="exact"/>
        <w:rPr>
          <w:sz w:val="20"/>
          <w:szCs w:val="20"/>
          <w:color w:val="auto"/>
        </w:rPr>
      </w:pPr>
    </w:p>
    <w:p>
      <w:pPr>
        <w:jc w:val="both"/>
        <w:ind w:left="220" w:right="20"/>
        <w:spacing w:after="0" w:line="253" w:lineRule="auto"/>
        <w:rPr>
          <w:sz w:val="20"/>
          <w:szCs w:val="20"/>
          <w:color w:val="auto"/>
        </w:rPr>
      </w:pPr>
      <w:r>
        <w:rPr>
          <w:rFonts w:ascii="Arial" w:cs="Arial" w:eastAsia="Arial" w:hAnsi="Arial"/>
          <w:sz w:val="16"/>
          <w:szCs w:val="16"/>
          <w:color w:val="auto"/>
        </w:rPr>
        <w:t>The Company employs approximately 8,700 employees that are located primarily in the United States, but also represented in Canada and the Bahamas.</w:t>
      </w:r>
    </w:p>
    <w:p>
      <w:pPr>
        <w:spacing w:after="0" w:line="160" w:lineRule="exact"/>
        <w:rPr>
          <w:sz w:val="20"/>
          <w:szCs w:val="20"/>
          <w:color w:val="auto"/>
        </w:rPr>
      </w:pPr>
    </w:p>
    <w:p>
      <w:pPr>
        <w:jc w:val="both"/>
        <w:ind w:left="220"/>
        <w:spacing w:after="0" w:line="247" w:lineRule="auto"/>
        <w:rPr>
          <w:sz w:val="20"/>
          <w:szCs w:val="20"/>
          <w:color w:val="auto"/>
        </w:rPr>
      </w:pPr>
      <w:r>
        <w:rPr>
          <w:rFonts w:ascii="Arial" w:cs="Arial" w:eastAsia="Arial" w:hAnsi="Arial"/>
          <w:sz w:val="16"/>
          <w:szCs w:val="16"/>
          <w:color w:val="auto"/>
        </w:rPr>
        <w:t>The methodology described in this section was used to identify the median employee in 2017. For 2018, we used the rule allowing us to use the same median employee as last year. The median employee compensation was identified using a consistently applied compensation measure, encompassing base salary, overtime, incentive compensation with a performance period of one year or less (such as annual incentives and sales or other bonuses), and allowances (such as personal use of company-provided vehicles). As allowed under the SEC rules, base pay was annualized for employees hired during the year to reflect a full year of service.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determined the required ratio by:</w:t>
      </w:r>
    </w:p>
    <w:p>
      <w:pPr>
        <w:spacing w:after="0" w:line="126" w:lineRule="exact"/>
        <w:rPr>
          <w:sz w:val="20"/>
          <w:szCs w:val="20"/>
          <w:color w:val="auto"/>
        </w:rPr>
      </w:pPr>
    </w:p>
    <w:p>
      <w:pPr>
        <w:jc w:val="both"/>
        <w:ind w:left="580" w:right="20" w:hanging="289"/>
        <w:spacing w:after="0" w:line="253" w:lineRule="auto"/>
        <w:tabs>
          <w:tab w:leader="none" w:pos="580" w:val="left"/>
        </w:tabs>
        <w:numPr>
          <w:ilvl w:val="0"/>
          <w:numId w:val="151"/>
        </w:numPr>
        <w:rPr>
          <w:rFonts w:ascii="Arial" w:cs="Arial" w:eastAsia="Arial" w:hAnsi="Arial"/>
          <w:sz w:val="16"/>
          <w:szCs w:val="16"/>
          <w:color w:val="007CBA"/>
        </w:rPr>
      </w:pPr>
      <w:r>
        <w:rPr>
          <w:rFonts w:ascii="Arial" w:cs="Arial" w:eastAsia="Arial" w:hAnsi="Arial"/>
          <w:sz w:val="16"/>
          <w:szCs w:val="16"/>
          <w:color w:val="auto"/>
        </w:rPr>
        <w:t>calculating the compensation based on a consistently applied measure as described above of all employees except the CEO, and then sorting those employees from highest to lowest;</w:t>
      </w:r>
    </w:p>
    <w:p>
      <w:pPr>
        <w:spacing w:after="0" w:line="106" w:lineRule="exact"/>
        <w:rPr>
          <w:rFonts w:ascii="Arial" w:cs="Arial" w:eastAsia="Arial" w:hAnsi="Arial"/>
          <w:sz w:val="16"/>
          <w:szCs w:val="16"/>
          <w:color w:val="007CBA"/>
        </w:rPr>
      </w:pPr>
    </w:p>
    <w:p>
      <w:pPr>
        <w:jc w:val="both"/>
        <w:ind w:left="580" w:right="20" w:hanging="289"/>
        <w:spacing w:after="0" w:line="250" w:lineRule="auto"/>
        <w:tabs>
          <w:tab w:leader="none" w:pos="580" w:val="left"/>
        </w:tabs>
        <w:numPr>
          <w:ilvl w:val="0"/>
          <w:numId w:val="151"/>
        </w:numPr>
        <w:rPr>
          <w:rFonts w:ascii="Arial" w:cs="Arial" w:eastAsia="Arial" w:hAnsi="Arial"/>
          <w:sz w:val="16"/>
          <w:szCs w:val="16"/>
          <w:color w:val="007CBA"/>
        </w:rPr>
      </w:pPr>
      <w:r>
        <w:rPr>
          <w:rFonts w:ascii="Arial" w:cs="Arial" w:eastAsia="Arial" w:hAnsi="Arial"/>
          <w:sz w:val="16"/>
          <w:szCs w:val="16"/>
          <w:color w:val="auto"/>
        </w:rPr>
        <w:t>determining the median employee from that list, including evaluating employees situated slightly above and below the calculated median to ensure the selected employee reflects our population as a whole; and</w:t>
      </w:r>
    </w:p>
    <w:p>
      <w:pPr>
        <w:spacing w:after="0" w:line="318" w:lineRule="exact"/>
        <w:rPr>
          <w:sz w:val="20"/>
          <w:szCs w:val="20"/>
          <w:color w:val="auto"/>
        </w:rPr>
      </w:pPr>
    </w:p>
    <w:p>
      <w:pPr>
        <w:ind w:left="640" w:hanging="430"/>
        <w:spacing w:after="0"/>
        <w:tabs>
          <w:tab w:leader="none" w:pos="640" w:val="left"/>
        </w:tabs>
        <w:numPr>
          <w:ilvl w:val="0"/>
          <w:numId w:val="152"/>
        </w:numPr>
        <w:rPr>
          <w:rFonts w:ascii="Arial" w:cs="Arial" w:eastAsia="Arial" w:hAnsi="Arial"/>
          <w:sz w:val="13"/>
          <w:szCs w:val="13"/>
          <w:b w:val="1"/>
          <w:bCs w:val="1"/>
          <w:color w:val="auto"/>
        </w:rPr>
      </w:pPr>
      <w:r>
        <w:rPr>
          <w:rFonts w:ascii="Arial" w:cs="Arial" w:eastAsia="Arial" w:hAnsi="Arial"/>
          <w:sz w:val="13"/>
          <w:szCs w:val="13"/>
          <w:color w:val="007CBA"/>
        </w:rPr>
        <w:t>2019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360" w:right="20" w:hanging="275"/>
        <w:spacing w:after="0" w:line="253" w:lineRule="auto"/>
        <w:tabs>
          <w:tab w:leader="none" w:pos="360" w:val="left"/>
        </w:tabs>
        <w:numPr>
          <w:ilvl w:val="0"/>
          <w:numId w:val="153"/>
        </w:numPr>
        <w:rPr>
          <w:rFonts w:ascii="Arial" w:cs="Arial" w:eastAsia="Arial" w:hAnsi="Arial"/>
          <w:sz w:val="16"/>
          <w:szCs w:val="16"/>
          <w:color w:val="007CBA"/>
        </w:rPr>
      </w:pPr>
      <w:r>
        <w:rPr>
          <w:rFonts w:ascii="Arial" w:cs="Arial" w:eastAsia="Arial" w:hAnsi="Arial"/>
          <w:sz w:val="16"/>
          <w:szCs w:val="16"/>
          <w:color w:val="auto"/>
        </w:rPr>
        <w:t>calculating the total annual compensation of our CEO and of the median employee using the same methodology required for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-1629410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total annual compensation for our CEO for fiscal year 2018 was $8,533,458. The total annual compensation in 2018 for the median employee (other than our CEO) was $71,335. The resulting ratio of CEO pay to the pay of our median employee for fiscal year 2018 is 120 to one. This is lower than the CEO pay ratio of 131:1 we disclosed last year.</w:t>
      </w: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This pay ratio is a reasonable estimate calculated in a manner consistent with SEC rules based on our payroll and employment records and the methodology described above. Because the SEC rules for identifying the median-compensated employee and calculating the pay ratio based on that employee’s annual total compensation allow companies to adopt a variety of methodologies, to apply certain exclusions, and to make reasonable estimates and assumptions that reflect their compensation practices, the amount of compensation of the median-compensated employee and the pay ratio reported by other companies may not be comparable to our estimates reported above, as other companies may have different employment and compensation practices and may utilize different methodologies, exclusions, estimates and assumptions in calculating their own pay ratios. As permitted by the SEC rules, we used the same median employee as in 2017, as there were no changes to our median employee’s status, our employee population or our compensation programs in 2018 that we would reasonably believe would result in a significant change in our pay ratio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687705</wp:posOffset>
            </wp:positionV>
            <wp:extent cx="410845" cy="2482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ectPr>
          <w:pgSz w:w="11900" w:h="16838" w:orient="portrait"/>
          <w:cols w:equalWidth="0" w:num="2">
            <w:col w:w="5500" w:space="320"/>
            <w:col w:w="540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20"/>
        <w:spacing w:after="0"/>
        <w:rPr>
          <w:sz w:val="20"/>
          <w:szCs w:val="20"/>
          <w:color w:val="auto"/>
        </w:rPr>
      </w:pPr>
      <w:r>
        <w:rPr>
          <w:rFonts w:ascii="Arial" w:cs="Arial" w:eastAsia="Arial" w:hAnsi="Arial"/>
          <w:sz w:val="43"/>
          <w:szCs w:val="43"/>
          <w:color w:val="auto"/>
        </w:rPr>
        <w:t>Proposal 3</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7CBA"/>
        </w:rPr>
        <w:t>Advisory Vote on the Compensation of Our Named Executive Officers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20"/>
          <w:szCs w:val="20"/>
          <w:i w:val="1"/>
          <w:iCs w:val="1"/>
          <w:color w:val="007CBA"/>
        </w:rPr>
        <w:t>(Item 3 on Proxy Card)</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Public companies are required to provide their shareholders with a periodic opportunity to endorse or not endorse our executive officer pay program and policies. The Board of Directors has elected to do so annually and intends to present the following non-binding resolution for approval by shareholders at the Annual Meeting:</w:t>
      </w:r>
    </w:p>
    <w:p>
      <w:pPr>
        <w:spacing w:after="0" w:line="165" w:lineRule="exact"/>
        <w:rPr>
          <w:sz w:val="20"/>
          <w:szCs w:val="20"/>
          <w:color w:val="auto"/>
        </w:rPr>
      </w:pPr>
    </w:p>
    <w:p>
      <w:pPr>
        <w:jc w:val="both"/>
        <w:ind w:left="540"/>
        <w:spacing w:after="0" w:line="249" w:lineRule="auto"/>
        <w:rPr>
          <w:sz w:val="20"/>
          <w:szCs w:val="20"/>
          <w:color w:val="auto"/>
        </w:rPr>
      </w:pPr>
      <w:r>
        <w:rPr>
          <w:rFonts w:ascii="Arial" w:cs="Arial" w:eastAsia="Arial" w:hAnsi="Arial"/>
          <w:sz w:val="16"/>
          <w:szCs w:val="16"/>
          <w:color w:val="auto"/>
        </w:rPr>
        <w:t>“RESOLVED, that the shareholders approve, on an advisory basis, the overall compensation paid to Martin Marietta’s named executive officers, as disclosed pursuant to Item 402 of Regulation S-K in this Proxy Statement in the Compensation Discussion and Analysis and in the narrative and tabular disclosure under the heading “Executive Compensation.”</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Shareholders are urged to read the </w:t>
      </w:r>
      <w:r>
        <w:rPr>
          <w:rFonts w:ascii="Arial" w:cs="Arial" w:eastAsia="Arial" w:hAnsi="Arial"/>
          <w:sz w:val="16"/>
          <w:szCs w:val="16"/>
          <w:i w:val="1"/>
          <w:iCs w:val="1"/>
          <w:color w:val="auto"/>
        </w:rPr>
        <w:t>Compensation Discussion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Analysis </w:t>
      </w:r>
      <w:r>
        <w:rPr>
          <w:rFonts w:ascii="Arial" w:cs="Arial" w:eastAsia="Arial" w:hAnsi="Arial"/>
          <w:sz w:val="16"/>
          <w:szCs w:val="16"/>
          <w:color w:val="auto"/>
        </w:rPr>
        <w:t>and consider the various factors regarding compensation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discussed. We believe that our executive compensation program is reasonable, competitive and strongly focused on pay-for-performance principles. Our executive compensation policies have enabled us to implement our compensation philosophy and achieve its goals. We believe that compensation awarded to our named executive officers in 2018 was appropriate and aligned with 2018 performance and positions us for growth in future years. The results of the vote on this resolution are advisory and will not be binding upon the Board of Directors. However, the Board values our shareholders’ opinions, and consistent with our record of shareholder engagement, will consider the outcome of the vote in making future executive compensation decisions. The next such vote will occur at the 2020 annual meeting of shareholders.</w:t>
      </w:r>
    </w:p>
    <w:p>
      <w:pPr>
        <w:spacing w:after="0" w:line="200"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389" w:lineRule="exact"/>
        <w:rPr>
          <w:sz w:val="20"/>
          <w:szCs w:val="20"/>
          <w:color w:val="auto"/>
        </w:rPr>
      </w:pPr>
    </w:p>
    <w:p>
      <w:pPr>
        <w:ind w:left="3120" w:right="2220"/>
        <w:spacing w:after="0" w:line="288" w:lineRule="auto"/>
        <w:rPr>
          <w:sz w:val="20"/>
          <w:szCs w:val="20"/>
          <w:color w:val="auto"/>
        </w:rPr>
      </w:pPr>
      <w:r>
        <w:rPr>
          <w:rFonts w:ascii="Arial" w:cs="Arial" w:eastAsia="Arial" w:hAnsi="Arial"/>
          <w:sz w:val="25"/>
          <w:szCs w:val="25"/>
          <w:color w:val="007CBA"/>
        </w:rPr>
        <w:t>The Board Unanimously Recommends a Vote “</w:t>
      </w:r>
      <w:r>
        <w:rPr>
          <w:rFonts w:ascii="Arial" w:cs="Arial" w:eastAsia="Arial" w:hAnsi="Arial"/>
          <w:sz w:val="25"/>
          <w:szCs w:val="25"/>
          <w:b w:val="1"/>
          <w:bCs w:val="1"/>
          <w:color w:val="007CBA"/>
        </w:rPr>
        <w:t>FOR</w:t>
      </w:r>
      <w:r>
        <w:rPr>
          <w:rFonts w:ascii="Arial" w:cs="Arial" w:eastAsia="Arial" w:hAnsi="Arial"/>
          <w:sz w:val="25"/>
          <w:szCs w:val="25"/>
          <w:color w:val="007CBA"/>
        </w:rPr>
        <w:t>” This 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1555750</wp:posOffset>
            </wp:positionH>
            <wp:positionV relativeFrom="paragraph">
              <wp:posOffset>-340995</wp:posOffset>
            </wp:positionV>
            <wp:extent cx="325755" cy="3257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86360</wp:posOffset>
            </wp:positionV>
            <wp:extent cx="410845" cy="2482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135" w:lineRule="exact"/>
        <w:rPr>
          <w:sz w:val="20"/>
          <w:szCs w:val="20"/>
          <w:color w:val="auto"/>
        </w:rPr>
      </w:pPr>
    </w:p>
    <w:tbl>
      <w:tblPr>
        <w:tblLayout w:type="fixed"/>
        <w:tblInd w:w="926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2019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65</w:t>
            </w:r>
          </w:p>
        </w:tc>
      </w:tr>
    </w:tbl>
    <w:p>
      <w:pPr>
        <w:sectPr>
          <w:pgSz w:w="11900" w:h="16838" w:orient="portrait"/>
          <w:cols w:equalWidth="0" w:num="1">
            <w:col w:w="11220"/>
          </w:cols>
          <w:pgMar w:left="240" w:top="459" w:right="43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440"/>
        <w:spacing w:after="0"/>
        <w:rPr>
          <w:sz w:val="20"/>
          <w:szCs w:val="20"/>
          <w:color w:val="auto"/>
        </w:rPr>
      </w:pPr>
      <w:r>
        <w:rPr>
          <w:rFonts w:ascii="Arial" w:cs="Arial" w:eastAsia="Arial" w:hAnsi="Arial"/>
          <w:sz w:val="43"/>
          <w:szCs w:val="43"/>
          <w:color w:val="auto"/>
        </w:rPr>
        <w:t>Securities Authorized for Issuance</w:t>
      </w:r>
    </w:p>
    <w:p>
      <w:pPr>
        <w:spacing w:after="0" w:line="7" w:lineRule="exact"/>
        <w:rPr>
          <w:sz w:val="20"/>
          <w:szCs w:val="20"/>
          <w:color w:val="auto"/>
        </w:rPr>
      </w:pPr>
    </w:p>
    <w:p>
      <w:pPr>
        <w:ind w:left="2420"/>
        <w:spacing w:after="0"/>
        <w:rPr>
          <w:sz w:val="20"/>
          <w:szCs w:val="20"/>
          <w:color w:val="auto"/>
        </w:rPr>
      </w:pPr>
      <w:r>
        <w:rPr>
          <w:rFonts w:ascii="Arial" w:cs="Arial" w:eastAsia="Arial" w:hAnsi="Arial"/>
          <w:sz w:val="43"/>
          <w:szCs w:val="43"/>
          <w:color w:val="auto"/>
        </w:rPr>
        <w:t>Under Equity Compensation Plans</w:t>
      </w:r>
    </w:p>
    <w:p>
      <w:pPr>
        <w:spacing w:after="0" w:line="330"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The following table shows information as of December 31, 2018 regarding Martin Marietta’s compensation plans that allow Martin Marietta to issue its equity securities. Martin Marietta’s equity compensation plans consist of the Amended and Restated Martin Marietta Materials, Inc. Common Stock Purchase Plan for Directors (the Directors’ Plan), the Martin Marietta Materials, Inc. Amended and Restated Stock-Based Award Plan (the Stock-Based Award Plan), under which the Martin Marietta Materials, Inc. Incentive Stock Plan (the Incentive Stock Plan) was adopted, the Martin Marietta Materials, Inc. Amended Omnibus Securities Award Plan (the Omnibus Securities Award Plan), and the Martin Marietta Materials, Inc. Shareholder Value Achievement Plan (the Achievement Plan). Martin Marietta’s shareholders have approved all of these plans. Martin Marietta has not entered into any individual compensation arrangements that would allow it to issue its equity securities to employees or non-employees in exchange for goods or services.</w:t>
      </w:r>
    </w:p>
    <w:p>
      <w:pPr>
        <w:spacing w:after="0" w:line="179"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EQUITY COMPENSATION PLAN INFORMATION</w:t>
      </w:r>
    </w:p>
    <w:p>
      <w:pPr>
        <w:spacing w:after="0" w:line="22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860" w:type="dxa"/>
            <w:vAlign w:val="bottom"/>
            <w:tcBorders>
              <w:right w:val="single" w:sz="8" w:color="007CBA"/>
            </w:tcBorders>
            <w:shd w:val="clear" w:color="auto" w:fill="007CBA"/>
          </w:tcPr>
          <w:p>
            <w:pPr>
              <w:spacing w:after="0"/>
              <w:rPr>
                <w:sz w:val="14"/>
                <w:szCs w:val="14"/>
                <w:color w:val="auto"/>
              </w:rPr>
            </w:pPr>
          </w:p>
        </w:tc>
        <w:tc>
          <w:tcPr>
            <w:tcW w:w="2440" w:type="dxa"/>
            <w:vAlign w:val="bottom"/>
            <w:tcBorders>
              <w:right w:val="single" w:sz="8" w:color="007CBA"/>
            </w:tcBorders>
            <w:shd w:val="clear" w:color="auto" w:fill="007CBA"/>
          </w:tcPr>
          <w:p>
            <w:pPr>
              <w:spacing w:after="0"/>
              <w:rPr>
                <w:sz w:val="14"/>
                <w:szCs w:val="14"/>
                <w:color w:val="auto"/>
              </w:rPr>
            </w:pPr>
          </w:p>
        </w:tc>
        <w:tc>
          <w:tcPr>
            <w:tcW w:w="920" w:type="dxa"/>
            <w:vAlign w:val="bottom"/>
            <w:shd w:val="clear" w:color="auto" w:fill="007CBA"/>
          </w:tcPr>
          <w:p>
            <w:pPr>
              <w:spacing w:after="0"/>
              <w:rPr>
                <w:sz w:val="14"/>
                <w:szCs w:val="14"/>
                <w:color w:val="auto"/>
              </w:rPr>
            </w:pPr>
          </w:p>
        </w:tc>
        <w:tc>
          <w:tcPr>
            <w:tcW w:w="1320" w:type="dxa"/>
            <w:vAlign w:val="bottom"/>
            <w:tcBorders>
              <w:right w:val="single" w:sz="8" w:color="007CBA"/>
            </w:tcBorders>
            <w:shd w:val="clear" w:color="auto" w:fill="007CBA"/>
          </w:tcPr>
          <w:p>
            <w:pPr>
              <w:spacing w:after="0"/>
              <w:rPr>
                <w:sz w:val="14"/>
                <w:szCs w:val="14"/>
                <w:color w:val="auto"/>
              </w:rPr>
            </w:pPr>
          </w:p>
        </w:tc>
        <w:tc>
          <w:tcPr>
            <w:tcW w:w="246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Number of securities</w:t>
            </w:r>
          </w:p>
        </w:tc>
      </w:tr>
      <w:tr>
        <w:trPr>
          <w:trHeight w:val="162"/>
        </w:trPr>
        <w:tc>
          <w:tcPr>
            <w:tcW w:w="3860" w:type="dxa"/>
            <w:vAlign w:val="bottom"/>
            <w:tcBorders>
              <w:right w:val="single" w:sz="8" w:color="007CBA"/>
            </w:tcBorders>
            <w:shd w:val="clear" w:color="auto" w:fill="007CBA"/>
          </w:tcPr>
          <w:p>
            <w:pPr>
              <w:spacing w:after="0"/>
              <w:rPr>
                <w:sz w:val="14"/>
                <w:szCs w:val="14"/>
                <w:color w:val="auto"/>
              </w:rPr>
            </w:pPr>
          </w:p>
        </w:tc>
        <w:tc>
          <w:tcPr>
            <w:tcW w:w="2440" w:type="dxa"/>
            <w:vAlign w:val="bottom"/>
            <w:tcBorders>
              <w:right w:val="single" w:sz="8" w:color="007CBA"/>
            </w:tcBorders>
            <w:shd w:val="clear" w:color="auto" w:fill="007CBA"/>
          </w:tcPr>
          <w:p>
            <w:pPr>
              <w:spacing w:after="0"/>
              <w:rPr>
                <w:sz w:val="14"/>
                <w:szCs w:val="14"/>
                <w:color w:val="auto"/>
              </w:rPr>
            </w:pPr>
          </w:p>
        </w:tc>
        <w:tc>
          <w:tcPr>
            <w:tcW w:w="920" w:type="dxa"/>
            <w:vAlign w:val="bottom"/>
            <w:shd w:val="clear" w:color="auto" w:fill="007CBA"/>
          </w:tcPr>
          <w:p>
            <w:pPr>
              <w:spacing w:after="0"/>
              <w:rPr>
                <w:sz w:val="14"/>
                <w:szCs w:val="14"/>
                <w:color w:val="auto"/>
              </w:rPr>
            </w:pPr>
          </w:p>
        </w:tc>
        <w:tc>
          <w:tcPr>
            <w:tcW w:w="1320" w:type="dxa"/>
            <w:vAlign w:val="bottom"/>
            <w:tcBorders>
              <w:right w:val="single" w:sz="8" w:color="007CBA"/>
            </w:tcBorders>
            <w:shd w:val="clear" w:color="auto" w:fill="007CBA"/>
          </w:tcPr>
          <w:p>
            <w:pPr>
              <w:spacing w:after="0"/>
              <w:rPr>
                <w:sz w:val="14"/>
                <w:szCs w:val="14"/>
                <w:color w:val="auto"/>
              </w:rPr>
            </w:pPr>
          </w:p>
        </w:tc>
        <w:tc>
          <w:tcPr>
            <w:tcW w:w="246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remaining available</w:t>
            </w:r>
          </w:p>
        </w:tc>
      </w:tr>
      <w:tr>
        <w:trPr>
          <w:trHeight w:val="162"/>
        </w:trPr>
        <w:tc>
          <w:tcPr>
            <w:tcW w:w="3860" w:type="dxa"/>
            <w:vAlign w:val="bottom"/>
            <w:tcBorders>
              <w:right w:val="single" w:sz="8" w:color="007CBA"/>
            </w:tcBorders>
            <w:shd w:val="clear" w:color="auto" w:fill="007CBA"/>
          </w:tcPr>
          <w:p>
            <w:pPr>
              <w:spacing w:after="0"/>
              <w:rPr>
                <w:sz w:val="14"/>
                <w:szCs w:val="14"/>
                <w:color w:val="auto"/>
              </w:rPr>
            </w:pPr>
          </w:p>
        </w:tc>
        <w:tc>
          <w:tcPr>
            <w:tcW w:w="24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Number of securities</w:t>
            </w:r>
          </w:p>
        </w:tc>
        <w:tc>
          <w:tcPr>
            <w:tcW w:w="920" w:type="dxa"/>
            <w:vAlign w:val="bottom"/>
            <w:shd w:val="clear" w:color="auto" w:fill="007CBA"/>
          </w:tcPr>
          <w:p>
            <w:pPr>
              <w:spacing w:after="0"/>
              <w:rPr>
                <w:sz w:val="14"/>
                <w:szCs w:val="14"/>
                <w:color w:val="auto"/>
              </w:rPr>
            </w:pPr>
          </w:p>
        </w:tc>
        <w:tc>
          <w:tcPr>
            <w:tcW w:w="1320" w:type="dxa"/>
            <w:vAlign w:val="bottom"/>
            <w:tcBorders>
              <w:right w:val="single" w:sz="8" w:color="007CBA"/>
            </w:tcBorders>
            <w:shd w:val="clear" w:color="auto" w:fill="007CBA"/>
          </w:tcPr>
          <w:p>
            <w:pPr>
              <w:spacing w:after="0"/>
              <w:rPr>
                <w:sz w:val="14"/>
                <w:szCs w:val="14"/>
                <w:color w:val="auto"/>
              </w:rPr>
            </w:pPr>
          </w:p>
        </w:tc>
        <w:tc>
          <w:tcPr>
            <w:tcW w:w="246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for future issuance</w:t>
            </w:r>
          </w:p>
        </w:tc>
      </w:tr>
      <w:tr>
        <w:trPr>
          <w:trHeight w:val="162"/>
        </w:trPr>
        <w:tc>
          <w:tcPr>
            <w:tcW w:w="3860" w:type="dxa"/>
            <w:vAlign w:val="bottom"/>
            <w:tcBorders>
              <w:right w:val="single" w:sz="8" w:color="007CBA"/>
            </w:tcBorders>
            <w:shd w:val="clear" w:color="auto" w:fill="007CBA"/>
          </w:tcPr>
          <w:p>
            <w:pPr>
              <w:spacing w:after="0"/>
              <w:rPr>
                <w:sz w:val="14"/>
                <w:szCs w:val="14"/>
                <w:color w:val="auto"/>
              </w:rPr>
            </w:pPr>
          </w:p>
        </w:tc>
        <w:tc>
          <w:tcPr>
            <w:tcW w:w="24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to be issued upon</w:t>
            </w:r>
          </w:p>
        </w:tc>
        <w:tc>
          <w:tcPr>
            <w:tcW w:w="2240" w:type="dxa"/>
            <w:vAlign w:val="bottom"/>
            <w:tcBorders>
              <w:right w:val="single" w:sz="8" w:color="007CBA"/>
            </w:tcBorders>
            <w:gridSpan w:val="2"/>
            <w:shd w:val="clear" w:color="auto" w:fill="007CBA"/>
          </w:tcPr>
          <w:p>
            <w:pPr>
              <w:jc w:val="center"/>
              <w:spacing w:after="0"/>
              <w:rPr>
                <w:sz w:val="20"/>
                <w:szCs w:val="20"/>
                <w:color w:val="auto"/>
              </w:rPr>
            </w:pPr>
            <w:r>
              <w:rPr>
                <w:rFonts w:ascii="Arial" w:cs="Arial" w:eastAsia="Arial" w:hAnsi="Arial"/>
                <w:sz w:val="14"/>
                <w:szCs w:val="14"/>
                <w:b w:val="1"/>
                <w:bCs w:val="1"/>
                <w:color w:val="FFFFFF"/>
              </w:rPr>
              <w:t>Weighted-average</w:t>
            </w:r>
          </w:p>
        </w:tc>
        <w:tc>
          <w:tcPr>
            <w:tcW w:w="246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under equity</w:t>
            </w:r>
          </w:p>
        </w:tc>
      </w:tr>
      <w:tr>
        <w:trPr>
          <w:trHeight w:val="162"/>
        </w:trPr>
        <w:tc>
          <w:tcPr>
            <w:tcW w:w="3860" w:type="dxa"/>
            <w:vAlign w:val="bottom"/>
            <w:tcBorders>
              <w:right w:val="single" w:sz="8" w:color="007CBA"/>
            </w:tcBorders>
            <w:shd w:val="clear" w:color="auto" w:fill="007CBA"/>
          </w:tcPr>
          <w:p>
            <w:pPr>
              <w:spacing w:after="0"/>
              <w:rPr>
                <w:sz w:val="14"/>
                <w:szCs w:val="14"/>
                <w:color w:val="auto"/>
              </w:rPr>
            </w:pPr>
          </w:p>
        </w:tc>
        <w:tc>
          <w:tcPr>
            <w:tcW w:w="24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exercise of</w:t>
            </w:r>
          </w:p>
        </w:tc>
        <w:tc>
          <w:tcPr>
            <w:tcW w:w="2240" w:type="dxa"/>
            <w:vAlign w:val="bottom"/>
            <w:tcBorders>
              <w:right w:val="single" w:sz="8" w:color="007CBA"/>
            </w:tcBorders>
            <w:gridSpan w:val="2"/>
            <w:shd w:val="clear" w:color="auto" w:fill="007CBA"/>
          </w:tcPr>
          <w:p>
            <w:pPr>
              <w:jc w:val="center"/>
              <w:spacing w:after="0"/>
              <w:rPr>
                <w:sz w:val="20"/>
                <w:szCs w:val="20"/>
                <w:color w:val="auto"/>
              </w:rPr>
            </w:pPr>
            <w:r>
              <w:rPr>
                <w:rFonts w:ascii="Arial" w:cs="Arial" w:eastAsia="Arial" w:hAnsi="Arial"/>
                <w:sz w:val="14"/>
                <w:szCs w:val="14"/>
                <w:b w:val="1"/>
                <w:bCs w:val="1"/>
                <w:color w:val="FFFFFF"/>
              </w:rPr>
              <w:t>exercise price of</w:t>
            </w:r>
          </w:p>
        </w:tc>
        <w:tc>
          <w:tcPr>
            <w:tcW w:w="246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compensation plans</w:t>
            </w:r>
          </w:p>
        </w:tc>
      </w:tr>
      <w:tr>
        <w:trPr>
          <w:trHeight w:val="162"/>
        </w:trPr>
        <w:tc>
          <w:tcPr>
            <w:tcW w:w="3860" w:type="dxa"/>
            <w:vAlign w:val="bottom"/>
            <w:tcBorders>
              <w:right w:val="single" w:sz="8" w:color="007CBA"/>
            </w:tcBorders>
            <w:shd w:val="clear" w:color="auto" w:fill="007CBA"/>
          </w:tcPr>
          <w:p>
            <w:pPr>
              <w:spacing w:after="0"/>
              <w:rPr>
                <w:sz w:val="14"/>
                <w:szCs w:val="14"/>
                <w:color w:val="auto"/>
              </w:rPr>
            </w:pPr>
          </w:p>
        </w:tc>
        <w:tc>
          <w:tcPr>
            <w:tcW w:w="24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outstanding</w:t>
            </w:r>
          </w:p>
        </w:tc>
        <w:tc>
          <w:tcPr>
            <w:tcW w:w="2240" w:type="dxa"/>
            <w:vAlign w:val="bottom"/>
            <w:tcBorders>
              <w:right w:val="single" w:sz="8" w:color="007CBA"/>
            </w:tcBorders>
            <w:gridSpan w:val="2"/>
            <w:shd w:val="clear" w:color="auto" w:fill="007CBA"/>
          </w:tcPr>
          <w:p>
            <w:pPr>
              <w:jc w:val="center"/>
              <w:spacing w:after="0"/>
              <w:rPr>
                <w:sz w:val="20"/>
                <w:szCs w:val="20"/>
                <w:color w:val="auto"/>
              </w:rPr>
            </w:pPr>
            <w:r>
              <w:rPr>
                <w:rFonts w:ascii="Arial" w:cs="Arial" w:eastAsia="Arial" w:hAnsi="Arial"/>
                <w:sz w:val="14"/>
                <w:szCs w:val="14"/>
                <w:b w:val="1"/>
                <w:bCs w:val="1"/>
                <w:color w:val="FFFFFF"/>
              </w:rPr>
              <w:t>outstanding</w:t>
            </w:r>
          </w:p>
        </w:tc>
        <w:tc>
          <w:tcPr>
            <w:tcW w:w="246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(excluding securities</w:t>
            </w:r>
          </w:p>
        </w:tc>
      </w:tr>
      <w:tr>
        <w:trPr>
          <w:trHeight w:val="162"/>
        </w:trPr>
        <w:tc>
          <w:tcPr>
            <w:tcW w:w="3860" w:type="dxa"/>
            <w:vAlign w:val="bottom"/>
            <w:tcBorders>
              <w:right w:val="single" w:sz="8" w:color="007CBA"/>
            </w:tcBorders>
            <w:shd w:val="clear" w:color="auto" w:fill="007CBA"/>
          </w:tcPr>
          <w:p>
            <w:pPr>
              <w:spacing w:after="0"/>
              <w:rPr>
                <w:sz w:val="14"/>
                <w:szCs w:val="14"/>
                <w:color w:val="auto"/>
              </w:rPr>
            </w:pPr>
          </w:p>
        </w:tc>
        <w:tc>
          <w:tcPr>
            <w:tcW w:w="24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options, warrants,</w:t>
            </w:r>
          </w:p>
        </w:tc>
        <w:tc>
          <w:tcPr>
            <w:tcW w:w="2240" w:type="dxa"/>
            <w:vAlign w:val="bottom"/>
            <w:tcBorders>
              <w:right w:val="single" w:sz="8" w:color="007CBA"/>
            </w:tcBorders>
            <w:gridSpan w:val="2"/>
            <w:shd w:val="clear" w:color="auto" w:fill="007CBA"/>
          </w:tcPr>
          <w:p>
            <w:pPr>
              <w:jc w:val="center"/>
              <w:spacing w:after="0"/>
              <w:rPr>
                <w:sz w:val="20"/>
                <w:szCs w:val="20"/>
                <w:color w:val="auto"/>
              </w:rPr>
            </w:pPr>
            <w:r>
              <w:rPr>
                <w:rFonts w:ascii="Arial" w:cs="Arial" w:eastAsia="Arial" w:hAnsi="Arial"/>
                <w:sz w:val="14"/>
                <w:szCs w:val="14"/>
                <w:b w:val="1"/>
                <w:bCs w:val="1"/>
                <w:color w:val="FFFFFF"/>
              </w:rPr>
              <w:t>options, warrants,</w:t>
            </w:r>
          </w:p>
        </w:tc>
        <w:tc>
          <w:tcPr>
            <w:tcW w:w="246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reflected in column</w:t>
            </w:r>
          </w:p>
        </w:tc>
      </w:tr>
      <w:tr>
        <w:trPr>
          <w:trHeight w:val="158"/>
        </w:trPr>
        <w:tc>
          <w:tcPr>
            <w:tcW w:w="3860" w:type="dxa"/>
            <w:vAlign w:val="bottom"/>
            <w:tcBorders>
              <w:right w:val="single" w:sz="8" w:color="007CBA"/>
            </w:tcBorders>
            <w:shd w:val="clear" w:color="auto" w:fill="007CBA"/>
          </w:tcPr>
          <w:p>
            <w:pPr>
              <w:spacing w:after="0"/>
              <w:rPr>
                <w:sz w:val="13"/>
                <w:szCs w:val="13"/>
                <w:color w:val="auto"/>
              </w:rPr>
            </w:pPr>
          </w:p>
        </w:tc>
        <w:tc>
          <w:tcPr>
            <w:tcW w:w="2440" w:type="dxa"/>
            <w:vAlign w:val="bottom"/>
            <w:tcBorders>
              <w:right w:val="single" w:sz="8" w:color="007CBA"/>
            </w:tcBorders>
            <w:shd w:val="clear" w:color="auto" w:fill="007CBA"/>
          </w:tcPr>
          <w:p>
            <w:pPr>
              <w:jc w:val="center"/>
              <w:spacing w:after="0" w:line="159" w:lineRule="exact"/>
              <w:rPr>
                <w:sz w:val="20"/>
                <w:szCs w:val="20"/>
                <w:color w:val="auto"/>
              </w:rPr>
            </w:pPr>
            <w:r>
              <w:rPr>
                <w:rFonts w:ascii="Arial" w:cs="Arial" w:eastAsia="Arial" w:hAnsi="Arial"/>
                <w:sz w:val="14"/>
                <w:szCs w:val="14"/>
                <w:b w:val="1"/>
                <w:bCs w:val="1"/>
                <w:color w:val="FFFFFF"/>
              </w:rPr>
              <w:t>and rights</w:t>
            </w:r>
          </w:p>
        </w:tc>
        <w:tc>
          <w:tcPr>
            <w:tcW w:w="2240" w:type="dxa"/>
            <w:vAlign w:val="bottom"/>
            <w:tcBorders>
              <w:right w:val="single" w:sz="8" w:color="007CBA"/>
            </w:tcBorders>
            <w:gridSpan w:val="2"/>
            <w:shd w:val="clear" w:color="auto" w:fill="007CBA"/>
          </w:tcPr>
          <w:p>
            <w:pPr>
              <w:jc w:val="center"/>
              <w:spacing w:after="0" w:line="159" w:lineRule="exact"/>
              <w:rPr>
                <w:sz w:val="20"/>
                <w:szCs w:val="20"/>
                <w:color w:val="auto"/>
              </w:rPr>
            </w:pPr>
            <w:r>
              <w:rPr>
                <w:rFonts w:ascii="Arial" w:cs="Arial" w:eastAsia="Arial" w:hAnsi="Arial"/>
                <w:sz w:val="14"/>
                <w:szCs w:val="14"/>
                <w:b w:val="1"/>
                <w:bCs w:val="1"/>
                <w:color w:val="FFFFFF"/>
              </w:rPr>
              <w:t>and rights</w:t>
            </w:r>
          </w:p>
        </w:tc>
        <w:tc>
          <w:tcPr>
            <w:tcW w:w="2460" w:type="dxa"/>
            <w:vAlign w:val="bottom"/>
            <w:shd w:val="clear" w:color="auto" w:fill="007CBA"/>
          </w:tcPr>
          <w:p>
            <w:pPr>
              <w:jc w:val="center"/>
              <w:spacing w:after="0" w:line="159" w:lineRule="exact"/>
              <w:rPr>
                <w:sz w:val="20"/>
                <w:szCs w:val="20"/>
                <w:color w:val="auto"/>
              </w:rPr>
            </w:pPr>
            <w:r>
              <w:rPr>
                <w:rFonts w:ascii="Arial" w:cs="Arial" w:eastAsia="Arial" w:hAnsi="Arial"/>
                <w:sz w:val="14"/>
                <w:szCs w:val="14"/>
                <w:b w:val="1"/>
                <w:bCs w:val="1"/>
                <w:color w:val="FFFFFF"/>
              </w:rPr>
              <w:t>(a))</w:t>
            </w:r>
          </w:p>
        </w:tc>
      </w:tr>
      <w:tr>
        <w:trPr>
          <w:trHeight w:val="233"/>
        </w:trPr>
        <w:tc>
          <w:tcPr>
            <w:tcW w:w="386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4"/>
                <w:szCs w:val="14"/>
                <w:b w:val="1"/>
                <w:bCs w:val="1"/>
                <w:color w:val="FFFFFF"/>
              </w:rPr>
              <w:t>Plan Category</w:t>
            </w:r>
          </w:p>
        </w:tc>
        <w:tc>
          <w:tcPr>
            <w:tcW w:w="24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w:t>
            </w:r>
          </w:p>
        </w:tc>
        <w:tc>
          <w:tcPr>
            <w:tcW w:w="920" w:type="dxa"/>
            <w:vAlign w:val="bottom"/>
            <w:shd w:val="clear" w:color="auto" w:fill="007CBA"/>
          </w:tcPr>
          <w:p>
            <w:pPr>
              <w:spacing w:after="0"/>
              <w:rPr>
                <w:sz w:val="20"/>
                <w:szCs w:val="20"/>
                <w:color w:val="auto"/>
              </w:rPr>
            </w:pPr>
          </w:p>
        </w:tc>
        <w:tc>
          <w:tcPr>
            <w:tcW w:w="1320" w:type="dxa"/>
            <w:vAlign w:val="bottom"/>
            <w:tcBorders>
              <w:right w:val="single" w:sz="8" w:color="007CBA"/>
            </w:tcBorders>
            <w:shd w:val="clear" w:color="auto" w:fill="007CBA"/>
          </w:tcPr>
          <w:p>
            <w:pPr>
              <w:jc w:val="center"/>
              <w:ind w:right="868"/>
              <w:spacing w:after="0" w:line="233" w:lineRule="exact"/>
              <w:rPr>
                <w:sz w:val="20"/>
                <w:szCs w:val="20"/>
                <w:color w:val="auto"/>
              </w:rPr>
            </w:pPr>
            <w:r>
              <w:rPr>
                <w:rFonts w:ascii="Arial" w:cs="Arial" w:eastAsia="Arial" w:hAnsi="Arial"/>
                <w:sz w:val="14"/>
                <w:szCs w:val="14"/>
                <w:b w:val="1"/>
                <w:bCs w:val="1"/>
                <w:color w:val="FFFFFF"/>
                <w:w w:val="96"/>
              </w:rPr>
              <w:t>(b)</w:t>
            </w:r>
            <w:r>
              <w:rPr>
                <w:rFonts w:ascii="Arial" w:cs="Arial" w:eastAsia="Arial" w:hAnsi="Arial"/>
                <w:sz w:val="24"/>
                <w:szCs w:val="24"/>
                <w:b w:val="1"/>
                <w:bCs w:val="1"/>
                <w:color w:val="FFFFFF"/>
                <w:w w:val="96"/>
                <w:vertAlign w:val="superscript"/>
              </w:rPr>
              <w:t>3</w:t>
            </w:r>
          </w:p>
        </w:tc>
        <w:tc>
          <w:tcPr>
            <w:tcW w:w="246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(c)</w:t>
            </w:r>
          </w:p>
        </w:tc>
      </w:tr>
      <w:tr>
        <w:trPr>
          <w:trHeight w:val="216"/>
        </w:trPr>
        <w:tc>
          <w:tcPr>
            <w:tcW w:w="386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Equity compensation plans approved by shareholders</w:t>
            </w:r>
          </w:p>
        </w:tc>
        <w:tc>
          <w:tcPr>
            <w:tcW w:w="2440" w:type="dxa"/>
            <w:vAlign w:val="bottom"/>
            <w:tcBorders>
              <w:right w:val="single" w:sz="8" w:color="007CBA"/>
            </w:tcBorders>
            <w:shd w:val="clear" w:color="auto" w:fill="E5F1F8"/>
          </w:tcPr>
          <w:p>
            <w:pPr>
              <w:jc w:val="right"/>
              <w:ind w:right="810"/>
              <w:spacing w:after="0" w:line="216" w:lineRule="exact"/>
              <w:rPr>
                <w:sz w:val="20"/>
                <w:szCs w:val="20"/>
                <w:color w:val="auto"/>
              </w:rPr>
            </w:pPr>
            <w:r>
              <w:rPr>
                <w:rFonts w:ascii="Arial" w:cs="Arial" w:eastAsia="Arial" w:hAnsi="Arial"/>
                <w:sz w:val="14"/>
                <w:szCs w:val="14"/>
                <w:color w:val="auto"/>
              </w:rPr>
              <w:t>602,968</w:t>
            </w:r>
            <w:r>
              <w:rPr>
                <w:rFonts w:ascii="Arial" w:cs="Arial" w:eastAsia="Arial" w:hAnsi="Arial"/>
                <w:sz w:val="24"/>
                <w:szCs w:val="24"/>
                <w:color w:val="auto"/>
                <w:vertAlign w:val="superscript"/>
              </w:rPr>
              <w:t>1</w:t>
            </w:r>
          </w:p>
        </w:tc>
        <w:tc>
          <w:tcPr>
            <w:tcW w:w="920" w:type="dxa"/>
            <w:vAlign w:val="bottom"/>
            <w:shd w:val="clear" w:color="auto" w:fill="E5F1F8"/>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007CBA"/>
            </w:tcBorders>
            <w:shd w:val="clear" w:color="auto" w:fill="E5F1F8"/>
          </w:tcPr>
          <w:p>
            <w:pPr>
              <w:jc w:val="right"/>
              <w:ind w:right="768"/>
              <w:spacing w:after="0"/>
              <w:rPr>
                <w:sz w:val="20"/>
                <w:szCs w:val="20"/>
                <w:color w:val="auto"/>
              </w:rPr>
            </w:pPr>
            <w:r>
              <w:rPr>
                <w:rFonts w:ascii="Arial" w:cs="Arial" w:eastAsia="Arial" w:hAnsi="Arial"/>
                <w:sz w:val="14"/>
                <w:szCs w:val="14"/>
                <w:color w:val="auto"/>
              </w:rPr>
              <w:t>122.22</w:t>
            </w:r>
          </w:p>
        </w:tc>
        <w:tc>
          <w:tcPr>
            <w:tcW w:w="2460" w:type="dxa"/>
            <w:vAlign w:val="bottom"/>
            <w:shd w:val="clear" w:color="auto" w:fill="E5F1F8"/>
          </w:tcPr>
          <w:p>
            <w:pPr>
              <w:jc w:val="right"/>
              <w:ind w:right="749"/>
              <w:spacing w:after="0" w:line="216" w:lineRule="exact"/>
              <w:rPr>
                <w:sz w:val="20"/>
                <w:szCs w:val="20"/>
                <w:color w:val="auto"/>
              </w:rPr>
            </w:pPr>
            <w:r>
              <w:rPr>
                <w:rFonts w:ascii="Arial" w:cs="Arial" w:eastAsia="Arial" w:hAnsi="Arial"/>
                <w:sz w:val="14"/>
                <w:szCs w:val="14"/>
                <w:color w:val="auto"/>
              </w:rPr>
              <w:t>1,150,654</w:t>
            </w:r>
            <w:r>
              <w:rPr>
                <w:rFonts w:ascii="Arial" w:cs="Arial" w:eastAsia="Arial" w:hAnsi="Arial"/>
                <w:sz w:val="24"/>
                <w:szCs w:val="24"/>
                <w:color w:val="auto"/>
                <w:vertAlign w:val="superscript"/>
              </w:rPr>
              <w:t>4</w:t>
            </w:r>
          </w:p>
        </w:tc>
      </w:tr>
      <w:tr>
        <w:trPr>
          <w:trHeight w:val="162"/>
        </w:trPr>
        <w:tc>
          <w:tcPr>
            <w:tcW w:w="386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Equity compensation plans not approved by shareholders</w:t>
            </w:r>
          </w:p>
        </w:tc>
        <w:tc>
          <w:tcPr>
            <w:tcW w:w="2440" w:type="dxa"/>
            <w:vAlign w:val="bottom"/>
            <w:tcBorders>
              <w:right w:val="single" w:sz="8" w:color="007CBA"/>
            </w:tcBorders>
          </w:tcPr>
          <w:p>
            <w:pPr>
              <w:jc w:val="right"/>
              <w:ind w:right="810"/>
              <w:spacing w:after="0" w:line="162" w:lineRule="exact"/>
              <w:rPr>
                <w:sz w:val="20"/>
                <w:szCs w:val="20"/>
                <w:color w:val="auto"/>
              </w:rPr>
            </w:pPr>
            <w:r>
              <w:rPr>
                <w:rFonts w:ascii="Arial" w:cs="Arial" w:eastAsia="Arial" w:hAnsi="Arial"/>
                <w:sz w:val="11"/>
                <w:szCs w:val="11"/>
                <w:color w:val="auto"/>
              </w:rPr>
              <w:t>65,695</w:t>
            </w:r>
            <w:r>
              <w:rPr>
                <w:rFonts w:ascii="Arial" w:cs="Arial" w:eastAsia="Arial" w:hAnsi="Arial"/>
                <w:sz w:val="18"/>
                <w:szCs w:val="18"/>
                <w:color w:val="auto"/>
                <w:vertAlign w:val="superscript"/>
              </w:rPr>
              <w:t>2</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007CBA"/>
            </w:tcBorders>
          </w:tcPr>
          <w:p>
            <w:pPr>
              <w:jc w:val="right"/>
              <w:ind w:right="768"/>
              <w:spacing w:after="0"/>
              <w:rPr>
                <w:sz w:val="20"/>
                <w:szCs w:val="20"/>
                <w:color w:val="auto"/>
              </w:rPr>
            </w:pPr>
            <w:r>
              <w:rPr>
                <w:rFonts w:ascii="Arial" w:cs="Arial" w:eastAsia="Arial" w:hAnsi="Arial"/>
                <w:sz w:val="14"/>
                <w:szCs w:val="14"/>
                <w:color w:val="auto"/>
              </w:rPr>
              <w:t>51.82</w:t>
            </w:r>
          </w:p>
        </w:tc>
        <w:tc>
          <w:tcPr>
            <w:tcW w:w="2460" w:type="dxa"/>
            <w:vAlign w:val="bottom"/>
          </w:tcPr>
          <w:p>
            <w:pPr>
              <w:jc w:val="right"/>
              <w:ind w:right="749"/>
              <w:spacing w:after="0" w:line="162" w:lineRule="exact"/>
              <w:rPr>
                <w:sz w:val="20"/>
                <w:szCs w:val="20"/>
                <w:color w:val="auto"/>
              </w:rPr>
            </w:pPr>
            <w:r>
              <w:rPr>
                <w:rFonts w:ascii="Arial" w:cs="Arial" w:eastAsia="Arial" w:hAnsi="Arial"/>
                <w:sz w:val="11"/>
                <w:szCs w:val="11"/>
                <w:color w:val="auto"/>
              </w:rPr>
              <w:t>0</w:t>
            </w:r>
            <w:r>
              <w:rPr>
                <w:rFonts w:ascii="Arial" w:cs="Arial" w:eastAsia="Arial" w:hAnsi="Arial"/>
                <w:sz w:val="18"/>
                <w:szCs w:val="18"/>
                <w:color w:val="auto"/>
                <w:vertAlign w:val="superscript"/>
              </w:rPr>
              <w:t>5</w:t>
            </w:r>
          </w:p>
        </w:tc>
      </w:tr>
      <w:tr>
        <w:trPr>
          <w:trHeight w:val="162"/>
        </w:trPr>
        <w:tc>
          <w:tcPr>
            <w:tcW w:w="3860" w:type="dxa"/>
            <w:vAlign w:val="bottom"/>
            <w:tcBorders>
              <w:bottom w:val="single" w:sz="8" w:color="007CBA"/>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TOTAL</w:t>
            </w:r>
          </w:p>
        </w:tc>
        <w:tc>
          <w:tcPr>
            <w:tcW w:w="2440" w:type="dxa"/>
            <w:vAlign w:val="bottom"/>
            <w:tcBorders>
              <w:bottom w:val="single" w:sz="8" w:color="007CBA"/>
              <w:right w:val="single" w:sz="8" w:color="007CBA"/>
            </w:tcBorders>
            <w:shd w:val="clear" w:color="auto" w:fill="E5F1F8"/>
          </w:tcPr>
          <w:p>
            <w:pPr>
              <w:jc w:val="right"/>
              <w:ind w:right="870"/>
              <w:spacing w:after="0"/>
              <w:rPr>
                <w:sz w:val="20"/>
                <w:szCs w:val="20"/>
                <w:color w:val="auto"/>
              </w:rPr>
            </w:pPr>
            <w:r>
              <w:rPr>
                <w:rFonts w:ascii="Arial" w:cs="Arial" w:eastAsia="Arial" w:hAnsi="Arial"/>
                <w:sz w:val="14"/>
                <w:szCs w:val="14"/>
                <w:color w:val="auto"/>
              </w:rPr>
              <w:t>668,663</w:t>
            </w:r>
          </w:p>
        </w:tc>
        <w:tc>
          <w:tcPr>
            <w:tcW w:w="920" w:type="dxa"/>
            <w:vAlign w:val="bottom"/>
            <w:tcBorders>
              <w:bottom w:val="single" w:sz="8" w:color="007CBA"/>
            </w:tcBorders>
            <w:shd w:val="clear" w:color="auto" w:fill="E5F1F8"/>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007CBA"/>
              <w:right w:val="single" w:sz="8" w:color="007CBA"/>
            </w:tcBorders>
            <w:shd w:val="clear" w:color="auto" w:fill="E5F1F8"/>
          </w:tcPr>
          <w:p>
            <w:pPr>
              <w:jc w:val="right"/>
              <w:ind w:right="768"/>
              <w:spacing w:after="0"/>
              <w:rPr>
                <w:sz w:val="20"/>
                <w:szCs w:val="20"/>
                <w:color w:val="auto"/>
              </w:rPr>
            </w:pPr>
            <w:r>
              <w:rPr>
                <w:rFonts w:ascii="Arial" w:cs="Arial" w:eastAsia="Arial" w:hAnsi="Arial"/>
                <w:sz w:val="14"/>
                <w:szCs w:val="14"/>
                <w:color w:val="auto"/>
              </w:rPr>
              <w:t>105.63</w:t>
            </w:r>
          </w:p>
        </w:tc>
        <w:tc>
          <w:tcPr>
            <w:tcW w:w="2460" w:type="dxa"/>
            <w:vAlign w:val="bottom"/>
            <w:tcBorders>
              <w:bottom w:val="single" w:sz="8" w:color="007CBA"/>
            </w:tcBorders>
            <w:shd w:val="clear" w:color="auto" w:fill="E5F1F8"/>
          </w:tcPr>
          <w:p>
            <w:pPr>
              <w:jc w:val="right"/>
              <w:ind w:right="829"/>
              <w:spacing w:after="0"/>
              <w:rPr>
                <w:sz w:val="20"/>
                <w:szCs w:val="20"/>
                <w:color w:val="auto"/>
              </w:rPr>
            </w:pPr>
            <w:r>
              <w:rPr>
                <w:rFonts w:ascii="Arial" w:cs="Arial" w:eastAsia="Arial" w:hAnsi="Arial"/>
                <w:sz w:val="14"/>
                <w:szCs w:val="14"/>
                <w:color w:val="auto"/>
              </w:rPr>
              <w:t>1,150,654</w:t>
            </w:r>
          </w:p>
        </w:tc>
      </w:tr>
    </w:tbl>
    <w:p>
      <w:pPr>
        <w:spacing w:after="0" w:line="80" w:lineRule="exact"/>
        <w:rPr>
          <w:sz w:val="20"/>
          <w:szCs w:val="20"/>
          <w:color w:val="auto"/>
        </w:rPr>
      </w:pPr>
    </w:p>
    <w:p>
      <w:pPr>
        <w:jc w:val="both"/>
        <w:ind w:left="540" w:hanging="330"/>
        <w:spacing w:after="0" w:line="245" w:lineRule="auto"/>
        <w:tabs>
          <w:tab w:leader="none" w:pos="540" w:val="left"/>
        </w:tabs>
        <w:numPr>
          <w:ilvl w:val="0"/>
          <w:numId w:val="154"/>
        </w:numPr>
        <w:rPr>
          <w:rFonts w:ascii="Arial" w:cs="Arial" w:eastAsia="Arial" w:hAnsi="Arial"/>
          <w:sz w:val="11"/>
          <w:szCs w:val="11"/>
          <w:color w:val="auto"/>
        </w:rPr>
      </w:pPr>
      <w:r>
        <w:rPr>
          <w:rFonts w:ascii="Arial" w:cs="Arial" w:eastAsia="Arial" w:hAnsi="Arial"/>
          <w:sz w:val="13"/>
          <w:szCs w:val="13"/>
          <w:color w:val="auto"/>
        </w:rPr>
        <w:t>Includes 152,782 stock options that have a weighted-average exercise price of $112.56; 416,083 restricted stock units that have a $0 exercise price; and 34,103 stock units granted in accordance with the Incentive Stock Plan that are credited to participants at an average weighted cost of $165.47. The restricted stock units and stock units granted in accordance with the Incentive Stock Plan represent Martin Marietta’s obligation to issue shares in the future subject to certain conditions in accordance with the Stock-Based Award Plan.</w:t>
      </w:r>
    </w:p>
    <w:p>
      <w:pPr>
        <w:spacing w:after="0" w:line="217" w:lineRule="exact"/>
        <w:rPr>
          <w:sz w:val="20"/>
          <w:szCs w:val="20"/>
          <w:color w:val="auto"/>
        </w:rPr>
      </w:pPr>
    </w:p>
    <w:p>
      <w:pPr>
        <w:ind w:left="540" w:hanging="330"/>
        <w:spacing w:after="0"/>
        <w:tabs>
          <w:tab w:leader="none" w:pos="540" w:val="left"/>
        </w:tabs>
        <w:numPr>
          <w:ilvl w:val="0"/>
          <w:numId w:val="155"/>
        </w:numPr>
        <w:rPr>
          <w:rFonts w:ascii="Arial" w:cs="Arial" w:eastAsia="Arial" w:hAnsi="Arial"/>
          <w:sz w:val="11"/>
          <w:szCs w:val="11"/>
          <w:color w:val="auto"/>
        </w:rPr>
      </w:pPr>
      <w:r>
        <w:rPr>
          <w:rFonts w:ascii="Arial" w:cs="Arial" w:eastAsia="Arial" w:hAnsi="Arial"/>
          <w:sz w:val="13"/>
          <w:szCs w:val="13"/>
          <w:color w:val="auto"/>
        </w:rPr>
        <w:t>Represents stock options and restricted stock units granted to legacy Texas Industries, Inc. (“TXI”) employees and employees hired after July 1, 2014.</w:t>
      </w:r>
    </w:p>
    <w:p>
      <w:pPr>
        <w:spacing w:after="0" w:line="79" w:lineRule="exact"/>
        <w:rPr>
          <w:rFonts w:ascii="Arial" w:cs="Arial" w:eastAsia="Arial" w:hAnsi="Arial"/>
          <w:sz w:val="11"/>
          <w:szCs w:val="11"/>
          <w:color w:val="auto"/>
        </w:rPr>
      </w:pPr>
    </w:p>
    <w:p>
      <w:pPr>
        <w:ind w:left="220"/>
        <w:spacing w:after="0"/>
        <w:rPr>
          <w:rFonts w:ascii="Arial" w:cs="Arial" w:eastAsia="Arial" w:hAnsi="Arial"/>
          <w:sz w:val="11"/>
          <w:szCs w:val="11"/>
          <w:color w:val="auto"/>
        </w:rPr>
      </w:pPr>
      <w:r>
        <w:rPr>
          <w:rFonts w:ascii="Arial" w:cs="Arial" w:eastAsia="Arial" w:hAnsi="Arial"/>
          <w:sz w:val="11"/>
          <w:szCs w:val="11"/>
          <w:color w:val="auto"/>
        </w:rPr>
        <w:t>3</w:t>
      </w:r>
      <w:r>
        <w:rPr>
          <w:rFonts w:ascii="Arial" w:cs="Arial" w:eastAsia="Arial" w:hAnsi="Arial"/>
          <w:sz w:val="13"/>
          <w:szCs w:val="13"/>
          <w:color w:val="auto"/>
        </w:rPr>
        <w:t>The weighted-average exercise price does not take into account the restricted stock units and stock units for which there is no exercise price.</w:t>
      </w:r>
    </w:p>
    <w:p>
      <w:pPr>
        <w:spacing w:after="0" w:line="80" w:lineRule="exact"/>
        <w:rPr>
          <w:sz w:val="20"/>
          <w:szCs w:val="20"/>
          <w:color w:val="auto"/>
        </w:rPr>
      </w:pPr>
    </w:p>
    <w:p>
      <w:pPr>
        <w:jc w:val="both"/>
        <w:ind w:left="540" w:hanging="330"/>
        <w:spacing w:after="0" w:line="243" w:lineRule="auto"/>
        <w:tabs>
          <w:tab w:leader="none" w:pos="540" w:val="left"/>
        </w:tabs>
        <w:numPr>
          <w:ilvl w:val="0"/>
          <w:numId w:val="156"/>
        </w:numPr>
        <w:rPr>
          <w:rFonts w:ascii="Arial" w:cs="Arial" w:eastAsia="Arial" w:hAnsi="Arial"/>
          <w:sz w:val="11"/>
          <w:szCs w:val="11"/>
          <w:color w:val="auto"/>
        </w:rPr>
      </w:pPr>
      <w:r>
        <w:rPr>
          <w:rFonts w:ascii="Arial" w:cs="Arial" w:eastAsia="Arial" w:hAnsi="Arial"/>
          <w:sz w:val="13"/>
          <w:szCs w:val="13"/>
          <w:color w:val="auto"/>
        </w:rPr>
        <w:t>Includes shares of Martin Marietta’s common stock available for issuance (other than those reported in column (a)) under Martin Marietta’s equity compensation plans as of December 31, 2018 in the following amounts: Directors’ Plan (143,483 shares), Stock-Based Award Plan (799,196 shares), and Achievement Plan (207,975 shares). Also excludes Texas Industries Inc. stock-based award plans (1,878,850 shares). The Directors’ Plan provides that nonemployee directors may elect to receive all or a portion of their fees in the form of common stock. Under the Achievement Plan, awards can be granted to key senior employees based on certain common stock performance over a long-term period. No awards have been granted under this plan since 2000.</w:t>
      </w:r>
    </w:p>
    <w:p>
      <w:pPr>
        <w:spacing w:after="0" w:line="66" w:lineRule="exact"/>
        <w:rPr>
          <w:sz w:val="20"/>
          <w:szCs w:val="20"/>
          <w:color w:val="auto"/>
        </w:rPr>
      </w:pPr>
    </w:p>
    <w:p>
      <w:pPr>
        <w:jc w:val="both"/>
        <w:ind w:left="540" w:hanging="330"/>
        <w:spacing w:after="0" w:line="251" w:lineRule="auto"/>
        <w:tabs>
          <w:tab w:leader="none" w:pos="540" w:val="left"/>
        </w:tabs>
        <w:numPr>
          <w:ilvl w:val="0"/>
          <w:numId w:val="157"/>
        </w:numPr>
        <w:rPr>
          <w:rFonts w:ascii="Arial" w:cs="Arial" w:eastAsia="Arial" w:hAnsi="Arial"/>
          <w:sz w:val="11"/>
          <w:szCs w:val="11"/>
          <w:color w:val="auto"/>
        </w:rPr>
      </w:pPr>
      <w:r>
        <w:rPr>
          <w:rFonts w:ascii="Arial" w:cs="Arial" w:eastAsia="Arial" w:hAnsi="Arial"/>
          <w:sz w:val="13"/>
          <w:szCs w:val="13"/>
          <w:color w:val="auto"/>
        </w:rPr>
        <w:t>There are 1,878,850 shares of Martin Marietta’s common stock available for issuance to legacy TXI employees. These shares will be used to settle currently outstanding awards but no further awards will be granted for these shares, as indicated by management in connection with the approval by shareholders of the Stock-Based Award Plan on May 19, 2017.</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On July 1, 2014, in conjunction with the merger of TXI into a wholly-owned subsidiary of Martin Marietta, the Company assumed the TXI 2004 Omnibus Equity Compensation Plan (TXI Legacy Plan) and TXI’s Management Deferred Compensation Plan (the TXI DC Plan) and shares available for future issuance under the TXI Legacy Plan and the TXI DC Plan following the merger.</w:t>
      </w:r>
    </w:p>
    <w:p>
      <w:pPr>
        <w:spacing w:after="0" w:line="144"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7CBA"/>
        </w:rPr>
        <w:t>Description of the TXI Legacy Plan</w:t>
      </w:r>
    </w:p>
    <w:p>
      <w:pPr>
        <w:spacing w:after="0" w:line="258"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The TXI Legacy Plan became effective as of July 11, 2012 and will terminate on July 11, 2022 unless sooner terminated. All legacy employees of TXI and its affiliates and subsidiaries are eligible to receive awards. However, no further awards will be granted under the TXI Legacy Plan, as indicated by management</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 connection with the approval by shareholders of the Amended and Restated Stock-Based Award Plan on May 19, 2017.</w:t>
      </w:r>
    </w:p>
    <w:p>
      <w:pPr>
        <w:spacing w:after="0" w:line="1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Martin Marietta is dissolved or liquidated, or if substantially all of its assets are sold or there is a merger or consolidation and the acquiring or surviving entity does not substitute equivalent awards for the awards then outstanding, each award granted under the TXI Legacy Plan will become fully vested and exercisable and all restrictions on it will lapse. All options and stock appreciation rights not exercised upon the occurrence of such a corporate event will terminate, and the Company may, in its discretion cancel all other awards then outstanding and pay the award holder its then current value as determined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497205</wp:posOffset>
            </wp:positionV>
            <wp:extent cx="410845" cy="2482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711"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106" w:lineRule="exact"/>
        <w:rPr>
          <w:sz w:val="20"/>
          <w:szCs w:val="20"/>
          <w:color w:val="auto"/>
        </w:rPr>
      </w:pPr>
    </w:p>
    <w:p>
      <w:pPr>
        <w:ind w:left="640" w:hanging="430"/>
        <w:spacing w:after="0"/>
        <w:tabs>
          <w:tab w:leader="none" w:pos="640" w:val="left"/>
        </w:tabs>
        <w:numPr>
          <w:ilvl w:val="0"/>
          <w:numId w:val="158"/>
        </w:numPr>
        <w:rPr>
          <w:rFonts w:ascii="Arial" w:cs="Arial" w:eastAsia="Arial" w:hAnsi="Arial"/>
          <w:sz w:val="12"/>
          <w:szCs w:val="12"/>
          <w:b w:val="1"/>
          <w:bCs w:val="1"/>
          <w:color w:val="auto"/>
        </w:rPr>
      </w:pPr>
      <w:r>
        <w:rPr>
          <w:rFonts w:ascii="Arial" w:cs="Arial" w:eastAsia="Arial" w:hAnsi="Arial"/>
          <w:sz w:val="12"/>
          <w:szCs w:val="12"/>
          <w:color w:val="007CBA"/>
        </w:rPr>
        <w:t>2019 PROXY STATEMENT</w:t>
      </w:r>
    </w:p>
    <w:p>
      <w:pPr>
        <w:sectPr>
          <w:pgSz w:w="11900" w:h="16838" w:orient="portrait"/>
          <w:cols w:equalWidth="0" w:num="1">
            <w:col w:w="11220"/>
          </w:cols>
          <w:pgMar w:left="240" w:top="459" w:right="43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9" w:lineRule="exact"/>
        <w:rPr>
          <w:sz w:val="20"/>
          <w:szCs w:val="20"/>
          <w:color w:val="auto"/>
        </w:rPr>
      </w:pPr>
    </w:p>
    <w:p>
      <w:pPr>
        <w:jc w:val="right"/>
        <w:spacing w:after="0" w:line="288" w:lineRule="exact"/>
        <w:rPr>
          <w:sz w:val="20"/>
          <w:szCs w:val="20"/>
          <w:color w:val="auto"/>
        </w:rPr>
      </w:pPr>
      <w:r>
        <w:rPr>
          <w:rFonts w:ascii="Arial" w:cs="Arial" w:eastAsia="Arial" w:hAnsi="Arial"/>
          <w:sz w:val="13"/>
          <w:szCs w:val="13"/>
          <w:color w:val="auto"/>
        </w:rPr>
        <w:t xml:space="preserve">Description of the Deferred Compensation Plan </w:t>
      </w:r>
      <w:r>
        <w:rPr>
          <w:rFonts w:ascii="MS PGothic" w:cs="MS PGothic" w:eastAsia="MS PGothic" w:hAnsi="MS PGothic"/>
          <w:sz w:val="25"/>
          <w:szCs w:val="25"/>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Securities Authorized for Issuance Under Equity Compensation Plans</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ind w:left="220" w:right="220"/>
        <w:spacing w:after="0" w:line="288" w:lineRule="auto"/>
        <w:rPr>
          <w:sz w:val="20"/>
          <w:szCs w:val="20"/>
          <w:color w:val="auto"/>
        </w:rPr>
      </w:pPr>
      <w:r>
        <w:rPr>
          <w:rFonts w:ascii="Arial" w:cs="Arial" w:eastAsia="Arial" w:hAnsi="Arial"/>
          <w:sz w:val="25"/>
          <w:szCs w:val="25"/>
          <w:b w:val="1"/>
          <w:bCs w:val="1"/>
          <w:color w:val="007CBA"/>
        </w:rPr>
        <w:t>Description of the Deferred Compensation Plan</w:t>
      </w:r>
    </w:p>
    <w:p>
      <w:pPr>
        <w:spacing w:after="0" w:line="44"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The TXI DC Plan became effective as of July 11, 2012 and will terminate on July 11, 2022 unless sooner terminated. Key management legacy employees of TXI, its subsidiaries and its affiliates are eligible to participate in the TXI DC Plan. Under the terms of the TXI DC Plan, participants may elect each year to defer all or a portion of their eligible compensation received during that year. However, no further awards will be granted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under the TXI DC Plan, as indicated by management in connection with the approval by shareholders of the Stock-Based Award Plan on May 19, 2017.</w:t>
      </w:r>
    </w:p>
    <w:p>
      <w:pPr>
        <w:spacing w:after="0" w:line="36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Martin Marietta is dissolved or liquidated, or if substantially all of its assets are sold (or there is a merger or consolidation) and the acquiring or surviving entity does not substitute equivalent awards for the awards then outstanding, each award granted under the TXI DC Plan will become fully vested and all restrictions on it will lapse.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386080</wp:posOffset>
            </wp:positionV>
            <wp:extent cx="410845" cy="2482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522"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105" w:lineRule="exact"/>
        <w:rPr>
          <w:sz w:val="20"/>
          <w:szCs w:val="20"/>
          <w:color w:val="auto"/>
        </w:rPr>
      </w:pPr>
    </w:p>
    <w:tbl>
      <w:tblPr>
        <w:tblLayout w:type="fixed"/>
        <w:tblInd w:w="926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2019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67</w:t>
            </w:r>
          </w:p>
        </w:tc>
      </w:tr>
    </w:tbl>
    <w:p>
      <w:pPr>
        <w:sectPr>
          <w:pgSz w:w="11900" w:h="16838" w:orient="portrait"/>
          <w:cols w:equalWidth="0" w:num="1">
            <w:col w:w="11220"/>
          </w:cols>
          <w:pgMar w:left="240" w:top="459" w:right="43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right"/>
        <w:ind w:right="1780"/>
        <w:spacing w:after="0"/>
        <w:rPr>
          <w:sz w:val="20"/>
          <w:szCs w:val="20"/>
          <w:color w:val="auto"/>
        </w:rPr>
      </w:pPr>
      <w:r>
        <w:rPr>
          <w:rFonts w:ascii="Arial" w:cs="Arial" w:eastAsia="Arial" w:hAnsi="Arial"/>
          <w:sz w:val="43"/>
          <w:szCs w:val="43"/>
          <w:color w:val="auto"/>
        </w:rPr>
        <w:t>Annual Meeting and Voting Information</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7CBA"/>
        </w:rPr>
        <w:t>What is the purpose of the annual meeting?</w:t>
      </w:r>
    </w:p>
    <w:p>
      <w:pPr>
        <w:spacing w:after="0" w:line="25"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At our annual meeting, shareholders will act on the matters outlined in the accompanying Notice of Annual Meeting of Shareholders. This statement is furnished in connection with the solicitation by Martin Marietta’s Board of Directors of proxies to be used at the meeting and at any and all adjournments or postponements of the meeting.</w:t>
      </w:r>
    </w:p>
    <w:p>
      <w:pPr>
        <w:spacing w:after="0" w:line="179" w:lineRule="exact"/>
        <w:rPr>
          <w:sz w:val="20"/>
          <w:szCs w:val="20"/>
          <w:color w:val="auto"/>
        </w:rPr>
      </w:pPr>
    </w:p>
    <w:p>
      <w:pPr>
        <w:jc w:val="both"/>
        <w:ind w:left="220" w:right="20"/>
        <w:spacing w:after="0" w:line="260" w:lineRule="auto"/>
        <w:rPr>
          <w:sz w:val="20"/>
          <w:szCs w:val="20"/>
          <w:color w:val="auto"/>
        </w:rPr>
      </w:pPr>
      <w:r>
        <w:rPr>
          <w:rFonts w:ascii="Arial" w:cs="Arial" w:eastAsia="Arial" w:hAnsi="Arial"/>
          <w:sz w:val="16"/>
          <w:szCs w:val="16"/>
          <w:color w:val="auto"/>
        </w:rPr>
        <w:t>Whether or not you plan to attend the meeting, we encourage you to date, sign, and return your proxy in the enclosed envelope.</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7CBA"/>
        </w:rPr>
        <w:t>Who is entitled to vote at the meeting?</w:t>
      </w:r>
    </w:p>
    <w:p>
      <w:pPr>
        <w:spacing w:after="0" w:line="25"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Only shareholders of record at the close of business on March 8, 2019 are entitled to notice of and to participate in the Annual Meeting. If you were a shareholder of record on that date, you will be entitled to vote all the shares that you held on that date at the meeting, or any adjournments or postponements of the meeting.</w:t>
      </w:r>
    </w:p>
    <w:p>
      <w:pPr>
        <w:spacing w:after="0" w:line="145" w:lineRule="exact"/>
        <w:rPr>
          <w:sz w:val="20"/>
          <w:szCs w:val="20"/>
          <w:color w:val="auto"/>
        </w:rPr>
      </w:pPr>
    </w:p>
    <w:p>
      <w:pPr>
        <w:ind w:left="220" w:right="60"/>
        <w:spacing w:after="0" w:line="259" w:lineRule="auto"/>
        <w:rPr>
          <w:sz w:val="20"/>
          <w:szCs w:val="20"/>
          <w:color w:val="auto"/>
        </w:rPr>
      </w:pPr>
      <w:r>
        <w:rPr>
          <w:rFonts w:ascii="Arial" w:cs="Arial" w:eastAsia="Arial" w:hAnsi="Arial"/>
          <w:sz w:val="16"/>
          <w:szCs w:val="16"/>
          <w:b w:val="1"/>
          <w:bCs w:val="1"/>
          <w:i w:val="1"/>
          <w:iCs w:val="1"/>
          <w:color w:val="007CBA"/>
        </w:rPr>
        <w:t>What are the voting rights of the holders of Martin Marietta common stock?</w:t>
      </w:r>
    </w:p>
    <w:p>
      <w:pPr>
        <w:spacing w:after="0" w:line="1" w:lineRule="exact"/>
        <w:rPr>
          <w:sz w:val="20"/>
          <w:szCs w:val="20"/>
          <w:color w:val="auto"/>
        </w:rPr>
      </w:pPr>
    </w:p>
    <w:p>
      <w:pPr>
        <w:jc w:val="both"/>
        <w:ind w:left="220"/>
        <w:spacing w:after="0" w:line="260" w:lineRule="auto"/>
        <w:rPr>
          <w:sz w:val="20"/>
          <w:szCs w:val="20"/>
          <w:color w:val="auto"/>
        </w:rPr>
      </w:pPr>
      <w:r>
        <w:rPr>
          <w:rFonts w:ascii="Arial" w:cs="Arial" w:eastAsia="Arial" w:hAnsi="Arial"/>
          <w:sz w:val="16"/>
          <w:szCs w:val="16"/>
          <w:color w:val="auto"/>
        </w:rPr>
        <w:t>Each share of Martin Marietta common stock is entitled to one vote on each matter considered at the meeting.</w:t>
      </w:r>
    </w:p>
    <w:p>
      <w:pPr>
        <w:spacing w:after="0" w:line="148"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7CBA"/>
        </w:rPr>
        <w:t>Who can attend the meeting?</w:t>
      </w:r>
    </w:p>
    <w:p>
      <w:pPr>
        <w:spacing w:after="0" w:line="25" w:lineRule="exact"/>
        <w:rPr>
          <w:sz w:val="20"/>
          <w:szCs w:val="20"/>
          <w:color w:val="auto"/>
        </w:rPr>
      </w:pPr>
    </w:p>
    <w:p>
      <w:pPr>
        <w:jc w:val="both"/>
        <w:ind w:left="220"/>
        <w:spacing w:after="0" w:line="252" w:lineRule="auto"/>
        <w:rPr>
          <w:sz w:val="20"/>
          <w:szCs w:val="20"/>
          <w:color w:val="auto"/>
        </w:rPr>
      </w:pPr>
      <w:r>
        <w:rPr>
          <w:rFonts w:ascii="Arial" w:cs="Arial" w:eastAsia="Arial" w:hAnsi="Arial"/>
          <w:sz w:val="16"/>
          <w:szCs w:val="16"/>
          <w:color w:val="auto"/>
        </w:rPr>
        <w:t>All shareholders as of the record date, or their duly appointed proxies, beneficial owners presenting satisfactory evidence of ownership as of the record date, and invited guests of Martin Marietta may attend the meeting.</w:t>
      </w:r>
    </w:p>
    <w:p>
      <w:pPr>
        <w:spacing w:after="0" w:line="331"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7CBA"/>
        </w:rPr>
        <w:t>What constitutes a quorum?</w:t>
      </w:r>
    </w:p>
    <w:p>
      <w:pPr>
        <w:spacing w:after="0" w:line="25"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The presence at the meeting, in person or by proxy, of the holders of a majority of the common stock outstanding on the record date constitutes a quorum, permitting shareholders to take action at the meeting. On March 8, 2019, there were 62,479,480 shares outstanding of Martin Marietta’s common stock, $.01 par value per share.</w:t>
      </w:r>
    </w:p>
    <w:p>
      <w:pPr>
        <w:spacing w:after="0" w:line="145"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7CBA"/>
        </w:rPr>
        <w:t>Who will oversee the voting results?</w:t>
      </w:r>
    </w:p>
    <w:p>
      <w:pPr>
        <w:spacing w:after="0" w:line="25"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Votes cast by proxy or in person at the Annual Meeting will be tabulated by an independent inspector of election appointed by Martin Marietta’s Board of Directors for the Annual Meeting from American Stock Transfer &amp; Trust Company, Martin Marietta’s transfer agent. The inspector of election will determine whether a quorum is present. For purposes of determining the presence of a quorum, abstentions and broker non-votes (which are described below) will be counted as shares that are present and entitled to vote.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How do I vote?</w:t>
      </w:r>
    </w:p>
    <w:p>
      <w:pPr>
        <w:spacing w:after="0" w:line="2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i w:val="1"/>
          <w:iCs w:val="1"/>
          <w:color w:val="auto"/>
        </w:rPr>
        <w:t xml:space="preserve">Registered shareholders: </w:t>
      </w:r>
      <w:r>
        <w:rPr>
          <w:rFonts w:ascii="Arial" w:cs="Arial" w:eastAsia="Arial" w:hAnsi="Arial"/>
          <w:sz w:val="16"/>
          <w:szCs w:val="16"/>
          <w:color w:val="auto"/>
        </w:rPr>
        <w:t>Registered shareholders have four voting</w:t>
      </w:r>
      <w:r>
        <w:rPr>
          <w:rFonts w:ascii="Arial" w:cs="Arial" w:eastAsia="Arial" w:hAnsi="Arial"/>
          <w:sz w:val="16"/>
          <w:szCs w:val="16"/>
          <w:i w:val="1"/>
          <w:iCs w:val="1"/>
          <w:color w:val="auto"/>
        </w:rPr>
        <w:t xml:space="preserve"> </w:t>
      </w:r>
      <w:r>
        <w:rPr>
          <w:rFonts w:ascii="Arial" w:cs="Arial" w:eastAsia="Arial" w:hAnsi="Arial"/>
          <w:sz w:val="16"/>
          <w:szCs w:val="16"/>
          <w:color w:val="auto"/>
        </w:rPr>
        <w:t>options:</w:t>
      </w:r>
    </w:p>
    <w:p>
      <w:pPr>
        <w:spacing w:after="0" w:line="267" w:lineRule="exact"/>
        <w:rPr>
          <w:sz w:val="20"/>
          <w:szCs w:val="20"/>
          <w:color w:val="auto"/>
        </w:rPr>
      </w:pPr>
    </w:p>
    <w:p>
      <w:pPr>
        <w:ind w:left="360" w:right="20" w:hanging="275"/>
        <w:spacing w:after="0" w:line="260" w:lineRule="auto"/>
        <w:tabs>
          <w:tab w:leader="none" w:pos="360" w:val="left"/>
        </w:tabs>
        <w:numPr>
          <w:ilvl w:val="0"/>
          <w:numId w:val="159"/>
        </w:numPr>
        <w:rPr>
          <w:rFonts w:ascii="Arial" w:cs="Arial" w:eastAsia="Arial" w:hAnsi="Arial"/>
          <w:sz w:val="16"/>
          <w:szCs w:val="16"/>
          <w:color w:val="007CBA"/>
        </w:rPr>
      </w:pPr>
      <w:r>
        <w:rPr>
          <w:rFonts w:ascii="Arial" w:cs="Arial" w:eastAsia="Arial" w:hAnsi="Arial"/>
          <w:sz w:val="16"/>
          <w:szCs w:val="16"/>
          <w:color w:val="auto"/>
        </w:rPr>
        <w:t>over the Internet at the internet address shown on the enclosed proxy card;</w:t>
      </w:r>
    </w:p>
    <w:p>
      <w:pPr>
        <w:spacing w:after="0" w:line="60" w:lineRule="exact"/>
        <w:rPr>
          <w:rFonts w:ascii="Arial" w:cs="Arial" w:eastAsia="Arial" w:hAnsi="Arial"/>
          <w:sz w:val="16"/>
          <w:szCs w:val="16"/>
          <w:color w:val="007CBA"/>
        </w:rPr>
      </w:pPr>
    </w:p>
    <w:p>
      <w:pPr>
        <w:ind w:left="360" w:hanging="275"/>
        <w:spacing w:after="0"/>
        <w:tabs>
          <w:tab w:leader="none" w:pos="360" w:val="left"/>
        </w:tabs>
        <w:numPr>
          <w:ilvl w:val="0"/>
          <w:numId w:val="159"/>
        </w:numPr>
        <w:rPr>
          <w:rFonts w:ascii="Arial" w:cs="Arial" w:eastAsia="Arial" w:hAnsi="Arial"/>
          <w:sz w:val="16"/>
          <w:szCs w:val="16"/>
          <w:color w:val="007CBA"/>
        </w:rPr>
      </w:pPr>
      <w:r>
        <w:rPr>
          <w:rFonts w:ascii="Arial" w:cs="Arial" w:eastAsia="Arial" w:hAnsi="Arial"/>
          <w:sz w:val="16"/>
          <w:szCs w:val="16"/>
          <w:color w:val="auto"/>
        </w:rPr>
        <w:t>by telephone through the number shown on the enclosed proxy card;</w:t>
      </w:r>
    </w:p>
    <w:p>
      <w:pPr>
        <w:spacing w:after="0" w:line="85" w:lineRule="exact"/>
        <w:rPr>
          <w:rFonts w:ascii="Arial" w:cs="Arial" w:eastAsia="Arial" w:hAnsi="Arial"/>
          <w:sz w:val="16"/>
          <w:szCs w:val="16"/>
          <w:color w:val="007CBA"/>
        </w:rPr>
      </w:pPr>
    </w:p>
    <w:p>
      <w:pPr>
        <w:ind w:left="360" w:right="20" w:hanging="275"/>
        <w:spacing w:after="0" w:line="260" w:lineRule="auto"/>
        <w:tabs>
          <w:tab w:leader="none" w:pos="360" w:val="left"/>
        </w:tabs>
        <w:numPr>
          <w:ilvl w:val="0"/>
          <w:numId w:val="159"/>
        </w:numPr>
        <w:rPr>
          <w:rFonts w:ascii="Arial" w:cs="Arial" w:eastAsia="Arial" w:hAnsi="Arial"/>
          <w:sz w:val="16"/>
          <w:szCs w:val="16"/>
          <w:color w:val="007CBA"/>
        </w:rPr>
      </w:pPr>
      <w:r>
        <w:rPr>
          <w:rFonts w:ascii="Arial" w:cs="Arial" w:eastAsia="Arial" w:hAnsi="Arial"/>
          <w:sz w:val="16"/>
          <w:szCs w:val="16"/>
          <w:color w:val="auto"/>
        </w:rPr>
        <w:t>by completing, signing, dating and returning the enclosed proxy card by mail; or</w:t>
      </w:r>
    </w:p>
    <w:p>
      <w:pPr>
        <w:spacing w:after="0" w:line="60" w:lineRule="exact"/>
        <w:rPr>
          <w:rFonts w:ascii="Arial" w:cs="Arial" w:eastAsia="Arial" w:hAnsi="Arial"/>
          <w:sz w:val="16"/>
          <w:szCs w:val="16"/>
          <w:color w:val="007CBA"/>
        </w:rPr>
      </w:pPr>
    </w:p>
    <w:p>
      <w:pPr>
        <w:ind w:left="360" w:hanging="275"/>
        <w:spacing w:after="0"/>
        <w:tabs>
          <w:tab w:leader="none" w:pos="360" w:val="left"/>
        </w:tabs>
        <w:numPr>
          <w:ilvl w:val="0"/>
          <w:numId w:val="159"/>
        </w:numPr>
        <w:rPr>
          <w:rFonts w:ascii="Arial" w:cs="Arial" w:eastAsia="Arial" w:hAnsi="Arial"/>
          <w:sz w:val="16"/>
          <w:szCs w:val="16"/>
          <w:color w:val="007CBA"/>
        </w:rPr>
      </w:pPr>
      <w:r>
        <w:rPr>
          <w:rFonts w:ascii="Arial" w:cs="Arial" w:eastAsia="Arial" w:hAnsi="Arial"/>
          <w:sz w:val="16"/>
          <w:szCs w:val="16"/>
          <w:color w:val="auto"/>
        </w:rPr>
        <w:t>in person at the meeting.</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Even if you plan to attend the meeting, we encourage you to vote your shares by submitting your proxy. If you choose to vote your shares at the meeting, please bring proof of stock ownership and proof of your identity for entrance to the meeting.</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i w:val="1"/>
          <w:iCs w:val="1"/>
          <w:color w:val="auto"/>
        </w:rPr>
        <w:t xml:space="preserve">Beneficial shareholders: </w:t>
      </w:r>
      <w:r>
        <w:rPr>
          <w:rFonts w:ascii="Arial" w:cs="Arial" w:eastAsia="Arial" w:hAnsi="Arial"/>
          <w:sz w:val="16"/>
          <w:szCs w:val="16"/>
          <w:color w:val="auto"/>
        </w:rPr>
        <w:t>If you hold your Martin Marietta shares in street</w:t>
      </w:r>
      <w:r>
        <w:rPr>
          <w:rFonts w:ascii="Arial" w:cs="Arial" w:eastAsia="Arial" w:hAnsi="Arial"/>
          <w:sz w:val="16"/>
          <w:szCs w:val="16"/>
          <w:i w:val="1"/>
          <w:iCs w:val="1"/>
          <w:color w:val="auto"/>
        </w:rPr>
        <w:t xml:space="preserve"> </w:t>
      </w:r>
      <w:r>
        <w:rPr>
          <w:rFonts w:ascii="Arial" w:cs="Arial" w:eastAsia="Arial" w:hAnsi="Arial"/>
          <w:sz w:val="16"/>
          <w:szCs w:val="16"/>
          <w:color w:val="auto"/>
        </w:rPr>
        <w:t>name, your ability to vote by Internet or telephone depends on the voting process of the bank, broker or other nominee through which you hold the shares. Please follow their directions carefully. If you want to vote at the meeting, you must request a legal proxy from your bank, broker or other nominee and present that proxy, together with proof of your identity, for entrance to the meeting.</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you complete and properly sign the accompanying proxy card and return it to Martin Marietta, it will be voted as you direct. If you are a registered shareholder and attend the meeting, you may deliver your completed proxy card or vote in person. Shareholders whose shares are held by brokers, banks, or other nominees who wish to vote at the meeting will need to obtain a proxy form from the institution that holds its shares.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What can I do if I change my mind after I vote my shares?</w:t>
      </w:r>
    </w:p>
    <w:p>
      <w:pPr>
        <w:spacing w:after="0" w:line="2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Even if you have submitted your vote, you may revoke your proxy and change your vote at any time before voting begins at the annual meeting.</w:t>
      </w:r>
    </w:p>
    <w:p>
      <w:pPr>
        <w:spacing w:after="0" w:line="138" w:lineRule="exact"/>
        <w:rPr>
          <w:sz w:val="20"/>
          <w:szCs w:val="20"/>
          <w:color w:val="auto"/>
        </w:rPr>
      </w:pPr>
    </w:p>
    <w:p>
      <w:pPr>
        <w:jc w:val="both"/>
        <w:spacing w:after="0" w:line="280" w:lineRule="auto"/>
        <w:rPr>
          <w:sz w:val="20"/>
          <w:szCs w:val="20"/>
          <w:color w:val="auto"/>
        </w:rPr>
      </w:pPr>
      <w:r>
        <w:rPr>
          <w:rFonts w:ascii="Arial" w:cs="Arial" w:eastAsia="Arial" w:hAnsi="Arial"/>
          <w:sz w:val="16"/>
          <w:szCs w:val="16"/>
          <w:i w:val="1"/>
          <w:iCs w:val="1"/>
          <w:color w:val="auto"/>
        </w:rPr>
        <w:t xml:space="preserve">Registered shareholders: </w:t>
      </w:r>
      <w:r>
        <w:rPr>
          <w:rFonts w:ascii="Arial" w:cs="Arial" w:eastAsia="Arial" w:hAnsi="Arial"/>
          <w:sz w:val="16"/>
          <w:szCs w:val="16"/>
          <w:color w:val="auto"/>
        </w:rPr>
        <w:t>Registered shareholders may change their votes</w:t>
      </w:r>
      <w:r>
        <w:rPr>
          <w:rFonts w:ascii="Arial" w:cs="Arial" w:eastAsia="Arial" w:hAnsi="Arial"/>
          <w:sz w:val="16"/>
          <w:szCs w:val="16"/>
          <w:i w:val="1"/>
          <w:iCs w:val="1"/>
          <w:color w:val="auto"/>
        </w:rPr>
        <w:t xml:space="preserve"> </w:t>
      </w:r>
      <w:r>
        <w:rPr>
          <w:rFonts w:ascii="Arial" w:cs="Arial" w:eastAsia="Arial" w:hAnsi="Arial"/>
          <w:sz w:val="16"/>
          <w:szCs w:val="16"/>
          <w:color w:val="auto"/>
        </w:rPr>
        <w:t>in one of two ways:</w:t>
      </w:r>
    </w:p>
    <w:p>
      <w:pPr>
        <w:spacing w:after="0" w:line="45" w:lineRule="exact"/>
        <w:rPr>
          <w:sz w:val="20"/>
          <w:szCs w:val="20"/>
          <w:color w:val="auto"/>
        </w:rPr>
      </w:pPr>
    </w:p>
    <w:p>
      <w:pPr>
        <w:ind w:left="360" w:right="20" w:hanging="275"/>
        <w:spacing w:after="0" w:line="260" w:lineRule="auto"/>
        <w:tabs>
          <w:tab w:leader="none" w:pos="360" w:val="left"/>
        </w:tabs>
        <w:numPr>
          <w:ilvl w:val="0"/>
          <w:numId w:val="160"/>
        </w:numPr>
        <w:rPr>
          <w:rFonts w:ascii="Arial" w:cs="Arial" w:eastAsia="Arial" w:hAnsi="Arial"/>
          <w:sz w:val="16"/>
          <w:szCs w:val="16"/>
          <w:color w:val="007CBA"/>
        </w:rPr>
      </w:pPr>
      <w:r>
        <w:rPr>
          <w:rFonts w:ascii="Arial" w:cs="Arial" w:eastAsia="Arial" w:hAnsi="Arial"/>
          <w:sz w:val="16"/>
          <w:szCs w:val="16"/>
          <w:color w:val="auto"/>
        </w:rPr>
        <w:t>by voting on a later date by telephone or over the Internet (only your last dated proxy card or telephone or Internet vote is counted); or</w:t>
      </w:r>
    </w:p>
    <w:p>
      <w:pPr>
        <w:spacing w:after="0" w:line="60" w:lineRule="exact"/>
        <w:rPr>
          <w:rFonts w:ascii="Arial" w:cs="Arial" w:eastAsia="Arial" w:hAnsi="Arial"/>
          <w:sz w:val="16"/>
          <w:szCs w:val="16"/>
          <w:color w:val="007CBA"/>
        </w:rPr>
      </w:pPr>
    </w:p>
    <w:p>
      <w:pPr>
        <w:jc w:val="both"/>
        <w:ind w:left="360" w:right="20" w:hanging="275"/>
        <w:spacing w:after="0" w:line="250" w:lineRule="auto"/>
        <w:tabs>
          <w:tab w:leader="none" w:pos="360" w:val="left"/>
        </w:tabs>
        <w:numPr>
          <w:ilvl w:val="0"/>
          <w:numId w:val="160"/>
        </w:numPr>
        <w:rPr>
          <w:rFonts w:ascii="Arial" w:cs="Arial" w:eastAsia="Arial" w:hAnsi="Arial"/>
          <w:sz w:val="16"/>
          <w:szCs w:val="16"/>
          <w:color w:val="007CBA"/>
        </w:rPr>
      </w:pPr>
      <w:r>
        <w:rPr>
          <w:rFonts w:ascii="Arial" w:cs="Arial" w:eastAsia="Arial" w:hAnsi="Arial"/>
          <w:sz w:val="16"/>
          <w:szCs w:val="16"/>
          <w:color w:val="auto"/>
        </w:rPr>
        <w:t>by delivering a later dated proxy card to our Secretary, either prior to or at the meeting; or by voting your shares in person at the meeting. In order to vote your shares at the meeting, you must specifically revoke a previously submitted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180340</wp:posOffset>
            </wp:positionV>
            <wp:extent cx="410845" cy="2482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118" w:lineRule="exact"/>
        <w:rPr>
          <w:sz w:val="20"/>
          <w:szCs w:val="20"/>
          <w:color w:val="auto"/>
        </w:rPr>
      </w:pPr>
    </w:p>
    <w:p>
      <w:pPr>
        <w:ind w:left="640" w:hanging="430"/>
        <w:spacing w:after="0"/>
        <w:tabs>
          <w:tab w:leader="none" w:pos="640" w:val="left"/>
        </w:tabs>
        <w:numPr>
          <w:ilvl w:val="0"/>
          <w:numId w:val="161"/>
        </w:numPr>
        <w:rPr>
          <w:rFonts w:ascii="Arial" w:cs="Arial" w:eastAsia="Arial" w:hAnsi="Arial"/>
          <w:sz w:val="12"/>
          <w:szCs w:val="12"/>
          <w:b w:val="1"/>
          <w:bCs w:val="1"/>
          <w:color w:val="auto"/>
        </w:rPr>
      </w:pPr>
      <w:r>
        <w:rPr>
          <w:rFonts w:ascii="Arial" w:cs="Arial" w:eastAsia="Arial" w:hAnsi="Arial"/>
          <w:sz w:val="12"/>
          <w:szCs w:val="12"/>
          <w:color w:val="007CBA"/>
        </w:rPr>
        <w:t>2019 PROXY STATEMENT</w:t>
      </w:r>
    </w:p>
    <w:p>
      <w:pPr>
        <w:sectPr>
          <w:pgSz w:w="11900" w:h="16838" w:orient="portrait"/>
          <w:cols w:equalWidth="0" w:num="1">
            <w:col w:w="11220"/>
          </w:cols>
          <w:pgMar w:left="240" w:top="459" w:right="43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9" w:lineRule="exact"/>
        <w:rPr>
          <w:sz w:val="20"/>
          <w:szCs w:val="20"/>
          <w:color w:val="auto"/>
        </w:rPr>
      </w:pPr>
    </w:p>
    <w:p>
      <w:pPr>
        <w:jc w:val="right"/>
        <w:ind w:right="80"/>
        <w:spacing w:after="0" w:line="288" w:lineRule="exact"/>
        <w:rPr>
          <w:sz w:val="20"/>
          <w:szCs w:val="20"/>
          <w:color w:val="auto"/>
        </w:rPr>
      </w:pPr>
      <w:r>
        <w:rPr>
          <w:rFonts w:ascii="Arial" w:cs="Arial" w:eastAsia="Arial" w:hAnsi="Arial"/>
          <w:sz w:val="13"/>
          <w:szCs w:val="13"/>
          <w:color w:val="007CBA"/>
        </w:rPr>
        <w:t xml:space="preserve">Annual Meeting and Voting Information </w:t>
      </w:r>
      <w:r>
        <w:rPr>
          <w:rFonts w:ascii="MS PGothic" w:cs="MS PGothic" w:eastAsia="MS PGothic" w:hAnsi="MS PGothic"/>
          <w:sz w:val="25"/>
          <w:szCs w:val="25"/>
          <w:color w:val="007CBA"/>
        </w:rPr>
        <w:t>◆</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both"/>
        <w:ind w:left="220" w:right="20"/>
        <w:spacing w:after="0" w:line="263" w:lineRule="auto"/>
        <w:rPr>
          <w:sz w:val="20"/>
          <w:szCs w:val="20"/>
          <w:color w:val="auto"/>
        </w:rPr>
      </w:pPr>
      <w:r>
        <w:rPr>
          <w:rFonts w:ascii="Arial" w:cs="Arial" w:eastAsia="Arial" w:hAnsi="Arial"/>
          <w:sz w:val="16"/>
          <w:szCs w:val="16"/>
          <w:i w:val="1"/>
          <w:iCs w:val="1"/>
          <w:color w:val="auto"/>
        </w:rPr>
        <w:t xml:space="preserve">Beneficial shareholders: </w:t>
      </w:r>
      <w:r>
        <w:rPr>
          <w:rFonts w:ascii="Arial" w:cs="Arial" w:eastAsia="Arial" w:hAnsi="Arial"/>
          <w:sz w:val="16"/>
          <w:szCs w:val="16"/>
          <w:color w:val="auto"/>
        </w:rPr>
        <w:t>If you hold your shares in street name, you</w:t>
      </w:r>
      <w:r>
        <w:rPr>
          <w:rFonts w:ascii="Arial" w:cs="Arial" w:eastAsia="Arial" w:hAnsi="Arial"/>
          <w:sz w:val="16"/>
          <w:szCs w:val="16"/>
          <w:i w:val="1"/>
          <w:iCs w:val="1"/>
          <w:color w:val="auto"/>
        </w:rPr>
        <w:t xml:space="preserve"> </w:t>
      </w:r>
      <w:r>
        <w:rPr>
          <w:rFonts w:ascii="Arial" w:cs="Arial" w:eastAsia="Arial" w:hAnsi="Arial"/>
          <w:sz w:val="16"/>
          <w:szCs w:val="16"/>
          <w:color w:val="auto"/>
        </w:rPr>
        <w:t>should contact your bank, broker or other nominee to find out how to revoke your proxy.</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7CBA"/>
        </w:rPr>
        <w:t>How do I vote my 401(k) shares?</w:t>
      </w:r>
    </w:p>
    <w:p>
      <w:pPr>
        <w:spacing w:after="0" w:line="25"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Each participant in Martin Marietta’s Savings and Investment Plan may direct the trustee as to the manner in which shares of common stock allocated to the plan participant’s account are to be voted. If the plan participant does not return a signed voting instruction card to the trustee in a timely manner or returns a card without indicating any voting instructions, the trustee will vote the shares in the same proportion as shares for which the trustee receives voting instructions for that plan.</w:t>
      </w:r>
    </w:p>
    <w:p>
      <w:pPr>
        <w:spacing w:after="0" w:line="147" w:lineRule="exact"/>
        <w:rPr>
          <w:sz w:val="20"/>
          <w:szCs w:val="20"/>
          <w:color w:val="auto"/>
        </w:rPr>
      </w:pPr>
    </w:p>
    <w:p>
      <w:pPr>
        <w:ind w:left="220" w:right="740"/>
        <w:spacing w:after="0" w:line="259" w:lineRule="auto"/>
        <w:rPr>
          <w:sz w:val="20"/>
          <w:szCs w:val="20"/>
          <w:color w:val="auto"/>
        </w:rPr>
      </w:pPr>
      <w:r>
        <w:rPr>
          <w:rFonts w:ascii="Arial" w:cs="Arial" w:eastAsia="Arial" w:hAnsi="Arial"/>
          <w:sz w:val="16"/>
          <w:szCs w:val="16"/>
          <w:b w:val="1"/>
          <w:bCs w:val="1"/>
          <w:i w:val="1"/>
          <w:iCs w:val="1"/>
          <w:color w:val="007CBA"/>
        </w:rPr>
        <w:t>Will my broker vote my shares for me if I do not give voting instructions? What are “broker non-votes”?</w:t>
      </w:r>
    </w:p>
    <w:p>
      <w:pPr>
        <w:spacing w:after="0" w:line="1" w:lineRule="exact"/>
        <w:rPr>
          <w:sz w:val="20"/>
          <w:szCs w:val="20"/>
          <w:color w:val="auto"/>
        </w:rPr>
      </w:pPr>
    </w:p>
    <w:p>
      <w:pPr>
        <w:jc w:val="both"/>
        <w:ind w:left="220"/>
        <w:spacing w:after="0" w:line="247" w:lineRule="auto"/>
        <w:rPr>
          <w:sz w:val="20"/>
          <w:szCs w:val="20"/>
          <w:color w:val="auto"/>
        </w:rPr>
      </w:pPr>
      <w:r>
        <w:rPr>
          <w:rFonts w:ascii="Arial" w:cs="Arial" w:eastAsia="Arial" w:hAnsi="Arial"/>
          <w:sz w:val="16"/>
          <w:szCs w:val="16"/>
          <w:color w:val="auto"/>
        </w:rPr>
        <w:t>Brokers holding shares for beneficial owners must vote those shares according to the specific instructions they receive from the beneficial owners. If specific instructions are not received, brokers may generally vote these shares at their discretion. However, the NYSE rules preclude brokers from exercising their voting discretion on certain proposals, such as the election of Directors and executive compensation matters. In such cases, absent specific instructions from the beneficial owner, the broker may not vote on those proposals. This results in what is known as a “broker non-vote.” The approval of the ratification of the appointment of independent auditors is not a proposal subject to this rule. Accordingly, if you want your broker to vote your shares on the election of Directors or, the approval on an advisory basis of the compensation of our named executive officers, you must provide specific voting instructions to your broker. Conversely, any broker holding shares for you may vote your shares at their discretion with respect to the ratification of the appointment of independent auditors unless you give them specific instructions on how you wish for them to vote.</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7CBA"/>
        </w:rPr>
        <w:t>What vote is required to approve each item?</w:t>
      </w:r>
    </w:p>
    <w:p>
      <w:pPr>
        <w:spacing w:after="0" w:line="25" w:lineRule="exact"/>
        <w:rPr>
          <w:sz w:val="20"/>
          <w:szCs w:val="20"/>
          <w:color w:val="auto"/>
        </w:rPr>
      </w:pPr>
    </w:p>
    <w:p>
      <w:pPr>
        <w:jc w:val="both"/>
        <w:ind w:left="220"/>
        <w:spacing w:after="0" w:line="247" w:lineRule="auto"/>
        <w:rPr>
          <w:sz w:val="20"/>
          <w:szCs w:val="20"/>
          <w:color w:val="auto"/>
        </w:rPr>
      </w:pPr>
      <w:r>
        <w:rPr>
          <w:rFonts w:ascii="Arial" w:cs="Arial" w:eastAsia="Arial" w:hAnsi="Arial"/>
          <w:sz w:val="16"/>
          <w:szCs w:val="16"/>
          <w:color w:val="auto"/>
        </w:rPr>
        <w:t>Martin Marietta amended its Articles of Incorporation following the 2013 Annual Meeting of Shareholders to provide for majority voting in the election of Directors. As a result, in an uncontested Director election (</w:t>
      </w:r>
      <w:r>
        <w:rPr>
          <w:rFonts w:ascii="Arial" w:cs="Arial" w:eastAsia="Arial" w:hAnsi="Arial"/>
          <w:sz w:val="16"/>
          <w:szCs w:val="16"/>
          <w:i w:val="1"/>
          <w:iCs w:val="1"/>
          <w:color w:val="auto"/>
        </w:rPr>
        <w:t>i.e.</w:t>
      </w:r>
      <w:r>
        <w:rPr>
          <w:rFonts w:ascii="Arial" w:cs="Arial" w:eastAsia="Arial" w:hAnsi="Arial"/>
          <w:sz w:val="16"/>
          <w:szCs w:val="16"/>
          <w:color w:val="auto"/>
        </w:rPr>
        <w:t>, an election where the only nominees are those proposed by our Board of Directors, such as at the 2019 Annual Meeting), Directors are elected by a majority of the votes cast by holders of our common stock present in person or by proxy at the meeting. For purposes of uncontested Director elections, a majority of votes cast means that the number of votes cast “for” a nominee’s election exceeds the number of votes cast “against” that nominee’s election. Abstentions and broker non-votes will not be counted as votes cast in the election of Directors and will have no effect on the outcome of the election of Directors.</w:t>
      </w:r>
    </w:p>
    <w:p>
      <w:pPr>
        <w:spacing w:after="0" w:line="183" w:lineRule="exact"/>
        <w:rPr>
          <w:sz w:val="20"/>
          <w:szCs w:val="20"/>
          <w:color w:val="auto"/>
        </w:rPr>
      </w:pPr>
    </w:p>
    <w:p>
      <w:pPr>
        <w:jc w:val="both"/>
        <w:ind w:left="220"/>
        <w:spacing w:after="0" w:line="253" w:lineRule="auto"/>
        <w:rPr>
          <w:sz w:val="20"/>
          <w:szCs w:val="20"/>
          <w:color w:val="auto"/>
        </w:rPr>
      </w:pPr>
      <w:r>
        <w:rPr>
          <w:rFonts w:ascii="Arial" w:cs="Arial" w:eastAsia="Arial" w:hAnsi="Arial"/>
          <w:sz w:val="16"/>
          <w:szCs w:val="16"/>
          <w:color w:val="auto"/>
        </w:rPr>
        <w:t>Under North Carolina law, if an incumbent director is not re-elected at an Annual Meeting of Shareholders, then, even though his or her term has expired, the incumbent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continues to serve in office as a holdover director until his or her successor is elected or until there is a decrease in the number of directors.</w:t>
      </w:r>
    </w:p>
    <w:p>
      <w:pPr>
        <w:spacing w:after="0" w:line="1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North Carolina law further provides that if the shareholders fail to elect the full authorized number of directors, a board of directors may fill the vacancy by electing a successor. Accordingly, Martin Marietta’s Articles of Incorporation provide that if a nominee is not elected by a vote of the majority of the votes cast with respect to that nominee’s election, the Board of Directors may decrease the number of Directors, fill any vacancy or take other appropriate action.</w:t>
      </w:r>
    </w:p>
    <w:p>
      <w:pPr>
        <w:spacing w:after="0" w:line="16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ratification of the selection of independent auditors, the advisory vote to approve the compensation of the named executive officers, and any other proposal presented at the meeting, will be approved if more votes are cast by proxy or in person in favor of the proposal than are cast against it.</w:t>
      </w:r>
    </w:p>
    <w:p>
      <w:pPr>
        <w:spacing w:after="0" w:line="16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Abstentions and broker non-votes, if any, will not be counted “for” or “against” any of these proposals.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Where can I find voting results for the Annual Meeting?</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will announce preliminary voting results at the conclusion of the meeting and publish final results in a Current Report on Form 8-K filed with the Securities and Exchange Commission within four business days after the Annual Meeting.</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Where can I find out more information about Martin Marietta?</w:t>
      </w:r>
    </w:p>
    <w:p>
      <w:pPr>
        <w:spacing w:after="0" w:line="2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 xml:space="preserve">We maintain a website at </w:t>
      </w:r>
      <w:r>
        <w:rPr>
          <w:rFonts w:ascii="Arial" w:cs="Arial" w:eastAsia="Arial" w:hAnsi="Arial"/>
          <w:sz w:val="16"/>
          <w:szCs w:val="16"/>
          <w:i w:val="1"/>
          <w:iCs w:val="1"/>
          <w:color w:val="auto"/>
        </w:rPr>
        <w:t>www.martinmarietta.com</w:t>
      </w:r>
      <w:r>
        <w:rPr>
          <w:rFonts w:ascii="Arial" w:cs="Arial" w:eastAsia="Arial" w:hAnsi="Arial"/>
          <w:sz w:val="16"/>
          <w:szCs w:val="16"/>
          <w:color w:val="auto"/>
        </w:rPr>
        <w:t xml:space="preserve"> where you can find additional information about Martin Marietta. Visitors to the website can view and print copies of Martin Marietta’s SEC filings, including periodic and current reports on Forms 10-K, 10-Q and 8-K, as soon as reasonably practicable after those filings are made with the SEC. Copies of the charters for each of our Audit Committee, Management Development and Compensation Committee, and Nominating and Corporate Governance Committee, </w:t>
      </w:r>
      <w:r>
        <w:rPr>
          <w:rFonts w:ascii="Arial" w:cs="Arial" w:eastAsia="Arial" w:hAnsi="Arial"/>
          <w:sz w:val="16"/>
          <w:szCs w:val="16"/>
          <w:i w:val="1"/>
          <w:iCs w:val="1"/>
          <w:color w:val="auto"/>
        </w:rPr>
        <w:t>Corporate Governance Guidelines</w:t>
      </w:r>
      <w:r>
        <w:rPr>
          <w:rFonts w:ascii="Arial" w:cs="Arial" w:eastAsia="Arial" w:hAnsi="Arial"/>
          <w:sz w:val="16"/>
          <w:szCs w:val="16"/>
          <w:color w:val="auto"/>
        </w:rPr>
        <w:t xml:space="preserve">, as well as our </w:t>
      </w:r>
      <w:r>
        <w:rPr>
          <w:rFonts w:ascii="Arial" w:cs="Arial" w:eastAsia="Arial" w:hAnsi="Arial"/>
          <w:sz w:val="16"/>
          <w:szCs w:val="16"/>
          <w:i w:val="1"/>
          <w:iCs w:val="1"/>
          <w:color w:val="auto"/>
        </w:rPr>
        <w:t>Code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Ethical Business Conduct </w:t>
      </w:r>
      <w:r>
        <w:rPr>
          <w:rFonts w:ascii="Arial" w:cs="Arial" w:eastAsia="Arial" w:hAnsi="Arial"/>
          <w:sz w:val="16"/>
          <w:szCs w:val="16"/>
          <w:color w:val="auto"/>
        </w:rPr>
        <w:t>are all available through the website.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Alternatively, </w:t>
      </w:r>
      <w:r>
        <w:rPr>
          <w:rFonts w:ascii="Arial" w:cs="Arial" w:eastAsia="Arial" w:hAnsi="Arial"/>
          <w:sz w:val="16"/>
          <w:szCs w:val="16"/>
          <w:b w:val="1"/>
          <w:bCs w:val="1"/>
          <w:i w:val="1"/>
          <w:iCs w:val="1"/>
          <w:color w:val="auto"/>
        </w:rPr>
        <w:t>our shareholders and other interested parties may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obtain, without charge, copies of all of these documents by writing to the Corporate Secretary, Martin Marietta, 2710 Wycliff Road, Raleigh, NC 27607</w:t>
      </w:r>
      <w:r>
        <w:rPr>
          <w:rFonts w:ascii="Arial" w:cs="Arial" w:eastAsia="Arial" w:hAnsi="Arial"/>
          <w:sz w:val="16"/>
          <w:szCs w:val="16"/>
          <w:color w:val="auto"/>
        </w:rPr>
        <w:t>. Please note that the information contained on Martin Marietta’s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website is not incorporated by reference in, or considered to be a part of, this document.</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Who is paying for this proxy statement?</w:t>
      </w:r>
    </w:p>
    <w:p>
      <w:pPr>
        <w:spacing w:after="0" w:line="2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entire cost of preparing, assembling, printing, and mailing the Notice of Meeting, this proxy statement, and proxies, and the cost of soliciting proxies relating to the meeting, if any, has been or will be paid by Martin Marietta. In addition to use of the mail, proxies may be solicited by Directors, officers, and other regular employees of Martin Marietta by telephone, facsimile, or personal solicitation, and no additional compensation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311150</wp:posOffset>
            </wp:positionV>
            <wp:extent cx="410845" cy="2482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tbl>
      <w:tblPr>
        <w:tblLayout w:type="fixed"/>
        <w:tblInd w:w="344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2019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69</w:t>
            </w:r>
          </w:p>
        </w:tc>
      </w:tr>
    </w:tbl>
    <w:p>
      <w:pPr>
        <w:sectPr>
          <w:pgSz w:w="11900" w:h="16838" w:orient="portrait"/>
          <w:cols w:equalWidth="0" w:num="2">
            <w:col w:w="5500" w:space="320"/>
            <w:col w:w="5400"/>
          </w:cols>
          <w:pgMar w:left="240" w:top="459" w:right="43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560" w:hanging="275"/>
        <w:spacing w:after="0"/>
        <w:tabs>
          <w:tab w:leader="none" w:pos="560" w:val="left"/>
        </w:tabs>
        <w:numPr>
          <w:ilvl w:val="0"/>
          <w:numId w:val="162"/>
        </w:numPr>
        <w:rPr>
          <w:rFonts w:ascii="MS PGothic" w:cs="MS PGothic" w:eastAsia="MS PGothic" w:hAnsi="MS PGothic"/>
          <w:sz w:val="25"/>
          <w:szCs w:val="25"/>
          <w:color w:val="007CBA"/>
        </w:rPr>
      </w:pPr>
      <w:r>
        <w:rPr>
          <w:rFonts w:ascii="Arial" w:cs="Arial" w:eastAsia="Arial" w:hAnsi="Arial"/>
          <w:sz w:val="13"/>
          <w:szCs w:val="13"/>
          <w:color w:val="007CBA"/>
        </w:rPr>
        <w:t>Annual Meeting and Voting Information</w:t>
      </w:r>
    </w:p>
    <w:p>
      <w:pPr>
        <w:spacing w:after="0" w:line="200" w:lineRule="exact"/>
        <w:rPr>
          <w:sz w:val="20"/>
          <w:szCs w:val="20"/>
          <w:color w:val="auto"/>
        </w:rPr>
      </w:pPr>
    </w:p>
    <w:p>
      <w:pPr>
        <w:spacing w:after="0" w:line="248"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paid to such individuals. Martin Marietta will use the services of Morrow Sodali LLC, 470 West Avenue, Stamford, CT 06902, a professional soliciting organization, to assist in obtaining in person or by proxy shareholder votes. Martin Marietta estimates its expenses for solicitation services will not exceed $10,000.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Martin Marietta will, if requested, reimburse banks, brokerage houses and other custodians, nominees and certain fiduciaries for their reasonable expenses incurred in mailing proxy materials to their principals.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-1363980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572" w:lineRule="exact"/>
        <w:rPr>
          <w:sz w:val="20"/>
          <w:szCs w:val="20"/>
          <w:color w:val="auto"/>
        </w:rPr>
      </w:pPr>
    </w:p>
    <w:p>
      <w:pPr>
        <w:sectPr>
          <w:pgSz w:w="11900" w:h="16838" w:orient="portrait"/>
          <w:cols w:equalWidth="0" w:num="2">
            <w:col w:w="5480" w:space="340"/>
            <w:col w:w="540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43"/>
          <w:szCs w:val="43"/>
          <w:color w:val="auto"/>
        </w:rPr>
        <w:t>Incorporation by Reference</w:t>
      </w:r>
    </w:p>
    <w:p>
      <w:pPr>
        <w:sectPr>
          <w:pgSz w:w="11900" w:h="16838" w:orient="portrait"/>
          <w:cols w:equalWidth="0" w:num="1">
            <w:col w:w="11220"/>
          </w:cols>
          <w:pgMar w:left="240" w:top="459" w:right="439"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The Audit Committee Report beginning on page 30 and the Management Development and Compensation Committee Report beginning on page 31 do not constitute soliciting material and should not be deemed filed or incorporated by reference into any other filing by Martin Marietta under the Securities Act of 1933 or the Securities Exchange Act of 1934, 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subject to Regulation 14A or to the liabilities of Section 18 of the Exchange Act, except to the extent that Martin Marietta specifically requests that the information be treated as soliciting material or specifically incorporates such information by reference.</w:t>
      </w:r>
    </w:p>
    <w:p>
      <w:pPr>
        <w:spacing w:after="0" w:line="387"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960"/>
        <w:spacing w:after="0"/>
        <w:rPr>
          <w:sz w:val="20"/>
          <w:szCs w:val="20"/>
          <w:color w:val="auto"/>
        </w:rPr>
      </w:pPr>
      <w:r>
        <w:rPr>
          <w:rFonts w:ascii="Arial" w:cs="Arial" w:eastAsia="Arial" w:hAnsi="Arial"/>
          <w:sz w:val="43"/>
          <w:szCs w:val="43"/>
          <w:color w:val="auto"/>
        </w:rPr>
        <w:t>Shareholders’ Proposals for 2020 Annual Meeting</w:t>
      </w:r>
    </w:p>
    <w:p>
      <w:pPr>
        <w:sectPr>
          <w:pgSz w:w="11900" w:h="16838" w:orient="portrait"/>
          <w:cols w:equalWidth="0" w:num="1">
            <w:col w:w="11220"/>
          </w:cols>
          <w:pgMar w:left="240" w:top="459" w:right="439"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jc w:val="both"/>
        <w:ind w:left="220"/>
        <w:spacing w:after="0" w:line="247" w:lineRule="auto"/>
        <w:rPr>
          <w:sz w:val="20"/>
          <w:szCs w:val="20"/>
          <w:color w:val="auto"/>
        </w:rPr>
      </w:pPr>
      <w:r>
        <w:rPr>
          <w:rFonts w:ascii="Arial" w:cs="Arial" w:eastAsia="Arial" w:hAnsi="Arial"/>
          <w:sz w:val="16"/>
          <w:szCs w:val="16"/>
          <w:color w:val="auto"/>
        </w:rPr>
        <w:t>Proposals by shareholders intended to be presented at the 2020 Annual Meeting of Shareholders of Martin Marietta must be received by the Secretary of Martin Marietta no later than December 12, 2019 in order to be included in the proxy statement and on the proxy card that will be solicited by the Board of Directors in connection with that meeting. The inclusion of any proposal will be subject to applicable rules of the Securities and Exchange Commission. In addition, the Bylaws of Martin Marietta establish an advance notice requirement for any proposal of business to be considered at an Annual Meeting of Shareholders, including the nomination of any person for election as Director. In general, written notice must be received by the Secretary of Martin Marietta at its principal executive office, 2710 Wycliff Road, Raleigh, North Carolina 27607, not less than 60 days nor more than 90 days prior to the first anniversary of the mailing of the preceding year’s proxy statement in connection with the Annual Meeting and must contain specified information concerning the matter to be brought before such meeting and concerning the shareholder proposing such a matter. Accordingly, to be considered at the 2020 Annual Meeting of Shareholders, proposals must be received by the Secretary of Martin Marietta no earlier than January 11, 2020 and no later than February 10, 2020. Any waiver by Martin Marietta of these requirements with respect to the submission of a particular shareholder proposal shall not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constitute a waiver with respect to the submission of any other shareholder proposal nor shall it obligate Martin Marietta to waive these requirements with respect to future submissions of the shareholder proposal or any other shareholder proposal. Our Bylaws provide a proxy access right to permit a shareholder, or a group of up to 20 shareholders, owning at least 3% of our outstanding common stock continuously for at least three years, to nominate and include in our proxy materials director nominees constituting up to 25% of the Board of Directors or two Directors, whichever is greater, provided that the shareholder(s) and the nominee(s) satisfy the requirements specified in our Bylaws. Under our Bylaws, compliant notice of proxy access Director nominations for the 2020 Annual Meeting of Shareholders must be submitted to the Secretary no earlier than November 12, 2019 and no later than December 12, 2019. The notice must contain the information required by the Bylaws. Any shareholder desiring a copy of the Bylaws of Martin Marietta will be furnished one without charge upon written request to the Secretary of Martin Marietta at its principal executive office, 2710 Wycliff Road, Raleigh, North Carolina 27607.</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MARTIN MARIETTA MATERIALS, INC.</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April 10,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293370</wp:posOffset>
            </wp:positionV>
            <wp:extent cx="410845" cy="2482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391"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105" w:lineRule="exact"/>
        <w:rPr>
          <w:sz w:val="20"/>
          <w:szCs w:val="20"/>
          <w:color w:val="auto"/>
        </w:rPr>
      </w:pPr>
    </w:p>
    <w:p>
      <w:pPr>
        <w:ind w:left="640" w:hanging="430"/>
        <w:spacing w:after="0"/>
        <w:tabs>
          <w:tab w:leader="none" w:pos="640" w:val="left"/>
        </w:tabs>
        <w:numPr>
          <w:ilvl w:val="0"/>
          <w:numId w:val="163"/>
        </w:numPr>
        <w:rPr>
          <w:rFonts w:ascii="Arial" w:cs="Arial" w:eastAsia="Arial" w:hAnsi="Arial"/>
          <w:sz w:val="12"/>
          <w:szCs w:val="12"/>
          <w:b w:val="1"/>
          <w:bCs w:val="1"/>
          <w:color w:val="auto"/>
        </w:rPr>
      </w:pPr>
      <w:r>
        <w:rPr>
          <w:rFonts w:ascii="Arial" w:cs="Arial" w:eastAsia="Arial" w:hAnsi="Arial"/>
          <w:sz w:val="12"/>
          <w:szCs w:val="12"/>
          <w:color w:val="007CBA"/>
        </w:rPr>
        <w:t>2019 PROXY STATEMENT</w:t>
      </w:r>
    </w:p>
    <w:p>
      <w:pPr>
        <w:sectPr>
          <w:pgSz w:w="11900" w:h="16838" w:orient="portrait"/>
          <w:cols w:equalWidth="0" w:num="1">
            <w:col w:w="11220"/>
          </w:cols>
          <w:pgMar w:left="240" w:top="459" w:right="43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219"/>
        <w:spacing w:after="0"/>
        <w:rPr>
          <w:sz w:val="20"/>
          <w:szCs w:val="20"/>
          <w:color w:val="auto"/>
        </w:rPr>
      </w:pPr>
      <w:r>
        <w:rPr>
          <w:rFonts w:ascii="Arial" w:cs="Arial" w:eastAsia="Arial" w:hAnsi="Arial"/>
          <w:sz w:val="43"/>
          <w:szCs w:val="43"/>
          <w:color w:val="auto"/>
        </w:rPr>
        <w:t>Appendix A</w:t>
      </w:r>
    </w:p>
    <w:p>
      <w:pPr>
        <w:spacing w:after="0" w:line="299"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007CBA"/>
        </w:rPr>
        <w:t>MARTIN MARIETTA</w:t>
      </w:r>
    </w:p>
    <w:p>
      <w:pPr>
        <w:spacing w:after="0" w:line="41"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007CBA"/>
        </w:rPr>
        <w:t>GUIDELINES FOR POTENTIAL NEW BOARD MEMBERS</w:t>
      </w:r>
    </w:p>
    <w:p>
      <w:pPr>
        <w:sectPr>
          <w:pgSz w:w="11900" w:h="16838" w:orient="portrait"/>
          <w:cols w:equalWidth="0" w:num="1">
            <w:col w:w="11220"/>
          </w:cols>
          <w:pgMar w:left="240" w:top="459" w:right="439" w:bottom="1440" w:gutter="0" w:footer="0" w:header="0"/>
        </w:sectPr>
      </w:pPr>
    </w:p>
    <w:p>
      <w:pPr>
        <w:spacing w:after="0" w:line="290"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i w:val="1"/>
          <w:iCs w:val="1"/>
          <w:u w:val="single" w:color="auto"/>
          <w:color w:val="auto"/>
        </w:rPr>
        <w:t>Preamble</w:t>
      </w:r>
      <w:r>
        <w:rPr>
          <w:rFonts w:ascii="Arial" w:cs="Arial" w:eastAsia="Arial" w:hAnsi="Arial"/>
          <w:sz w:val="16"/>
          <w:szCs w:val="16"/>
          <w:i w:val="1"/>
          <w:iCs w:val="1"/>
          <w:color w:val="auto"/>
        </w:rPr>
        <w:t>: The following considerations are one of the tools used to assist the Nominating and Corporate Governance Committee in the exercise of its responsibility to evaluate the suitability of new potential candidates for the Board of Directors, consistent with any criteria set out in Martin Marietta’s Corporate Governance Guidelines. In evaluating a new potential candidate who is not an employee or former employee of Martin Marietta, the Nominating and Corporate Governance Committee would take into consideration the extent to which the candidate has the personal characteristics and core competencies outlined in one or more of the guidelines set out below, and would take into account all other factors it considers appropriate, including the overall composition of the Board. These guidelines are in addition to and are not intended to change or interpret any law or regulation, or Martin Marietta’s Articles of Incorporation or Bylaws. The guidelines are subject to modification from time to time by the Nominating and Corporate Governance Committee.</w:t>
      </w:r>
    </w:p>
    <w:p>
      <w:pPr>
        <w:spacing w:after="0" w:line="118" w:lineRule="exact"/>
        <w:rPr>
          <w:sz w:val="20"/>
          <w:szCs w:val="20"/>
          <w:color w:val="auto"/>
        </w:rPr>
      </w:pPr>
    </w:p>
    <w:p>
      <w:pPr>
        <w:ind w:left="540" w:right="20" w:hanging="330"/>
        <w:spacing w:after="0" w:line="260" w:lineRule="auto"/>
        <w:tabs>
          <w:tab w:leader="none" w:pos="54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Candidates should have a long-term history of the highest integrity and should ascribe fully to the ethics program of Martin Marietta.</w:t>
      </w:r>
    </w:p>
    <w:p>
      <w:pPr>
        <w:spacing w:after="0" w:line="100" w:lineRule="exact"/>
        <w:rPr>
          <w:rFonts w:ascii="Arial" w:cs="Arial" w:eastAsia="Arial" w:hAnsi="Arial"/>
          <w:sz w:val="16"/>
          <w:szCs w:val="16"/>
          <w:color w:val="auto"/>
        </w:rPr>
      </w:pPr>
    </w:p>
    <w:p>
      <w:pPr>
        <w:jc w:val="both"/>
        <w:ind w:left="540" w:right="20" w:hanging="330"/>
        <w:spacing w:after="0" w:line="253" w:lineRule="auto"/>
        <w:tabs>
          <w:tab w:leader="none" w:pos="54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Candidates should be experienced, seasoned and have mature business judgment. It would be desirable if they are still active in their careers.</w:t>
      </w:r>
    </w:p>
    <w:p>
      <w:pPr>
        <w:spacing w:after="0" w:line="106" w:lineRule="exact"/>
        <w:rPr>
          <w:rFonts w:ascii="Arial" w:cs="Arial" w:eastAsia="Arial" w:hAnsi="Arial"/>
          <w:sz w:val="16"/>
          <w:szCs w:val="16"/>
          <w:color w:val="auto"/>
        </w:rPr>
      </w:pPr>
    </w:p>
    <w:p>
      <w:pPr>
        <w:ind w:left="540" w:right="20" w:hanging="330"/>
        <w:spacing w:after="0" w:line="260" w:lineRule="auto"/>
        <w:tabs>
          <w:tab w:leader="none" w:pos="54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Consideration should be given to matching the geographic base of the candidate with the geographic coverage of Martin Marietta.</w:t>
      </w:r>
    </w:p>
    <w:p>
      <w:pPr>
        <w:spacing w:after="0" w:line="100" w:lineRule="exact"/>
        <w:rPr>
          <w:rFonts w:ascii="Arial" w:cs="Arial" w:eastAsia="Arial" w:hAnsi="Arial"/>
          <w:sz w:val="16"/>
          <w:szCs w:val="16"/>
          <w:color w:val="auto"/>
        </w:rPr>
      </w:pPr>
    </w:p>
    <w:p>
      <w:pPr>
        <w:jc w:val="both"/>
        <w:ind w:left="540" w:right="20" w:hanging="330"/>
        <w:spacing w:after="0" w:line="250" w:lineRule="auto"/>
        <w:tabs>
          <w:tab w:leader="none" w:pos="54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Consideration should be given to diversity on the Board. Such diversity may include type of experience, education, skill sets, ethnic origin, gender and other items that will enable the Board to have a broad knowledge base and diverse viewpoints.</w:t>
      </w:r>
    </w:p>
    <w:p>
      <w:pPr>
        <w:spacing w:after="0" w:line="110" w:lineRule="exact"/>
        <w:rPr>
          <w:rFonts w:ascii="Arial" w:cs="Arial" w:eastAsia="Arial" w:hAnsi="Arial"/>
          <w:sz w:val="16"/>
          <w:szCs w:val="16"/>
          <w:color w:val="auto"/>
        </w:rPr>
      </w:pPr>
    </w:p>
    <w:p>
      <w:pPr>
        <w:jc w:val="both"/>
        <w:ind w:left="540" w:right="20" w:hanging="330"/>
        <w:spacing w:after="0" w:line="253" w:lineRule="auto"/>
        <w:tabs>
          <w:tab w:leader="none" w:pos="54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Generally, candidates should not come from firms or companies that are significant sellers or buyers of goods and services to or from Martin Marietta.</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both"/>
        <w:ind w:left="316" w:right="20" w:hanging="226"/>
        <w:spacing w:after="0" w:line="249" w:lineRule="auto"/>
        <w:tabs>
          <w:tab w:leader="none" w:pos="316" w:val="left"/>
        </w:tabs>
        <w:numPr>
          <w:ilvl w:val="0"/>
          <w:numId w:val="165"/>
        </w:numPr>
        <w:rPr>
          <w:rFonts w:ascii="Arial" w:cs="Arial" w:eastAsia="Arial" w:hAnsi="Arial"/>
          <w:sz w:val="16"/>
          <w:szCs w:val="16"/>
          <w:color w:val="auto"/>
        </w:rPr>
      </w:pPr>
      <w:r>
        <w:rPr>
          <w:rFonts w:ascii="Arial" w:cs="Arial" w:eastAsia="Arial" w:hAnsi="Arial"/>
          <w:sz w:val="16"/>
          <w:szCs w:val="16"/>
          <w:color w:val="auto"/>
        </w:rPr>
        <w:t xml:space="preserve">Candidates who would serve on Martin Marietta’s Audit Committee, Nominating and Corporate Governance Committee, or Management Development and Compensation Committee should be “independent” as defined by the Securities and Exchange Commission, the New York Stock Exchange and Martin Marietta’s </w:t>
      </w:r>
      <w:r>
        <w:rPr>
          <w:rFonts w:ascii="Arial" w:cs="Arial" w:eastAsia="Arial" w:hAnsi="Arial"/>
          <w:sz w:val="16"/>
          <w:szCs w:val="16"/>
          <w:i w:val="1"/>
          <w:iCs w:val="1"/>
          <w:color w:val="auto"/>
        </w:rPr>
        <w:t>Corporate Governance</w:t>
      </w:r>
      <w:r>
        <w:rPr>
          <w:rFonts w:ascii="Arial" w:cs="Arial" w:eastAsia="Arial" w:hAnsi="Arial"/>
          <w:sz w:val="16"/>
          <w:szCs w:val="16"/>
          <w:color w:val="auto"/>
        </w:rPr>
        <w:t xml:space="preserve"> </w:t>
      </w:r>
      <w:r>
        <w:rPr>
          <w:rFonts w:ascii="Arial" w:cs="Arial" w:eastAsia="Arial" w:hAnsi="Arial"/>
          <w:sz w:val="16"/>
          <w:szCs w:val="16"/>
          <w:i w:val="1"/>
          <w:iCs w:val="1"/>
          <w:color w:val="auto"/>
        </w:rPr>
        <w:t>Guidelines</w:t>
      </w:r>
      <w:r>
        <w:rPr>
          <w:rFonts w:ascii="Arial" w:cs="Arial" w:eastAsia="Arial" w:hAnsi="Arial"/>
          <w:sz w:val="16"/>
          <w:szCs w:val="16"/>
          <w:color w:val="auto"/>
        </w:rPr>
        <w:t>.</w:t>
      </w:r>
    </w:p>
    <w:p>
      <w:pPr>
        <w:spacing w:after="0" w:line="109" w:lineRule="exact"/>
        <w:rPr>
          <w:rFonts w:ascii="Arial" w:cs="Arial" w:eastAsia="Arial" w:hAnsi="Arial"/>
          <w:sz w:val="16"/>
          <w:szCs w:val="16"/>
          <w:color w:val="auto"/>
        </w:rPr>
      </w:pPr>
    </w:p>
    <w:p>
      <w:pPr>
        <w:jc w:val="both"/>
        <w:ind w:left="316" w:right="20" w:hanging="226"/>
        <w:spacing w:after="0" w:line="249" w:lineRule="auto"/>
        <w:tabs>
          <w:tab w:leader="none" w:pos="316" w:val="left"/>
        </w:tabs>
        <w:numPr>
          <w:ilvl w:val="0"/>
          <w:numId w:val="165"/>
        </w:numPr>
        <w:rPr>
          <w:rFonts w:ascii="Arial" w:cs="Arial" w:eastAsia="Arial" w:hAnsi="Arial"/>
          <w:sz w:val="16"/>
          <w:szCs w:val="16"/>
          <w:color w:val="auto"/>
        </w:rPr>
      </w:pPr>
      <w:r>
        <w:rPr>
          <w:rFonts w:ascii="Arial" w:cs="Arial" w:eastAsia="Arial" w:hAnsi="Arial"/>
          <w:sz w:val="16"/>
          <w:szCs w:val="16"/>
          <w:color w:val="auto"/>
        </w:rPr>
        <w:t>Given the nature of Board governance, the background and expertise of candidates should reflect the skill needs of the Board and Martin Marietta. With the Securities and Exchange Commission requirements with respect to audit committees and the financial nature of much of what the Board is responsible for, a significant number of Board members need to have strong financial knowledge.</w:t>
      </w:r>
    </w:p>
    <w:p>
      <w:pPr>
        <w:spacing w:after="0" w:line="109" w:lineRule="exact"/>
        <w:rPr>
          <w:rFonts w:ascii="Arial" w:cs="Arial" w:eastAsia="Arial" w:hAnsi="Arial"/>
          <w:sz w:val="16"/>
          <w:szCs w:val="16"/>
          <w:color w:val="auto"/>
        </w:rPr>
      </w:pPr>
    </w:p>
    <w:p>
      <w:pPr>
        <w:jc w:val="both"/>
        <w:ind w:left="316" w:right="20" w:hanging="226"/>
        <w:spacing w:after="0" w:line="249" w:lineRule="auto"/>
        <w:tabs>
          <w:tab w:leader="none" w:pos="316" w:val="left"/>
        </w:tabs>
        <w:numPr>
          <w:ilvl w:val="0"/>
          <w:numId w:val="165"/>
        </w:numPr>
        <w:rPr>
          <w:rFonts w:ascii="Arial" w:cs="Arial" w:eastAsia="Arial" w:hAnsi="Arial"/>
          <w:sz w:val="16"/>
          <w:szCs w:val="16"/>
          <w:color w:val="auto"/>
        </w:rPr>
      </w:pPr>
      <w:r>
        <w:rPr>
          <w:rFonts w:ascii="Arial" w:cs="Arial" w:eastAsia="Arial" w:hAnsi="Arial"/>
          <w:sz w:val="16"/>
          <w:szCs w:val="16"/>
          <w:color w:val="auto"/>
        </w:rPr>
        <w:t>Candidates should have significant professional experience to make a significant contribution to the Board such that the overall composition of the Board includes expertise in the following areas: audit committee financial experts, legal, human resources, business strategy, marketing, the primary businesses in which Martin Marietta operates, and other areas of importance to Martin Marietta.</w:t>
      </w:r>
    </w:p>
    <w:p>
      <w:pPr>
        <w:spacing w:after="0" w:line="109" w:lineRule="exact"/>
        <w:rPr>
          <w:rFonts w:ascii="Arial" w:cs="Arial" w:eastAsia="Arial" w:hAnsi="Arial"/>
          <w:sz w:val="16"/>
          <w:szCs w:val="16"/>
          <w:color w:val="auto"/>
        </w:rPr>
      </w:pPr>
    </w:p>
    <w:p>
      <w:pPr>
        <w:ind w:left="316" w:hanging="226"/>
        <w:spacing w:after="0"/>
        <w:tabs>
          <w:tab w:leader="none" w:pos="316" w:val="left"/>
        </w:tabs>
        <w:numPr>
          <w:ilvl w:val="0"/>
          <w:numId w:val="165"/>
        </w:numPr>
        <w:rPr>
          <w:rFonts w:ascii="Arial" w:cs="Arial" w:eastAsia="Arial" w:hAnsi="Arial"/>
          <w:sz w:val="16"/>
          <w:szCs w:val="16"/>
          <w:color w:val="auto"/>
        </w:rPr>
      </w:pPr>
      <w:r>
        <w:rPr>
          <w:rFonts w:ascii="Arial" w:cs="Arial" w:eastAsia="Arial" w:hAnsi="Arial"/>
          <w:sz w:val="16"/>
          <w:szCs w:val="16"/>
          <w:color w:val="auto"/>
        </w:rPr>
        <w:t>Public company experience is highly desirable.</w:t>
      </w:r>
    </w:p>
    <w:p>
      <w:pPr>
        <w:spacing w:after="0" w:line="126" w:lineRule="exact"/>
        <w:rPr>
          <w:rFonts w:ascii="Arial" w:cs="Arial" w:eastAsia="Arial" w:hAnsi="Arial"/>
          <w:sz w:val="16"/>
          <w:szCs w:val="16"/>
          <w:color w:val="auto"/>
        </w:rPr>
      </w:pPr>
    </w:p>
    <w:p>
      <w:pPr>
        <w:jc w:val="both"/>
        <w:ind w:left="316" w:right="20" w:hanging="316"/>
        <w:spacing w:after="0" w:line="253" w:lineRule="auto"/>
        <w:tabs>
          <w:tab w:leader="none" w:pos="316" w:val="left"/>
        </w:tabs>
        <w:numPr>
          <w:ilvl w:val="0"/>
          <w:numId w:val="165"/>
        </w:numPr>
        <w:rPr>
          <w:rFonts w:ascii="Arial" w:cs="Arial" w:eastAsia="Arial" w:hAnsi="Arial"/>
          <w:sz w:val="16"/>
          <w:szCs w:val="16"/>
          <w:color w:val="auto"/>
        </w:rPr>
      </w:pPr>
      <w:r>
        <w:rPr>
          <w:rFonts w:ascii="Arial" w:cs="Arial" w:eastAsia="Arial" w:hAnsi="Arial"/>
          <w:sz w:val="16"/>
          <w:szCs w:val="16"/>
          <w:color w:val="auto"/>
        </w:rPr>
        <w:t>Candidates from education or nonprofit organizations will be considered where there is a specific priority need identified by the Board and where such a candidate can add value.</w:t>
      </w:r>
    </w:p>
    <w:p>
      <w:pPr>
        <w:spacing w:after="0" w:line="106" w:lineRule="exact"/>
        <w:rPr>
          <w:rFonts w:ascii="Arial" w:cs="Arial" w:eastAsia="Arial" w:hAnsi="Arial"/>
          <w:sz w:val="16"/>
          <w:szCs w:val="16"/>
          <w:color w:val="auto"/>
        </w:rPr>
      </w:pPr>
    </w:p>
    <w:p>
      <w:pPr>
        <w:jc w:val="both"/>
        <w:ind w:left="316" w:right="20" w:hanging="316"/>
        <w:spacing w:after="0" w:line="253" w:lineRule="auto"/>
        <w:tabs>
          <w:tab w:leader="none" w:pos="316" w:val="left"/>
        </w:tabs>
        <w:numPr>
          <w:ilvl w:val="0"/>
          <w:numId w:val="165"/>
        </w:numPr>
        <w:rPr>
          <w:rFonts w:ascii="Arial" w:cs="Arial" w:eastAsia="Arial" w:hAnsi="Arial"/>
          <w:sz w:val="16"/>
          <w:szCs w:val="16"/>
          <w:color w:val="auto"/>
        </w:rPr>
      </w:pPr>
      <w:r>
        <w:rPr>
          <w:rFonts w:ascii="Arial" w:cs="Arial" w:eastAsia="Arial" w:hAnsi="Arial"/>
          <w:sz w:val="16"/>
          <w:szCs w:val="16"/>
          <w:color w:val="auto"/>
        </w:rPr>
        <w:t>Board candidates ideally would serve on no more than three for-profit boards inclusive of Martin Marietta Materials to assure adequate time to discharge the duties of a Board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657225</wp:posOffset>
            </wp:positionV>
            <wp:extent cx="410845" cy="2482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955" w:lineRule="exact"/>
        <w:rPr>
          <w:sz w:val="20"/>
          <w:szCs w:val="20"/>
          <w:color w:val="auto"/>
        </w:rPr>
      </w:pPr>
    </w:p>
    <w:p>
      <w:pPr>
        <w:sectPr>
          <w:pgSz w:w="11900" w:h="16838" w:orient="portrait"/>
          <w:cols w:equalWidth="0" w:num="2">
            <w:col w:w="5500" w:space="324"/>
            <w:col w:w="5396"/>
          </w:cols>
          <w:pgMar w:left="240" w:top="459" w:right="439" w:bottom="1440" w:gutter="0" w:footer="0" w:header="0"/>
          <w:type w:val="continuous"/>
        </w:sectPr>
      </w:pPr>
    </w:p>
    <w:p>
      <w:pPr>
        <w:spacing w:after="0" w:line="98" w:lineRule="exact"/>
        <w:rPr>
          <w:sz w:val="20"/>
          <w:szCs w:val="20"/>
          <w:color w:val="auto"/>
        </w:rPr>
      </w:pPr>
    </w:p>
    <w:p>
      <w:pPr>
        <w:ind w:left="9260"/>
        <w:spacing w:after="0"/>
        <w:tabs>
          <w:tab w:leader="none" w:pos="11000" w:val="left"/>
        </w:tabs>
        <w:rPr>
          <w:sz w:val="20"/>
          <w:szCs w:val="20"/>
          <w:color w:val="auto"/>
        </w:rPr>
      </w:pPr>
      <w:r>
        <w:rPr>
          <w:rFonts w:ascii="Arial" w:cs="Arial" w:eastAsia="Arial" w:hAnsi="Arial"/>
          <w:sz w:val="13"/>
          <w:szCs w:val="13"/>
          <w:color w:val="007CBA"/>
        </w:rPr>
        <w:t>2019 PROXY STATEMENT</w:t>
      </w:r>
      <w:r>
        <w:rPr>
          <w:sz w:val="20"/>
          <w:szCs w:val="20"/>
          <w:color w:val="auto"/>
        </w:rPr>
        <w:tab/>
      </w:r>
      <w:r>
        <w:rPr>
          <w:rFonts w:ascii="Arial" w:cs="Arial" w:eastAsia="Arial" w:hAnsi="Arial"/>
          <w:sz w:val="12"/>
          <w:szCs w:val="12"/>
          <w:b w:val="1"/>
          <w:bCs w:val="1"/>
          <w:color w:val="auto"/>
        </w:rPr>
        <w:t>A-1</w:t>
      </w:r>
    </w:p>
    <w:p>
      <w:pPr>
        <w:sectPr>
          <w:pgSz w:w="11900" w:h="16838" w:orient="portrait"/>
          <w:cols w:equalWidth="0" w:num="1">
            <w:col w:w="11220"/>
          </w:cols>
          <w:pgMar w:left="240" w:top="459" w:right="43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219"/>
        <w:spacing w:after="0"/>
        <w:rPr>
          <w:sz w:val="20"/>
          <w:szCs w:val="20"/>
          <w:color w:val="auto"/>
        </w:rPr>
      </w:pPr>
      <w:r>
        <w:rPr>
          <w:rFonts w:ascii="Arial" w:cs="Arial" w:eastAsia="Arial" w:hAnsi="Arial"/>
          <w:sz w:val="43"/>
          <w:szCs w:val="43"/>
          <w:color w:val="auto"/>
        </w:rPr>
        <w:t>Appendix B</w:t>
      </w:r>
    </w:p>
    <w:p>
      <w:pPr>
        <w:spacing w:after="0" w:line="299"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007CBA"/>
        </w:rPr>
        <w:t>NON-GAAP MEASURES</w:t>
      </w:r>
    </w:p>
    <w:p>
      <w:pPr>
        <w:spacing w:after="0" w:line="257" w:lineRule="exact"/>
        <w:rPr>
          <w:sz w:val="20"/>
          <w:szCs w:val="20"/>
          <w:color w:val="auto"/>
        </w:rPr>
      </w:pPr>
    </w:p>
    <w:p>
      <w:pPr>
        <w:jc w:val="both"/>
        <w:ind w:left="220"/>
        <w:spacing w:after="0" w:line="253" w:lineRule="auto"/>
        <w:rPr>
          <w:sz w:val="20"/>
          <w:szCs w:val="20"/>
          <w:color w:val="auto"/>
        </w:rPr>
      </w:pPr>
      <w:r>
        <w:rPr>
          <w:rFonts w:ascii="Arial" w:cs="Arial" w:eastAsia="Arial" w:hAnsi="Arial"/>
          <w:sz w:val="16"/>
          <w:szCs w:val="16"/>
          <w:color w:val="auto"/>
        </w:rPr>
        <w:t>Non-GAAP financial measures disclosed by management are provided as additional information to investors in order to provide them with an alternative method for assessing our financial condition and operating results. These measures are not in accordance with, or a substitute for, GAAP, and may be different from or inconsistent with non-GAAP financial measures used by other companies.</w:t>
      </w:r>
    </w:p>
    <w:p>
      <w:pPr>
        <w:spacing w:after="0" w:line="174" w:lineRule="exact"/>
        <w:rPr>
          <w:sz w:val="20"/>
          <w:szCs w:val="20"/>
          <w:color w:val="auto"/>
        </w:rPr>
      </w:pPr>
    </w:p>
    <w:p>
      <w:pPr>
        <w:jc w:val="both"/>
        <w:ind w:left="220"/>
        <w:spacing w:after="0" w:line="252" w:lineRule="auto"/>
        <w:rPr>
          <w:sz w:val="20"/>
          <w:szCs w:val="20"/>
          <w:color w:val="auto"/>
        </w:rPr>
      </w:pPr>
      <w:r>
        <w:rPr>
          <w:rFonts w:ascii="Arial" w:cs="Arial" w:eastAsia="Arial" w:hAnsi="Arial"/>
          <w:sz w:val="16"/>
          <w:szCs w:val="16"/>
          <w:color w:val="auto"/>
        </w:rPr>
        <w:t>EBITDA is a widely accepted financial indicator of a company’s ability to service and/or incur indebtedness. EBITDA is not defined by GAAP and, as such, should not be construed as an alternative to net earnings or operating cash flow. Consolidated adjusted EBITDA excludes the impact of selling acquired inventory after its markup to fair value as part of acquisition accounting; acquisition-related expenses, net; and asset and portfolio rationalization charge.</w:t>
      </w:r>
    </w:p>
    <w:p>
      <w:pPr>
        <w:spacing w:after="0" w:line="351" w:lineRule="exact"/>
        <w:rPr>
          <w:sz w:val="20"/>
          <w:szCs w:val="20"/>
          <w:color w:val="auto"/>
        </w:rPr>
      </w:pPr>
    </w:p>
    <w:p>
      <w:pPr>
        <w:jc w:val="both"/>
        <w:ind w:left="220"/>
        <w:spacing w:after="0" w:line="260" w:lineRule="auto"/>
        <w:rPr>
          <w:sz w:val="20"/>
          <w:szCs w:val="20"/>
          <w:color w:val="auto"/>
        </w:rPr>
      </w:pPr>
      <w:r>
        <w:rPr>
          <w:rFonts w:ascii="Arial" w:cs="Arial" w:eastAsia="Arial" w:hAnsi="Arial"/>
          <w:sz w:val="16"/>
          <w:szCs w:val="16"/>
          <w:color w:val="auto"/>
        </w:rPr>
        <w:t>The following presents a reconciliation of net earnings attributable to Martin Marietta to consolidated adjusted EBITDA for the year ended December 31, 2018</w:t>
      </w:r>
    </w:p>
    <w:p>
      <w:pPr>
        <w:sectPr>
          <w:pgSz w:w="11900" w:h="16838" w:orient="portrait"/>
          <w:cols w:equalWidth="0" w:num="1">
            <w:col w:w="11220"/>
          </w:cols>
          <w:pgMar w:left="240" w:top="459" w:right="439" w:bottom="1440" w:gutter="0" w:footer="0" w:header="0"/>
        </w:sectPr>
      </w:pPr>
    </w:p>
    <w:p>
      <w:pPr>
        <w:spacing w:after="0" w:line="13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Consolidated adjusted EBITDA for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151765</wp:posOffset>
            </wp:positionV>
            <wp:extent cx="6989445" cy="20986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89445" cy="209867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Net earnings attributable to Martin Marietta</w:t>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Add back:</w:t>
      </w:r>
    </w:p>
    <w:p>
      <w:pPr>
        <w:spacing w:after="0" w:line="55" w:lineRule="exact"/>
        <w:rPr>
          <w:sz w:val="20"/>
          <w:szCs w:val="20"/>
          <w:color w:val="auto"/>
        </w:rPr>
      </w:pPr>
    </w:p>
    <w:p>
      <w:pPr>
        <w:ind w:left="540"/>
        <w:spacing w:after="0"/>
        <w:rPr>
          <w:sz w:val="20"/>
          <w:szCs w:val="20"/>
          <w:color w:val="auto"/>
        </w:rPr>
      </w:pPr>
      <w:r>
        <w:rPr>
          <w:rFonts w:ascii="Arial" w:cs="Arial" w:eastAsia="Arial" w:hAnsi="Arial"/>
          <w:sz w:val="14"/>
          <w:szCs w:val="14"/>
          <w:color w:val="auto"/>
        </w:rPr>
        <w:t>Interest expense</w:t>
      </w:r>
    </w:p>
    <w:p>
      <w:pPr>
        <w:spacing w:after="0" w:line="55" w:lineRule="exact"/>
        <w:rPr>
          <w:sz w:val="20"/>
          <w:szCs w:val="20"/>
          <w:color w:val="auto"/>
        </w:rPr>
      </w:pPr>
    </w:p>
    <w:p>
      <w:pPr>
        <w:ind w:left="540"/>
        <w:spacing w:after="0"/>
        <w:rPr>
          <w:sz w:val="20"/>
          <w:szCs w:val="20"/>
          <w:color w:val="auto"/>
        </w:rPr>
      </w:pPr>
      <w:r>
        <w:rPr>
          <w:rFonts w:ascii="Arial" w:cs="Arial" w:eastAsia="Arial" w:hAnsi="Arial"/>
          <w:sz w:val="14"/>
          <w:szCs w:val="14"/>
          <w:color w:val="auto"/>
        </w:rPr>
        <w:t>Income tax (benefit) expense for controlling interests</w:t>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Depreciation, depletion and amortization expense</w:t>
      </w:r>
    </w:p>
    <w:p>
      <w:pPr>
        <w:spacing w:after="0" w:line="8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Consolidated EBITDA</w:t>
      </w:r>
    </w:p>
    <w:p>
      <w:pPr>
        <w:spacing w:after="0" w:line="9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Add back:</w:t>
      </w:r>
    </w:p>
    <w:p>
      <w:pPr>
        <w:spacing w:after="0" w:line="55" w:lineRule="exact"/>
        <w:rPr>
          <w:sz w:val="20"/>
          <w:szCs w:val="20"/>
          <w:color w:val="auto"/>
        </w:rPr>
      </w:pPr>
    </w:p>
    <w:p>
      <w:pPr>
        <w:ind w:left="540"/>
        <w:spacing w:after="0"/>
        <w:rPr>
          <w:sz w:val="20"/>
          <w:szCs w:val="20"/>
          <w:color w:val="auto"/>
        </w:rPr>
      </w:pPr>
      <w:r>
        <w:rPr>
          <w:rFonts w:ascii="Arial" w:cs="Arial" w:eastAsia="Arial" w:hAnsi="Arial"/>
          <w:sz w:val="14"/>
          <w:szCs w:val="14"/>
          <w:color w:val="auto"/>
        </w:rPr>
        <w:t>Impact of selling acquired inventory after its markup to fair value as part of acquisition accounting</w:t>
      </w:r>
    </w:p>
    <w:p>
      <w:pPr>
        <w:spacing w:after="0" w:line="55" w:lineRule="exact"/>
        <w:rPr>
          <w:sz w:val="20"/>
          <w:szCs w:val="20"/>
          <w:color w:val="auto"/>
        </w:rPr>
      </w:pPr>
    </w:p>
    <w:p>
      <w:pPr>
        <w:ind w:left="540"/>
        <w:spacing w:after="0"/>
        <w:rPr>
          <w:sz w:val="20"/>
          <w:szCs w:val="20"/>
          <w:color w:val="auto"/>
        </w:rPr>
      </w:pPr>
      <w:r>
        <w:rPr>
          <w:rFonts w:ascii="Arial" w:cs="Arial" w:eastAsia="Arial" w:hAnsi="Arial"/>
          <w:sz w:val="14"/>
          <w:szCs w:val="14"/>
          <w:color w:val="auto"/>
        </w:rPr>
        <w:t>Acquisition-related expenses, net</w:t>
      </w:r>
    </w:p>
    <w:p>
      <w:pPr>
        <w:spacing w:after="0" w:line="55" w:lineRule="exact"/>
        <w:rPr>
          <w:sz w:val="20"/>
          <w:szCs w:val="20"/>
          <w:color w:val="auto"/>
        </w:rPr>
      </w:pPr>
    </w:p>
    <w:p>
      <w:pPr>
        <w:ind w:left="540"/>
        <w:spacing w:after="0"/>
        <w:rPr>
          <w:sz w:val="20"/>
          <w:szCs w:val="20"/>
          <w:color w:val="auto"/>
        </w:rPr>
      </w:pPr>
      <w:r>
        <w:rPr>
          <w:rFonts w:ascii="Arial" w:cs="Arial" w:eastAsia="Arial" w:hAnsi="Arial"/>
          <w:sz w:val="14"/>
          <w:szCs w:val="14"/>
          <w:color w:val="auto"/>
        </w:rPr>
        <w:t>Asset and portfolio rationalization charge</w:t>
      </w:r>
    </w:p>
    <w:p>
      <w:pPr>
        <w:spacing w:after="0" w:line="8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Consolidated adjusted EBITDA</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Total revenues</w:t>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EBITDA margin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jc w:val="center"/>
        <w:ind w:right="440"/>
        <w:spacing w:after="0"/>
        <w:rPr>
          <w:sz w:val="20"/>
          <w:szCs w:val="20"/>
          <w:color w:val="auto"/>
        </w:rPr>
      </w:pPr>
      <w:r>
        <w:rPr>
          <w:rFonts w:ascii="Arial" w:cs="Arial" w:eastAsia="Arial" w:hAnsi="Arial"/>
          <w:sz w:val="14"/>
          <w:szCs w:val="14"/>
          <w:b w:val="1"/>
          <w:bCs w:val="1"/>
          <w:color w:val="FFFFFF"/>
        </w:rPr>
        <w:t>2018</w:t>
      </w:r>
    </w:p>
    <w:p>
      <w:pPr>
        <w:spacing w:after="0" w:line="127" w:lineRule="exact"/>
        <w:rPr>
          <w:sz w:val="20"/>
          <w:szCs w:val="20"/>
          <w:color w:val="auto"/>
        </w:rPr>
      </w:pPr>
    </w:p>
    <w:p>
      <w:pPr>
        <w:spacing w:after="0"/>
        <w:tabs>
          <w:tab w:leader="none" w:pos="180" w:val="left"/>
        </w:tabs>
        <w:rPr>
          <w:sz w:val="20"/>
          <w:szCs w:val="20"/>
          <w:color w:val="auto"/>
        </w:rPr>
      </w:pPr>
      <w:r>
        <w:rPr>
          <w:rFonts w:ascii="Arial" w:cs="Arial" w:eastAsia="Arial" w:hAnsi="Arial"/>
          <w:sz w:val="14"/>
          <w:szCs w:val="14"/>
          <w:color w:val="auto"/>
        </w:rPr>
        <w:t>$</w:t>
        <w:tab/>
        <w:t>469,998</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137,069</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105,637</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340,006</w:t>
      </w:r>
    </w:p>
    <w:p>
      <w:pPr>
        <w:spacing w:after="0" w:line="122" w:lineRule="exact"/>
        <w:rPr>
          <w:sz w:val="20"/>
          <w:szCs w:val="20"/>
          <w:color w:val="auto"/>
        </w:rPr>
      </w:pPr>
    </w:p>
    <w:p>
      <w:pPr>
        <w:ind w:left="80"/>
        <w:spacing w:after="0"/>
        <w:rPr>
          <w:sz w:val="20"/>
          <w:szCs w:val="20"/>
          <w:color w:val="auto"/>
        </w:rPr>
      </w:pPr>
      <w:r>
        <w:rPr>
          <w:rFonts w:ascii="Arial" w:cs="Arial" w:eastAsia="Arial" w:hAnsi="Arial"/>
          <w:sz w:val="14"/>
          <w:szCs w:val="14"/>
          <w:color w:val="auto"/>
        </w:rPr>
        <w:t>1,052,710</w:t>
      </w:r>
    </w:p>
    <w:p>
      <w:pPr>
        <w:spacing w:after="0" w:line="27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18,738</w:t>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13,479</w:t>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18,838</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$1,103,765</w:t>
      </w:r>
    </w:p>
    <w:p>
      <w:pPr>
        <w:spacing w:after="0" w:line="109" w:lineRule="exact"/>
        <w:rPr>
          <w:sz w:val="20"/>
          <w:szCs w:val="20"/>
          <w:color w:val="auto"/>
        </w:rPr>
      </w:pPr>
    </w:p>
    <w:p>
      <w:pPr>
        <w:ind w:left="560" w:right="300" w:hanging="569"/>
        <w:spacing w:after="0" w:line="338" w:lineRule="auto"/>
        <w:rPr>
          <w:sz w:val="20"/>
          <w:szCs w:val="20"/>
          <w:color w:val="auto"/>
        </w:rPr>
      </w:pPr>
      <w:r>
        <w:rPr>
          <w:rFonts w:ascii="Arial" w:cs="Arial" w:eastAsia="Arial" w:hAnsi="Arial"/>
          <w:sz w:val="14"/>
          <w:szCs w:val="14"/>
          <w:color w:val="auto"/>
        </w:rPr>
        <w:t>$4,244,265 26%</w:t>
      </w:r>
    </w:p>
    <w:p>
      <w:pPr>
        <w:spacing w:after="0" w:line="200" w:lineRule="exact"/>
        <w:rPr>
          <w:sz w:val="20"/>
          <w:szCs w:val="20"/>
          <w:color w:val="auto"/>
        </w:rPr>
      </w:pPr>
    </w:p>
    <w:p>
      <w:pPr>
        <w:sectPr>
          <w:pgSz w:w="11900" w:h="16838" w:orient="portrait"/>
          <w:cols w:equalWidth="0" w:num="2">
            <w:col w:w="9340" w:space="720"/>
            <w:col w:w="1160"/>
          </w:cols>
          <w:pgMar w:left="240" w:top="459" w:right="439" w:bottom="1440" w:gutter="0" w:footer="0" w:header="0"/>
          <w:type w:val="continuous"/>
        </w:sectPr>
      </w:pPr>
    </w:p>
    <w:p>
      <w:pPr>
        <w:spacing w:after="0" w:line="5" w:lineRule="exact"/>
        <w:rPr>
          <w:sz w:val="20"/>
          <w:szCs w:val="20"/>
          <w:color w:val="auto"/>
        </w:rPr>
      </w:pPr>
    </w:p>
    <w:p>
      <w:pPr>
        <w:ind w:left="220" w:right="20"/>
        <w:spacing w:after="0" w:line="260" w:lineRule="auto"/>
        <w:rPr>
          <w:sz w:val="20"/>
          <w:szCs w:val="20"/>
          <w:color w:val="auto"/>
        </w:rPr>
      </w:pPr>
      <w:r>
        <w:rPr>
          <w:rFonts w:ascii="Arial" w:cs="Arial" w:eastAsia="Arial" w:hAnsi="Arial"/>
          <w:sz w:val="16"/>
          <w:szCs w:val="16"/>
          <w:color w:val="auto"/>
        </w:rPr>
        <w:t>Adjusted gross profit excludes the impact of selling acquired inventory after its markup to fair value as part of acquisition accounting. The following reconciles reported consolidated gross profit to adjusted consolidated gross profit for the year ended December 31, 2018:</w:t>
      </w:r>
    </w:p>
    <w:p>
      <w:pPr>
        <w:spacing w:after="0" w:line="193" w:lineRule="exact"/>
        <w:rPr>
          <w:sz w:val="20"/>
          <w:szCs w:val="20"/>
          <w:color w:val="auto"/>
        </w:rPr>
      </w:pPr>
    </w:p>
    <w:tbl>
      <w:tblPr>
        <w:tblLayout w:type="fixed"/>
        <w:tblInd w:w="220" w:type="dxa"/>
        <w:tblCellMar>
          <w:top w:w="0" w:type="dxa"/>
          <w:left w:w="0" w:type="dxa"/>
          <w:bottom w:w="0" w:type="dxa"/>
          <w:right w:w="0" w:type="dxa"/>
        </w:tblCellMar>
      </w:tblPr>
      <w:tr>
        <w:trPr>
          <w:trHeight w:val="236"/>
        </w:trPr>
        <w:tc>
          <w:tcPr>
            <w:tcW w:w="9680" w:type="dxa"/>
            <w:vAlign w:val="bottom"/>
            <w:tcBorders>
              <w:bottom w:val="single" w:sz="8" w:color="007CBA"/>
              <w:right w:val="single" w:sz="8" w:color="007CBA"/>
            </w:tcBorders>
            <w:shd w:val="clear" w:color="auto" w:fill="007CBA"/>
          </w:tcPr>
          <w:p>
            <w:pPr>
              <w:ind w:left="80"/>
              <w:spacing w:after="0"/>
              <w:rPr>
                <w:sz w:val="20"/>
                <w:szCs w:val="20"/>
                <w:color w:val="auto"/>
              </w:rPr>
            </w:pPr>
            <w:r>
              <w:rPr>
                <w:rFonts w:ascii="Arial" w:cs="Arial" w:eastAsia="Arial" w:hAnsi="Arial"/>
                <w:sz w:val="14"/>
                <w:szCs w:val="14"/>
                <w:b w:val="1"/>
                <w:bCs w:val="1"/>
                <w:color w:val="FFFFFF"/>
              </w:rPr>
              <w:t>(dollars in thousands)</w:t>
            </w:r>
          </w:p>
        </w:tc>
        <w:tc>
          <w:tcPr>
            <w:tcW w:w="300" w:type="dxa"/>
            <w:vAlign w:val="bottom"/>
            <w:tcBorders>
              <w:bottom w:val="single" w:sz="8" w:color="007CBA"/>
            </w:tcBorders>
            <w:shd w:val="clear" w:color="auto" w:fill="007CBA"/>
          </w:tcPr>
          <w:p>
            <w:pPr>
              <w:spacing w:after="0"/>
              <w:rPr>
                <w:sz w:val="20"/>
                <w:szCs w:val="20"/>
                <w:color w:val="auto"/>
              </w:rPr>
            </w:pPr>
          </w:p>
        </w:tc>
        <w:tc>
          <w:tcPr>
            <w:tcW w:w="620" w:type="dxa"/>
            <w:vAlign w:val="bottom"/>
            <w:tcBorders>
              <w:bottom w:val="single" w:sz="8" w:color="007CBA"/>
            </w:tcBorders>
            <w:shd w:val="clear" w:color="auto" w:fill="007CBA"/>
          </w:tcPr>
          <w:p>
            <w:pPr>
              <w:spacing w:after="0"/>
              <w:rPr>
                <w:sz w:val="20"/>
                <w:szCs w:val="20"/>
                <w:color w:val="auto"/>
              </w:rPr>
            </w:pPr>
          </w:p>
        </w:tc>
        <w:tc>
          <w:tcPr>
            <w:tcW w:w="400" w:type="dxa"/>
            <w:vAlign w:val="bottom"/>
            <w:tcBorders>
              <w:bottom w:val="single" w:sz="8" w:color="007CBA"/>
            </w:tcBorders>
            <w:shd w:val="clear" w:color="auto" w:fill="007CBA"/>
          </w:tcPr>
          <w:p>
            <w:pPr>
              <w:spacing w:after="0"/>
              <w:rPr>
                <w:sz w:val="20"/>
                <w:szCs w:val="20"/>
                <w:color w:val="auto"/>
              </w:rPr>
            </w:pPr>
          </w:p>
        </w:tc>
      </w:tr>
      <w:tr>
        <w:trPr>
          <w:trHeight w:val="270"/>
        </w:trPr>
        <w:tc>
          <w:tcPr>
            <w:tcW w:w="968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Reported consolidated gross profit</w:t>
            </w:r>
          </w:p>
        </w:tc>
        <w:tc>
          <w:tcPr>
            <w:tcW w:w="1320" w:type="dxa"/>
            <w:vAlign w:val="bottom"/>
            <w:gridSpan w:val="3"/>
            <w:shd w:val="clear" w:color="auto" w:fill="E5F1F8"/>
          </w:tcPr>
          <w:p>
            <w:pPr>
              <w:jc w:val="right"/>
              <w:ind w:right="400"/>
              <w:spacing w:after="0"/>
              <w:rPr>
                <w:sz w:val="20"/>
                <w:szCs w:val="20"/>
                <w:color w:val="auto"/>
              </w:rPr>
            </w:pPr>
            <w:r>
              <w:rPr>
                <w:rFonts w:ascii="Arial" w:cs="Arial" w:eastAsia="Arial" w:hAnsi="Arial"/>
                <w:sz w:val="14"/>
                <w:szCs w:val="14"/>
                <w:color w:val="auto"/>
              </w:rPr>
              <w:t>$966,577</w:t>
            </w:r>
          </w:p>
        </w:tc>
      </w:tr>
      <w:tr>
        <w:trPr>
          <w:trHeight w:val="223"/>
        </w:trPr>
        <w:tc>
          <w:tcPr>
            <w:tcW w:w="968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Impact of selling acquired inventory after its markup to fair value as part of acquisition accounting</w:t>
            </w:r>
          </w:p>
        </w:tc>
        <w:tc>
          <w:tcPr>
            <w:tcW w:w="3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18,738</w:t>
            </w:r>
          </w:p>
        </w:tc>
        <w:tc>
          <w:tcPr>
            <w:tcW w:w="400" w:type="dxa"/>
            <w:vAlign w:val="bottom"/>
          </w:tcPr>
          <w:p>
            <w:pPr>
              <w:spacing w:after="0"/>
              <w:rPr>
                <w:sz w:val="19"/>
                <w:szCs w:val="19"/>
                <w:color w:val="auto"/>
              </w:rPr>
            </w:pPr>
          </w:p>
        </w:tc>
      </w:tr>
      <w:tr>
        <w:trPr>
          <w:trHeight w:val="324"/>
        </w:trPr>
        <w:tc>
          <w:tcPr>
            <w:tcW w:w="968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Adjusted consolidated gross profit</w:t>
            </w:r>
          </w:p>
        </w:tc>
        <w:tc>
          <w:tcPr>
            <w:tcW w:w="1320" w:type="dxa"/>
            <w:vAlign w:val="bottom"/>
            <w:gridSpan w:val="3"/>
            <w:shd w:val="clear" w:color="auto" w:fill="E5F1F8"/>
          </w:tcPr>
          <w:p>
            <w:pPr>
              <w:jc w:val="right"/>
              <w:ind w:right="400"/>
              <w:spacing w:after="0"/>
              <w:rPr>
                <w:sz w:val="20"/>
                <w:szCs w:val="20"/>
                <w:color w:val="auto"/>
              </w:rPr>
            </w:pPr>
            <w:r>
              <w:rPr>
                <w:rFonts w:ascii="Arial" w:cs="Arial" w:eastAsia="Arial" w:hAnsi="Arial"/>
                <w:sz w:val="14"/>
                <w:szCs w:val="14"/>
                <w:color w:val="auto"/>
              </w:rPr>
              <w:t>$985,315</w:t>
            </w:r>
          </w:p>
        </w:tc>
      </w:tr>
      <w:tr>
        <w:trPr>
          <w:trHeight w:val="20"/>
        </w:trPr>
        <w:tc>
          <w:tcPr>
            <w:tcW w:w="9680" w:type="dxa"/>
            <w:vAlign w:val="bottom"/>
            <w:tcBorders>
              <w:top w:val="single" w:sz="8" w:color="E5F1F8"/>
              <w:bottom w:val="single" w:sz="8" w:color="007CBA"/>
              <w:right w:val="single" w:sz="8" w:color="007CBA"/>
            </w:tcBorders>
          </w:tcPr>
          <w:p>
            <w:pPr>
              <w:spacing w:after="0" w:line="20" w:lineRule="exact"/>
              <w:rPr>
                <w:sz w:val="1"/>
                <w:szCs w:val="1"/>
                <w:color w:val="auto"/>
              </w:rPr>
            </w:pPr>
          </w:p>
        </w:tc>
        <w:tc>
          <w:tcPr>
            <w:tcW w:w="300" w:type="dxa"/>
            <w:vAlign w:val="bottom"/>
            <w:tcBorders>
              <w:top w:val="single" w:sz="8" w:color="E5F1F8"/>
              <w:bottom w:val="single" w:sz="8" w:color="007CBA"/>
            </w:tcBorders>
          </w:tcPr>
          <w:p>
            <w:pPr>
              <w:spacing w:after="0" w:line="20" w:lineRule="exact"/>
              <w:rPr>
                <w:sz w:val="1"/>
                <w:szCs w:val="1"/>
                <w:color w:val="auto"/>
              </w:rPr>
            </w:pPr>
          </w:p>
        </w:tc>
        <w:tc>
          <w:tcPr>
            <w:tcW w:w="620" w:type="dxa"/>
            <w:vAlign w:val="bottom"/>
            <w:tcBorders>
              <w:top w:val="single" w:sz="8" w:color="auto"/>
              <w:bottom w:val="single" w:sz="8" w:color="007CBA"/>
            </w:tcBorders>
          </w:tcPr>
          <w:p>
            <w:pPr>
              <w:spacing w:after="0" w:line="20" w:lineRule="exact"/>
              <w:rPr>
                <w:sz w:val="1"/>
                <w:szCs w:val="1"/>
                <w:color w:val="auto"/>
              </w:rPr>
            </w:pPr>
          </w:p>
        </w:tc>
        <w:tc>
          <w:tcPr>
            <w:tcW w:w="400" w:type="dxa"/>
            <w:vAlign w:val="bottom"/>
            <w:tcBorders>
              <w:top w:val="single" w:sz="8" w:color="E5F1F8"/>
              <w:bottom w:val="single" w:sz="8" w:color="007CBA"/>
            </w:tcBorders>
          </w:tcPr>
          <w:p>
            <w:pPr>
              <w:spacing w:after="0" w:line="20" w:lineRule="exact"/>
              <w:rPr>
                <w:sz w:val="1"/>
                <w:szCs w:val="1"/>
                <w:color w:val="auto"/>
              </w:rPr>
            </w:pPr>
          </w:p>
        </w:tc>
      </w:tr>
    </w:tbl>
    <w:p>
      <w:pPr>
        <w:spacing w:after="0" w:line="12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007CBA"/>
        </w:rPr>
        <w:t>2019 PROXY STATEMENT</w:t>
      </w:r>
      <w:r>
        <w:rPr>
          <w:sz w:val="20"/>
          <w:szCs w:val="20"/>
          <w:color w:val="auto"/>
        </w:rPr>
        <w:tab/>
      </w:r>
      <w:r>
        <w:rPr>
          <w:rFonts w:ascii="Arial" w:cs="Arial" w:eastAsia="Arial" w:hAnsi="Arial"/>
          <w:sz w:val="12"/>
          <w:szCs w:val="12"/>
          <w:b w:val="1"/>
          <w:bCs w:val="1"/>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3439795</wp:posOffset>
            </wp:positionH>
            <wp:positionV relativeFrom="paragraph">
              <wp:posOffset>-80645</wp:posOffset>
            </wp:positionV>
            <wp:extent cx="410845" cy="2482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9" w:lineRule="exact"/>
        <w:rPr>
          <w:sz w:val="20"/>
          <w:szCs w:val="20"/>
          <w:color w:val="auto"/>
        </w:rPr>
      </w:pPr>
    </w:p>
    <w:p>
      <w:pPr>
        <w:ind w:left="220"/>
        <w:spacing w:after="0" w:line="231" w:lineRule="exact"/>
        <w:tabs>
          <w:tab w:leader="none" w:pos="1000" w:val="left"/>
        </w:tabs>
        <w:rPr>
          <w:sz w:val="20"/>
          <w:szCs w:val="20"/>
          <w:color w:val="auto"/>
        </w:rPr>
      </w:pPr>
      <w:r>
        <w:rPr>
          <w:rFonts w:ascii="Arial" w:cs="Arial" w:eastAsia="Arial" w:hAnsi="Arial"/>
          <w:sz w:val="13"/>
          <w:szCs w:val="13"/>
          <w:color w:val="007CBA"/>
        </w:rPr>
        <w:t>Appendix B</w:t>
      </w:r>
      <w:r>
        <w:rPr>
          <w:sz w:val="20"/>
          <w:szCs w:val="20"/>
          <w:color w:val="auto"/>
        </w:rPr>
        <w:tab/>
      </w:r>
      <w:r>
        <w:rPr>
          <w:rFonts w:ascii="MS PGothic" w:cs="MS PGothic" w:eastAsia="MS PGothic" w:hAnsi="MS PGothic"/>
          <w:sz w:val="23"/>
          <w:szCs w:val="23"/>
          <w:color w:val="007CBA"/>
        </w:rPr>
        <w:t xml:space="preserve">◆ </w:t>
      </w:r>
      <w:r>
        <w:rPr>
          <w:rFonts w:ascii="Arial" w:cs="Arial" w:eastAsia="Arial" w:hAnsi="Arial"/>
          <w:sz w:val="12"/>
          <w:szCs w:val="12"/>
          <w:color w:val="000000"/>
        </w:rPr>
        <w:t>Non-GAAP Measures</w:t>
      </w:r>
    </w:p>
    <w:p>
      <w:pPr>
        <w:spacing w:after="0" w:line="200" w:lineRule="exact"/>
        <w:rPr>
          <w:sz w:val="20"/>
          <w:szCs w:val="20"/>
          <w:color w:val="auto"/>
        </w:rPr>
      </w:pPr>
    </w:p>
    <w:p>
      <w:pPr>
        <w:spacing w:after="0" w:line="297"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Adjusted earnings from operations for the years ended December 31, 2018 and 2017 exclude the impact of selling acquired inventory after its markup to fair value as part of acquisition accounting, acquisition-related expenses, net and asset and portfolio rationalization charge. The following reconciles reported earnings from operations for the years ended December 31, 2018 and 2017 to adjusted earnings from operations and the percentage increase in 2018 compared with 2017:</w:t>
      </w: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872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4"/>
                <w:szCs w:val="14"/>
                <w:b w:val="1"/>
                <w:bCs w:val="1"/>
                <w:color w:val="FFFFFF"/>
              </w:rPr>
              <w:t>(dollars in thousands)</w:t>
            </w:r>
          </w:p>
        </w:tc>
        <w:tc>
          <w:tcPr>
            <w:tcW w:w="180" w:type="dxa"/>
            <w:vAlign w:val="bottom"/>
            <w:shd w:val="clear" w:color="auto" w:fill="007CBA"/>
          </w:tcPr>
          <w:p>
            <w:pPr>
              <w:spacing w:after="0"/>
              <w:rPr>
                <w:sz w:val="17"/>
                <w:szCs w:val="17"/>
                <w:color w:val="auto"/>
              </w:rPr>
            </w:pPr>
          </w:p>
        </w:tc>
        <w:tc>
          <w:tcPr>
            <w:tcW w:w="2100" w:type="dxa"/>
            <w:vAlign w:val="bottom"/>
            <w:gridSpan w:val="5"/>
            <w:shd w:val="clear" w:color="auto" w:fill="007CBA"/>
          </w:tcPr>
          <w:p>
            <w:pPr>
              <w:jc w:val="right"/>
              <w:ind w:right="300"/>
              <w:spacing w:after="0"/>
              <w:rPr>
                <w:sz w:val="20"/>
                <w:szCs w:val="20"/>
                <w:color w:val="auto"/>
              </w:rPr>
            </w:pPr>
            <w:r>
              <w:rPr>
                <w:rFonts w:ascii="Arial" w:cs="Arial" w:eastAsia="Arial" w:hAnsi="Arial"/>
                <w:sz w:val="14"/>
                <w:szCs w:val="14"/>
                <w:b w:val="1"/>
                <w:bCs w:val="1"/>
                <w:color w:val="FFFFFF"/>
              </w:rPr>
              <w:t>Year Ended December 31</w:t>
            </w:r>
          </w:p>
        </w:tc>
      </w:tr>
      <w:tr>
        <w:trPr>
          <w:trHeight w:val="175"/>
        </w:trPr>
        <w:tc>
          <w:tcPr>
            <w:tcW w:w="8720" w:type="dxa"/>
            <w:vAlign w:val="bottom"/>
            <w:tcBorders>
              <w:right w:val="single" w:sz="8" w:color="007CBA"/>
            </w:tcBorders>
            <w:shd w:val="clear" w:color="auto" w:fill="007CBA"/>
          </w:tcPr>
          <w:p>
            <w:pPr>
              <w:spacing w:after="0"/>
              <w:rPr>
                <w:sz w:val="15"/>
                <w:szCs w:val="15"/>
                <w:color w:val="auto"/>
              </w:rPr>
            </w:pPr>
          </w:p>
        </w:tc>
        <w:tc>
          <w:tcPr>
            <w:tcW w:w="880" w:type="dxa"/>
            <w:vAlign w:val="bottom"/>
            <w:gridSpan w:val="2"/>
            <w:shd w:val="clear" w:color="auto" w:fill="007CBA"/>
          </w:tcPr>
          <w:p>
            <w:pPr>
              <w:jc w:val="right"/>
              <w:ind w:right="108"/>
              <w:spacing w:after="0"/>
              <w:rPr>
                <w:sz w:val="20"/>
                <w:szCs w:val="20"/>
                <w:color w:val="auto"/>
              </w:rPr>
            </w:pPr>
            <w:r>
              <w:rPr>
                <w:rFonts w:ascii="Arial" w:cs="Arial" w:eastAsia="Arial" w:hAnsi="Arial"/>
                <w:sz w:val="14"/>
                <w:szCs w:val="14"/>
                <w:b w:val="1"/>
                <w:bCs w:val="1"/>
                <w:color w:val="FFFFFF"/>
              </w:rPr>
              <w:t>2018</w:t>
            </w:r>
          </w:p>
        </w:tc>
        <w:tc>
          <w:tcPr>
            <w:tcW w:w="240" w:type="dxa"/>
            <w:vAlign w:val="bottom"/>
            <w:tcBorders>
              <w:right w:val="single" w:sz="8" w:color="007CBA"/>
            </w:tcBorders>
            <w:shd w:val="clear" w:color="auto" w:fill="007CBA"/>
          </w:tcPr>
          <w:p>
            <w:pPr>
              <w:spacing w:after="0"/>
              <w:rPr>
                <w:sz w:val="15"/>
                <w:szCs w:val="15"/>
                <w:color w:val="auto"/>
              </w:rPr>
            </w:pPr>
          </w:p>
        </w:tc>
        <w:tc>
          <w:tcPr>
            <w:tcW w:w="200" w:type="dxa"/>
            <w:vAlign w:val="bottom"/>
            <w:shd w:val="clear" w:color="auto" w:fill="007CBA"/>
          </w:tcPr>
          <w:p>
            <w:pPr>
              <w:spacing w:after="0"/>
              <w:rPr>
                <w:sz w:val="15"/>
                <w:szCs w:val="15"/>
                <w:color w:val="auto"/>
              </w:rPr>
            </w:pPr>
          </w:p>
        </w:tc>
        <w:tc>
          <w:tcPr>
            <w:tcW w:w="740" w:type="dxa"/>
            <w:vAlign w:val="bottom"/>
            <w:shd w:val="clear" w:color="auto" w:fill="007CBA"/>
          </w:tcPr>
          <w:p>
            <w:pPr>
              <w:jc w:val="right"/>
              <w:ind w:right="128"/>
              <w:spacing w:after="0"/>
              <w:rPr>
                <w:sz w:val="20"/>
                <w:szCs w:val="20"/>
                <w:color w:val="auto"/>
              </w:rPr>
            </w:pPr>
            <w:r>
              <w:rPr>
                <w:rFonts w:ascii="Arial" w:cs="Arial" w:eastAsia="Arial" w:hAnsi="Arial"/>
                <w:sz w:val="14"/>
                <w:szCs w:val="14"/>
                <w:b w:val="1"/>
                <w:bCs w:val="1"/>
                <w:color w:val="FFFFFF"/>
              </w:rPr>
              <w:t>2017</w:t>
            </w:r>
          </w:p>
        </w:tc>
        <w:tc>
          <w:tcPr>
            <w:tcW w:w="220" w:type="dxa"/>
            <w:vAlign w:val="bottom"/>
            <w:shd w:val="clear" w:color="auto" w:fill="007CBA"/>
          </w:tcPr>
          <w:p>
            <w:pPr>
              <w:spacing w:after="0"/>
              <w:rPr>
                <w:sz w:val="15"/>
                <w:szCs w:val="15"/>
                <w:color w:val="auto"/>
              </w:rPr>
            </w:pPr>
          </w:p>
        </w:tc>
      </w:tr>
      <w:tr>
        <w:trPr>
          <w:trHeight w:val="175"/>
        </w:trPr>
        <w:tc>
          <w:tcPr>
            <w:tcW w:w="872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Reported earnings from operations</w:t>
            </w:r>
          </w:p>
        </w:tc>
        <w:tc>
          <w:tcPr>
            <w:tcW w:w="1120" w:type="dxa"/>
            <w:vAlign w:val="bottom"/>
            <w:tcBorders>
              <w:right w:val="single" w:sz="8" w:color="007CBA"/>
            </w:tcBorders>
            <w:gridSpan w:val="3"/>
            <w:shd w:val="clear" w:color="auto" w:fill="E5F1F8"/>
          </w:tcPr>
          <w:p>
            <w:pPr>
              <w:jc w:val="right"/>
              <w:ind w:right="240"/>
              <w:spacing w:after="0"/>
              <w:rPr>
                <w:sz w:val="20"/>
                <w:szCs w:val="20"/>
                <w:color w:val="auto"/>
              </w:rPr>
            </w:pPr>
            <w:r>
              <w:rPr>
                <w:rFonts w:ascii="Arial" w:cs="Arial" w:eastAsia="Arial" w:hAnsi="Arial"/>
                <w:sz w:val="14"/>
                <w:szCs w:val="14"/>
                <w:color w:val="auto"/>
              </w:rPr>
              <w:t>$690,737</w:t>
            </w:r>
          </w:p>
        </w:tc>
        <w:tc>
          <w:tcPr>
            <w:tcW w:w="200" w:type="dxa"/>
            <w:vAlign w:val="bottom"/>
            <w:shd w:val="clear" w:color="auto" w:fill="E5F1F8"/>
          </w:tcPr>
          <w:p>
            <w:pPr>
              <w:spacing w:after="0"/>
              <w:rPr>
                <w:sz w:val="15"/>
                <w:szCs w:val="15"/>
                <w:color w:val="auto"/>
              </w:rPr>
            </w:pPr>
          </w:p>
        </w:tc>
        <w:tc>
          <w:tcPr>
            <w:tcW w:w="960" w:type="dxa"/>
            <w:vAlign w:val="bottom"/>
            <w:gridSpan w:val="2"/>
            <w:shd w:val="clear" w:color="auto" w:fill="E5F1F8"/>
          </w:tcPr>
          <w:p>
            <w:pPr>
              <w:jc w:val="right"/>
              <w:ind w:right="220"/>
              <w:spacing w:after="0"/>
              <w:rPr>
                <w:sz w:val="20"/>
                <w:szCs w:val="20"/>
                <w:color w:val="auto"/>
              </w:rPr>
            </w:pPr>
            <w:r>
              <w:rPr>
                <w:rFonts w:ascii="Arial" w:cs="Arial" w:eastAsia="Arial" w:hAnsi="Arial"/>
                <w:sz w:val="14"/>
                <w:szCs w:val="14"/>
                <w:color w:val="auto"/>
              </w:rPr>
              <w:t>$700,381</w:t>
            </w:r>
          </w:p>
        </w:tc>
      </w:tr>
      <w:tr>
        <w:trPr>
          <w:trHeight w:val="175"/>
        </w:trPr>
        <w:tc>
          <w:tcPr>
            <w:tcW w:w="872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Impact of selling acquired inventory after its mark up to fair value as part of acquisition accounting</w:t>
            </w:r>
          </w:p>
        </w:tc>
        <w:tc>
          <w:tcPr>
            <w:tcW w:w="1120" w:type="dxa"/>
            <w:vAlign w:val="bottom"/>
            <w:tcBorders>
              <w:right w:val="single" w:sz="8" w:color="007CBA"/>
            </w:tcBorders>
            <w:gridSpan w:val="3"/>
          </w:tcPr>
          <w:p>
            <w:pPr>
              <w:jc w:val="right"/>
              <w:ind w:right="240"/>
              <w:spacing w:after="0"/>
              <w:rPr>
                <w:sz w:val="20"/>
                <w:szCs w:val="20"/>
                <w:color w:val="auto"/>
              </w:rPr>
            </w:pPr>
            <w:r>
              <w:rPr>
                <w:rFonts w:ascii="Arial" w:cs="Arial" w:eastAsia="Arial" w:hAnsi="Arial"/>
                <w:sz w:val="14"/>
                <w:szCs w:val="14"/>
                <w:color w:val="auto"/>
              </w:rPr>
              <w:t>18,738</w:t>
            </w:r>
          </w:p>
        </w:tc>
        <w:tc>
          <w:tcPr>
            <w:tcW w:w="20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r>
      <w:tr>
        <w:trPr>
          <w:trHeight w:val="175"/>
        </w:trPr>
        <w:tc>
          <w:tcPr>
            <w:tcW w:w="872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Acquisition-related expenses, net</w:t>
            </w:r>
          </w:p>
        </w:tc>
        <w:tc>
          <w:tcPr>
            <w:tcW w:w="1120" w:type="dxa"/>
            <w:vAlign w:val="bottom"/>
            <w:tcBorders>
              <w:right w:val="single" w:sz="8" w:color="007CBA"/>
            </w:tcBorders>
            <w:gridSpan w:val="3"/>
            <w:shd w:val="clear" w:color="auto" w:fill="E5F1F8"/>
          </w:tcPr>
          <w:p>
            <w:pPr>
              <w:jc w:val="right"/>
              <w:ind w:right="240"/>
              <w:spacing w:after="0"/>
              <w:rPr>
                <w:sz w:val="20"/>
                <w:szCs w:val="20"/>
                <w:color w:val="auto"/>
              </w:rPr>
            </w:pPr>
            <w:r>
              <w:rPr>
                <w:rFonts w:ascii="Arial" w:cs="Arial" w:eastAsia="Arial" w:hAnsi="Arial"/>
                <w:sz w:val="14"/>
                <w:szCs w:val="14"/>
                <w:color w:val="auto"/>
              </w:rPr>
              <w:t>13,479</w:t>
            </w:r>
          </w:p>
        </w:tc>
        <w:tc>
          <w:tcPr>
            <w:tcW w:w="200" w:type="dxa"/>
            <w:vAlign w:val="bottom"/>
            <w:shd w:val="clear" w:color="auto" w:fill="E5F1F8"/>
          </w:tcPr>
          <w:p>
            <w:pPr>
              <w:spacing w:after="0"/>
              <w:rPr>
                <w:sz w:val="15"/>
                <w:szCs w:val="15"/>
                <w:color w:val="auto"/>
              </w:rPr>
            </w:pPr>
          </w:p>
        </w:tc>
        <w:tc>
          <w:tcPr>
            <w:tcW w:w="960" w:type="dxa"/>
            <w:vAlign w:val="bottom"/>
            <w:gridSpan w:val="2"/>
            <w:shd w:val="clear" w:color="auto" w:fill="E5F1F8"/>
          </w:tcPr>
          <w:p>
            <w:pPr>
              <w:jc w:val="right"/>
              <w:ind w:right="220"/>
              <w:spacing w:after="0"/>
              <w:rPr>
                <w:sz w:val="20"/>
                <w:szCs w:val="20"/>
                <w:color w:val="auto"/>
              </w:rPr>
            </w:pPr>
            <w:r>
              <w:rPr>
                <w:rFonts w:ascii="Arial" w:cs="Arial" w:eastAsia="Arial" w:hAnsi="Arial"/>
                <w:sz w:val="14"/>
                <w:szCs w:val="14"/>
                <w:color w:val="auto"/>
              </w:rPr>
              <w:t>8,638</w:t>
            </w:r>
          </w:p>
        </w:tc>
      </w:tr>
      <w:tr>
        <w:trPr>
          <w:trHeight w:val="175"/>
        </w:trPr>
        <w:tc>
          <w:tcPr>
            <w:tcW w:w="872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Asset and portfolio rationalization charge</w:t>
            </w:r>
          </w:p>
        </w:tc>
        <w:tc>
          <w:tcPr>
            <w:tcW w:w="1120" w:type="dxa"/>
            <w:vAlign w:val="bottom"/>
            <w:tcBorders>
              <w:right w:val="single" w:sz="8" w:color="007CBA"/>
            </w:tcBorders>
            <w:gridSpan w:val="3"/>
          </w:tcPr>
          <w:p>
            <w:pPr>
              <w:jc w:val="right"/>
              <w:ind w:right="240"/>
              <w:spacing w:after="0"/>
              <w:rPr>
                <w:sz w:val="20"/>
                <w:szCs w:val="20"/>
                <w:color w:val="auto"/>
              </w:rPr>
            </w:pPr>
            <w:r>
              <w:rPr>
                <w:rFonts w:ascii="Arial" w:cs="Arial" w:eastAsia="Arial" w:hAnsi="Arial"/>
                <w:sz w:val="14"/>
                <w:szCs w:val="14"/>
                <w:color w:val="auto"/>
              </w:rPr>
              <w:t>18,838</w:t>
            </w:r>
          </w:p>
        </w:tc>
        <w:tc>
          <w:tcPr>
            <w:tcW w:w="20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r>
      <w:tr>
        <w:trPr>
          <w:trHeight w:val="20"/>
        </w:trPr>
        <w:tc>
          <w:tcPr>
            <w:tcW w:w="8720" w:type="dxa"/>
            <w:vAlign w:val="bottom"/>
            <w:tcBorders>
              <w:right w:val="single" w:sz="8" w:color="007CBA"/>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40" w:type="dxa"/>
            <w:vAlign w:val="bottom"/>
            <w:tcBorders>
              <w:right w:val="single" w:sz="8" w:color="007CBA"/>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62"/>
        </w:trPr>
        <w:tc>
          <w:tcPr>
            <w:tcW w:w="872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Adjusted earnings from operations</w:t>
            </w:r>
          </w:p>
        </w:tc>
        <w:tc>
          <w:tcPr>
            <w:tcW w:w="1120" w:type="dxa"/>
            <w:vAlign w:val="bottom"/>
            <w:tcBorders>
              <w:right w:val="single" w:sz="8" w:color="007CBA"/>
            </w:tcBorders>
            <w:gridSpan w:val="3"/>
            <w:shd w:val="clear" w:color="auto" w:fill="E5F1F8"/>
          </w:tcPr>
          <w:p>
            <w:pPr>
              <w:jc w:val="right"/>
              <w:ind w:right="240"/>
              <w:spacing w:after="0"/>
              <w:rPr>
                <w:sz w:val="20"/>
                <w:szCs w:val="20"/>
                <w:color w:val="auto"/>
              </w:rPr>
            </w:pPr>
            <w:r>
              <w:rPr>
                <w:rFonts w:ascii="Arial" w:cs="Arial" w:eastAsia="Arial" w:hAnsi="Arial"/>
                <w:sz w:val="14"/>
                <w:szCs w:val="14"/>
                <w:color w:val="auto"/>
              </w:rPr>
              <w:t>$741,792</w:t>
            </w:r>
          </w:p>
        </w:tc>
        <w:tc>
          <w:tcPr>
            <w:tcW w:w="200" w:type="dxa"/>
            <w:vAlign w:val="bottom"/>
            <w:shd w:val="clear" w:color="auto" w:fill="E5F1F8"/>
          </w:tcPr>
          <w:p>
            <w:pPr>
              <w:spacing w:after="0"/>
              <w:rPr>
                <w:sz w:val="14"/>
                <w:szCs w:val="14"/>
                <w:color w:val="auto"/>
              </w:rPr>
            </w:pPr>
          </w:p>
        </w:tc>
        <w:tc>
          <w:tcPr>
            <w:tcW w:w="960" w:type="dxa"/>
            <w:vAlign w:val="bottom"/>
            <w:gridSpan w:val="2"/>
            <w:shd w:val="clear" w:color="auto" w:fill="E5F1F8"/>
          </w:tcPr>
          <w:p>
            <w:pPr>
              <w:jc w:val="right"/>
              <w:ind w:right="220"/>
              <w:spacing w:after="0"/>
              <w:rPr>
                <w:sz w:val="20"/>
                <w:szCs w:val="20"/>
                <w:color w:val="auto"/>
              </w:rPr>
            </w:pPr>
            <w:r>
              <w:rPr>
                <w:rFonts w:ascii="Arial" w:cs="Arial" w:eastAsia="Arial" w:hAnsi="Arial"/>
                <w:sz w:val="14"/>
                <w:szCs w:val="14"/>
                <w:color w:val="auto"/>
              </w:rPr>
              <w:t>$709,019</w:t>
            </w:r>
          </w:p>
        </w:tc>
      </w:tr>
      <w:tr>
        <w:trPr>
          <w:trHeight w:val="175"/>
        </w:trPr>
        <w:tc>
          <w:tcPr>
            <w:tcW w:w="8720" w:type="dxa"/>
            <w:vAlign w:val="bottom"/>
            <w:tcBorders>
              <w:bottom w:val="single" w:sz="8" w:color="007CBA"/>
              <w:right w:val="single" w:sz="8" w:color="007CBA"/>
            </w:tcBorders>
          </w:tcPr>
          <w:p>
            <w:pPr>
              <w:ind w:left="60"/>
              <w:spacing w:after="0"/>
              <w:rPr>
                <w:sz w:val="20"/>
                <w:szCs w:val="20"/>
                <w:color w:val="auto"/>
              </w:rPr>
            </w:pPr>
            <w:r>
              <w:rPr>
                <w:rFonts w:ascii="Arial" w:cs="Arial" w:eastAsia="Arial" w:hAnsi="Arial"/>
                <w:sz w:val="14"/>
                <w:szCs w:val="14"/>
                <w:color w:val="auto"/>
              </w:rPr>
              <w:t>Percentage increase in 2018 compared with 2017</w:t>
            </w:r>
          </w:p>
        </w:tc>
        <w:tc>
          <w:tcPr>
            <w:tcW w:w="1120" w:type="dxa"/>
            <w:vAlign w:val="bottom"/>
            <w:tcBorders>
              <w:bottom w:val="single" w:sz="8" w:color="007CBA"/>
              <w:right w:val="single" w:sz="8" w:color="007CBA"/>
            </w:tcBorders>
            <w:gridSpan w:val="3"/>
          </w:tcPr>
          <w:p>
            <w:pPr>
              <w:jc w:val="right"/>
              <w:ind w:right="100"/>
              <w:spacing w:after="0"/>
              <w:rPr>
                <w:sz w:val="20"/>
                <w:szCs w:val="20"/>
                <w:color w:val="auto"/>
              </w:rPr>
            </w:pPr>
            <w:r>
              <w:rPr>
                <w:rFonts w:ascii="Arial" w:cs="Arial" w:eastAsia="Arial" w:hAnsi="Arial"/>
                <w:sz w:val="14"/>
                <w:szCs w:val="14"/>
                <w:color w:val="auto"/>
              </w:rPr>
              <w:t>5%</w:t>
            </w:r>
          </w:p>
        </w:tc>
        <w:tc>
          <w:tcPr>
            <w:tcW w:w="200" w:type="dxa"/>
            <w:vAlign w:val="bottom"/>
            <w:tcBorders>
              <w:bottom w:val="single" w:sz="8" w:color="007CBA"/>
            </w:tcBorders>
          </w:tcPr>
          <w:p>
            <w:pPr>
              <w:spacing w:after="0"/>
              <w:rPr>
                <w:sz w:val="15"/>
                <w:szCs w:val="15"/>
                <w:color w:val="auto"/>
              </w:rPr>
            </w:pPr>
          </w:p>
        </w:tc>
        <w:tc>
          <w:tcPr>
            <w:tcW w:w="740" w:type="dxa"/>
            <w:vAlign w:val="bottom"/>
            <w:tcBorders>
              <w:bottom w:val="single" w:sz="8" w:color="007CBA"/>
            </w:tcBorders>
          </w:tcPr>
          <w:p>
            <w:pPr>
              <w:spacing w:after="0"/>
              <w:rPr>
                <w:sz w:val="15"/>
                <w:szCs w:val="15"/>
                <w:color w:val="auto"/>
              </w:rPr>
            </w:pPr>
          </w:p>
        </w:tc>
        <w:tc>
          <w:tcPr>
            <w:tcW w:w="220" w:type="dxa"/>
            <w:vAlign w:val="bottom"/>
            <w:tcBorders>
              <w:bottom w:val="single" w:sz="8" w:color="007CBA"/>
            </w:tcBorders>
          </w:tcPr>
          <w:p>
            <w:pPr>
              <w:spacing w:after="0"/>
              <w:rPr>
                <w:sz w:val="15"/>
                <w:szCs w:val="15"/>
                <w:color w:val="auto"/>
              </w:rPr>
            </w:pPr>
          </w:p>
        </w:tc>
      </w:tr>
    </w:tbl>
    <w:p>
      <w:pPr>
        <w:spacing w:after="0" w:line="191" w:lineRule="exact"/>
        <w:rPr>
          <w:sz w:val="20"/>
          <w:szCs w:val="20"/>
          <w:color w:val="auto"/>
        </w:rPr>
      </w:pPr>
    </w:p>
    <w:p>
      <w:pPr>
        <w:jc w:val="both"/>
        <w:ind w:left="220"/>
        <w:spacing w:after="0" w:line="260" w:lineRule="auto"/>
        <w:rPr>
          <w:sz w:val="20"/>
          <w:szCs w:val="20"/>
          <w:color w:val="auto"/>
        </w:rPr>
      </w:pPr>
      <w:r>
        <w:rPr>
          <w:rFonts w:ascii="Arial" w:cs="Arial" w:eastAsia="Arial" w:hAnsi="Arial"/>
          <w:sz w:val="16"/>
          <w:szCs w:val="16"/>
          <w:color w:val="auto"/>
        </w:rPr>
        <w:t>Adjusted earnings per diluted share for the year ended December 31, 2017 excludes the one-time impact of the 2017 Tax Act. The following reconciles reported earnings per diluted share to adjusted earnings per diluted share for the year ended December 31, 2017:</w:t>
      </w:r>
    </w:p>
    <w:p>
      <w:pPr>
        <w:spacing w:after="0" w:line="173" w:lineRule="exact"/>
        <w:rPr>
          <w:sz w:val="20"/>
          <w:szCs w:val="20"/>
          <w:color w:val="auto"/>
        </w:rPr>
      </w:pPr>
    </w:p>
    <w:tbl>
      <w:tblPr>
        <w:tblLayout w:type="fixed"/>
        <w:tblInd w:w="220" w:type="dxa"/>
        <w:tblCellMar>
          <w:top w:w="0" w:type="dxa"/>
          <w:left w:w="0" w:type="dxa"/>
          <w:bottom w:w="0" w:type="dxa"/>
          <w:right w:w="0" w:type="dxa"/>
        </w:tblCellMar>
      </w:tblPr>
      <w:tr>
        <w:trPr>
          <w:trHeight w:val="229"/>
        </w:trPr>
        <w:tc>
          <w:tcPr>
            <w:tcW w:w="9820" w:type="dxa"/>
            <w:vAlign w:val="bottom"/>
            <w:tcBorders>
              <w:top w:val="single" w:sz="8" w:color="007CBA"/>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Reported earnings per diluted share</w:t>
            </w:r>
          </w:p>
        </w:tc>
        <w:tc>
          <w:tcPr>
            <w:tcW w:w="380" w:type="dxa"/>
            <w:vAlign w:val="bottom"/>
            <w:tcBorders>
              <w:top w:val="single" w:sz="8" w:color="007CBA"/>
            </w:tcBorders>
            <w:gridSpan w:val="2"/>
            <w:shd w:val="clear" w:color="auto" w:fill="E5F1F8"/>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007CBA"/>
            </w:tcBorders>
            <w:gridSpan w:val="2"/>
            <w:shd w:val="clear" w:color="auto" w:fill="E5F1F8"/>
          </w:tcPr>
          <w:p>
            <w:pPr>
              <w:jc w:val="right"/>
              <w:ind w:right="440"/>
              <w:spacing w:after="0"/>
              <w:rPr>
                <w:sz w:val="20"/>
                <w:szCs w:val="20"/>
                <w:color w:val="auto"/>
              </w:rPr>
            </w:pPr>
            <w:r>
              <w:rPr>
                <w:rFonts w:ascii="Arial" w:cs="Arial" w:eastAsia="Arial" w:hAnsi="Arial"/>
                <w:sz w:val="14"/>
                <w:szCs w:val="14"/>
                <w:color w:val="auto"/>
                <w:w w:val="96"/>
              </w:rPr>
              <w:t>11.25</w:t>
            </w:r>
          </w:p>
        </w:tc>
      </w:tr>
      <w:tr>
        <w:trPr>
          <w:trHeight w:val="216"/>
        </w:trPr>
        <w:tc>
          <w:tcPr>
            <w:tcW w:w="982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Less: impact of the 2017 Tax Act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color w:val="auto"/>
              </w:rPr>
              <w:t>(4.07)</w:t>
            </w:r>
          </w:p>
        </w:tc>
      </w:tr>
      <w:tr>
        <w:trPr>
          <w:trHeight w:val="27"/>
        </w:trPr>
        <w:tc>
          <w:tcPr>
            <w:tcW w:w="9820" w:type="dxa"/>
            <w:vAlign w:val="bottom"/>
            <w:tcBorders>
              <w:right w:val="single" w:sz="8" w:color="007CBA"/>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r>
      <w:tr>
        <w:trPr>
          <w:trHeight w:val="222"/>
        </w:trPr>
        <w:tc>
          <w:tcPr>
            <w:tcW w:w="982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Adjusted earnings per diluted share</w:t>
            </w:r>
          </w:p>
        </w:tc>
        <w:tc>
          <w:tcPr>
            <w:tcW w:w="300" w:type="dxa"/>
            <w:vAlign w:val="bottom"/>
            <w:shd w:val="clear" w:color="auto" w:fill="E5F1F8"/>
          </w:tcPr>
          <w:p>
            <w:pPr>
              <w:spacing w:after="0"/>
              <w:rPr>
                <w:sz w:val="19"/>
                <w:szCs w:val="19"/>
                <w:color w:val="auto"/>
              </w:rPr>
            </w:pPr>
          </w:p>
        </w:tc>
        <w:tc>
          <w:tcPr>
            <w:tcW w:w="80" w:type="dxa"/>
            <w:vAlign w:val="bottom"/>
            <w:shd w:val="clear" w:color="auto" w:fill="E5F1F8"/>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E5F1F8"/>
          </w:tcPr>
          <w:p>
            <w:pPr>
              <w:jc w:val="right"/>
              <w:ind w:right="440"/>
              <w:spacing w:after="0"/>
              <w:rPr>
                <w:sz w:val="20"/>
                <w:szCs w:val="20"/>
                <w:color w:val="auto"/>
              </w:rPr>
            </w:pPr>
            <w:r>
              <w:rPr>
                <w:rFonts w:ascii="Arial" w:cs="Arial" w:eastAsia="Arial" w:hAnsi="Arial"/>
                <w:sz w:val="14"/>
                <w:szCs w:val="14"/>
                <w:color w:val="auto"/>
              </w:rPr>
              <w:t>7.18</w:t>
            </w:r>
          </w:p>
        </w:tc>
      </w:tr>
      <w:tr>
        <w:trPr>
          <w:trHeight w:val="20"/>
        </w:trPr>
        <w:tc>
          <w:tcPr>
            <w:tcW w:w="9820" w:type="dxa"/>
            <w:vAlign w:val="bottom"/>
            <w:tcBorders>
              <w:top w:val="single" w:sz="8" w:color="E5F1F8"/>
              <w:right w:val="single" w:sz="8" w:color="007CBA"/>
            </w:tcBorders>
            <w:shd w:val="clear" w:color="auto" w:fill="007CBA"/>
          </w:tcPr>
          <w:p>
            <w:pPr>
              <w:spacing w:after="0" w:line="20" w:lineRule="exact"/>
              <w:rPr>
                <w:sz w:val="1"/>
                <w:szCs w:val="1"/>
                <w:color w:val="auto"/>
              </w:rPr>
            </w:pPr>
          </w:p>
        </w:tc>
        <w:tc>
          <w:tcPr>
            <w:tcW w:w="300" w:type="dxa"/>
            <w:vAlign w:val="bottom"/>
            <w:tcBorders>
              <w:top w:val="single" w:sz="8" w:color="E5F1F8"/>
            </w:tcBorders>
            <w:shd w:val="clear" w:color="auto" w:fill="007CBA"/>
          </w:tcPr>
          <w:p>
            <w:pPr>
              <w:spacing w:after="0" w:line="20" w:lineRule="exact"/>
              <w:rPr>
                <w:sz w:val="1"/>
                <w:szCs w:val="1"/>
                <w:color w:val="auto"/>
              </w:rPr>
            </w:pPr>
          </w:p>
        </w:tc>
        <w:tc>
          <w:tcPr>
            <w:tcW w:w="80" w:type="dxa"/>
            <w:vAlign w:val="bottom"/>
            <w:tcBorders>
              <w:top w:val="single" w:sz="8" w:color="auto"/>
            </w:tcBorders>
            <w:shd w:val="clear" w:color="auto" w:fill="007CBA"/>
          </w:tcPr>
          <w:p>
            <w:pPr>
              <w:spacing w:after="0" w:line="20" w:lineRule="exact"/>
              <w:rPr>
                <w:sz w:val="1"/>
                <w:szCs w:val="1"/>
                <w:color w:val="auto"/>
              </w:rPr>
            </w:pPr>
          </w:p>
        </w:tc>
        <w:tc>
          <w:tcPr>
            <w:tcW w:w="360" w:type="dxa"/>
            <w:vAlign w:val="bottom"/>
            <w:tcBorders>
              <w:top w:val="single" w:sz="8" w:color="auto"/>
            </w:tcBorders>
            <w:shd w:val="clear" w:color="auto" w:fill="007CBA"/>
          </w:tcPr>
          <w:p>
            <w:pPr>
              <w:spacing w:after="0" w:line="20" w:lineRule="exact"/>
              <w:rPr>
                <w:sz w:val="1"/>
                <w:szCs w:val="1"/>
                <w:color w:val="auto"/>
              </w:rPr>
            </w:pPr>
          </w:p>
        </w:tc>
        <w:tc>
          <w:tcPr>
            <w:tcW w:w="440" w:type="dxa"/>
            <w:vAlign w:val="bottom"/>
            <w:tcBorders>
              <w:top w:val="single" w:sz="8" w:color="E5F1F8"/>
            </w:tcBorders>
            <w:shd w:val="clear" w:color="auto" w:fill="007CBA"/>
          </w:tcPr>
          <w:p>
            <w:pPr>
              <w:spacing w:after="0" w:line="20" w:lineRule="exact"/>
              <w:rPr>
                <w:sz w:val="1"/>
                <w:szCs w:val="1"/>
                <w:color w:val="auto"/>
              </w:rPr>
            </w:pPr>
          </w:p>
        </w:tc>
      </w:tr>
    </w:tbl>
    <w:p>
      <w:pPr>
        <w:spacing w:after="0" w:line="17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increase in 2018 reported earnings per diluted share compared with 2017 adjusted earnings per diluted share is as follows:</w:t>
      </w:r>
    </w:p>
    <w:p>
      <w:pPr>
        <w:spacing w:after="0" w:line="199"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9860" w:type="dxa"/>
            <w:vAlign w:val="bottom"/>
            <w:tcBorders>
              <w:top w:val="single" w:sz="8" w:color="007CBA"/>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Reported earnings per diluted share for the year ended December 31, 2018</w:t>
            </w:r>
          </w:p>
        </w:tc>
        <w:tc>
          <w:tcPr>
            <w:tcW w:w="1140" w:type="dxa"/>
            <w:vAlign w:val="bottom"/>
            <w:tcBorders>
              <w:top w:val="single" w:sz="8" w:color="007CBA"/>
            </w:tcBorders>
            <w:shd w:val="clear" w:color="auto" w:fill="E5F1F8"/>
          </w:tcPr>
          <w:p>
            <w:pPr>
              <w:jc w:val="right"/>
              <w:ind w:right="408"/>
              <w:spacing w:after="0"/>
              <w:rPr>
                <w:sz w:val="20"/>
                <w:szCs w:val="20"/>
                <w:color w:val="auto"/>
              </w:rPr>
            </w:pPr>
            <w:r>
              <w:rPr>
                <w:rFonts w:ascii="Arial" w:cs="Arial" w:eastAsia="Arial" w:hAnsi="Arial"/>
                <w:sz w:val="14"/>
                <w:szCs w:val="14"/>
                <w:color w:val="auto"/>
              </w:rPr>
              <w:t>$7.43</w:t>
            </w:r>
          </w:p>
        </w:tc>
      </w:tr>
      <w:tr>
        <w:trPr>
          <w:trHeight w:val="175"/>
        </w:trPr>
        <w:tc>
          <w:tcPr>
            <w:tcW w:w="9860" w:type="dxa"/>
            <w:vAlign w:val="bottom"/>
            <w:tcBorders>
              <w:right w:val="single" w:sz="8" w:color="007CBA"/>
            </w:tcBorders>
          </w:tcPr>
          <w:p>
            <w:pPr>
              <w:ind w:left="60"/>
              <w:spacing w:after="0"/>
              <w:rPr>
                <w:sz w:val="20"/>
                <w:szCs w:val="20"/>
                <w:color w:val="auto"/>
              </w:rPr>
            </w:pPr>
            <w:r>
              <w:rPr>
                <w:rFonts w:ascii="Arial" w:cs="Arial" w:eastAsia="Arial" w:hAnsi="Arial"/>
                <w:sz w:val="14"/>
                <w:szCs w:val="14"/>
                <w:color w:val="auto"/>
              </w:rPr>
              <w:t>Adjusted earnings per diluted share for the year ended December 31, 2017</w:t>
            </w:r>
          </w:p>
        </w:tc>
        <w:tc>
          <w:tcPr>
            <w:tcW w:w="1140" w:type="dxa"/>
            <w:vAlign w:val="bottom"/>
          </w:tcPr>
          <w:p>
            <w:pPr>
              <w:jc w:val="right"/>
              <w:ind w:right="408"/>
              <w:spacing w:after="0"/>
              <w:rPr>
                <w:sz w:val="20"/>
                <w:szCs w:val="20"/>
                <w:color w:val="auto"/>
              </w:rPr>
            </w:pPr>
            <w:r>
              <w:rPr>
                <w:rFonts w:ascii="Arial" w:cs="Arial" w:eastAsia="Arial" w:hAnsi="Arial"/>
                <w:sz w:val="14"/>
                <w:szCs w:val="14"/>
                <w:color w:val="auto"/>
              </w:rPr>
              <w:t>$7.18</w:t>
            </w:r>
          </w:p>
        </w:tc>
      </w:tr>
      <w:tr>
        <w:trPr>
          <w:trHeight w:val="175"/>
        </w:trPr>
        <w:tc>
          <w:tcPr>
            <w:tcW w:w="9860" w:type="dxa"/>
            <w:vAlign w:val="bottom"/>
            <w:tcBorders>
              <w:bottom w:val="single" w:sz="8" w:color="007CBA"/>
              <w:right w:val="single" w:sz="8" w:color="007CBA"/>
            </w:tcBorders>
            <w:shd w:val="clear" w:color="auto" w:fill="E5F1F8"/>
          </w:tcPr>
          <w:p>
            <w:pPr>
              <w:ind w:left="60"/>
              <w:spacing w:after="0"/>
              <w:rPr>
                <w:sz w:val="20"/>
                <w:szCs w:val="20"/>
                <w:color w:val="auto"/>
              </w:rPr>
            </w:pPr>
            <w:r>
              <w:rPr>
                <w:rFonts w:ascii="Arial" w:cs="Arial" w:eastAsia="Arial" w:hAnsi="Arial"/>
                <w:sz w:val="14"/>
                <w:szCs w:val="14"/>
                <w:color w:val="auto"/>
              </w:rPr>
              <w:t>Percentage increase for 2018 compared with 2017</w:t>
            </w:r>
          </w:p>
        </w:tc>
        <w:tc>
          <w:tcPr>
            <w:tcW w:w="1140" w:type="dxa"/>
            <w:vAlign w:val="bottom"/>
            <w:tcBorders>
              <w:bottom w:val="single" w:sz="8" w:color="007CBA"/>
            </w:tcBorders>
            <w:shd w:val="clear" w:color="auto" w:fill="E5F1F8"/>
          </w:tcPr>
          <w:p>
            <w:pPr>
              <w:jc w:val="right"/>
              <w:ind w:right="268"/>
              <w:spacing w:after="0"/>
              <w:rPr>
                <w:sz w:val="20"/>
                <w:szCs w:val="20"/>
                <w:color w:val="auto"/>
              </w:rPr>
            </w:pPr>
            <w:r>
              <w:rPr>
                <w:rFonts w:ascii="Arial" w:cs="Arial" w:eastAsia="Arial" w:hAnsi="Arial"/>
                <w:sz w:val="14"/>
                <w:szCs w:val="14"/>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3517265</wp:posOffset>
            </wp:positionH>
            <wp:positionV relativeFrom="paragraph">
              <wp:posOffset>93980</wp:posOffset>
            </wp:positionV>
            <wp:extent cx="410845" cy="2482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10845" cy="248285"/>
                    </a:xfrm>
                    <a:prstGeom prst="rect">
                      <a:avLst/>
                    </a:prstGeom>
                    <a:noFill/>
                  </pic:spPr>
                </pic:pic>
              </a:graphicData>
            </a:graphic>
          </wp:anchor>
        </w:drawing>
      </w:r>
    </w:p>
    <w:p>
      <w:pPr>
        <w:spacing w:after="0" w:line="147" w:lineRule="exact"/>
        <w:rPr>
          <w:sz w:val="20"/>
          <w:szCs w:val="20"/>
          <w:color w:val="auto"/>
        </w:rPr>
      </w:pPr>
    </w:p>
    <w:p>
      <w:pPr>
        <w:ind w:left="220"/>
        <w:spacing w:after="0"/>
        <w:tabs>
          <w:tab w:leader="none" w:pos="620" w:val="left"/>
        </w:tabs>
        <w:rPr>
          <w:sz w:val="20"/>
          <w:szCs w:val="20"/>
          <w:color w:val="auto"/>
        </w:rPr>
      </w:pPr>
      <w:r>
        <w:rPr>
          <w:rFonts w:ascii="Arial" w:cs="Arial" w:eastAsia="Arial" w:hAnsi="Arial"/>
          <w:sz w:val="13"/>
          <w:szCs w:val="13"/>
          <w:b w:val="1"/>
          <w:bCs w:val="1"/>
          <w:color w:val="auto"/>
        </w:rPr>
        <w:t>B-2</w:t>
      </w:r>
      <w:r>
        <w:rPr>
          <w:sz w:val="20"/>
          <w:szCs w:val="20"/>
          <w:color w:val="auto"/>
        </w:rPr>
        <w:tab/>
      </w:r>
      <w:r>
        <w:rPr>
          <w:rFonts w:ascii="Arial" w:cs="Arial" w:eastAsia="Arial" w:hAnsi="Arial"/>
          <w:sz w:val="12"/>
          <w:szCs w:val="12"/>
          <w:color w:val="007CBA"/>
        </w:rPr>
        <w:t>2019 PROXY STATEMENT</w:t>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219710</wp:posOffset>
            </wp:positionV>
            <wp:extent cx="7181850" cy="92513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81850" cy="925131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ANNUAL MEETING OF SHAREHOLDERS OF</w:t>
      </w:r>
    </w:p>
    <w:p>
      <w:pPr>
        <w:spacing w:after="0" w:line="19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MARTIN MARIETTA MATERIALS, INC.</w:t>
      </w:r>
    </w:p>
    <w:p>
      <w:pPr>
        <w:spacing w:after="0" w:line="18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May 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2446020</wp:posOffset>
            </wp:positionH>
            <wp:positionV relativeFrom="paragraph">
              <wp:posOffset>154305</wp:posOffset>
            </wp:positionV>
            <wp:extent cx="2312670" cy="21399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312670" cy="213995"/>
                    </a:xfrm>
                    <a:prstGeom prst="rect">
                      <a:avLst/>
                    </a:prstGeom>
                    <a:noFill/>
                  </pic:spPr>
                </pic:pic>
              </a:graphicData>
            </a:graphic>
          </wp:anchor>
        </w:drawing>
      </w:r>
    </w:p>
    <w:p>
      <w:pPr>
        <w:spacing w:after="0" w:line="25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PROXY VOTING INSTRUCTIONS</w:t>
      </w:r>
    </w:p>
    <w:p>
      <w:pPr>
        <w:sectPr>
          <w:pgSz w:w="11900" w:h="16838" w:orient="portrait"/>
          <w:cols w:equalWidth="0" w:num="1">
            <w:col w:w="11180"/>
          </w:cols>
          <w:pgMar w:left="240" w:top="459" w:right="479" w:bottom="1057" w:gutter="0" w:footer="0" w:header="0"/>
        </w:sectPr>
      </w:pPr>
    </w:p>
    <w:p>
      <w:pPr>
        <w:spacing w:after="0" w:line="252" w:lineRule="exact"/>
        <w:rPr>
          <w:sz w:val="20"/>
          <w:szCs w:val="20"/>
          <w:color w:val="auto"/>
        </w:rPr>
      </w:pPr>
    </w:p>
    <w:p>
      <w:pPr>
        <w:ind w:left="220"/>
        <w:spacing w:after="0" w:line="266" w:lineRule="auto"/>
        <w:rPr>
          <w:sz w:val="20"/>
          <w:szCs w:val="20"/>
          <w:color w:val="auto"/>
        </w:rPr>
      </w:pPr>
      <w:r>
        <w:rPr>
          <w:rFonts w:ascii="Arial" w:cs="Arial" w:eastAsia="Arial" w:hAnsi="Arial"/>
          <w:sz w:val="18"/>
          <w:szCs w:val="18"/>
          <w:b w:val="1"/>
          <w:bCs w:val="1"/>
          <w:u w:val="single" w:color="auto"/>
          <w:color w:val="auto"/>
        </w:rPr>
        <w:t>INTERNET</w:t>
      </w:r>
      <w:r>
        <w:rPr>
          <w:rFonts w:ascii="Arial" w:cs="Arial" w:eastAsia="Arial" w:hAnsi="Arial"/>
          <w:sz w:val="18"/>
          <w:szCs w:val="18"/>
          <w:b w:val="1"/>
          <w:bCs w:val="1"/>
          <w:color w:val="auto"/>
        </w:rPr>
        <w:t xml:space="preserve"> - </w:t>
      </w:r>
      <w:r>
        <w:rPr>
          <w:rFonts w:ascii="Arial" w:cs="Arial" w:eastAsia="Arial" w:hAnsi="Arial"/>
          <w:sz w:val="18"/>
          <w:szCs w:val="18"/>
          <w:color w:val="auto"/>
        </w:rPr>
        <w:t>Access “</w:t>
      </w:r>
      <w:r>
        <w:rPr>
          <w:rFonts w:ascii="Arial" w:cs="Arial" w:eastAsia="Arial" w:hAnsi="Arial"/>
          <w:sz w:val="18"/>
          <w:szCs w:val="18"/>
          <w:b w:val="1"/>
          <w:bCs w:val="1"/>
          <w:color w:val="auto"/>
        </w:rPr>
        <w:t>www.voteproxy.com</w:t>
      </w:r>
      <w:r>
        <w:rPr>
          <w:rFonts w:ascii="Arial" w:cs="Arial" w:eastAsia="Arial" w:hAnsi="Arial"/>
          <w:sz w:val="18"/>
          <w:szCs w:val="18"/>
          <w:color w:val="auto"/>
        </w:rPr>
        <w:t>” and follow the on-screen</w:t>
      </w:r>
      <w:r>
        <w:rPr>
          <w:rFonts w:ascii="Arial" w:cs="Arial" w:eastAsia="Arial" w:hAnsi="Arial"/>
          <w:sz w:val="18"/>
          <w:szCs w:val="18"/>
          <w:b w:val="1"/>
          <w:bCs w:val="1"/>
          <w:color w:val="auto"/>
        </w:rPr>
        <w:t xml:space="preserve"> </w:t>
      </w:r>
      <w:r>
        <w:rPr>
          <w:rFonts w:ascii="Arial" w:cs="Arial" w:eastAsia="Arial" w:hAnsi="Arial"/>
          <w:sz w:val="18"/>
          <w:szCs w:val="18"/>
          <w:color w:val="auto"/>
        </w:rPr>
        <w:t>instructions or scan the QR code with your smartphone. Have your proxy card available when you access the web page.</w:t>
      </w:r>
    </w:p>
    <w:p>
      <w:pPr>
        <w:spacing w:after="0" w:line="67" w:lineRule="exact"/>
        <w:rPr>
          <w:sz w:val="20"/>
          <w:szCs w:val="20"/>
          <w:color w:val="auto"/>
        </w:rPr>
      </w:pPr>
    </w:p>
    <w:p>
      <w:pPr>
        <w:ind w:left="220" w:right="120"/>
        <w:spacing w:after="0" w:line="260" w:lineRule="auto"/>
        <w:rPr>
          <w:sz w:val="20"/>
          <w:szCs w:val="20"/>
          <w:color w:val="auto"/>
        </w:rPr>
      </w:pPr>
      <w:r>
        <w:rPr>
          <w:rFonts w:ascii="Arial" w:cs="Arial" w:eastAsia="Arial" w:hAnsi="Arial"/>
          <w:sz w:val="18"/>
          <w:szCs w:val="18"/>
          <w:b w:val="1"/>
          <w:bCs w:val="1"/>
          <w:u w:val="single" w:color="auto"/>
          <w:color w:val="auto"/>
        </w:rPr>
        <w:t>TELEPHONE</w:t>
      </w:r>
      <w:r>
        <w:rPr>
          <w:rFonts w:ascii="Arial" w:cs="Arial" w:eastAsia="Arial" w:hAnsi="Arial"/>
          <w:sz w:val="18"/>
          <w:szCs w:val="18"/>
          <w:b w:val="1"/>
          <w:bCs w:val="1"/>
          <w:color w:val="auto"/>
        </w:rPr>
        <w:t xml:space="preserve"> - </w:t>
      </w:r>
      <w:r>
        <w:rPr>
          <w:rFonts w:ascii="Arial" w:cs="Arial" w:eastAsia="Arial" w:hAnsi="Arial"/>
          <w:sz w:val="18"/>
          <w:szCs w:val="18"/>
          <w:color w:val="auto"/>
        </w:rPr>
        <w:t>Call toll-free</w:t>
      </w:r>
      <w:r>
        <w:rPr>
          <w:rFonts w:ascii="Arial" w:cs="Arial" w:eastAsia="Arial" w:hAnsi="Arial"/>
          <w:sz w:val="18"/>
          <w:szCs w:val="18"/>
          <w:b w:val="1"/>
          <w:bCs w:val="1"/>
          <w:color w:val="auto"/>
        </w:rPr>
        <w:t xml:space="preserve"> 1-800-PROXIES </w:t>
      </w:r>
      <w:r>
        <w:rPr>
          <w:rFonts w:ascii="Arial" w:cs="Arial" w:eastAsia="Arial" w:hAnsi="Arial"/>
          <w:sz w:val="18"/>
          <w:szCs w:val="18"/>
          <w:color w:val="auto"/>
        </w:rPr>
        <w:t>(1-800-776-9437)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United States or </w:t>
      </w:r>
      <w:r>
        <w:rPr>
          <w:rFonts w:ascii="Arial" w:cs="Arial" w:eastAsia="Arial" w:hAnsi="Arial"/>
          <w:sz w:val="18"/>
          <w:szCs w:val="18"/>
          <w:b w:val="1"/>
          <w:bCs w:val="1"/>
          <w:color w:val="auto"/>
        </w:rPr>
        <w:t>1-718-921-8500</w:t>
      </w:r>
      <w:r>
        <w:rPr>
          <w:rFonts w:ascii="Arial" w:cs="Arial" w:eastAsia="Arial" w:hAnsi="Arial"/>
          <w:sz w:val="18"/>
          <w:szCs w:val="18"/>
          <w:color w:val="auto"/>
        </w:rPr>
        <w:t xml:space="preserve"> from foreign countries from any touch-tone telephone and follow the instructions. Have your proxy card available when you call.</w:t>
      </w:r>
    </w:p>
    <w:p>
      <w:pPr>
        <w:spacing w:after="0" w:line="7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Vote online/phone until 11:59 PM EST the day before the meeting.</w:t>
      </w:r>
    </w:p>
    <w:p>
      <w:pPr>
        <w:spacing w:after="0" w:line="124" w:lineRule="exact"/>
        <w:rPr>
          <w:sz w:val="20"/>
          <w:szCs w:val="20"/>
          <w:color w:val="auto"/>
        </w:rPr>
      </w:pPr>
    </w:p>
    <w:p>
      <w:pPr>
        <w:ind w:left="220" w:right="20"/>
        <w:spacing w:after="0" w:line="281" w:lineRule="auto"/>
        <w:rPr>
          <w:sz w:val="20"/>
          <w:szCs w:val="20"/>
          <w:color w:val="auto"/>
        </w:rPr>
      </w:pPr>
      <w:r>
        <w:rPr>
          <w:rFonts w:ascii="Arial" w:cs="Arial" w:eastAsia="Arial" w:hAnsi="Arial"/>
          <w:sz w:val="18"/>
          <w:szCs w:val="18"/>
          <w:b w:val="1"/>
          <w:bCs w:val="1"/>
          <w:u w:val="single" w:color="auto"/>
          <w:color w:val="auto"/>
        </w:rPr>
        <w:t>MAIL</w:t>
      </w:r>
      <w:r>
        <w:rPr>
          <w:rFonts w:ascii="Arial" w:cs="Arial" w:eastAsia="Arial" w:hAnsi="Arial"/>
          <w:sz w:val="18"/>
          <w:szCs w:val="18"/>
          <w:b w:val="1"/>
          <w:bCs w:val="1"/>
          <w:color w:val="auto"/>
        </w:rPr>
        <w:t xml:space="preserve"> - </w:t>
      </w:r>
      <w:r>
        <w:rPr>
          <w:rFonts w:ascii="Arial" w:cs="Arial" w:eastAsia="Arial" w:hAnsi="Arial"/>
          <w:sz w:val="18"/>
          <w:szCs w:val="18"/>
          <w:color w:val="auto"/>
        </w:rPr>
        <w:t>Sign, date and mail your proxy card in the envelope provided as</w:t>
      </w:r>
      <w:r>
        <w:rPr>
          <w:rFonts w:ascii="Arial" w:cs="Arial" w:eastAsia="Arial" w:hAnsi="Arial"/>
          <w:sz w:val="18"/>
          <w:szCs w:val="18"/>
          <w:b w:val="1"/>
          <w:bCs w:val="1"/>
          <w:color w:val="auto"/>
        </w:rPr>
        <w:t xml:space="preserve"> </w:t>
      </w:r>
      <w:r>
        <w:rPr>
          <w:rFonts w:ascii="Arial" w:cs="Arial" w:eastAsia="Arial" w:hAnsi="Arial"/>
          <w:sz w:val="18"/>
          <w:szCs w:val="18"/>
          <w:color w:val="auto"/>
        </w:rPr>
        <w:t>soon as possible.</w:t>
      </w:r>
    </w:p>
    <w:p>
      <w:pPr>
        <w:spacing w:after="0" w:line="55" w:lineRule="exact"/>
        <w:rPr>
          <w:sz w:val="20"/>
          <w:szCs w:val="20"/>
          <w:color w:val="auto"/>
        </w:rPr>
      </w:pPr>
    </w:p>
    <w:p>
      <w:pPr>
        <w:ind w:left="220" w:right="360"/>
        <w:spacing w:after="0" w:line="281" w:lineRule="auto"/>
        <w:rPr>
          <w:sz w:val="20"/>
          <w:szCs w:val="20"/>
          <w:color w:val="auto"/>
        </w:rPr>
      </w:pPr>
      <w:r>
        <w:rPr>
          <w:rFonts w:ascii="Arial" w:cs="Arial" w:eastAsia="Arial" w:hAnsi="Arial"/>
          <w:sz w:val="18"/>
          <w:szCs w:val="18"/>
          <w:b w:val="1"/>
          <w:bCs w:val="1"/>
          <w:u w:val="single" w:color="auto"/>
          <w:color w:val="auto"/>
        </w:rPr>
        <w:t>IN PERSON</w:t>
      </w:r>
      <w:r>
        <w:rPr>
          <w:rFonts w:ascii="Arial" w:cs="Arial" w:eastAsia="Arial" w:hAnsi="Arial"/>
          <w:sz w:val="18"/>
          <w:szCs w:val="18"/>
          <w:b w:val="1"/>
          <w:bCs w:val="1"/>
          <w:color w:val="auto"/>
        </w:rPr>
        <w:t xml:space="preserve"> - </w:t>
      </w:r>
      <w:r>
        <w:rPr>
          <w:rFonts w:ascii="Arial" w:cs="Arial" w:eastAsia="Arial" w:hAnsi="Arial"/>
          <w:sz w:val="18"/>
          <w:szCs w:val="18"/>
          <w:color w:val="auto"/>
        </w:rPr>
        <w:t>You may vote your shares in person by attending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Annual Meeting.</w:t>
      </w:r>
    </w:p>
    <w:p>
      <w:pPr>
        <w:spacing w:after="0" w:line="55" w:lineRule="exact"/>
        <w:rPr>
          <w:sz w:val="20"/>
          <w:szCs w:val="20"/>
          <w:color w:val="auto"/>
        </w:rPr>
      </w:pPr>
    </w:p>
    <w:p>
      <w:pPr>
        <w:ind w:left="220"/>
        <w:spacing w:after="0" w:line="303" w:lineRule="auto"/>
        <w:rPr>
          <w:sz w:val="20"/>
          <w:szCs w:val="20"/>
          <w:color w:val="auto"/>
        </w:rPr>
      </w:pPr>
      <w:r>
        <w:rPr>
          <w:rFonts w:ascii="Arial" w:cs="Arial" w:eastAsia="Arial" w:hAnsi="Arial"/>
          <w:sz w:val="16"/>
          <w:szCs w:val="16"/>
          <w:b w:val="1"/>
          <w:bCs w:val="1"/>
          <w:u w:val="single" w:color="auto"/>
          <w:color w:val="auto"/>
        </w:rPr>
        <w:t>GO GREEN</w:t>
      </w:r>
      <w:r>
        <w:rPr>
          <w:rFonts w:ascii="Arial" w:cs="Arial" w:eastAsia="Arial" w:hAnsi="Arial"/>
          <w:sz w:val="16"/>
          <w:szCs w:val="16"/>
          <w:b w:val="1"/>
          <w:bCs w:val="1"/>
          <w:color w:val="auto"/>
        </w:rPr>
        <w:t xml:space="preserve"> - </w:t>
      </w:r>
      <w:r>
        <w:rPr>
          <w:rFonts w:ascii="Arial" w:cs="Arial" w:eastAsia="Arial" w:hAnsi="Arial"/>
          <w:sz w:val="16"/>
          <w:szCs w:val="16"/>
          <w:color w:val="auto"/>
        </w:rPr>
        <w:t>e-Consent makes it easy to go paperless. With e-Consent,</w:t>
      </w:r>
      <w:r>
        <w:rPr>
          <w:rFonts w:ascii="Arial" w:cs="Arial" w:eastAsia="Arial" w:hAnsi="Arial"/>
          <w:sz w:val="16"/>
          <w:szCs w:val="16"/>
          <w:b w:val="1"/>
          <w:bCs w:val="1"/>
          <w:color w:val="auto"/>
        </w:rPr>
        <w:t xml:space="preserve"> </w:t>
      </w:r>
      <w:r>
        <w:rPr>
          <w:rFonts w:ascii="Arial" w:cs="Arial" w:eastAsia="Arial" w:hAnsi="Arial"/>
          <w:sz w:val="16"/>
          <w:szCs w:val="16"/>
          <w:color w:val="auto"/>
        </w:rPr>
        <w:t>you can quickly access your proxy material, statements and other eligible documents online, while reducing costs, clutter and paper waste. Enroll today via www.astfinancial.com to enjoy online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140970</wp:posOffset>
            </wp:positionV>
            <wp:extent cx="6998335" cy="4883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8335" cy="4883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-205105</wp:posOffset>
            </wp:positionV>
            <wp:extent cx="3357880" cy="9334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357880" cy="933450"/>
                    </a:xfrm>
                    <a:prstGeom prst="rect">
                      <a:avLst/>
                    </a:prstGeom>
                    <a:noFill/>
                  </pic:spPr>
                </pic:pic>
              </a:graphicData>
            </a:graphic>
          </wp:anchor>
        </w:drawing>
        <w:drawing>
          <wp:anchor simplePos="0" relativeHeight="251657728" behindDoc="1" locked="0" layoutInCell="0" allowOverlap="1">
            <wp:simplePos x="0" y="0"/>
            <wp:positionH relativeFrom="column">
              <wp:posOffset>-239395</wp:posOffset>
            </wp:positionH>
            <wp:positionV relativeFrom="paragraph">
              <wp:posOffset>-1352550</wp:posOffset>
            </wp:positionV>
            <wp:extent cx="505460" cy="513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05460" cy="513715"/>
                    </a:xfrm>
                    <a:prstGeom prst="rect">
                      <a:avLst/>
                    </a:prstGeom>
                    <a:noFill/>
                  </pic:spPr>
                </pic:pic>
              </a:graphicData>
            </a:graphic>
          </wp:anchor>
        </w:drawing>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ACCOUNT NUMBER</w:t>
      </w:r>
    </w:p>
    <w:p>
      <w:pPr>
        <w:spacing w:after="0" w:line="1635" w:lineRule="exact"/>
        <w:rPr>
          <w:sz w:val="20"/>
          <w:szCs w:val="20"/>
          <w:color w:val="auto"/>
        </w:rPr>
      </w:pPr>
    </w:p>
    <w:p>
      <w:pPr>
        <w:sectPr>
          <w:pgSz w:w="11900" w:h="16838" w:orient="portrait"/>
          <w:cols w:equalWidth="0" w:num="2">
            <w:col w:w="5480" w:space="720"/>
            <w:col w:w="4980"/>
          </w:cols>
          <w:pgMar w:left="240" w:top="459" w:right="479" w:bottom="1057" w:gutter="0" w:footer="0" w:header="0"/>
          <w:type w:val="continuous"/>
        </w:sectPr>
      </w:pPr>
    </w:p>
    <w:p>
      <w:pPr>
        <w:spacing w:after="0" w:line="5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u w:val="single" w:color="auto"/>
          <w:color w:val="auto"/>
        </w:rPr>
        <w:t>NOTICE OF INTERNET AVAILABILITY OF PROXY MATERIAL</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The proxy statement, form of proxy card and 2018 Annual Report to Shareholders are available for review on the</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Internet at http://ir.martinmarietta.com/investor-relations/reports-filings</w:t>
      </w:r>
    </w:p>
    <w:p>
      <w:pPr>
        <w:spacing w:after="0" w:line="62"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i Please detach along perforated line and mail in the envelope provided </w:t>
      </w:r>
      <w:r>
        <w:rPr>
          <w:rFonts w:ascii="Arial" w:cs="Arial" w:eastAsia="Arial" w:hAnsi="Arial"/>
          <w:sz w:val="18"/>
          <w:szCs w:val="18"/>
          <w:u w:val="single" w:color="auto"/>
          <w:color w:val="auto"/>
        </w:rPr>
        <w:t>IF</w:t>
      </w:r>
      <w:r>
        <w:rPr>
          <w:rFonts w:ascii="Arial" w:cs="Arial" w:eastAsia="Arial" w:hAnsi="Arial"/>
          <w:sz w:val="18"/>
          <w:szCs w:val="18"/>
          <w:color w:val="auto"/>
        </w:rPr>
        <w:t xml:space="preserve"> you are not voting via telephone or the Internet. i</w:t>
      </w:r>
    </w:p>
    <w:p>
      <w:pPr>
        <w:spacing w:after="0" w:line="130" w:lineRule="exact"/>
        <w:rPr>
          <w:sz w:val="20"/>
          <w:szCs w:val="20"/>
          <w:color w:val="auto"/>
        </w:rPr>
      </w:pPr>
    </w:p>
    <w:p>
      <w:pPr>
        <w:ind w:left="680"/>
        <w:spacing w:after="0"/>
        <w:tabs>
          <w:tab w:leader="none" w:pos="2640" w:val="left"/>
          <w:tab w:leader="none" w:pos="6820" w:val="left"/>
        </w:tabs>
        <w:rPr>
          <w:sz w:val="20"/>
          <w:szCs w:val="20"/>
          <w:color w:val="auto"/>
        </w:rPr>
      </w:pPr>
      <w:r>
        <w:rPr>
          <w:rFonts w:ascii="Arial" w:cs="Arial" w:eastAsia="Arial" w:hAnsi="Arial"/>
          <w:sz w:val="18"/>
          <w:szCs w:val="18"/>
          <w:color w:val="auto"/>
        </w:rPr>
        <w:t>00033333333333000000</w:t>
        <w:tab/>
        <w:t>9</w:t>
      </w:r>
      <w:r>
        <w:rPr>
          <w:sz w:val="20"/>
          <w:szCs w:val="20"/>
          <w:color w:val="auto"/>
        </w:rPr>
        <w:tab/>
      </w:r>
      <w:r>
        <w:rPr>
          <w:rFonts w:ascii="Arial" w:cs="Arial" w:eastAsia="Arial" w:hAnsi="Arial"/>
          <w:sz w:val="16"/>
          <w:szCs w:val="16"/>
          <w:color w:val="auto"/>
        </w:rPr>
        <w:t>050919</w:t>
      </w:r>
    </w:p>
    <w:p>
      <w:pPr>
        <w:spacing w:after="0" w:line="135" w:lineRule="exact"/>
        <w:rPr>
          <w:sz w:val="20"/>
          <w:szCs w:val="20"/>
          <w:color w:val="auto"/>
        </w:rPr>
      </w:pPr>
    </w:p>
    <w:p>
      <w:pPr>
        <w:jc w:val="center"/>
        <w:ind w:right="-359"/>
        <w:spacing w:after="0"/>
        <w:rPr>
          <w:sz w:val="20"/>
          <w:szCs w:val="20"/>
          <w:color w:val="auto"/>
        </w:rPr>
      </w:pPr>
      <w:r>
        <w:rPr>
          <w:rFonts w:ascii="Arial" w:cs="Arial" w:eastAsia="Arial" w:hAnsi="Arial"/>
          <w:sz w:val="14"/>
          <w:szCs w:val="14"/>
          <w:b w:val="1"/>
          <w:bCs w:val="1"/>
          <w:color w:val="auto"/>
        </w:rPr>
        <w:t>YOU DO NOT NEED TO MARK ANY BOXES IF YOU WISH TO VOTE IN ACCORDANCE WITH THE BOARD OF DIRECTORS’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-95885</wp:posOffset>
            </wp:positionV>
            <wp:extent cx="6998335" cy="37344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8335" cy="3734435"/>
                    </a:xfrm>
                    <a:prstGeom prst="rect">
                      <a:avLst/>
                    </a:prstGeom>
                    <a:noFill/>
                  </pic:spPr>
                </pic:pic>
              </a:graphicData>
            </a:graphic>
          </wp:anchor>
        </w:drawing>
      </w:r>
    </w:p>
    <w:p>
      <w:pPr>
        <w:jc w:val="center"/>
        <w:ind w:right="-359"/>
        <w:spacing w:after="0" w:line="228" w:lineRule="auto"/>
        <w:rPr>
          <w:sz w:val="20"/>
          <w:szCs w:val="20"/>
          <w:color w:val="auto"/>
        </w:rPr>
      </w:pPr>
      <w:r>
        <w:rPr>
          <w:rFonts w:ascii="Arial" w:cs="Arial" w:eastAsia="Arial" w:hAnsi="Arial"/>
          <w:sz w:val="14"/>
          <w:szCs w:val="14"/>
          <w:b w:val="1"/>
          <w:bCs w:val="1"/>
          <w:color w:val="auto"/>
        </w:rPr>
        <w:t>THE BOARD OF DIRECTORS RECOMMENDS YOU VOTE “FOR” ITEMS 1, 2 AND 3.</w:t>
      </w:r>
    </w:p>
    <w:p>
      <w:pPr>
        <w:spacing w:after="0" w:line="1" w:lineRule="exact"/>
        <w:rPr>
          <w:sz w:val="20"/>
          <w:szCs w:val="20"/>
          <w:color w:val="auto"/>
        </w:rPr>
      </w:pPr>
    </w:p>
    <w:p>
      <w:pPr>
        <w:ind w:left="440"/>
        <w:spacing w:after="0" w:line="196" w:lineRule="exact"/>
        <w:rPr>
          <w:sz w:val="20"/>
          <w:szCs w:val="20"/>
          <w:color w:val="auto"/>
        </w:rPr>
      </w:pPr>
      <w:r>
        <w:rPr>
          <w:rFonts w:ascii="Arial" w:cs="Arial" w:eastAsia="Arial" w:hAnsi="Arial"/>
          <w:sz w:val="14"/>
          <w:szCs w:val="14"/>
          <w:b w:val="1"/>
          <w:bCs w:val="1"/>
          <w:color w:val="auto"/>
        </w:rPr>
        <w:t xml:space="preserve">PLEASE SIGN, DATE AND RETURN PROMPTLY IN THE ENCLOSED ENVELOPE. PLEASE MARK YOUR VOTE IN BLUE OR BLACK INK AS SHOWN HERE </w:t>
      </w:r>
      <w:r>
        <w:rPr>
          <w:rFonts w:ascii="MS PGothic" w:cs="MS PGothic" w:eastAsia="MS PGothic" w:hAnsi="MS PGothic"/>
          <w:sz w:val="17"/>
          <w:szCs w:val="17"/>
          <w:color w:val="auto"/>
          <w:highlight w:val="black"/>
        </w:rPr>
        <w:t>☒</w:t>
      </w:r>
    </w:p>
    <w:p>
      <w:pPr>
        <w:sectPr>
          <w:pgSz w:w="11900" w:h="16838" w:orient="portrait"/>
          <w:cols w:equalWidth="0" w:num="1">
            <w:col w:w="11180"/>
          </w:cols>
          <w:pgMar w:left="240" w:top="459" w:right="479" w:bottom="1057" w:gutter="0" w:footer="0" w:header="0"/>
          <w:type w:val="continuous"/>
        </w:sectPr>
      </w:pPr>
    </w:p>
    <w:p>
      <w:pPr>
        <w:spacing w:after="0" w:line="115" w:lineRule="exact"/>
        <w:rPr>
          <w:sz w:val="20"/>
          <w:szCs w:val="20"/>
          <w:color w:val="auto"/>
        </w:rPr>
      </w:pPr>
    </w:p>
    <w:p>
      <w:pPr>
        <w:ind w:left="360"/>
        <w:spacing w:after="0" w:line="228" w:lineRule="auto"/>
        <w:rPr>
          <w:sz w:val="20"/>
          <w:szCs w:val="20"/>
          <w:color w:val="auto"/>
        </w:rPr>
      </w:pPr>
      <w:r>
        <w:rPr>
          <w:rFonts w:ascii="Arial" w:cs="Arial" w:eastAsia="Arial" w:hAnsi="Arial"/>
          <w:sz w:val="14"/>
          <w:szCs w:val="14"/>
          <w:color w:val="auto"/>
        </w:rPr>
        <w:t xml:space="preserve">This proxy is solicited by the Board of Directors of Martin Marietta Materials, Inc. and when properly executed will be voted as specified herein and, unless otherwise directed, will be voted </w:t>
      </w:r>
      <w:r>
        <w:rPr>
          <w:rFonts w:ascii="Arial" w:cs="Arial" w:eastAsia="Arial" w:hAnsi="Arial"/>
          <w:sz w:val="14"/>
          <w:szCs w:val="14"/>
          <w:b w:val="1"/>
          <w:bCs w:val="1"/>
          <w:color w:val="auto"/>
        </w:rPr>
        <w:t>FOR</w:t>
      </w:r>
      <w:r>
        <w:rPr>
          <w:rFonts w:ascii="Arial" w:cs="Arial" w:eastAsia="Arial" w:hAnsi="Arial"/>
          <w:sz w:val="14"/>
          <w:szCs w:val="14"/>
          <w:color w:val="auto"/>
        </w:rPr>
        <w:t xml:space="preserve"> the election of all nominees as Directors, </w:t>
      </w:r>
      <w:r>
        <w:rPr>
          <w:rFonts w:ascii="Arial" w:cs="Arial" w:eastAsia="Arial" w:hAnsi="Arial"/>
          <w:sz w:val="14"/>
          <w:szCs w:val="14"/>
          <w:b w:val="1"/>
          <w:bCs w:val="1"/>
          <w:color w:val="auto"/>
        </w:rPr>
        <w:t>FOR</w:t>
      </w:r>
      <w:r>
        <w:rPr>
          <w:rFonts w:ascii="Arial" w:cs="Arial" w:eastAsia="Arial" w:hAnsi="Arial"/>
          <w:sz w:val="14"/>
          <w:szCs w:val="14"/>
          <w:color w:val="auto"/>
        </w:rPr>
        <w:t xml:space="preserve"> the ratification of the selection of PricewaterhouseCoopers as independent auditors, and </w:t>
      </w:r>
      <w:r>
        <w:rPr>
          <w:rFonts w:ascii="Arial" w:cs="Arial" w:eastAsia="Arial" w:hAnsi="Arial"/>
          <w:sz w:val="14"/>
          <w:szCs w:val="14"/>
          <w:b w:val="1"/>
          <w:bCs w:val="1"/>
          <w:color w:val="auto"/>
        </w:rPr>
        <w:t>FOR</w:t>
      </w:r>
      <w:r>
        <w:rPr>
          <w:rFonts w:ascii="Arial" w:cs="Arial" w:eastAsia="Arial" w:hAnsi="Arial"/>
          <w:sz w:val="14"/>
          <w:szCs w:val="14"/>
          <w:color w:val="auto"/>
        </w:rPr>
        <w:t xml:space="preserve"> the approval, by a non-binding advisory vote, of the compensation of our named executive officers. The Board of Directors recommends voting </w:t>
      </w:r>
      <w:r>
        <w:rPr>
          <w:rFonts w:ascii="Arial" w:cs="Arial" w:eastAsia="Arial" w:hAnsi="Arial"/>
          <w:sz w:val="14"/>
          <w:szCs w:val="14"/>
          <w:b w:val="1"/>
          <w:bCs w:val="1"/>
          <w:color w:val="auto"/>
        </w:rPr>
        <w:t>FOR</w:t>
      </w:r>
      <w:r>
        <w:rPr>
          <w:rFonts w:ascii="Arial" w:cs="Arial" w:eastAsia="Arial" w:hAnsi="Arial"/>
          <w:sz w:val="14"/>
          <w:szCs w:val="14"/>
          <w:color w:val="auto"/>
        </w:rPr>
        <w:t xml:space="preserve"> each item.</w:t>
      </w:r>
    </w:p>
    <w:p>
      <w:pPr>
        <w:spacing w:after="0" w:line="184" w:lineRule="exact"/>
        <w:rPr>
          <w:sz w:val="20"/>
          <w:szCs w:val="20"/>
          <w:color w:val="auto"/>
        </w:rPr>
      </w:pPr>
    </w:p>
    <w:p>
      <w:pPr>
        <w:ind w:left="360" w:right="200"/>
        <w:spacing w:after="0" w:line="252" w:lineRule="auto"/>
        <w:rPr>
          <w:sz w:val="20"/>
          <w:szCs w:val="20"/>
          <w:color w:val="auto"/>
        </w:rPr>
      </w:pPr>
      <w:r>
        <w:rPr>
          <w:rFonts w:ascii="Arial" w:cs="Arial" w:eastAsia="Arial" w:hAnsi="Arial"/>
          <w:sz w:val="14"/>
          <w:szCs w:val="14"/>
          <w:color w:val="auto"/>
        </w:rPr>
        <w:t>Receipt of Notice of Annual Meeting of Shareholders and accompanying Proxy Statement is hereby acknowledged.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To change the address on your account, please check the box at right and</w:t>
      </w:r>
    </w:p>
    <w:p>
      <w:pPr>
        <w:ind w:left="220" w:right="80"/>
        <w:spacing w:after="0" w:line="159" w:lineRule="exact"/>
        <w:rPr>
          <w:sz w:val="20"/>
          <w:szCs w:val="20"/>
          <w:color w:val="auto"/>
        </w:rPr>
      </w:pPr>
      <w:r>
        <w:rPr>
          <w:rFonts w:ascii="Arial" w:cs="Arial" w:eastAsia="Arial" w:hAnsi="Arial"/>
          <w:sz w:val="13"/>
          <w:szCs w:val="13"/>
          <w:color w:val="auto"/>
        </w:rPr>
        <w:t xml:space="preserve">indicate your new address in the address space above. Please note that changes </w:t>
      </w:r>
      <w:r>
        <w:rPr>
          <w:rFonts w:ascii="MS PGothic" w:cs="MS PGothic" w:eastAsia="MS PGothic" w:hAnsi="MS PGothic"/>
          <w:sz w:val="15"/>
          <w:szCs w:val="15"/>
          <w:color w:val="auto"/>
        </w:rPr>
        <w:t>☐</w:t>
      </w:r>
      <w:r>
        <w:rPr>
          <w:rFonts w:ascii="Arial" w:cs="Arial" w:eastAsia="Arial" w:hAnsi="Arial"/>
          <w:sz w:val="13"/>
          <w:szCs w:val="13"/>
          <w:color w:val="auto"/>
        </w:rPr>
        <w:t xml:space="preserve"> to the registered name(s) on the account may not be submitted via this method.</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80" w:type="dxa"/>
            <w:vAlign w:val="bottom"/>
          </w:tcPr>
          <w:p>
            <w:pPr>
              <w:jc w:val="right"/>
              <w:spacing w:after="0"/>
              <w:rPr>
                <w:sz w:val="20"/>
                <w:szCs w:val="20"/>
                <w:color w:val="auto"/>
              </w:rPr>
            </w:pPr>
            <w:r>
              <w:rPr>
                <w:rFonts w:ascii="Arial" w:cs="Arial" w:eastAsia="Arial" w:hAnsi="Arial"/>
                <w:sz w:val="14"/>
                <w:szCs w:val="14"/>
                <w:color w:val="auto"/>
                <w:w w:val="85"/>
              </w:rPr>
              <w:t>1.</w:t>
            </w:r>
          </w:p>
        </w:tc>
        <w:tc>
          <w:tcPr>
            <w:tcW w:w="3920" w:type="dxa"/>
            <w:vAlign w:val="bottom"/>
          </w:tcPr>
          <w:p>
            <w:pPr>
              <w:ind w:left="40"/>
              <w:spacing w:after="0"/>
              <w:rPr>
                <w:sz w:val="20"/>
                <w:szCs w:val="20"/>
                <w:color w:val="auto"/>
              </w:rPr>
            </w:pPr>
            <w:r>
              <w:rPr>
                <w:rFonts w:ascii="Arial" w:cs="Arial" w:eastAsia="Arial" w:hAnsi="Arial"/>
                <w:sz w:val="14"/>
                <w:szCs w:val="14"/>
                <w:color w:val="auto"/>
              </w:rPr>
              <w:t>Election of Directors:</w:t>
            </w:r>
          </w:p>
        </w:tc>
        <w:tc>
          <w:tcPr>
            <w:tcW w:w="400" w:type="dxa"/>
            <w:vAlign w:val="bottom"/>
          </w:tcPr>
          <w:p>
            <w:pPr>
              <w:jc w:val="center"/>
              <w:spacing w:after="0"/>
              <w:rPr>
                <w:sz w:val="20"/>
                <w:szCs w:val="20"/>
                <w:color w:val="auto"/>
              </w:rPr>
            </w:pPr>
            <w:r>
              <w:rPr>
                <w:rFonts w:ascii="Arial" w:cs="Arial" w:eastAsia="Arial" w:hAnsi="Arial"/>
                <w:sz w:val="14"/>
                <w:szCs w:val="14"/>
                <w:color w:val="auto"/>
                <w:w w:val="94"/>
              </w:rPr>
              <w:t>FOR</w:t>
            </w:r>
          </w:p>
        </w:tc>
        <w:tc>
          <w:tcPr>
            <w:tcW w:w="740" w:type="dxa"/>
            <w:vAlign w:val="bottom"/>
          </w:tcPr>
          <w:p>
            <w:pPr>
              <w:jc w:val="center"/>
              <w:spacing w:after="0"/>
              <w:rPr>
                <w:sz w:val="20"/>
                <w:szCs w:val="20"/>
                <w:color w:val="auto"/>
              </w:rPr>
            </w:pPr>
            <w:r>
              <w:rPr>
                <w:rFonts w:ascii="Arial" w:cs="Arial" w:eastAsia="Arial" w:hAnsi="Arial"/>
                <w:sz w:val="14"/>
                <w:szCs w:val="14"/>
                <w:color w:val="auto"/>
              </w:rPr>
              <w:t>AGAINST</w:t>
            </w:r>
          </w:p>
        </w:tc>
        <w:tc>
          <w:tcPr>
            <w:tcW w:w="680" w:type="dxa"/>
            <w:vAlign w:val="bottom"/>
          </w:tcPr>
          <w:p>
            <w:pPr>
              <w:jc w:val="center"/>
              <w:spacing w:after="0"/>
              <w:rPr>
                <w:sz w:val="20"/>
                <w:szCs w:val="20"/>
                <w:color w:val="auto"/>
              </w:rPr>
            </w:pPr>
            <w:r>
              <w:rPr>
                <w:rFonts w:ascii="Arial" w:cs="Arial" w:eastAsia="Arial" w:hAnsi="Arial"/>
                <w:sz w:val="14"/>
                <w:szCs w:val="14"/>
                <w:color w:val="auto"/>
              </w:rPr>
              <w:t>ABSTAIN</w:t>
            </w:r>
          </w:p>
        </w:tc>
      </w:tr>
      <w:tr>
        <w:trPr>
          <w:trHeight w:val="302"/>
        </w:trPr>
        <w:tc>
          <w:tcPr>
            <w:tcW w:w="180" w:type="dxa"/>
            <w:vAlign w:val="bottom"/>
          </w:tcPr>
          <w:p>
            <w:pPr>
              <w:spacing w:after="0"/>
              <w:rPr>
                <w:sz w:val="24"/>
                <w:szCs w:val="24"/>
                <w:color w:val="auto"/>
              </w:rPr>
            </w:pPr>
          </w:p>
        </w:tc>
        <w:tc>
          <w:tcPr>
            <w:tcW w:w="3920" w:type="dxa"/>
            <w:vAlign w:val="bottom"/>
          </w:tcPr>
          <w:p>
            <w:pPr>
              <w:ind w:left="40"/>
              <w:spacing w:after="0"/>
              <w:rPr>
                <w:sz w:val="20"/>
                <w:szCs w:val="20"/>
                <w:color w:val="auto"/>
              </w:rPr>
            </w:pPr>
            <w:r>
              <w:rPr>
                <w:rFonts w:ascii="Arial" w:cs="Arial" w:eastAsia="Arial" w:hAnsi="Arial"/>
                <w:sz w:val="14"/>
                <w:szCs w:val="14"/>
                <w:color w:val="auto"/>
              </w:rPr>
              <w:t>Dorothy M. Ables</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ind w:left="32"/>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80" w:type="dxa"/>
            <w:vAlign w:val="bottom"/>
          </w:tcPr>
          <w:p>
            <w:pPr>
              <w:spacing w:after="0"/>
              <w:rPr>
                <w:sz w:val="24"/>
                <w:szCs w:val="24"/>
                <w:color w:val="auto"/>
              </w:rPr>
            </w:pPr>
          </w:p>
        </w:tc>
        <w:tc>
          <w:tcPr>
            <w:tcW w:w="3920" w:type="dxa"/>
            <w:vAlign w:val="bottom"/>
          </w:tcPr>
          <w:p>
            <w:pPr>
              <w:ind w:left="40"/>
              <w:spacing w:after="0"/>
              <w:rPr>
                <w:sz w:val="20"/>
                <w:szCs w:val="20"/>
                <w:color w:val="auto"/>
              </w:rPr>
            </w:pPr>
            <w:r>
              <w:rPr>
                <w:rFonts w:ascii="Arial" w:cs="Arial" w:eastAsia="Arial" w:hAnsi="Arial"/>
                <w:sz w:val="14"/>
                <w:szCs w:val="14"/>
                <w:color w:val="auto"/>
              </w:rPr>
              <w:t>Sue W. Cole</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ind w:left="32"/>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80" w:type="dxa"/>
            <w:vAlign w:val="bottom"/>
          </w:tcPr>
          <w:p>
            <w:pPr>
              <w:spacing w:after="0"/>
              <w:rPr>
                <w:sz w:val="24"/>
                <w:szCs w:val="24"/>
                <w:color w:val="auto"/>
              </w:rPr>
            </w:pPr>
          </w:p>
        </w:tc>
        <w:tc>
          <w:tcPr>
            <w:tcW w:w="3920" w:type="dxa"/>
            <w:vAlign w:val="bottom"/>
          </w:tcPr>
          <w:p>
            <w:pPr>
              <w:ind w:left="40"/>
              <w:spacing w:after="0"/>
              <w:rPr>
                <w:sz w:val="20"/>
                <w:szCs w:val="20"/>
                <w:color w:val="auto"/>
              </w:rPr>
            </w:pPr>
            <w:r>
              <w:rPr>
                <w:rFonts w:ascii="Arial" w:cs="Arial" w:eastAsia="Arial" w:hAnsi="Arial"/>
                <w:sz w:val="14"/>
                <w:szCs w:val="14"/>
                <w:color w:val="auto"/>
              </w:rPr>
              <w:t>Smith W. Davis</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ind w:left="32"/>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80" w:type="dxa"/>
            <w:vAlign w:val="bottom"/>
          </w:tcPr>
          <w:p>
            <w:pPr>
              <w:spacing w:after="0"/>
              <w:rPr>
                <w:sz w:val="24"/>
                <w:szCs w:val="24"/>
                <w:color w:val="auto"/>
              </w:rPr>
            </w:pPr>
          </w:p>
        </w:tc>
        <w:tc>
          <w:tcPr>
            <w:tcW w:w="3920" w:type="dxa"/>
            <w:vAlign w:val="bottom"/>
          </w:tcPr>
          <w:p>
            <w:pPr>
              <w:ind w:left="40"/>
              <w:spacing w:after="0"/>
              <w:rPr>
                <w:sz w:val="20"/>
                <w:szCs w:val="20"/>
                <w:color w:val="auto"/>
              </w:rPr>
            </w:pPr>
            <w:r>
              <w:rPr>
                <w:rFonts w:ascii="Arial" w:cs="Arial" w:eastAsia="Arial" w:hAnsi="Arial"/>
                <w:sz w:val="14"/>
                <w:szCs w:val="14"/>
                <w:color w:val="auto"/>
              </w:rPr>
              <w:t>John J. Koraleski</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ind w:left="32"/>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80" w:type="dxa"/>
            <w:vAlign w:val="bottom"/>
          </w:tcPr>
          <w:p>
            <w:pPr>
              <w:spacing w:after="0"/>
              <w:rPr>
                <w:sz w:val="24"/>
                <w:szCs w:val="24"/>
                <w:color w:val="auto"/>
              </w:rPr>
            </w:pPr>
          </w:p>
        </w:tc>
        <w:tc>
          <w:tcPr>
            <w:tcW w:w="3920" w:type="dxa"/>
            <w:vAlign w:val="bottom"/>
          </w:tcPr>
          <w:p>
            <w:pPr>
              <w:ind w:left="40"/>
              <w:spacing w:after="0"/>
              <w:rPr>
                <w:sz w:val="20"/>
                <w:szCs w:val="20"/>
                <w:color w:val="auto"/>
              </w:rPr>
            </w:pPr>
            <w:r>
              <w:rPr>
                <w:rFonts w:ascii="Arial" w:cs="Arial" w:eastAsia="Arial" w:hAnsi="Arial"/>
                <w:sz w:val="14"/>
                <w:szCs w:val="14"/>
                <w:color w:val="auto"/>
              </w:rPr>
              <w:t>C. Howard Nye</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ind w:left="32"/>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80" w:type="dxa"/>
            <w:vAlign w:val="bottom"/>
          </w:tcPr>
          <w:p>
            <w:pPr>
              <w:spacing w:after="0"/>
              <w:rPr>
                <w:sz w:val="24"/>
                <w:szCs w:val="24"/>
                <w:color w:val="auto"/>
              </w:rPr>
            </w:pPr>
          </w:p>
        </w:tc>
        <w:tc>
          <w:tcPr>
            <w:tcW w:w="3920" w:type="dxa"/>
            <w:vAlign w:val="bottom"/>
          </w:tcPr>
          <w:p>
            <w:pPr>
              <w:ind w:left="40"/>
              <w:spacing w:after="0"/>
              <w:rPr>
                <w:sz w:val="20"/>
                <w:szCs w:val="20"/>
                <w:color w:val="auto"/>
              </w:rPr>
            </w:pPr>
            <w:r>
              <w:rPr>
                <w:rFonts w:ascii="Arial" w:cs="Arial" w:eastAsia="Arial" w:hAnsi="Arial"/>
                <w:sz w:val="14"/>
                <w:szCs w:val="14"/>
                <w:color w:val="auto"/>
              </w:rPr>
              <w:t>Laree E. Perez</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ind w:left="32"/>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80" w:type="dxa"/>
            <w:vAlign w:val="bottom"/>
          </w:tcPr>
          <w:p>
            <w:pPr>
              <w:spacing w:after="0"/>
              <w:rPr>
                <w:sz w:val="24"/>
                <w:szCs w:val="24"/>
                <w:color w:val="auto"/>
              </w:rPr>
            </w:pPr>
          </w:p>
        </w:tc>
        <w:tc>
          <w:tcPr>
            <w:tcW w:w="3920" w:type="dxa"/>
            <w:vAlign w:val="bottom"/>
          </w:tcPr>
          <w:p>
            <w:pPr>
              <w:ind w:left="40"/>
              <w:spacing w:after="0"/>
              <w:rPr>
                <w:sz w:val="20"/>
                <w:szCs w:val="20"/>
                <w:color w:val="auto"/>
              </w:rPr>
            </w:pPr>
            <w:r>
              <w:rPr>
                <w:rFonts w:ascii="Arial" w:cs="Arial" w:eastAsia="Arial" w:hAnsi="Arial"/>
                <w:sz w:val="14"/>
                <w:szCs w:val="14"/>
                <w:color w:val="auto"/>
              </w:rPr>
              <w:t>Michael J. Quillen</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ind w:left="32"/>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80" w:type="dxa"/>
            <w:vAlign w:val="bottom"/>
          </w:tcPr>
          <w:p>
            <w:pPr>
              <w:spacing w:after="0"/>
              <w:rPr>
                <w:sz w:val="24"/>
                <w:szCs w:val="24"/>
                <w:color w:val="auto"/>
              </w:rPr>
            </w:pPr>
          </w:p>
        </w:tc>
        <w:tc>
          <w:tcPr>
            <w:tcW w:w="3920" w:type="dxa"/>
            <w:vAlign w:val="bottom"/>
          </w:tcPr>
          <w:p>
            <w:pPr>
              <w:ind w:left="40"/>
              <w:spacing w:after="0"/>
              <w:rPr>
                <w:sz w:val="20"/>
                <w:szCs w:val="20"/>
                <w:color w:val="auto"/>
              </w:rPr>
            </w:pPr>
            <w:r>
              <w:rPr>
                <w:rFonts w:ascii="Arial" w:cs="Arial" w:eastAsia="Arial" w:hAnsi="Arial"/>
                <w:sz w:val="14"/>
                <w:szCs w:val="14"/>
                <w:color w:val="auto"/>
              </w:rPr>
              <w:t>Donald W. Slager</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ind w:left="32"/>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80" w:type="dxa"/>
            <w:vAlign w:val="bottom"/>
          </w:tcPr>
          <w:p>
            <w:pPr>
              <w:spacing w:after="0"/>
              <w:rPr>
                <w:sz w:val="24"/>
                <w:szCs w:val="24"/>
                <w:color w:val="auto"/>
              </w:rPr>
            </w:pPr>
          </w:p>
        </w:tc>
        <w:tc>
          <w:tcPr>
            <w:tcW w:w="3920" w:type="dxa"/>
            <w:vAlign w:val="bottom"/>
          </w:tcPr>
          <w:p>
            <w:pPr>
              <w:ind w:left="40"/>
              <w:spacing w:after="0"/>
              <w:rPr>
                <w:sz w:val="20"/>
                <w:szCs w:val="20"/>
                <w:color w:val="auto"/>
              </w:rPr>
            </w:pPr>
            <w:r>
              <w:rPr>
                <w:rFonts w:ascii="Arial" w:cs="Arial" w:eastAsia="Arial" w:hAnsi="Arial"/>
                <w:sz w:val="14"/>
                <w:szCs w:val="14"/>
                <w:color w:val="auto"/>
              </w:rPr>
              <w:t>Stephen P. Zelnak, Jr.</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ind w:left="32"/>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43"/>
        </w:trPr>
        <w:tc>
          <w:tcPr>
            <w:tcW w:w="180" w:type="dxa"/>
            <w:vAlign w:val="bottom"/>
          </w:tcPr>
          <w:p>
            <w:pPr>
              <w:jc w:val="right"/>
              <w:spacing w:after="0"/>
              <w:rPr>
                <w:sz w:val="20"/>
                <w:szCs w:val="20"/>
                <w:color w:val="auto"/>
              </w:rPr>
            </w:pPr>
            <w:r>
              <w:rPr>
                <w:rFonts w:ascii="Arial" w:cs="Arial" w:eastAsia="Arial" w:hAnsi="Arial"/>
                <w:sz w:val="14"/>
                <w:szCs w:val="14"/>
                <w:color w:val="auto"/>
                <w:w w:val="85"/>
              </w:rPr>
              <w:t>2.</w:t>
            </w:r>
          </w:p>
        </w:tc>
        <w:tc>
          <w:tcPr>
            <w:tcW w:w="3920" w:type="dxa"/>
            <w:vAlign w:val="bottom"/>
          </w:tcPr>
          <w:p>
            <w:pPr>
              <w:ind w:left="40"/>
              <w:spacing w:after="0"/>
              <w:rPr>
                <w:sz w:val="20"/>
                <w:szCs w:val="20"/>
                <w:color w:val="auto"/>
              </w:rPr>
            </w:pPr>
            <w:r>
              <w:rPr>
                <w:rFonts w:ascii="Arial" w:cs="Arial" w:eastAsia="Arial" w:hAnsi="Arial"/>
                <w:sz w:val="14"/>
                <w:szCs w:val="14"/>
                <w:color w:val="auto"/>
              </w:rPr>
              <w:t>Ratification of selection of PricewaterhouseCoopers as</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ind w:left="32"/>
              <w:spacing w:after="0" w:line="181" w:lineRule="exact"/>
              <w:rPr>
                <w:sz w:val="20"/>
                <w:szCs w:val="20"/>
                <w:color w:val="auto"/>
              </w:rPr>
            </w:pPr>
            <w:r>
              <w:rPr>
                <w:rFonts w:ascii="MS PGothic" w:cs="MS PGothic" w:eastAsia="MS PGothic" w:hAnsi="MS PGothic"/>
                <w:sz w:val="18"/>
                <w:szCs w:val="18"/>
                <w:color w:val="auto"/>
                <w:w w:val="88"/>
              </w:rPr>
              <w:t>☐</w:t>
            </w:r>
          </w:p>
        </w:tc>
      </w:tr>
      <w:tr>
        <w:trPr>
          <w:trHeight w:val="182"/>
        </w:trPr>
        <w:tc>
          <w:tcPr>
            <w:tcW w:w="180" w:type="dxa"/>
            <w:vAlign w:val="bottom"/>
          </w:tcPr>
          <w:p>
            <w:pPr>
              <w:spacing w:after="0"/>
              <w:rPr>
                <w:sz w:val="15"/>
                <w:szCs w:val="15"/>
                <w:color w:val="auto"/>
              </w:rPr>
            </w:pPr>
          </w:p>
        </w:tc>
        <w:tc>
          <w:tcPr>
            <w:tcW w:w="3920" w:type="dxa"/>
            <w:vAlign w:val="bottom"/>
          </w:tcPr>
          <w:p>
            <w:pPr>
              <w:ind w:left="40"/>
              <w:spacing w:after="0"/>
              <w:rPr>
                <w:sz w:val="20"/>
                <w:szCs w:val="20"/>
                <w:color w:val="auto"/>
              </w:rPr>
            </w:pPr>
            <w:r>
              <w:rPr>
                <w:rFonts w:ascii="Arial" w:cs="Arial" w:eastAsia="Arial" w:hAnsi="Arial"/>
                <w:sz w:val="14"/>
                <w:szCs w:val="14"/>
                <w:color w:val="auto"/>
              </w:rPr>
              <w:t>independent auditors.</w:t>
            </w: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0"/>
        </w:trPr>
        <w:tc>
          <w:tcPr>
            <w:tcW w:w="180" w:type="dxa"/>
            <w:vAlign w:val="bottom"/>
          </w:tcPr>
          <w:p>
            <w:pPr>
              <w:jc w:val="right"/>
              <w:spacing w:after="0"/>
              <w:rPr>
                <w:sz w:val="20"/>
                <w:szCs w:val="20"/>
                <w:color w:val="auto"/>
              </w:rPr>
            </w:pPr>
            <w:r>
              <w:rPr>
                <w:rFonts w:ascii="Arial" w:cs="Arial" w:eastAsia="Arial" w:hAnsi="Arial"/>
                <w:sz w:val="14"/>
                <w:szCs w:val="14"/>
                <w:color w:val="auto"/>
                <w:w w:val="85"/>
              </w:rPr>
              <w:t>3.</w:t>
            </w:r>
          </w:p>
        </w:tc>
        <w:tc>
          <w:tcPr>
            <w:tcW w:w="3920" w:type="dxa"/>
            <w:vAlign w:val="bottom"/>
          </w:tcPr>
          <w:p>
            <w:pPr>
              <w:ind w:left="40"/>
              <w:spacing w:after="0"/>
              <w:rPr>
                <w:sz w:val="20"/>
                <w:szCs w:val="20"/>
                <w:color w:val="auto"/>
              </w:rPr>
            </w:pPr>
            <w:r>
              <w:rPr>
                <w:rFonts w:ascii="Arial" w:cs="Arial" w:eastAsia="Arial" w:hAnsi="Arial"/>
                <w:sz w:val="14"/>
                <w:szCs w:val="14"/>
                <w:color w:val="auto"/>
                <w:w w:val="95"/>
              </w:rPr>
              <w:t>Approval, by a non-binding advisory vote, of the compensation of</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ind w:left="32"/>
              <w:spacing w:after="0" w:line="181" w:lineRule="exact"/>
              <w:rPr>
                <w:sz w:val="20"/>
                <w:szCs w:val="20"/>
                <w:color w:val="auto"/>
              </w:rPr>
            </w:pPr>
            <w:r>
              <w:rPr>
                <w:rFonts w:ascii="MS PGothic" w:cs="MS PGothic" w:eastAsia="MS PGothic" w:hAnsi="MS PGothic"/>
                <w:sz w:val="18"/>
                <w:szCs w:val="18"/>
                <w:color w:val="auto"/>
                <w:w w:val="88"/>
              </w:rPr>
              <w:t>☐</w:t>
            </w:r>
          </w:p>
        </w:tc>
      </w:tr>
      <w:tr>
        <w:trPr>
          <w:trHeight w:val="182"/>
        </w:trPr>
        <w:tc>
          <w:tcPr>
            <w:tcW w:w="180" w:type="dxa"/>
            <w:vAlign w:val="bottom"/>
          </w:tcPr>
          <w:p>
            <w:pPr>
              <w:spacing w:after="0"/>
              <w:rPr>
                <w:sz w:val="15"/>
                <w:szCs w:val="15"/>
                <w:color w:val="auto"/>
              </w:rPr>
            </w:pPr>
          </w:p>
        </w:tc>
        <w:tc>
          <w:tcPr>
            <w:tcW w:w="3920" w:type="dxa"/>
            <w:vAlign w:val="bottom"/>
          </w:tcPr>
          <w:p>
            <w:pPr>
              <w:ind w:left="40"/>
              <w:spacing w:after="0"/>
              <w:rPr>
                <w:sz w:val="20"/>
                <w:szCs w:val="20"/>
                <w:color w:val="auto"/>
              </w:rPr>
            </w:pPr>
            <w:r>
              <w:rPr>
                <w:rFonts w:ascii="Arial" w:cs="Arial" w:eastAsia="Arial" w:hAnsi="Arial"/>
                <w:sz w:val="14"/>
                <w:szCs w:val="14"/>
                <w:color w:val="auto"/>
              </w:rPr>
              <w:t>Martin Marietta Materials, Inc.’s named executive officers.</w:t>
            </w: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r>
    </w:tbl>
    <w:p>
      <w:pPr>
        <w:spacing w:after="0" w:line="89" w:lineRule="exact"/>
        <w:rPr>
          <w:sz w:val="20"/>
          <w:szCs w:val="20"/>
          <w:color w:val="auto"/>
        </w:rPr>
      </w:pPr>
    </w:p>
    <w:p>
      <w:pPr>
        <w:ind w:left="220" w:right="240" w:hanging="211"/>
        <w:spacing w:after="0" w:line="252" w:lineRule="auto"/>
        <w:tabs>
          <w:tab w:leader="none" w:pos="220" w:val="left"/>
        </w:tabs>
        <w:numPr>
          <w:ilvl w:val="0"/>
          <w:numId w:val="167"/>
        </w:numPr>
        <w:rPr>
          <w:rFonts w:ascii="Arial" w:cs="Arial" w:eastAsia="Arial" w:hAnsi="Arial"/>
          <w:sz w:val="14"/>
          <w:szCs w:val="14"/>
          <w:color w:val="auto"/>
        </w:rPr>
      </w:pPr>
      <w:r>
        <w:rPr>
          <w:rFonts w:ascii="Arial" w:cs="Arial" w:eastAsia="Arial" w:hAnsi="Arial"/>
          <w:sz w:val="14"/>
          <w:szCs w:val="14"/>
          <w:color w:val="auto"/>
        </w:rPr>
        <w:t>In their discretion, the proxies are authorized to vote upon such other business as may properly come before the meeting, or any adjournments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3089275</wp:posOffset>
            </wp:positionH>
            <wp:positionV relativeFrom="paragraph">
              <wp:posOffset>833755</wp:posOffset>
            </wp:positionV>
            <wp:extent cx="702310" cy="1543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02310" cy="154305"/>
                    </a:xfrm>
                    <a:prstGeom prst="rect">
                      <a:avLst/>
                    </a:prstGeom>
                    <a:noFill/>
                  </pic:spPr>
                </pic:pic>
              </a:graphicData>
            </a:graphic>
          </wp:anchor>
        </w:drawing>
      </w:r>
    </w:p>
    <w:p>
      <w:pPr>
        <w:spacing w:after="0" w:line="1293" w:lineRule="exact"/>
        <w:rPr>
          <w:sz w:val="20"/>
          <w:szCs w:val="20"/>
          <w:color w:val="auto"/>
        </w:rPr>
      </w:pPr>
    </w:p>
    <w:p>
      <w:pPr>
        <w:sectPr>
          <w:pgSz w:w="11900" w:h="16838" w:orient="portrait"/>
          <w:cols w:equalWidth="0" w:num="2">
            <w:col w:w="5140" w:space="120"/>
            <w:col w:w="5920"/>
          </w:cols>
          <w:pgMar w:left="240" w:top="459" w:right="479" w:bottom="1057" w:gutter="0" w:footer="0" w:header="0"/>
          <w:type w:val="continuous"/>
        </w:sectPr>
      </w:pPr>
    </w:p>
    <w:tbl>
      <w:tblPr>
        <w:tblLayout w:type="fixed"/>
        <w:tblInd w:w="220" w:type="dxa"/>
        <w:tblCellMar>
          <w:top w:w="0" w:type="dxa"/>
          <w:left w:w="0" w:type="dxa"/>
          <w:bottom w:w="0" w:type="dxa"/>
          <w:right w:w="0" w:type="dxa"/>
        </w:tblCellMar>
      </w:tblPr>
      <w:tr>
        <w:trPr>
          <w:trHeight w:val="229"/>
        </w:trPr>
        <w:tc>
          <w:tcPr>
            <w:tcW w:w="16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Signature of Shareholder</w:t>
            </w:r>
          </w:p>
        </w:tc>
        <w:tc>
          <w:tcPr>
            <w:tcW w:w="2300" w:type="dxa"/>
            <w:vAlign w:val="bottom"/>
            <w:tcBorders>
              <w:top w:val="single" w:sz="8" w:color="auto"/>
              <w:bottom w:val="single" w:sz="8" w:color="auto"/>
              <w:right w:val="single" w:sz="8" w:color="auto"/>
            </w:tcBorders>
          </w:tcPr>
          <w:p>
            <w:pPr>
              <w:spacing w:after="0"/>
              <w:rPr>
                <w:sz w:val="19"/>
                <w:szCs w:val="19"/>
                <w:color w:val="auto"/>
              </w:rPr>
            </w:pPr>
          </w:p>
        </w:tc>
        <w:tc>
          <w:tcPr>
            <w:tcW w:w="4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5"/>
              </w:rPr>
              <w:t>Date:</w:t>
            </w:r>
          </w:p>
        </w:tc>
        <w:tc>
          <w:tcPr>
            <w:tcW w:w="1100" w:type="dxa"/>
            <w:vAlign w:val="bottom"/>
            <w:tcBorders>
              <w:top w:val="single" w:sz="8" w:color="auto"/>
              <w:bottom w:val="single" w:sz="8" w:color="auto"/>
              <w:right w:val="single" w:sz="8" w:color="auto"/>
            </w:tcBorders>
          </w:tcPr>
          <w:p>
            <w:pPr>
              <w:spacing w:after="0"/>
              <w:rPr>
                <w:sz w:val="19"/>
                <w:szCs w:val="19"/>
                <w:color w:val="auto"/>
              </w:rPr>
            </w:pPr>
          </w:p>
        </w:tc>
        <w:tc>
          <w:tcPr>
            <w:tcW w:w="174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Signature of Shareholder</w:t>
            </w:r>
          </w:p>
        </w:tc>
        <w:tc>
          <w:tcPr>
            <w:tcW w:w="2200" w:type="dxa"/>
            <w:vAlign w:val="bottom"/>
            <w:tcBorders>
              <w:top w:val="single" w:sz="8" w:color="auto"/>
              <w:bottom w:val="single" w:sz="8" w:color="auto"/>
              <w:right w:val="single" w:sz="8" w:color="auto"/>
            </w:tcBorders>
          </w:tcPr>
          <w:p>
            <w:pPr>
              <w:spacing w:after="0"/>
              <w:rPr>
                <w:sz w:val="19"/>
                <w:szCs w:val="19"/>
                <w:color w:val="auto"/>
              </w:rPr>
            </w:pPr>
          </w:p>
        </w:tc>
        <w:tc>
          <w:tcPr>
            <w:tcW w:w="400" w:type="dxa"/>
            <w:vAlign w:val="bottom"/>
          </w:tcPr>
          <w:p>
            <w:pPr>
              <w:ind w:left="100"/>
              <w:spacing w:after="0"/>
              <w:rPr>
                <w:sz w:val="20"/>
                <w:szCs w:val="20"/>
                <w:color w:val="auto"/>
              </w:rPr>
            </w:pPr>
            <w:r>
              <w:rPr>
                <w:rFonts w:ascii="Arial" w:cs="Arial" w:eastAsia="Arial" w:hAnsi="Arial"/>
                <w:sz w:val="14"/>
                <w:szCs w:val="14"/>
                <w:color w:val="auto"/>
                <w:w w:val="83"/>
              </w:rPr>
              <w:t>Date:</w:t>
            </w:r>
          </w:p>
        </w:tc>
      </w:tr>
    </w:tbl>
    <w:p>
      <w:pPr>
        <w:spacing w:after="0" w:line="99" w:lineRule="exact"/>
        <w:rPr>
          <w:sz w:val="20"/>
          <w:szCs w:val="20"/>
          <w:color w:val="auto"/>
        </w:rPr>
      </w:pPr>
    </w:p>
    <w:p>
      <w:pPr>
        <w:ind w:left="880" w:right="280" w:hanging="439"/>
        <w:spacing w:after="0" w:line="237" w:lineRule="auto"/>
        <w:tabs>
          <w:tab w:leader="none" w:pos="860" w:val="left"/>
        </w:tabs>
        <w:rPr>
          <w:sz w:val="20"/>
          <w:szCs w:val="20"/>
          <w:color w:val="auto"/>
        </w:rPr>
      </w:pPr>
      <w:r>
        <w:rPr>
          <w:rFonts w:ascii="Arial" w:cs="Arial" w:eastAsia="Arial" w:hAnsi="Arial"/>
          <w:sz w:val="14"/>
          <w:szCs w:val="14"/>
          <w:b w:val="1"/>
          <w:bCs w:val="1"/>
          <w:color w:val="auto"/>
        </w:rPr>
        <w:t>Note:</w:t>
      </w:r>
      <w:r>
        <w:rPr>
          <w:sz w:val="20"/>
          <w:szCs w:val="20"/>
          <w:color w:val="auto"/>
        </w:rPr>
        <w:tab/>
      </w:r>
      <w:r>
        <w:rPr>
          <w:rFonts w:ascii="Arial" w:cs="Arial" w:eastAsia="Arial" w:hAnsi="Arial"/>
          <w:sz w:val="14"/>
          <w:szCs w:val="14"/>
          <w:color w:val="auto"/>
        </w:rPr>
        <w:t>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ectPr>
          <w:pgSz w:w="11900" w:h="16838" w:orient="portrait"/>
          <w:cols w:equalWidth="0" w:num="1">
            <w:col w:w="11180"/>
          </w:cols>
          <w:pgMar w:left="240" w:top="459" w:right="479" w:bottom="1057"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ANNUAL MEETING OF SHAREHOLDERS OF</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MARTIN MARIETTA MATERIALS, INC.</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May 9, 2019</w:t>
      </w:r>
    </w:p>
    <w:p>
      <w:pPr>
        <w:spacing w:after="0" w:line="112"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auto"/>
        </w:rPr>
        <w:t>GO GREEN</w:t>
      </w:r>
    </w:p>
    <w:p>
      <w:pPr>
        <w:spacing w:after="0" w:line="3" w:lineRule="exact"/>
        <w:rPr>
          <w:sz w:val="20"/>
          <w:szCs w:val="20"/>
          <w:color w:val="auto"/>
        </w:rPr>
      </w:pPr>
    </w:p>
    <w:p>
      <w:pPr>
        <w:ind w:left="2760" w:right="2540"/>
        <w:spacing w:after="0" w:line="232" w:lineRule="auto"/>
        <w:rPr>
          <w:sz w:val="20"/>
          <w:szCs w:val="20"/>
          <w:color w:val="auto"/>
        </w:rPr>
      </w:pPr>
      <w:r>
        <w:rPr>
          <w:rFonts w:ascii="Arial" w:cs="Arial" w:eastAsia="Arial" w:hAnsi="Arial"/>
          <w:sz w:val="14"/>
          <w:szCs w:val="14"/>
          <w:color w:val="auto"/>
        </w:rPr>
        <w:t>e-Consent makes it easy to go paperless. With e-Consent, you can quickly access your proxy material, statements and other eligible documents online, while reducing costs, clutter and paper waste. Enroll today via www.astfinancial.com to enjoy online access.</w:t>
      </w:r>
    </w:p>
    <w:p>
      <w:pPr>
        <w:spacing w:after="0" w:line="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u w:val="single" w:color="auto"/>
          <w:color w:val="auto"/>
        </w:rPr>
        <w:t>NOTICE OF INTERNET AVAILABILITY OF PROXY MATERIAL</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The proxy statement, form of proxy card and 2018 Annual Report to Shareholders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are available for review on the Internet at http://ir.martinmarietta.com/investor-relations/reports-filings</w:t>
      </w:r>
    </w:p>
    <w:p>
      <w:pPr>
        <w:spacing w:after="0" w:line="1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Please sign, date and mail</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your proxy card in the</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envelope provided as soon</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as possible.</w:t>
      </w:r>
    </w:p>
    <w:p>
      <w:pPr>
        <w:spacing w:after="0" w:line="10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i Please detach along perforated line and mail in the envelope provided. i</w:t>
      </w:r>
    </w:p>
    <w:p>
      <w:pPr>
        <w:spacing w:after="0" w:line="130" w:lineRule="exact"/>
        <w:rPr>
          <w:sz w:val="20"/>
          <w:szCs w:val="20"/>
          <w:color w:val="auto"/>
        </w:rPr>
      </w:pPr>
    </w:p>
    <w:p>
      <w:pPr>
        <w:ind w:left="740"/>
        <w:spacing w:after="0"/>
        <w:tabs>
          <w:tab w:leader="none" w:pos="6940" w:val="left"/>
        </w:tabs>
        <w:rPr>
          <w:sz w:val="20"/>
          <w:szCs w:val="20"/>
          <w:color w:val="auto"/>
        </w:rPr>
      </w:pPr>
      <w:r>
        <w:rPr>
          <w:rFonts w:ascii="Arial" w:cs="Arial" w:eastAsia="Arial" w:hAnsi="Arial"/>
          <w:sz w:val="18"/>
          <w:szCs w:val="18"/>
          <w:color w:val="auto"/>
        </w:rPr>
        <w:t>00033333333333000000 9</w:t>
      </w:r>
      <w:r>
        <w:rPr>
          <w:sz w:val="20"/>
          <w:szCs w:val="20"/>
          <w:color w:val="auto"/>
        </w:rPr>
        <w:tab/>
      </w:r>
      <w:r>
        <w:rPr>
          <w:rFonts w:ascii="Arial" w:cs="Arial" w:eastAsia="Arial" w:hAnsi="Arial"/>
          <w:sz w:val="15"/>
          <w:szCs w:val="15"/>
          <w:color w:val="auto"/>
        </w:rPr>
        <w:t>050919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89535</wp:posOffset>
            </wp:positionV>
            <wp:extent cx="6993890" cy="393382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3890" cy="3933825"/>
                    </a:xfrm>
                    <a:prstGeom prst="rect">
                      <a:avLst/>
                    </a:prstGeom>
                    <a:noFill/>
                  </pic:spPr>
                </pic:pic>
              </a:graphicData>
            </a:graphic>
          </wp:anchor>
        </w:drawing>
      </w:r>
    </w:p>
    <w:p>
      <w:pPr>
        <w:spacing w:after="0" w:line="156"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auto"/>
        </w:rPr>
        <w:t>YOU DO NOT NEED TO MARK ANY BOXES IF YOU WISH TO VOTE IN ACCORDANCE WITH THE BOARD OF DIRECTORS’</w:t>
      </w:r>
    </w:p>
    <w:p>
      <w:pPr>
        <w:jc w:val="center"/>
        <w:ind w:right="-239"/>
        <w:spacing w:after="0" w:line="226" w:lineRule="auto"/>
        <w:rPr>
          <w:sz w:val="20"/>
          <w:szCs w:val="20"/>
          <w:color w:val="auto"/>
        </w:rPr>
      </w:pPr>
      <w:r>
        <w:rPr>
          <w:rFonts w:ascii="Arial" w:cs="Arial" w:eastAsia="Arial" w:hAnsi="Arial"/>
          <w:sz w:val="14"/>
          <w:szCs w:val="14"/>
          <w:b w:val="1"/>
          <w:bCs w:val="1"/>
          <w:color w:val="auto"/>
        </w:rPr>
        <w:t>RECOMMENDATIONS.</w:t>
      </w:r>
    </w:p>
    <w:p>
      <w:pPr>
        <w:jc w:val="center"/>
        <w:ind w:right="-239"/>
        <w:spacing w:after="0" w:line="224" w:lineRule="auto"/>
        <w:rPr>
          <w:sz w:val="20"/>
          <w:szCs w:val="20"/>
          <w:color w:val="auto"/>
        </w:rPr>
      </w:pPr>
      <w:r>
        <w:rPr>
          <w:rFonts w:ascii="Arial" w:cs="Arial" w:eastAsia="Arial" w:hAnsi="Arial"/>
          <w:sz w:val="14"/>
          <w:szCs w:val="14"/>
          <w:b w:val="1"/>
          <w:bCs w:val="1"/>
          <w:color w:val="auto"/>
        </w:rPr>
        <w:t>THE BOARD OF DIRECTORS RECOMMENDS YOU VOTE “FOR” ITEMS 1, 2 AND 3.</w:t>
      </w:r>
    </w:p>
    <w:p>
      <w:pPr>
        <w:ind w:left="380"/>
        <w:spacing w:after="0" w:line="196" w:lineRule="exact"/>
        <w:rPr>
          <w:sz w:val="20"/>
          <w:szCs w:val="20"/>
          <w:color w:val="auto"/>
        </w:rPr>
      </w:pPr>
      <w:r>
        <w:rPr>
          <w:rFonts w:ascii="Arial" w:cs="Arial" w:eastAsia="Arial" w:hAnsi="Arial"/>
          <w:sz w:val="14"/>
          <w:szCs w:val="14"/>
          <w:b w:val="1"/>
          <w:bCs w:val="1"/>
          <w:color w:val="auto"/>
        </w:rPr>
        <w:t xml:space="preserve">PLEASE SIGN, DATE AND RETURN PROMPTLY IN THE ENCLOSED ENVELOPE. PLEASE MARK YOUR VOTE IN BLUE OR BLACK INK AS SHOWN HERE </w:t>
      </w:r>
      <w:r>
        <w:rPr>
          <w:rFonts w:ascii="MS PGothic" w:cs="MS PGothic" w:eastAsia="MS PGothic" w:hAnsi="MS PGothic"/>
          <w:sz w:val="17"/>
          <w:szCs w:val="17"/>
          <w:color w:val="auto"/>
          <w:highlight w:val="black"/>
        </w:rPr>
        <w:t>☒</w:t>
      </w:r>
    </w:p>
    <w:p>
      <w:pPr>
        <w:sectPr>
          <w:pgSz w:w="11900" w:h="16838" w:orient="portrait"/>
          <w:cols w:equalWidth="0" w:num="1">
            <w:col w:w="11180"/>
          </w:cols>
          <w:pgMar w:left="240" w:top="459" w:right="479" w:bottom="1440" w:gutter="0" w:footer="0" w:header="0"/>
        </w:sectPr>
      </w:pPr>
    </w:p>
    <w:p>
      <w:pPr>
        <w:spacing w:after="0" w:line="128" w:lineRule="exact"/>
        <w:rPr>
          <w:sz w:val="20"/>
          <w:szCs w:val="20"/>
          <w:color w:val="auto"/>
        </w:rPr>
      </w:pPr>
    </w:p>
    <w:p>
      <w:pPr>
        <w:ind w:left="360"/>
        <w:spacing w:after="0" w:line="228" w:lineRule="auto"/>
        <w:rPr>
          <w:sz w:val="20"/>
          <w:szCs w:val="20"/>
          <w:color w:val="auto"/>
        </w:rPr>
      </w:pPr>
      <w:r>
        <w:rPr>
          <w:rFonts w:ascii="Arial" w:cs="Arial" w:eastAsia="Arial" w:hAnsi="Arial"/>
          <w:sz w:val="14"/>
          <w:szCs w:val="14"/>
          <w:color w:val="auto"/>
        </w:rPr>
        <w:t xml:space="preserve">This proxy is solicited by the Board of Directors of Martin Marietta Materials, Inc. and when properly executed will be voted as specified herein and, unless otherwise directed, will be voted </w:t>
      </w:r>
      <w:r>
        <w:rPr>
          <w:rFonts w:ascii="Arial" w:cs="Arial" w:eastAsia="Arial" w:hAnsi="Arial"/>
          <w:sz w:val="14"/>
          <w:szCs w:val="14"/>
          <w:b w:val="1"/>
          <w:bCs w:val="1"/>
          <w:color w:val="auto"/>
        </w:rPr>
        <w:t>FOR</w:t>
      </w:r>
      <w:r>
        <w:rPr>
          <w:rFonts w:ascii="Arial" w:cs="Arial" w:eastAsia="Arial" w:hAnsi="Arial"/>
          <w:sz w:val="14"/>
          <w:szCs w:val="14"/>
          <w:color w:val="auto"/>
        </w:rPr>
        <w:t xml:space="preserve"> the election of all nominees as Directors, </w:t>
      </w:r>
      <w:r>
        <w:rPr>
          <w:rFonts w:ascii="Arial" w:cs="Arial" w:eastAsia="Arial" w:hAnsi="Arial"/>
          <w:sz w:val="14"/>
          <w:szCs w:val="14"/>
          <w:b w:val="1"/>
          <w:bCs w:val="1"/>
          <w:color w:val="auto"/>
        </w:rPr>
        <w:t>FOR</w:t>
      </w:r>
      <w:r>
        <w:rPr>
          <w:rFonts w:ascii="Arial" w:cs="Arial" w:eastAsia="Arial" w:hAnsi="Arial"/>
          <w:sz w:val="14"/>
          <w:szCs w:val="14"/>
          <w:color w:val="auto"/>
        </w:rPr>
        <w:t xml:space="preserve"> the ratification of the selection of PricewaterhouseCoopers as independent auditors, and </w:t>
      </w:r>
      <w:r>
        <w:rPr>
          <w:rFonts w:ascii="Arial" w:cs="Arial" w:eastAsia="Arial" w:hAnsi="Arial"/>
          <w:sz w:val="14"/>
          <w:szCs w:val="14"/>
          <w:b w:val="1"/>
          <w:bCs w:val="1"/>
          <w:color w:val="auto"/>
        </w:rPr>
        <w:t>FOR</w:t>
      </w:r>
      <w:r>
        <w:rPr>
          <w:rFonts w:ascii="Arial" w:cs="Arial" w:eastAsia="Arial" w:hAnsi="Arial"/>
          <w:sz w:val="14"/>
          <w:szCs w:val="14"/>
          <w:color w:val="auto"/>
        </w:rPr>
        <w:t xml:space="preserve"> the approval, by a non-binding advisory vote, of the compensation of our named executive officers. The Board of Directors recommends voting </w:t>
      </w:r>
      <w:r>
        <w:rPr>
          <w:rFonts w:ascii="Arial" w:cs="Arial" w:eastAsia="Arial" w:hAnsi="Arial"/>
          <w:sz w:val="14"/>
          <w:szCs w:val="14"/>
          <w:b w:val="1"/>
          <w:bCs w:val="1"/>
          <w:color w:val="auto"/>
        </w:rPr>
        <w:t>FOR</w:t>
      </w:r>
      <w:r>
        <w:rPr>
          <w:rFonts w:ascii="Arial" w:cs="Arial" w:eastAsia="Arial" w:hAnsi="Arial"/>
          <w:sz w:val="14"/>
          <w:szCs w:val="14"/>
          <w:color w:val="auto"/>
        </w:rPr>
        <w:t xml:space="preserve"> each item.</w:t>
      </w:r>
    </w:p>
    <w:p>
      <w:pPr>
        <w:spacing w:after="0" w:line="211" w:lineRule="exact"/>
        <w:rPr>
          <w:sz w:val="20"/>
          <w:szCs w:val="20"/>
          <w:color w:val="auto"/>
        </w:rPr>
      </w:pPr>
    </w:p>
    <w:p>
      <w:pPr>
        <w:ind w:left="360" w:right="200"/>
        <w:spacing w:after="0" w:line="252" w:lineRule="auto"/>
        <w:rPr>
          <w:sz w:val="20"/>
          <w:szCs w:val="20"/>
          <w:color w:val="auto"/>
        </w:rPr>
      </w:pPr>
      <w:r>
        <w:rPr>
          <w:rFonts w:ascii="Arial" w:cs="Arial" w:eastAsia="Arial" w:hAnsi="Arial"/>
          <w:sz w:val="14"/>
          <w:szCs w:val="14"/>
          <w:color w:val="auto"/>
        </w:rPr>
        <w:t>Receipt of Notice of Annual Meeting of Shareholders and accompanying Proxy Statement is hereby acknowledged.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To change the address on your account, please check the box at right and</w:t>
      </w:r>
    </w:p>
    <w:p>
      <w:pPr>
        <w:ind w:left="220" w:right="80"/>
        <w:spacing w:after="0" w:line="159" w:lineRule="exact"/>
        <w:rPr>
          <w:sz w:val="20"/>
          <w:szCs w:val="20"/>
          <w:color w:val="auto"/>
        </w:rPr>
      </w:pPr>
      <w:r>
        <w:rPr>
          <w:rFonts w:ascii="Arial" w:cs="Arial" w:eastAsia="Arial" w:hAnsi="Arial"/>
          <w:sz w:val="13"/>
          <w:szCs w:val="13"/>
          <w:color w:val="auto"/>
        </w:rPr>
        <w:t xml:space="preserve">indicate your new address in the address space above. Please note that changes </w:t>
      </w:r>
      <w:r>
        <w:rPr>
          <w:rFonts w:ascii="MS PGothic" w:cs="MS PGothic" w:eastAsia="MS PGothic" w:hAnsi="MS PGothic"/>
          <w:sz w:val="15"/>
          <w:szCs w:val="15"/>
          <w:color w:val="auto"/>
        </w:rPr>
        <w:t>☐</w:t>
      </w:r>
      <w:r>
        <w:rPr>
          <w:rFonts w:ascii="Arial" w:cs="Arial" w:eastAsia="Arial" w:hAnsi="Arial"/>
          <w:sz w:val="13"/>
          <w:szCs w:val="13"/>
          <w:color w:val="auto"/>
        </w:rPr>
        <w:t xml:space="preserve"> to the registered name(s) on the account may not be submitted via this method.</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80" w:type="dxa"/>
            <w:vAlign w:val="bottom"/>
          </w:tcPr>
          <w:p>
            <w:pPr>
              <w:jc w:val="right"/>
              <w:spacing w:after="0"/>
              <w:rPr>
                <w:sz w:val="20"/>
                <w:szCs w:val="20"/>
                <w:color w:val="auto"/>
              </w:rPr>
            </w:pPr>
            <w:r>
              <w:rPr>
                <w:rFonts w:ascii="Arial" w:cs="Arial" w:eastAsia="Arial" w:hAnsi="Arial"/>
                <w:sz w:val="14"/>
                <w:szCs w:val="14"/>
                <w:color w:val="auto"/>
                <w:w w:val="85"/>
              </w:rPr>
              <w:t>1.</w:t>
            </w:r>
          </w:p>
        </w:tc>
        <w:tc>
          <w:tcPr>
            <w:tcW w:w="3920" w:type="dxa"/>
            <w:vAlign w:val="bottom"/>
          </w:tcPr>
          <w:p>
            <w:pPr>
              <w:ind w:left="40"/>
              <w:spacing w:after="0"/>
              <w:rPr>
                <w:sz w:val="20"/>
                <w:szCs w:val="20"/>
                <w:color w:val="auto"/>
              </w:rPr>
            </w:pPr>
            <w:r>
              <w:rPr>
                <w:rFonts w:ascii="Arial" w:cs="Arial" w:eastAsia="Arial" w:hAnsi="Arial"/>
                <w:sz w:val="14"/>
                <w:szCs w:val="14"/>
                <w:color w:val="auto"/>
              </w:rPr>
              <w:t>Election of Directors:</w:t>
            </w:r>
          </w:p>
        </w:tc>
        <w:tc>
          <w:tcPr>
            <w:tcW w:w="400" w:type="dxa"/>
            <w:vAlign w:val="bottom"/>
          </w:tcPr>
          <w:p>
            <w:pPr>
              <w:jc w:val="center"/>
              <w:spacing w:after="0"/>
              <w:rPr>
                <w:sz w:val="20"/>
                <w:szCs w:val="20"/>
                <w:color w:val="auto"/>
              </w:rPr>
            </w:pPr>
            <w:r>
              <w:rPr>
                <w:rFonts w:ascii="Arial" w:cs="Arial" w:eastAsia="Arial" w:hAnsi="Arial"/>
                <w:sz w:val="14"/>
                <w:szCs w:val="14"/>
                <w:color w:val="auto"/>
                <w:w w:val="94"/>
              </w:rPr>
              <w:t>FOR</w:t>
            </w:r>
          </w:p>
        </w:tc>
        <w:tc>
          <w:tcPr>
            <w:tcW w:w="740" w:type="dxa"/>
            <w:vAlign w:val="bottom"/>
          </w:tcPr>
          <w:p>
            <w:pPr>
              <w:jc w:val="center"/>
              <w:spacing w:after="0"/>
              <w:rPr>
                <w:sz w:val="20"/>
                <w:szCs w:val="20"/>
                <w:color w:val="auto"/>
              </w:rPr>
            </w:pPr>
            <w:r>
              <w:rPr>
                <w:rFonts w:ascii="Arial" w:cs="Arial" w:eastAsia="Arial" w:hAnsi="Arial"/>
                <w:sz w:val="14"/>
                <w:szCs w:val="14"/>
                <w:color w:val="auto"/>
              </w:rPr>
              <w:t>AGAINST</w:t>
            </w:r>
          </w:p>
        </w:tc>
        <w:tc>
          <w:tcPr>
            <w:tcW w:w="680" w:type="dxa"/>
            <w:vAlign w:val="bottom"/>
          </w:tcPr>
          <w:p>
            <w:pPr>
              <w:jc w:val="center"/>
              <w:spacing w:after="0"/>
              <w:rPr>
                <w:sz w:val="20"/>
                <w:szCs w:val="20"/>
                <w:color w:val="auto"/>
              </w:rPr>
            </w:pPr>
            <w:r>
              <w:rPr>
                <w:rFonts w:ascii="Arial" w:cs="Arial" w:eastAsia="Arial" w:hAnsi="Arial"/>
                <w:sz w:val="14"/>
                <w:szCs w:val="14"/>
                <w:color w:val="auto"/>
              </w:rPr>
              <w:t>ABSTAIN</w:t>
            </w:r>
          </w:p>
        </w:tc>
      </w:tr>
      <w:tr>
        <w:trPr>
          <w:trHeight w:val="302"/>
        </w:trPr>
        <w:tc>
          <w:tcPr>
            <w:tcW w:w="180" w:type="dxa"/>
            <w:vAlign w:val="bottom"/>
          </w:tcPr>
          <w:p>
            <w:pPr>
              <w:spacing w:after="0"/>
              <w:rPr>
                <w:sz w:val="24"/>
                <w:szCs w:val="24"/>
                <w:color w:val="auto"/>
              </w:rPr>
            </w:pPr>
          </w:p>
        </w:tc>
        <w:tc>
          <w:tcPr>
            <w:tcW w:w="3920" w:type="dxa"/>
            <w:vAlign w:val="bottom"/>
          </w:tcPr>
          <w:p>
            <w:pPr>
              <w:ind w:left="40"/>
              <w:spacing w:after="0"/>
              <w:rPr>
                <w:sz w:val="20"/>
                <w:szCs w:val="20"/>
                <w:color w:val="auto"/>
              </w:rPr>
            </w:pPr>
            <w:r>
              <w:rPr>
                <w:rFonts w:ascii="Arial" w:cs="Arial" w:eastAsia="Arial" w:hAnsi="Arial"/>
                <w:sz w:val="14"/>
                <w:szCs w:val="14"/>
                <w:color w:val="auto"/>
              </w:rPr>
              <w:t>Dorothy M. Ables</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ind w:left="32"/>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80" w:type="dxa"/>
            <w:vAlign w:val="bottom"/>
          </w:tcPr>
          <w:p>
            <w:pPr>
              <w:spacing w:after="0"/>
              <w:rPr>
                <w:sz w:val="24"/>
                <w:szCs w:val="24"/>
                <w:color w:val="auto"/>
              </w:rPr>
            </w:pPr>
          </w:p>
        </w:tc>
        <w:tc>
          <w:tcPr>
            <w:tcW w:w="3920" w:type="dxa"/>
            <w:vAlign w:val="bottom"/>
          </w:tcPr>
          <w:p>
            <w:pPr>
              <w:ind w:left="40"/>
              <w:spacing w:after="0"/>
              <w:rPr>
                <w:sz w:val="20"/>
                <w:szCs w:val="20"/>
                <w:color w:val="auto"/>
              </w:rPr>
            </w:pPr>
            <w:r>
              <w:rPr>
                <w:rFonts w:ascii="Arial" w:cs="Arial" w:eastAsia="Arial" w:hAnsi="Arial"/>
                <w:sz w:val="14"/>
                <w:szCs w:val="14"/>
                <w:color w:val="auto"/>
              </w:rPr>
              <w:t>Sue W. Cole</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ind w:left="32"/>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80" w:type="dxa"/>
            <w:vAlign w:val="bottom"/>
          </w:tcPr>
          <w:p>
            <w:pPr>
              <w:spacing w:after="0"/>
              <w:rPr>
                <w:sz w:val="24"/>
                <w:szCs w:val="24"/>
                <w:color w:val="auto"/>
              </w:rPr>
            </w:pPr>
          </w:p>
        </w:tc>
        <w:tc>
          <w:tcPr>
            <w:tcW w:w="3920" w:type="dxa"/>
            <w:vAlign w:val="bottom"/>
          </w:tcPr>
          <w:p>
            <w:pPr>
              <w:ind w:left="40"/>
              <w:spacing w:after="0"/>
              <w:rPr>
                <w:sz w:val="20"/>
                <w:szCs w:val="20"/>
                <w:color w:val="auto"/>
              </w:rPr>
            </w:pPr>
            <w:r>
              <w:rPr>
                <w:rFonts w:ascii="Arial" w:cs="Arial" w:eastAsia="Arial" w:hAnsi="Arial"/>
                <w:sz w:val="14"/>
                <w:szCs w:val="14"/>
                <w:color w:val="auto"/>
              </w:rPr>
              <w:t>Smith W. Davis</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ind w:left="32"/>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80" w:type="dxa"/>
            <w:vAlign w:val="bottom"/>
          </w:tcPr>
          <w:p>
            <w:pPr>
              <w:spacing w:after="0"/>
              <w:rPr>
                <w:sz w:val="24"/>
                <w:szCs w:val="24"/>
                <w:color w:val="auto"/>
              </w:rPr>
            </w:pPr>
          </w:p>
        </w:tc>
        <w:tc>
          <w:tcPr>
            <w:tcW w:w="3920" w:type="dxa"/>
            <w:vAlign w:val="bottom"/>
          </w:tcPr>
          <w:p>
            <w:pPr>
              <w:ind w:left="40"/>
              <w:spacing w:after="0"/>
              <w:rPr>
                <w:sz w:val="20"/>
                <w:szCs w:val="20"/>
                <w:color w:val="auto"/>
              </w:rPr>
            </w:pPr>
            <w:r>
              <w:rPr>
                <w:rFonts w:ascii="Arial" w:cs="Arial" w:eastAsia="Arial" w:hAnsi="Arial"/>
                <w:sz w:val="14"/>
                <w:szCs w:val="14"/>
                <w:color w:val="auto"/>
              </w:rPr>
              <w:t>John J. Koraleski</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ind w:left="32"/>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80" w:type="dxa"/>
            <w:vAlign w:val="bottom"/>
          </w:tcPr>
          <w:p>
            <w:pPr>
              <w:spacing w:after="0"/>
              <w:rPr>
                <w:sz w:val="24"/>
                <w:szCs w:val="24"/>
                <w:color w:val="auto"/>
              </w:rPr>
            </w:pPr>
          </w:p>
        </w:tc>
        <w:tc>
          <w:tcPr>
            <w:tcW w:w="3920" w:type="dxa"/>
            <w:vAlign w:val="bottom"/>
          </w:tcPr>
          <w:p>
            <w:pPr>
              <w:ind w:left="40"/>
              <w:spacing w:after="0"/>
              <w:rPr>
                <w:sz w:val="20"/>
                <w:szCs w:val="20"/>
                <w:color w:val="auto"/>
              </w:rPr>
            </w:pPr>
            <w:r>
              <w:rPr>
                <w:rFonts w:ascii="Arial" w:cs="Arial" w:eastAsia="Arial" w:hAnsi="Arial"/>
                <w:sz w:val="14"/>
                <w:szCs w:val="14"/>
                <w:color w:val="auto"/>
              </w:rPr>
              <w:t>C. Howard Nye</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ind w:left="32"/>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80" w:type="dxa"/>
            <w:vAlign w:val="bottom"/>
          </w:tcPr>
          <w:p>
            <w:pPr>
              <w:spacing w:after="0"/>
              <w:rPr>
                <w:sz w:val="24"/>
                <w:szCs w:val="24"/>
                <w:color w:val="auto"/>
              </w:rPr>
            </w:pPr>
          </w:p>
        </w:tc>
        <w:tc>
          <w:tcPr>
            <w:tcW w:w="3920" w:type="dxa"/>
            <w:vAlign w:val="bottom"/>
          </w:tcPr>
          <w:p>
            <w:pPr>
              <w:ind w:left="40"/>
              <w:spacing w:after="0"/>
              <w:rPr>
                <w:sz w:val="20"/>
                <w:szCs w:val="20"/>
                <w:color w:val="auto"/>
              </w:rPr>
            </w:pPr>
            <w:r>
              <w:rPr>
                <w:rFonts w:ascii="Arial" w:cs="Arial" w:eastAsia="Arial" w:hAnsi="Arial"/>
                <w:sz w:val="14"/>
                <w:szCs w:val="14"/>
                <w:color w:val="auto"/>
              </w:rPr>
              <w:t>Laree E. Perez</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ind w:left="32"/>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80" w:type="dxa"/>
            <w:vAlign w:val="bottom"/>
          </w:tcPr>
          <w:p>
            <w:pPr>
              <w:spacing w:after="0"/>
              <w:rPr>
                <w:sz w:val="24"/>
                <w:szCs w:val="24"/>
                <w:color w:val="auto"/>
              </w:rPr>
            </w:pPr>
          </w:p>
        </w:tc>
        <w:tc>
          <w:tcPr>
            <w:tcW w:w="3920" w:type="dxa"/>
            <w:vAlign w:val="bottom"/>
          </w:tcPr>
          <w:p>
            <w:pPr>
              <w:ind w:left="40"/>
              <w:spacing w:after="0"/>
              <w:rPr>
                <w:sz w:val="20"/>
                <w:szCs w:val="20"/>
                <w:color w:val="auto"/>
              </w:rPr>
            </w:pPr>
            <w:r>
              <w:rPr>
                <w:rFonts w:ascii="Arial" w:cs="Arial" w:eastAsia="Arial" w:hAnsi="Arial"/>
                <w:sz w:val="14"/>
                <w:szCs w:val="14"/>
                <w:color w:val="auto"/>
              </w:rPr>
              <w:t>Michael J. Quillen</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ind w:left="32"/>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80" w:type="dxa"/>
            <w:vAlign w:val="bottom"/>
          </w:tcPr>
          <w:p>
            <w:pPr>
              <w:spacing w:after="0"/>
              <w:rPr>
                <w:sz w:val="24"/>
                <w:szCs w:val="24"/>
                <w:color w:val="auto"/>
              </w:rPr>
            </w:pPr>
          </w:p>
        </w:tc>
        <w:tc>
          <w:tcPr>
            <w:tcW w:w="3920" w:type="dxa"/>
            <w:vAlign w:val="bottom"/>
          </w:tcPr>
          <w:p>
            <w:pPr>
              <w:ind w:left="40"/>
              <w:spacing w:after="0"/>
              <w:rPr>
                <w:sz w:val="20"/>
                <w:szCs w:val="20"/>
                <w:color w:val="auto"/>
              </w:rPr>
            </w:pPr>
            <w:r>
              <w:rPr>
                <w:rFonts w:ascii="Arial" w:cs="Arial" w:eastAsia="Arial" w:hAnsi="Arial"/>
                <w:sz w:val="14"/>
                <w:szCs w:val="14"/>
                <w:color w:val="auto"/>
              </w:rPr>
              <w:t>Donald W. Slager</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ind w:left="32"/>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80" w:type="dxa"/>
            <w:vAlign w:val="bottom"/>
          </w:tcPr>
          <w:p>
            <w:pPr>
              <w:spacing w:after="0"/>
              <w:rPr>
                <w:sz w:val="24"/>
                <w:szCs w:val="24"/>
                <w:color w:val="auto"/>
              </w:rPr>
            </w:pPr>
          </w:p>
        </w:tc>
        <w:tc>
          <w:tcPr>
            <w:tcW w:w="3920" w:type="dxa"/>
            <w:vAlign w:val="bottom"/>
          </w:tcPr>
          <w:p>
            <w:pPr>
              <w:ind w:left="40"/>
              <w:spacing w:after="0"/>
              <w:rPr>
                <w:sz w:val="20"/>
                <w:szCs w:val="20"/>
                <w:color w:val="auto"/>
              </w:rPr>
            </w:pPr>
            <w:r>
              <w:rPr>
                <w:rFonts w:ascii="Arial" w:cs="Arial" w:eastAsia="Arial" w:hAnsi="Arial"/>
                <w:sz w:val="14"/>
                <w:szCs w:val="14"/>
                <w:color w:val="auto"/>
              </w:rPr>
              <w:t>Stephen P. Zelnak, Jr.</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ind w:left="32"/>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43"/>
        </w:trPr>
        <w:tc>
          <w:tcPr>
            <w:tcW w:w="180" w:type="dxa"/>
            <w:vAlign w:val="bottom"/>
          </w:tcPr>
          <w:p>
            <w:pPr>
              <w:jc w:val="right"/>
              <w:spacing w:after="0"/>
              <w:rPr>
                <w:sz w:val="20"/>
                <w:szCs w:val="20"/>
                <w:color w:val="auto"/>
              </w:rPr>
            </w:pPr>
            <w:r>
              <w:rPr>
                <w:rFonts w:ascii="Arial" w:cs="Arial" w:eastAsia="Arial" w:hAnsi="Arial"/>
                <w:sz w:val="14"/>
                <w:szCs w:val="14"/>
                <w:color w:val="auto"/>
                <w:w w:val="85"/>
              </w:rPr>
              <w:t>2.</w:t>
            </w:r>
          </w:p>
        </w:tc>
        <w:tc>
          <w:tcPr>
            <w:tcW w:w="3920" w:type="dxa"/>
            <w:vAlign w:val="bottom"/>
          </w:tcPr>
          <w:p>
            <w:pPr>
              <w:ind w:left="40"/>
              <w:spacing w:after="0"/>
              <w:rPr>
                <w:sz w:val="20"/>
                <w:szCs w:val="20"/>
                <w:color w:val="auto"/>
              </w:rPr>
            </w:pPr>
            <w:r>
              <w:rPr>
                <w:rFonts w:ascii="Arial" w:cs="Arial" w:eastAsia="Arial" w:hAnsi="Arial"/>
                <w:sz w:val="14"/>
                <w:szCs w:val="14"/>
                <w:color w:val="auto"/>
              </w:rPr>
              <w:t>Ratification of selection of PricewaterhouseCoopers as</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ind w:left="32"/>
              <w:spacing w:after="0" w:line="181" w:lineRule="exact"/>
              <w:rPr>
                <w:sz w:val="20"/>
                <w:szCs w:val="20"/>
                <w:color w:val="auto"/>
              </w:rPr>
            </w:pPr>
            <w:r>
              <w:rPr>
                <w:rFonts w:ascii="MS PGothic" w:cs="MS PGothic" w:eastAsia="MS PGothic" w:hAnsi="MS PGothic"/>
                <w:sz w:val="18"/>
                <w:szCs w:val="18"/>
                <w:color w:val="auto"/>
                <w:w w:val="88"/>
              </w:rPr>
              <w:t>☐</w:t>
            </w:r>
          </w:p>
        </w:tc>
      </w:tr>
      <w:tr>
        <w:trPr>
          <w:trHeight w:val="182"/>
        </w:trPr>
        <w:tc>
          <w:tcPr>
            <w:tcW w:w="180" w:type="dxa"/>
            <w:vAlign w:val="bottom"/>
          </w:tcPr>
          <w:p>
            <w:pPr>
              <w:spacing w:after="0"/>
              <w:rPr>
                <w:sz w:val="15"/>
                <w:szCs w:val="15"/>
                <w:color w:val="auto"/>
              </w:rPr>
            </w:pPr>
          </w:p>
        </w:tc>
        <w:tc>
          <w:tcPr>
            <w:tcW w:w="3920" w:type="dxa"/>
            <w:vAlign w:val="bottom"/>
          </w:tcPr>
          <w:p>
            <w:pPr>
              <w:ind w:left="40"/>
              <w:spacing w:after="0"/>
              <w:rPr>
                <w:sz w:val="20"/>
                <w:szCs w:val="20"/>
                <w:color w:val="auto"/>
              </w:rPr>
            </w:pPr>
            <w:r>
              <w:rPr>
                <w:rFonts w:ascii="Arial" w:cs="Arial" w:eastAsia="Arial" w:hAnsi="Arial"/>
                <w:sz w:val="14"/>
                <w:szCs w:val="14"/>
                <w:color w:val="auto"/>
              </w:rPr>
              <w:t>independent auditors.</w:t>
            </w: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0"/>
        </w:trPr>
        <w:tc>
          <w:tcPr>
            <w:tcW w:w="180" w:type="dxa"/>
            <w:vAlign w:val="bottom"/>
          </w:tcPr>
          <w:p>
            <w:pPr>
              <w:jc w:val="right"/>
              <w:spacing w:after="0"/>
              <w:rPr>
                <w:sz w:val="20"/>
                <w:szCs w:val="20"/>
                <w:color w:val="auto"/>
              </w:rPr>
            </w:pPr>
            <w:r>
              <w:rPr>
                <w:rFonts w:ascii="Arial" w:cs="Arial" w:eastAsia="Arial" w:hAnsi="Arial"/>
                <w:sz w:val="14"/>
                <w:szCs w:val="14"/>
                <w:color w:val="auto"/>
                <w:w w:val="85"/>
              </w:rPr>
              <w:t>3.</w:t>
            </w:r>
          </w:p>
        </w:tc>
        <w:tc>
          <w:tcPr>
            <w:tcW w:w="3920" w:type="dxa"/>
            <w:vAlign w:val="bottom"/>
          </w:tcPr>
          <w:p>
            <w:pPr>
              <w:ind w:left="40"/>
              <w:spacing w:after="0"/>
              <w:rPr>
                <w:sz w:val="20"/>
                <w:szCs w:val="20"/>
                <w:color w:val="auto"/>
              </w:rPr>
            </w:pPr>
            <w:r>
              <w:rPr>
                <w:rFonts w:ascii="Arial" w:cs="Arial" w:eastAsia="Arial" w:hAnsi="Arial"/>
                <w:sz w:val="14"/>
                <w:szCs w:val="14"/>
                <w:color w:val="auto"/>
                <w:w w:val="95"/>
              </w:rPr>
              <w:t>Approval, by a non-binding advisory vote, of the compensation of</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ind w:left="32"/>
              <w:spacing w:after="0" w:line="181" w:lineRule="exact"/>
              <w:rPr>
                <w:sz w:val="20"/>
                <w:szCs w:val="20"/>
                <w:color w:val="auto"/>
              </w:rPr>
            </w:pPr>
            <w:r>
              <w:rPr>
                <w:rFonts w:ascii="MS PGothic" w:cs="MS PGothic" w:eastAsia="MS PGothic" w:hAnsi="MS PGothic"/>
                <w:sz w:val="18"/>
                <w:szCs w:val="18"/>
                <w:color w:val="auto"/>
                <w:w w:val="88"/>
              </w:rPr>
              <w:t>☐</w:t>
            </w:r>
          </w:p>
        </w:tc>
      </w:tr>
      <w:tr>
        <w:trPr>
          <w:trHeight w:val="182"/>
        </w:trPr>
        <w:tc>
          <w:tcPr>
            <w:tcW w:w="180" w:type="dxa"/>
            <w:vAlign w:val="bottom"/>
          </w:tcPr>
          <w:p>
            <w:pPr>
              <w:spacing w:after="0"/>
              <w:rPr>
                <w:sz w:val="15"/>
                <w:szCs w:val="15"/>
                <w:color w:val="auto"/>
              </w:rPr>
            </w:pPr>
          </w:p>
        </w:tc>
        <w:tc>
          <w:tcPr>
            <w:tcW w:w="3920" w:type="dxa"/>
            <w:vAlign w:val="bottom"/>
          </w:tcPr>
          <w:p>
            <w:pPr>
              <w:ind w:left="40"/>
              <w:spacing w:after="0"/>
              <w:rPr>
                <w:sz w:val="20"/>
                <w:szCs w:val="20"/>
                <w:color w:val="auto"/>
              </w:rPr>
            </w:pPr>
            <w:r>
              <w:rPr>
                <w:rFonts w:ascii="Arial" w:cs="Arial" w:eastAsia="Arial" w:hAnsi="Arial"/>
                <w:sz w:val="14"/>
                <w:szCs w:val="14"/>
                <w:color w:val="auto"/>
              </w:rPr>
              <w:t>Martin Marietta Materials, Inc.’s named executive officers.</w:t>
            </w: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r>
    </w:tbl>
    <w:p>
      <w:pPr>
        <w:spacing w:after="0" w:line="89" w:lineRule="exact"/>
        <w:rPr>
          <w:sz w:val="20"/>
          <w:szCs w:val="20"/>
          <w:color w:val="auto"/>
        </w:rPr>
      </w:pPr>
    </w:p>
    <w:p>
      <w:pPr>
        <w:ind w:left="220" w:right="240" w:hanging="211"/>
        <w:spacing w:after="0" w:line="252" w:lineRule="auto"/>
        <w:tabs>
          <w:tab w:leader="none" w:pos="220" w:val="left"/>
        </w:tabs>
        <w:numPr>
          <w:ilvl w:val="0"/>
          <w:numId w:val="168"/>
        </w:numPr>
        <w:rPr>
          <w:rFonts w:ascii="Arial" w:cs="Arial" w:eastAsia="Arial" w:hAnsi="Arial"/>
          <w:sz w:val="14"/>
          <w:szCs w:val="14"/>
          <w:color w:val="auto"/>
        </w:rPr>
      </w:pPr>
      <w:r>
        <w:rPr>
          <w:rFonts w:ascii="Arial" w:cs="Arial" w:eastAsia="Arial" w:hAnsi="Arial"/>
          <w:sz w:val="14"/>
          <w:szCs w:val="14"/>
          <w:color w:val="auto"/>
        </w:rPr>
        <w:t>In their discretion, the proxies are authorized to vote upon such other business as may properly come before the meeting, or any adjournments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3089275</wp:posOffset>
            </wp:positionH>
            <wp:positionV relativeFrom="paragraph">
              <wp:posOffset>876300</wp:posOffset>
            </wp:positionV>
            <wp:extent cx="702310" cy="1543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02310" cy="154305"/>
                    </a:xfrm>
                    <a:prstGeom prst="rect">
                      <a:avLst/>
                    </a:prstGeom>
                    <a:noFill/>
                  </pic:spPr>
                </pic:pic>
              </a:graphicData>
            </a:graphic>
          </wp:anchor>
        </w:drawing>
      </w:r>
    </w:p>
    <w:p>
      <w:pPr>
        <w:spacing w:after="0" w:line="1359" w:lineRule="exact"/>
        <w:rPr>
          <w:sz w:val="20"/>
          <w:szCs w:val="20"/>
          <w:color w:val="auto"/>
        </w:rPr>
      </w:pPr>
    </w:p>
    <w:p>
      <w:pPr>
        <w:sectPr>
          <w:pgSz w:w="11900" w:h="16838" w:orient="portrait"/>
          <w:cols w:equalWidth="0" w:num="2">
            <w:col w:w="5140" w:space="120"/>
            <w:col w:w="5920"/>
          </w:cols>
          <w:pgMar w:left="240" w:top="459" w:right="479" w:bottom="1440" w:gutter="0" w:footer="0" w:header="0"/>
          <w:type w:val="continuous"/>
        </w:sectPr>
      </w:pPr>
    </w:p>
    <w:tbl>
      <w:tblPr>
        <w:tblLayout w:type="fixed"/>
        <w:tblInd w:w="220" w:type="dxa"/>
        <w:tblCellMar>
          <w:top w:w="0" w:type="dxa"/>
          <w:left w:w="0" w:type="dxa"/>
          <w:bottom w:w="0" w:type="dxa"/>
          <w:right w:w="0" w:type="dxa"/>
        </w:tblCellMar>
      </w:tblPr>
      <w:tr>
        <w:trPr>
          <w:trHeight w:val="229"/>
        </w:trPr>
        <w:tc>
          <w:tcPr>
            <w:tcW w:w="16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Signature of Shareholder</w:t>
            </w:r>
          </w:p>
        </w:tc>
        <w:tc>
          <w:tcPr>
            <w:tcW w:w="2300" w:type="dxa"/>
            <w:vAlign w:val="bottom"/>
            <w:tcBorders>
              <w:top w:val="single" w:sz="8" w:color="auto"/>
              <w:bottom w:val="single" w:sz="8" w:color="auto"/>
              <w:right w:val="single" w:sz="8" w:color="auto"/>
            </w:tcBorders>
          </w:tcPr>
          <w:p>
            <w:pPr>
              <w:spacing w:after="0"/>
              <w:rPr>
                <w:sz w:val="19"/>
                <w:szCs w:val="19"/>
                <w:color w:val="auto"/>
              </w:rPr>
            </w:pPr>
          </w:p>
        </w:tc>
        <w:tc>
          <w:tcPr>
            <w:tcW w:w="4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5"/>
              </w:rPr>
              <w:t>Date:</w:t>
            </w:r>
          </w:p>
        </w:tc>
        <w:tc>
          <w:tcPr>
            <w:tcW w:w="1100" w:type="dxa"/>
            <w:vAlign w:val="bottom"/>
            <w:tcBorders>
              <w:top w:val="single" w:sz="8" w:color="auto"/>
              <w:bottom w:val="single" w:sz="8" w:color="auto"/>
              <w:right w:val="single" w:sz="8" w:color="auto"/>
            </w:tcBorders>
          </w:tcPr>
          <w:p>
            <w:pPr>
              <w:spacing w:after="0"/>
              <w:rPr>
                <w:sz w:val="19"/>
                <w:szCs w:val="19"/>
                <w:color w:val="auto"/>
              </w:rPr>
            </w:pPr>
          </w:p>
        </w:tc>
        <w:tc>
          <w:tcPr>
            <w:tcW w:w="174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Signature of Shareholder</w:t>
            </w:r>
          </w:p>
        </w:tc>
        <w:tc>
          <w:tcPr>
            <w:tcW w:w="2200" w:type="dxa"/>
            <w:vAlign w:val="bottom"/>
            <w:tcBorders>
              <w:top w:val="single" w:sz="8" w:color="auto"/>
              <w:bottom w:val="single" w:sz="8" w:color="auto"/>
              <w:right w:val="single" w:sz="8" w:color="auto"/>
            </w:tcBorders>
          </w:tcPr>
          <w:p>
            <w:pPr>
              <w:spacing w:after="0"/>
              <w:rPr>
                <w:sz w:val="19"/>
                <w:szCs w:val="19"/>
                <w:color w:val="auto"/>
              </w:rPr>
            </w:pPr>
          </w:p>
        </w:tc>
        <w:tc>
          <w:tcPr>
            <w:tcW w:w="400" w:type="dxa"/>
            <w:vAlign w:val="bottom"/>
          </w:tcPr>
          <w:p>
            <w:pPr>
              <w:ind w:left="100"/>
              <w:spacing w:after="0"/>
              <w:rPr>
                <w:sz w:val="20"/>
                <w:szCs w:val="20"/>
                <w:color w:val="auto"/>
              </w:rPr>
            </w:pPr>
            <w:r>
              <w:rPr>
                <w:rFonts w:ascii="Arial" w:cs="Arial" w:eastAsia="Arial" w:hAnsi="Arial"/>
                <w:sz w:val="14"/>
                <w:szCs w:val="14"/>
                <w:color w:val="auto"/>
                <w:w w:val="83"/>
              </w:rPr>
              <w:t>Date:</w:t>
            </w:r>
          </w:p>
        </w:tc>
      </w:tr>
    </w:tbl>
    <w:p>
      <w:pPr>
        <w:spacing w:after="0" w:line="99" w:lineRule="exact"/>
        <w:rPr>
          <w:sz w:val="20"/>
          <w:szCs w:val="20"/>
          <w:color w:val="auto"/>
        </w:rPr>
      </w:pPr>
    </w:p>
    <w:p>
      <w:pPr>
        <w:ind w:left="880" w:right="280" w:hanging="439"/>
        <w:spacing w:after="0" w:line="237" w:lineRule="auto"/>
        <w:tabs>
          <w:tab w:leader="none" w:pos="860" w:val="left"/>
        </w:tabs>
        <w:rPr>
          <w:sz w:val="20"/>
          <w:szCs w:val="20"/>
          <w:color w:val="auto"/>
        </w:rPr>
      </w:pPr>
      <w:r>
        <w:rPr>
          <w:rFonts w:ascii="Arial" w:cs="Arial" w:eastAsia="Arial" w:hAnsi="Arial"/>
          <w:sz w:val="14"/>
          <w:szCs w:val="14"/>
          <w:b w:val="1"/>
          <w:bCs w:val="1"/>
          <w:color w:val="auto"/>
        </w:rPr>
        <w:t>Note:</w:t>
      </w:r>
      <w:r>
        <w:rPr>
          <w:sz w:val="20"/>
          <w:szCs w:val="20"/>
          <w:color w:val="auto"/>
        </w:rPr>
        <w:tab/>
      </w:r>
      <w:r>
        <w:rPr>
          <w:rFonts w:ascii="Arial" w:cs="Arial" w:eastAsia="Arial" w:hAnsi="Arial"/>
          <w:sz w:val="14"/>
          <w:szCs w:val="14"/>
          <w:color w:val="auto"/>
        </w:rPr>
        <w:t>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ectPr>
          <w:pgSz w:w="11900" w:h="16838" w:orient="portrait"/>
          <w:cols w:equalWidth="0" w:num="1">
            <w:col w:w="11180"/>
          </w:cols>
          <w:pgMar w:left="240" w:top="459" w:right="47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9960"/>
        <w:spacing w:after="0"/>
        <w:rPr>
          <w:sz w:val="20"/>
          <w:szCs w:val="20"/>
          <w:color w:val="auto"/>
        </w:rPr>
      </w:pPr>
      <w:r>
        <w:rPr>
          <w:rFonts w:ascii="Arial" w:cs="Arial" w:eastAsia="Arial" w:hAnsi="Arial"/>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MARTIN MARIETTA MATERIALS, INC.</w:t>
      </w:r>
    </w:p>
    <w:p>
      <w:pPr>
        <w:spacing w:after="0" w:line="265"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Proxy solicited by the Board of Directors for the</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Annual Meeting to be held May 9, 2019</w:t>
      </w:r>
    </w:p>
    <w:p>
      <w:pPr>
        <w:spacing w:after="0" w:line="251" w:lineRule="exact"/>
        <w:rPr>
          <w:sz w:val="20"/>
          <w:szCs w:val="20"/>
          <w:color w:val="auto"/>
        </w:rPr>
      </w:pPr>
    </w:p>
    <w:p>
      <w:pPr>
        <w:ind w:left="460" w:right="140"/>
        <w:spacing w:after="0" w:line="259" w:lineRule="auto"/>
        <w:rPr>
          <w:sz w:val="20"/>
          <w:szCs w:val="20"/>
          <w:color w:val="auto"/>
        </w:rPr>
      </w:pPr>
      <w:r>
        <w:rPr>
          <w:rFonts w:ascii="Arial" w:cs="Arial" w:eastAsia="Arial" w:hAnsi="Arial"/>
          <w:sz w:val="18"/>
          <w:szCs w:val="18"/>
          <w:color w:val="auto"/>
        </w:rPr>
        <w:t>The undersigned hereby appoints C. Howard Nye and James A. J. Nickolas, and each or either of them, proxies, with full power of substitution, with the powers the undersigned would possess if personally present, to vote, as designated below, all shares of the common stock of the undersigned in Martin Marietta Materials, Inc. at the Annual Meeting of Shareholders to be held on May 9, 2019, and at any adjournment thereof.</w:t>
      </w:r>
    </w:p>
    <w:p>
      <w:pPr>
        <w:spacing w:after="0" w:line="222"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60"/>
        <w:spacing w:after="0"/>
        <w:tabs>
          <w:tab w:leader="none" w:pos="104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14475</w:t>
      </w:r>
    </w:p>
    <w:sectPr>
      <w:pgSz w:w="11900" w:h="16838" w:orient="portrait"/>
      <w:cols w:equalWidth="0" w:num="1">
        <w:col w:w="10940"/>
      </w:cols>
      <w:pgMar w:left="240" w:top="459"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B7E0AA"/>
    <w:multiLevelType w:val="hybridMultilevel"/>
    <w:lvl w:ilvl="0">
      <w:lvlJc w:val="left"/>
      <w:lvlText w:val="☐"/>
      <w:numFmt w:val="bullet"/>
      <w:start w:val="1"/>
    </w:lvl>
  </w:abstractNum>
  <w:abstractNum w:abstractNumId="1">
    <w:nsid w:val="6EB5BD4"/>
    <w:multiLevelType w:val="hybridMultilevel"/>
    <w:lvl w:ilvl="0">
      <w:lvlJc w:val="left"/>
      <w:lvlText w:val="☒"/>
      <w:numFmt w:val="bullet"/>
      <w:start w:val="1"/>
    </w:lvl>
  </w:abstractNum>
  <w:abstractNum w:abstractNumId="2">
    <w:nsid w:val="6F6DD9AC"/>
    <w:multiLevelType w:val="hybridMultilevel"/>
    <w:lvl w:ilvl="0">
      <w:lvlJc w:val="left"/>
      <w:lvlText w:val="☐"/>
      <w:numFmt w:val="bullet"/>
      <w:start w:val="1"/>
    </w:lvl>
    <w:lvl w:ilvl="1">
      <w:lvlJc w:val="left"/>
      <w:lvlText w:val="(%2)"/>
      <w:numFmt w:val="decimal"/>
      <w:start w:val="1"/>
    </w:lvl>
  </w:abstractNum>
  <w:abstractNum w:abstractNumId="3">
    <w:nsid w:val="94211F2"/>
    <w:multiLevelType w:val="hybridMultilevel"/>
    <w:lvl w:ilvl="0">
      <w:lvlJc w:val="left"/>
      <w:lvlText w:val="%1"/>
      <w:numFmt w:val="decimal"/>
      <w:start w:val="41"/>
    </w:lvl>
  </w:abstractNum>
  <w:abstractNum w:abstractNumId="4">
    <w:nsid w:val="885E1B"/>
    <w:multiLevelType w:val="hybridMultilevel"/>
    <w:lvl w:ilvl="0">
      <w:lvlJc w:val="left"/>
      <w:lvlText w:val="✓"/>
      <w:numFmt w:val="bullet"/>
      <w:start w:val="1"/>
    </w:lvl>
  </w:abstractNum>
  <w:abstractNum w:abstractNumId="5">
    <w:nsid w:val="76272110"/>
    <w:multiLevelType w:val="hybridMultilevel"/>
    <w:lvl w:ilvl="0">
      <w:lvlJc w:val="left"/>
      <w:lvlText w:val="1"/>
      <w:numFmt w:val="bullet"/>
      <w:start w:val="1"/>
    </w:lvl>
  </w:abstractNum>
  <w:abstractNum w:abstractNumId="6">
    <w:nsid w:val="4C04A8AF"/>
    <w:multiLevelType w:val="hybridMultilevel"/>
    <w:lvl w:ilvl="0">
      <w:lvlJc w:val="left"/>
      <w:lvlText w:val="2"/>
      <w:numFmt w:val="bullet"/>
      <w:start w:val="1"/>
    </w:lvl>
  </w:abstractNum>
  <w:abstractNum w:abstractNumId="7">
    <w:nsid w:val="1716703B"/>
    <w:multiLevelType w:val="hybridMultilevel"/>
    <w:lvl w:ilvl="0">
      <w:lvlJc w:val="left"/>
      <w:lvlText w:val="3"/>
      <w:numFmt w:val="bullet"/>
      <w:start w:val="1"/>
    </w:lvl>
  </w:abstractNum>
  <w:abstractNum w:abstractNumId="8">
    <w:nsid w:val="14E17E33"/>
    <w:multiLevelType w:val="hybridMultilevel"/>
    <w:lvl w:ilvl="0">
      <w:lvlJc w:val="left"/>
      <w:lvlText w:val="4"/>
      <w:numFmt w:val="bullet"/>
      <w:start w:val="1"/>
    </w:lvl>
  </w:abstractNum>
  <w:abstractNum w:abstractNumId="9">
    <w:nsid w:val="3222E7CD"/>
    <w:multiLevelType w:val="hybridMultilevel"/>
    <w:lvl w:ilvl="0">
      <w:lvlJc w:val="left"/>
      <w:lvlText w:val="2"/>
      <w:numFmt w:val="bullet"/>
      <w:start w:val="1"/>
    </w:lvl>
  </w:abstractNum>
  <w:abstractNum w:abstractNumId="10">
    <w:nsid w:val="74DE0EE3"/>
    <w:multiLevelType w:val="hybridMultilevel"/>
    <w:lvl w:ilvl="0">
      <w:lvlJc w:val="left"/>
      <w:lvlText w:val="•"/>
      <w:numFmt w:val="bullet"/>
      <w:start w:val="1"/>
    </w:lvl>
  </w:abstractNum>
  <w:abstractNum w:abstractNumId="11">
    <w:nsid w:val="68EBC550"/>
    <w:multiLevelType w:val="hybridMultilevel"/>
    <w:lvl w:ilvl="0">
      <w:lvlJc w:val="left"/>
      <w:lvlText w:val="•"/>
      <w:numFmt w:val="bullet"/>
      <w:start w:val="1"/>
    </w:lvl>
  </w:abstractNum>
  <w:abstractNum w:abstractNumId="12">
    <w:nsid w:val="2DF6D648"/>
    <w:multiLevelType w:val="hybridMultilevel"/>
    <w:lvl w:ilvl="0">
      <w:lvlJc w:val="left"/>
      <w:lvlText w:val="•"/>
      <w:numFmt w:val="bullet"/>
      <w:start w:val="1"/>
    </w:lvl>
  </w:abstractNum>
  <w:abstractNum w:abstractNumId="13">
    <w:nsid w:val="46B7D447"/>
    <w:multiLevelType w:val="hybridMultilevel"/>
    <w:lvl w:ilvl="0">
      <w:lvlJc w:val="left"/>
      <w:lvlText w:val="•"/>
      <w:numFmt w:val="bullet"/>
      <w:start w:val="1"/>
    </w:lvl>
  </w:abstractNum>
  <w:abstractNum w:abstractNumId="14">
    <w:nsid w:val="4A2AC315"/>
    <w:multiLevelType w:val="hybridMultilevel"/>
    <w:lvl w:ilvl="0">
      <w:lvlJc w:val="left"/>
      <w:lvlText w:val="•"/>
      <w:numFmt w:val="bullet"/>
      <w:start w:val="1"/>
    </w:lvl>
  </w:abstractNum>
  <w:abstractNum w:abstractNumId="15">
    <w:nsid w:val="39EE015C"/>
    <w:multiLevelType w:val="hybridMultilevel"/>
    <w:lvl w:ilvl="0">
      <w:lvlJc w:val="left"/>
      <w:lvlText w:val="•"/>
      <w:numFmt w:val="bullet"/>
      <w:start w:val="1"/>
    </w:lvl>
  </w:abstractNum>
  <w:abstractNum w:abstractNumId="16">
    <w:nsid w:val="57FC4FBB"/>
    <w:multiLevelType w:val="hybridMultilevel"/>
    <w:lvl w:ilvl="0">
      <w:lvlJc w:val="left"/>
      <w:lvlText w:val="•"/>
      <w:numFmt w:val="bullet"/>
      <w:start w:val="1"/>
    </w:lvl>
  </w:abstractNum>
  <w:abstractNum w:abstractNumId="17">
    <w:nsid w:val="CC1016F"/>
    <w:multiLevelType w:val="hybridMultilevel"/>
    <w:lvl w:ilvl="0">
      <w:lvlJc w:val="left"/>
      <w:lvlText w:val="•"/>
      <w:numFmt w:val="bullet"/>
      <w:start w:val="1"/>
    </w:lvl>
  </w:abstractNum>
  <w:abstractNum w:abstractNumId="18">
    <w:nsid w:val="43F18422"/>
    <w:multiLevelType w:val="hybridMultilevel"/>
    <w:lvl w:ilvl="0">
      <w:lvlJc w:val="left"/>
      <w:lvlText w:val="•"/>
      <w:numFmt w:val="bullet"/>
      <w:start w:val="1"/>
    </w:lvl>
  </w:abstractNum>
  <w:abstractNum w:abstractNumId="19">
    <w:nsid w:val="60EF0119"/>
    <w:multiLevelType w:val="hybridMultilevel"/>
    <w:lvl w:ilvl="0">
      <w:lvlJc w:val="left"/>
      <w:lvlText w:val="•"/>
      <w:numFmt w:val="bullet"/>
      <w:start w:val="1"/>
    </w:lvl>
  </w:abstractNum>
  <w:abstractNum w:abstractNumId="20">
    <w:nsid w:val="26F324BA"/>
    <w:multiLevelType w:val="hybridMultilevel"/>
    <w:lvl w:ilvl="0">
      <w:lvlJc w:val="left"/>
      <w:lvlText w:val="•"/>
      <w:numFmt w:val="bullet"/>
      <w:start w:val="1"/>
    </w:lvl>
  </w:abstractNum>
  <w:abstractNum w:abstractNumId="21">
    <w:nsid w:val="7F01579B"/>
    <w:multiLevelType w:val="hybridMultilevel"/>
    <w:lvl w:ilvl="0">
      <w:lvlJc w:val="left"/>
      <w:lvlText w:val="•"/>
      <w:numFmt w:val="bullet"/>
      <w:start w:val="1"/>
    </w:lvl>
  </w:abstractNum>
  <w:abstractNum w:abstractNumId="22">
    <w:nsid w:val="49DA307D"/>
    <w:multiLevelType w:val="hybridMultilevel"/>
    <w:lvl w:ilvl="0">
      <w:lvlJc w:val="left"/>
      <w:lvlText w:val="•"/>
      <w:numFmt w:val="bullet"/>
      <w:start w:val="1"/>
    </w:lvl>
  </w:abstractNum>
  <w:abstractNum w:abstractNumId="23">
    <w:nsid w:val="7055A5F5"/>
    <w:multiLevelType w:val="hybridMultilevel"/>
    <w:lvl w:ilvl="0">
      <w:lvlJc w:val="left"/>
      <w:lvlText w:val="4"/>
      <w:numFmt w:val="bullet"/>
      <w:start w:val="1"/>
    </w:lvl>
  </w:abstractNum>
  <w:abstractNum w:abstractNumId="24">
    <w:nsid w:val="5FB8370B"/>
    <w:multiLevelType w:val="hybridMultilevel"/>
    <w:lvl w:ilvl="0">
      <w:lvlJc w:val="left"/>
      <w:lvlText w:val="•"/>
      <w:numFmt w:val="bullet"/>
      <w:start w:val="1"/>
    </w:lvl>
  </w:abstractNum>
  <w:abstractNum w:abstractNumId="25">
    <w:nsid w:val="50801EE1"/>
    <w:multiLevelType w:val="hybridMultilevel"/>
    <w:lvl w:ilvl="0">
      <w:lvlJc w:val="left"/>
      <w:lvlText w:val="*"/>
      <w:numFmt w:val="bullet"/>
      <w:start w:val="1"/>
    </w:lvl>
  </w:abstractNum>
  <w:abstractNum w:abstractNumId="26">
    <w:nsid w:val="488AC1A"/>
    <w:multiLevelType w:val="hybridMultilevel"/>
    <w:lvl w:ilvl="0">
      <w:lvlJc w:val="left"/>
      <w:lvlText w:val="•"/>
      <w:numFmt w:val="bullet"/>
      <w:start w:val="1"/>
    </w:lvl>
  </w:abstractNum>
  <w:abstractNum w:abstractNumId="27">
    <w:nsid w:val="5FB8011C"/>
    <w:multiLevelType w:val="hybridMultilevel"/>
    <w:lvl w:ilvl="0">
      <w:lvlJc w:val="left"/>
      <w:lvlText w:val="6"/>
      <w:numFmt w:val="bullet"/>
      <w:start w:val="1"/>
    </w:lvl>
  </w:abstractNum>
  <w:abstractNum w:abstractNumId="28">
    <w:nsid w:val="6AA78F7F"/>
    <w:multiLevelType w:val="hybridMultilevel"/>
    <w:lvl w:ilvl="0">
      <w:lvlJc w:val="left"/>
      <w:lvlText w:val="◆"/>
      <w:numFmt w:val="bullet"/>
      <w:start w:val="1"/>
    </w:lvl>
  </w:abstractNum>
  <w:abstractNum w:abstractNumId="29">
    <w:nsid w:val="7672BD23"/>
    <w:multiLevelType w:val="hybridMultilevel"/>
    <w:lvl w:ilvl="0">
      <w:lvlJc w:val="left"/>
      <w:lvlText w:val="•"/>
      <w:numFmt w:val="bullet"/>
      <w:start w:val="1"/>
    </w:lvl>
  </w:abstractNum>
  <w:abstractNum w:abstractNumId="30">
    <w:nsid w:val="6FC75AF8"/>
    <w:multiLevelType w:val="hybridMultilevel"/>
    <w:lvl w:ilvl="0">
      <w:lvlJc w:val="left"/>
      <w:lvlText w:val="8"/>
      <w:numFmt w:val="bullet"/>
      <w:start w:val="1"/>
    </w:lvl>
  </w:abstractNum>
  <w:abstractNum w:abstractNumId="31">
    <w:nsid w:val="6A5F7029"/>
    <w:multiLevelType w:val="hybridMultilevel"/>
    <w:lvl w:ilvl="0">
      <w:lvlJc w:val="left"/>
      <w:lvlText w:val="◆"/>
      <w:numFmt w:val="bullet"/>
      <w:start w:val="1"/>
    </w:lvl>
  </w:abstractNum>
  <w:abstractNum w:abstractNumId="32">
    <w:nsid w:val="7D5E18F8"/>
    <w:multiLevelType w:val="hybridMultilevel"/>
    <w:lvl w:ilvl="0">
      <w:lvlJc w:val="left"/>
      <w:lvlText w:val="%1"/>
      <w:numFmt w:val="decimal"/>
      <w:start w:val="10"/>
    </w:lvl>
  </w:abstractNum>
  <w:abstractNum w:abstractNumId="33">
    <w:nsid w:val="5F3534A4"/>
    <w:multiLevelType w:val="hybridMultilevel"/>
    <w:lvl w:ilvl="0">
      <w:lvlJc w:val="left"/>
      <w:lvlText w:val="•"/>
      <w:numFmt w:val="bullet"/>
      <w:start w:val="1"/>
    </w:lvl>
  </w:abstractNum>
  <w:abstractNum w:abstractNumId="34">
    <w:nsid w:val="73A1821B"/>
    <w:multiLevelType w:val="hybridMultilevel"/>
    <w:lvl w:ilvl="0">
      <w:lvlJc w:val="left"/>
      <w:lvlText w:val="%1"/>
      <w:numFmt w:val="decimal"/>
      <w:start w:val="12"/>
    </w:lvl>
  </w:abstractNum>
  <w:abstractNum w:abstractNumId="35">
    <w:nsid w:val="7DE67713"/>
    <w:multiLevelType w:val="hybridMultilevel"/>
    <w:lvl w:ilvl="0">
      <w:lvlJc w:val="left"/>
      <w:lvlText w:val="•"/>
      <w:numFmt w:val="bullet"/>
      <w:start w:val="1"/>
    </w:lvl>
  </w:abstractNum>
  <w:abstractNum w:abstractNumId="36">
    <w:nsid w:val="555C55B5"/>
    <w:multiLevelType w:val="hybridMultilevel"/>
    <w:lvl w:ilvl="0">
      <w:lvlJc w:val="left"/>
      <w:lvlText w:val="•"/>
      <w:numFmt w:val="bullet"/>
      <w:start w:val="1"/>
    </w:lvl>
  </w:abstractNum>
  <w:abstractNum w:abstractNumId="37">
    <w:nsid w:val="3FA62ACA"/>
    <w:multiLevelType w:val="hybridMultilevel"/>
    <w:lvl w:ilvl="0">
      <w:lvlJc w:val="left"/>
      <w:lvlText w:val="•"/>
      <w:numFmt w:val="bullet"/>
      <w:start w:val="1"/>
    </w:lvl>
  </w:abstractNum>
  <w:abstractNum w:abstractNumId="38">
    <w:nsid w:val="14FCE74E"/>
    <w:multiLevelType w:val="hybridMultilevel"/>
    <w:lvl w:ilvl="0">
      <w:lvlJc w:val="left"/>
      <w:lvlText w:val="•"/>
      <w:numFmt w:val="bullet"/>
      <w:start w:val="1"/>
    </w:lvl>
  </w:abstractNum>
  <w:abstractNum w:abstractNumId="39">
    <w:nsid w:val="6A3DD3E8"/>
    <w:multiLevelType w:val="hybridMultilevel"/>
    <w:lvl w:ilvl="0">
      <w:lvlJc w:val="left"/>
      <w:lvlText w:val="%1"/>
      <w:numFmt w:val="decimal"/>
      <w:start w:val="14"/>
    </w:lvl>
  </w:abstractNum>
  <w:abstractNum w:abstractNumId="40">
    <w:nsid w:val="71C91298"/>
    <w:multiLevelType w:val="hybridMultilevel"/>
    <w:lvl w:ilvl="0">
      <w:lvlJc w:val="left"/>
      <w:lvlText w:val="•"/>
      <w:numFmt w:val="bullet"/>
      <w:start w:val="1"/>
    </w:lvl>
  </w:abstractNum>
  <w:abstractNum w:abstractNumId="41">
    <w:nsid w:val="9DAF632"/>
    <w:multiLevelType w:val="hybridMultilevel"/>
    <w:lvl w:ilvl="0">
      <w:lvlJc w:val="left"/>
      <w:lvlText w:val="•"/>
      <w:numFmt w:val="bullet"/>
      <w:start w:val="1"/>
    </w:lvl>
  </w:abstractNum>
  <w:abstractNum w:abstractNumId="42">
    <w:nsid w:val="53299938"/>
    <w:multiLevelType w:val="hybridMultilevel"/>
    <w:lvl w:ilvl="0">
      <w:lvlJc w:val="left"/>
      <w:lvlText w:val="•"/>
      <w:numFmt w:val="bullet"/>
      <w:start w:val="1"/>
    </w:lvl>
  </w:abstractNum>
  <w:abstractNum w:abstractNumId="43">
    <w:nsid w:val="1FBFE8E0"/>
    <w:multiLevelType w:val="hybridMultilevel"/>
    <w:lvl w:ilvl="0">
      <w:lvlJc w:val="left"/>
      <w:lvlText w:val="•"/>
      <w:numFmt w:val="bullet"/>
      <w:start w:val="1"/>
    </w:lvl>
  </w:abstractNum>
  <w:abstractNum w:abstractNumId="44">
    <w:nsid w:val="5092CA79"/>
    <w:multiLevelType w:val="hybridMultilevel"/>
    <w:lvl w:ilvl="0">
      <w:lvlJc w:val="left"/>
      <w:lvlText w:val="%1"/>
      <w:numFmt w:val="decimal"/>
      <w:start w:val="16"/>
    </w:lvl>
  </w:abstractNum>
  <w:abstractNum w:abstractNumId="45">
    <w:nsid w:val="1D545C4D"/>
    <w:multiLevelType w:val="hybridMultilevel"/>
    <w:lvl w:ilvl="0">
      <w:lvlJc w:val="left"/>
      <w:lvlText w:val="•"/>
      <w:numFmt w:val="bullet"/>
      <w:start w:val="1"/>
    </w:lvl>
  </w:abstractNum>
  <w:abstractNum w:abstractNumId="46">
    <w:nsid w:val="59ADEA3D"/>
    <w:multiLevelType w:val="hybridMultilevel"/>
    <w:lvl w:ilvl="0">
      <w:lvlJc w:val="left"/>
      <w:lvlText w:val="•"/>
      <w:numFmt w:val="bullet"/>
      <w:start w:val="1"/>
    </w:lvl>
  </w:abstractNum>
  <w:abstractNum w:abstractNumId="47">
    <w:nsid w:val="288F1A34"/>
    <w:multiLevelType w:val="hybridMultilevel"/>
    <w:lvl w:ilvl="0">
      <w:lvlJc w:val="left"/>
      <w:lvlText w:val="◆"/>
      <w:numFmt w:val="bullet"/>
      <w:start w:val="1"/>
    </w:lvl>
  </w:abstractNum>
  <w:abstractNum w:abstractNumId="48">
    <w:nsid w:val="2A155DBC"/>
    <w:multiLevelType w:val="hybridMultilevel"/>
    <w:lvl w:ilvl="0">
      <w:lvlJc w:val="left"/>
      <w:lvlText w:val="•"/>
      <w:numFmt w:val="bullet"/>
      <w:start w:val="1"/>
    </w:lvl>
  </w:abstractNum>
  <w:abstractNum w:abstractNumId="49">
    <w:nsid w:val="1D9F6E5F"/>
    <w:multiLevelType w:val="hybridMultilevel"/>
    <w:lvl w:ilvl="0">
      <w:lvlJc w:val="left"/>
      <w:lvlText w:val="%1"/>
      <w:numFmt w:val="decimal"/>
      <w:start w:val="18"/>
    </w:lvl>
  </w:abstractNum>
  <w:abstractNum w:abstractNumId="50">
    <w:nsid w:val="97E1B4E"/>
    <w:multiLevelType w:val="hybridMultilevel"/>
    <w:lvl w:ilvl="0">
      <w:lvlJc w:val="left"/>
      <w:lvlText w:val="•"/>
      <w:numFmt w:val="bullet"/>
      <w:start w:val="1"/>
    </w:lvl>
  </w:abstractNum>
  <w:abstractNum w:abstractNumId="51">
    <w:nsid w:val="51088277"/>
    <w:multiLevelType w:val="hybridMultilevel"/>
    <w:lvl w:ilvl="0">
      <w:lvlJc w:val="left"/>
      <w:lvlText w:val="1"/>
      <w:numFmt w:val="bullet"/>
      <w:start w:val="1"/>
    </w:lvl>
  </w:abstractNum>
  <w:abstractNum w:abstractNumId="52">
    <w:nsid w:val="1CA0C5FA"/>
    <w:multiLevelType w:val="hybridMultilevel"/>
    <w:lvl w:ilvl="0">
      <w:lvlJc w:val="left"/>
      <w:lvlText w:val="2"/>
      <w:numFmt w:val="bullet"/>
      <w:start w:val="1"/>
    </w:lvl>
  </w:abstractNum>
  <w:abstractNum w:abstractNumId="53">
    <w:nsid w:val="53584BCB"/>
    <w:multiLevelType w:val="hybridMultilevel"/>
    <w:lvl w:ilvl="0">
      <w:lvlJc w:val="left"/>
      <w:lvlText w:val="3"/>
      <w:numFmt w:val="bullet"/>
      <w:start w:val="1"/>
    </w:lvl>
  </w:abstractNum>
  <w:abstractNum w:abstractNumId="54">
    <w:nsid w:val="415E286C"/>
    <w:multiLevelType w:val="hybridMultilevel"/>
    <w:lvl w:ilvl="0">
      <w:lvlJc w:val="left"/>
      <w:lvlText w:val="%1"/>
      <w:numFmt w:val="decimal"/>
      <w:start w:val="20"/>
    </w:lvl>
  </w:abstractNum>
  <w:abstractNum w:abstractNumId="55">
    <w:nsid w:val="7C58FD05"/>
    <w:multiLevelType w:val="hybridMultilevel"/>
    <w:lvl w:ilvl="0">
      <w:lvlJc w:val="left"/>
      <w:lvlText w:val="(%1)"/>
      <w:numFmt w:val="lowerRoman"/>
      <w:start w:val="1"/>
    </w:lvl>
  </w:abstractNum>
  <w:abstractNum w:abstractNumId="56">
    <w:nsid w:val="23D86AAC"/>
    <w:multiLevelType w:val="hybridMultilevel"/>
    <w:lvl w:ilvl="0">
      <w:lvlJc w:val="left"/>
      <w:lvlText w:val="1"/>
      <w:numFmt w:val="bullet"/>
      <w:start w:val="1"/>
    </w:lvl>
  </w:abstractNum>
  <w:abstractNum w:abstractNumId="57">
    <w:nsid w:val="45E6D486"/>
    <w:multiLevelType w:val="hybridMultilevel"/>
    <w:lvl w:ilvl="0">
      <w:lvlJc w:val="left"/>
      <w:lvlText w:val="2"/>
      <w:numFmt w:val="bullet"/>
      <w:start w:val="1"/>
    </w:lvl>
  </w:abstractNum>
  <w:abstractNum w:abstractNumId="58">
    <w:nsid w:val="5C10FE21"/>
    <w:multiLevelType w:val="hybridMultilevel"/>
    <w:lvl w:ilvl="0">
      <w:lvlJc w:val="left"/>
      <w:lvlText w:val="3"/>
      <w:numFmt w:val="bullet"/>
      <w:start w:val="1"/>
    </w:lvl>
  </w:abstractNum>
  <w:abstractNum w:abstractNumId="59">
    <w:nsid w:val="E7FFA2B"/>
    <w:multiLevelType w:val="hybridMultilevel"/>
    <w:lvl w:ilvl="0">
      <w:lvlJc w:val="left"/>
      <w:lvlText w:val="4"/>
      <w:numFmt w:val="bullet"/>
      <w:start w:val="1"/>
    </w:lvl>
  </w:abstractNum>
  <w:abstractNum w:abstractNumId="60">
    <w:nsid w:val="3C5991AA"/>
    <w:multiLevelType w:val="hybridMultilevel"/>
    <w:lvl w:ilvl="0">
      <w:lvlJc w:val="left"/>
      <w:lvlText w:val="5"/>
      <w:numFmt w:val="bullet"/>
      <w:start w:val="1"/>
    </w:lvl>
  </w:abstractNum>
  <w:abstractNum w:abstractNumId="61">
    <w:nsid w:val="4BD8591A"/>
    <w:multiLevelType w:val="hybridMultilevel"/>
    <w:lvl w:ilvl="0">
      <w:lvlJc w:val="left"/>
      <w:lvlText w:val="6"/>
      <w:numFmt w:val="bullet"/>
      <w:start w:val="1"/>
    </w:lvl>
  </w:abstractNum>
  <w:abstractNum w:abstractNumId="62">
    <w:nsid w:val="78DF6A55"/>
    <w:multiLevelType w:val="hybridMultilevel"/>
    <w:lvl w:ilvl="0">
      <w:lvlJc w:val="left"/>
      <w:lvlText w:val="1"/>
      <w:numFmt w:val="bullet"/>
      <w:start w:val="1"/>
    </w:lvl>
  </w:abstractNum>
  <w:abstractNum w:abstractNumId="63">
    <w:nsid w:val="39B7AAA2"/>
    <w:multiLevelType w:val="hybridMultilevel"/>
    <w:lvl w:ilvl="0">
      <w:lvlJc w:val="left"/>
      <w:lvlText w:val="2"/>
      <w:numFmt w:val="bullet"/>
      <w:start w:val="1"/>
    </w:lvl>
  </w:abstractNum>
  <w:abstractNum w:abstractNumId="64">
    <w:nsid w:val="2B0D8DBE"/>
    <w:multiLevelType w:val="hybridMultilevel"/>
    <w:lvl w:ilvl="0">
      <w:lvlJc w:val="left"/>
      <w:lvlText w:val="3"/>
      <w:numFmt w:val="bullet"/>
      <w:start w:val="1"/>
    </w:lvl>
  </w:abstractNum>
  <w:abstractNum w:abstractNumId="65">
    <w:nsid w:val="6C80EC70"/>
    <w:multiLevelType w:val="hybridMultilevel"/>
    <w:lvl w:ilvl="0">
      <w:lvlJc w:val="left"/>
      <w:lvlText w:val="4"/>
      <w:numFmt w:val="bullet"/>
      <w:start w:val="1"/>
    </w:lvl>
  </w:abstractNum>
  <w:abstractNum w:abstractNumId="66">
    <w:nsid w:val="379E21B5"/>
    <w:multiLevelType w:val="hybridMultilevel"/>
    <w:lvl w:ilvl="0">
      <w:lvlJc w:val="left"/>
      <w:lvlText w:val="5"/>
      <w:numFmt w:val="bullet"/>
      <w:start w:val="1"/>
    </w:lvl>
  </w:abstractNum>
  <w:abstractNum w:abstractNumId="67">
    <w:nsid w:val="69E373"/>
    <w:multiLevelType w:val="hybridMultilevel"/>
    <w:lvl w:ilvl="0">
      <w:lvlJc w:val="left"/>
      <w:lvlText w:val="%1"/>
      <w:numFmt w:val="decimal"/>
      <w:start w:val="22"/>
    </w:lvl>
  </w:abstractNum>
  <w:abstractNum w:abstractNumId="68">
    <w:nsid w:val="2C27173B"/>
    <w:multiLevelType w:val="hybridMultilevel"/>
    <w:lvl w:ilvl="0">
      <w:lvlJc w:val="left"/>
      <w:lvlText w:val="1"/>
      <w:numFmt w:val="bullet"/>
      <w:start w:val="1"/>
    </w:lvl>
  </w:abstractNum>
  <w:abstractNum w:abstractNumId="69">
    <w:nsid w:val="4C9B0904"/>
    <w:multiLevelType w:val="hybridMultilevel"/>
    <w:lvl w:ilvl="0">
      <w:lvlJc w:val="left"/>
      <w:lvlText w:val="2"/>
      <w:numFmt w:val="bullet"/>
      <w:start w:val="1"/>
    </w:lvl>
  </w:abstractNum>
  <w:abstractNum w:abstractNumId="70">
    <w:nsid w:val="6AA7B75C"/>
    <w:multiLevelType w:val="hybridMultilevel"/>
    <w:lvl w:ilvl="0">
      <w:lvlJc w:val="left"/>
      <w:lvlText w:val="%1"/>
      <w:numFmt w:val="decimal"/>
      <w:start w:val="24"/>
    </w:lvl>
  </w:abstractNum>
  <w:abstractNum w:abstractNumId="71">
    <w:nsid w:val="1DF029D3"/>
    <w:multiLevelType w:val="hybridMultilevel"/>
    <w:lvl w:ilvl="0">
      <w:lvlJc w:val="left"/>
      <w:lvlText w:val="•"/>
      <w:numFmt w:val="bullet"/>
      <w:start w:val="1"/>
    </w:lvl>
  </w:abstractNum>
  <w:abstractNum w:abstractNumId="72">
    <w:nsid w:val="5675FF36"/>
    <w:multiLevelType w:val="hybridMultilevel"/>
    <w:lvl w:ilvl="0">
      <w:lvlJc w:val="left"/>
      <w:lvlText w:val="•"/>
      <w:numFmt w:val="bullet"/>
      <w:start w:val="1"/>
    </w:lvl>
  </w:abstractNum>
  <w:abstractNum w:abstractNumId="73">
    <w:nsid w:val="3DD15094"/>
    <w:multiLevelType w:val="hybridMultilevel"/>
    <w:lvl w:ilvl="0">
      <w:lvlJc w:val="left"/>
      <w:lvlText w:val="%1"/>
      <w:numFmt w:val="decimal"/>
      <w:start w:val="26"/>
    </w:lvl>
  </w:abstractNum>
  <w:abstractNum w:abstractNumId="74">
    <w:nsid w:val="3DB012B3"/>
    <w:multiLevelType w:val="hybridMultilevel"/>
    <w:lvl w:ilvl="0">
      <w:lvlJc w:val="left"/>
      <w:lvlText w:val="(%1)"/>
      <w:numFmt w:val="decimal"/>
      <w:start w:val="3"/>
    </w:lvl>
  </w:abstractNum>
  <w:abstractNum w:abstractNumId="75">
    <w:nsid w:val="2708C9AF"/>
    <w:multiLevelType w:val="hybridMultilevel"/>
    <w:lvl w:ilvl="0">
      <w:lvlJc w:val="left"/>
      <w:lvlText w:val="%1"/>
      <w:numFmt w:val="decimal"/>
      <w:start w:val="28"/>
    </w:lvl>
  </w:abstractNum>
  <w:abstractNum w:abstractNumId="76">
    <w:nsid w:val="5B25ACE2"/>
    <w:multiLevelType w:val="hybridMultilevel"/>
    <w:lvl w:ilvl="0">
      <w:lvlJc w:val="left"/>
      <w:lvlText w:val="1"/>
      <w:numFmt w:val="bullet"/>
      <w:start w:val="1"/>
    </w:lvl>
  </w:abstractNum>
  <w:abstractNum w:abstractNumId="77">
    <w:nsid w:val="175DFCF0"/>
    <w:multiLevelType w:val="hybridMultilevel"/>
    <w:lvl w:ilvl="0">
      <w:lvlJc w:val="left"/>
      <w:lvlText w:val="2"/>
      <w:numFmt w:val="bullet"/>
      <w:start w:val="1"/>
    </w:lvl>
  </w:abstractNum>
  <w:abstractNum w:abstractNumId="78">
    <w:nsid w:val="4F97E3E4"/>
    <w:multiLevelType w:val="hybridMultilevel"/>
    <w:lvl w:ilvl="0">
      <w:lvlJc w:val="left"/>
      <w:lvlText w:val="%1"/>
      <w:numFmt w:val="decimal"/>
      <w:start w:val="30"/>
    </w:lvl>
  </w:abstractNum>
  <w:abstractNum w:abstractNumId="79">
    <w:nsid w:val="53B0A9E"/>
    <w:multiLevelType w:val="hybridMultilevel"/>
    <w:lvl w:ilvl="0">
      <w:lvlJc w:val="left"/>
      <w:lvlText w:val="%1"/>
      <w:numFmt w:val="decimal"/>
      <w:start w:val="32"/>
    </w:lvl>
  </w:abstractNum>
  <w:abstractNum w:abstractNumId="80">
    <w:nsid w:val="34FD6B4F"/>
    <w:multiLevelType w:val="hybridMultilevel"/>
    <w:lvl w:ilvl="0">
      <w:lvlJc w:val="left"/>
      <w:lvlText w:val="•"/>
      <w:numFmt w:val="bullet"/>
      <w:start w:val="1"/>
    </w:lvl>
    <w:lvl w:ilvl="1">
      <w:lvlJc w:val="left"/>
      <w:lvlText w:val="\emdash "/>
      <w:numFmt w:val="bullet"/>
      <w:start w:val="1"/>
    </w:lvl>
  </w:abstractNum>
  <w:abstractNum w:abstractNumId="81">
    <w:nsid w:val="5915FF32"/>
    <w:multiLevelType w:val="hybridMultilevel"/>
    <w:lvl w:ilvl="0">
      <w:lvlJc w:val="left"/>
      <w:lvlText w:val="*"/>
      <w:numFmt w:val="bullet"/>
      <w:start w:val="1"/>
    </w:lvl>
  </w:abstractNum>
  <w:abstractNum w:abstractNumId="82">
    <w:nsid w:val="56438D15"/>
    <w:multiLevelType w:val="hybridMultilevel"/>
    <w:lvl w:ilvl="0">
      <w:lvlJc w:val="left"/>
      <w:lvlText w:val="%1"/>
      <w:numFmt w:val="decimal"/>
      <w:start w:val="34"/>
    </w:lvl>
  </w:abstractNum>
  <w:abstractNum w:abstractNumId="83">
    <w:nsid w:val="519E3149"/>
    <w:multiLevelType w:val="hybridMultilevel"/>
    <w:lvl w:ilvl="0">
      <w:lvlJc w:val="left"/>
      <w:lvlText w:val="1"/>
      <w:numFmt w:val="bullet"/>
      <w:start w:val="1"/>
    </w:lvl>
  </w:abstractNum>
  <w:abstractNum w:abstractNumId="84">
    <w:nsid w:val="2C6E4AFD"/>
    <w:multiLevelType w:val="hybridMultilevel"/>
    <w:lvl w:ilvl="0">
      <w:lvlJc w:val="left"/>
      <w:lvlText w:val="*"/>
      <w:numFmt w:val="bullet"/>
      <w:start w:val="1"/>
    </w:lvl>
  </w:abstractNum>
  <w:abstractNum w:abstractNumId="85">
    <w:nsid w:val="17A1B582"/>
    <w:multiLevelType w:val="hybridMultilevel"/>
    <w:lvl w:ilvl="0">
      <w:lvlJc w:val="left"/>
      <w:lvlText w:val="**"/>
      <w:numFmt w:val="bullet"/>
      <w:start w:val="1"/>
    </w:lvl>
  </w:abstractNum>
  <w:abstractNum w:abstractNumId="86">
    <w:nsid w:val="4DF72E4E"/>
    <w:multiLevelType w:val="hybridMultilevel"/>
    <w:lvl w:ilvl="0">
      <w:lvlJc w:val="left"/>
      <w:lvlText w:val="•"/>
      <w:numFmt w:val="bullet"/>
      <w:start w:val="1"/>
    </w:lvl>
  </w:abstractNum>
  <w:abstractNum w:abstractNumId="87">
    <w:nsid w:val="5046B5A9"/>
    <w:multiLevelType w:val="hybridMultilevel"/>
    <w:lvl w:ilvl="0">
      <w:lvlJc w:val="left"/>
      <w:lvlText w:val="•"/>
      <w:numFmt w:val="bullet"/>
      <w:start w:val="1"/>
    </w:lvl>
  </w:abstractNum>
  <w:abstractNum w:abstractNumId="88">
    <w:nsid w:val="5D888A08"/>
    <w:multiLevelType w:val="hybridMultilevel"/>
    <w:lvl w:ilvl="0">
      <w:lvlJc w:val="left"/>
      <w:lvlText w:val="•"/>
      <w:numFmt w:val="bullet"/>
      <w:start w:val="1"/>
    </w:lvl>
  </w:abstractNum>
  <w:abstractNum w:abstractNumId="89">
    <w:nsid w:val="2A082C70"/>
    <w:multiLevelType w:val="hybridMultilevel"/>
    <w:lvl w:ilvl="0">
      <w:lvlJc w:val="left"/>
      <w:lvlText w:val="%1"/>
      <w:numFmt w:val="decimal"/>
      <w:start w:val="36"/>
    </w:lvl>
  </w:abstractNum>
  <w:abstractNum w:abstractNumId="90">
    <w:nsid w:val="5EC6AFD4"/>
    <w:multiLevelType w:val="hybridMultilevel"/>
    <w:lvl w:ilvl="0">
      <w:lvlJc w:val="left"/>
      <w:lvlText w:val="%1"/>
      <w:numFmt w:val="decimal"/>
      <w:start w:val="38"/>
    </w:lvl>
  </w:abstractNum>
  <w:abstractNum w:abstractNumId="91">
    <w:nsid w:val="19E21BB2"/>
    <w:multiLevelType w:val="hybridMultilevel"/>
    <w:lvl w:ilvl="0">
      <w:lvlJc w:val="left"/>
      <w:lvlText w:val="*"/>
      <w:numFmt w:val="bullet"/>
      <w:start w:val="1"/>
    </w:lvl>
  </w:abstractNum>
  <w:abstractNum w:abstractNumId="92">
    <w:nsid w:val="75E0858A"/>
    <w:multiLevelType w:val="hybridMultilevel"/>
    <w:lvl w:ilvl="0">
      <w:lvlJc w:val="left"/>
      <w:lvlText w:val="%1"/>
      <w:numFmt w:val="decimal"/>
      <w:start w:val="40"/>
    </w:lvl>
  </w:abstractNum>
  <w:abstractNum w:abstractNumId="93">
    <w:nsid w:val="57A61A29"/>
    <w:multiLevelType w:val="hybridMultilevel"/>
    <w:lvl w:ilvl="0">
      <w:lvlJc w:val="left"/>
      <w:lvlText w:val="•"/>
      <w:numFmt w:val="bullet"/>
      <w:start w:val="1"/>
    </w:lvl>
  </w:abstractNum>
  <w:abstractNum w:abstractNumId="94">
    <w:nsid w:val="5399C654"/>
    <w:multiLevelType w:val="hybridMultilevel"/>
    <w:lvl w:ilvl="0">
      <w:lvlJc w:val="left"/>
      <w:lvlText w:val="%1"/>
      <w:numFmt w:val="decimal"/>
      <w:start w:val="42"/>
    </w:lvl>
  </w:abstractNum>
  <w:abstractNum w:abstractNumId="95">
    <w:nsid w:val="20EE1348"/>
    <w:multiLevelType w:val="hybridMultilevel"/>
    <w:lvl w:ilvl="0">
      <w:lvlJc w:val="left"/>
      <w:lvlText w:val="•"/>
      <w:numFmt w:val="bullet"/>
      <w:start w:val="1"/>
    </w:lvl>
  </w:abstractNum>
  <w:abstractNum w:abstractNumId="96">
    <w:nsid w:val="4427069A"/>
    <w:multiLevelType w:val="hybridMultilevel"/>
    <w:lvl w:ilvl="0">
      <w:lvlJc w:val="left"/>
      <w:lvlText w:val="•"/>
      <w:numFmt w:val="bullet"/>
      <w:start w:val="1"/>
    </w:lvl>
  </w:abstractNum>
  <w:abstractNum w:abstractNumId="97">
    <w:nsid w:val="B37E80A"/>
    <w:multiLevelType w:val="hybridMultilevel"/>
    <w:lvl w:ilvl="0">
      <w:lvlJc w:val="left"/>
      <w:lvlText w:val="•"/>
      <w:numFmt w:val="bullet"/>
      <w:start w:val="1"/>
    </w:lvl>
  </w:abstractNum>
  <w:abstractNum w:abstractNumId="98">
    <w:nsid w:val="2157F6BC"/>
    <w:multiLevelType w:val="hybridMultilevel"/>
    <w:lvl w:ilvl="0">
      <w:lvlJc w:val="left"/>
      <w:lvlText w:val="•"/>
      <w:numFmt w:val="bullet"/>
      <w:start w:val="1"/>
    </w:lvl>
  </w:abstractNum>
  <w:abstractNum w:abstractNumId="99">
    <w:nsid w:val="704E1DD5"/>
    <w:multiLevelType w:val="hybridMultilevel"/>
    <w:lvl w:ilvl="0">
      <w:lvlJc w:val="left"/>
      <w:lvlText w:val="%1"/>
      <w:numFmt w:val="decimal"/>
      <w:start w:val="44"/>
    </w:lvl>
  </w:abstractNum>
  <w:abstractNum w:abstractNumId="100">
    <w:nsid w:val="57D2F10E"/>
    <w:multiLevelType w:val="hybridMultilevel"/>
    <w:lvl w:ilvl="0">
      <w:lvlJc w:val="left"/>
      <w:lvlText w:val="•"/>
      <w:numFmt w:val="bullet"/>
      <w:start w:val="1"/>
    </w:lvl>
  </w:abstractNum>
  <w:abstractNum w:abstractNumId="101">
    <w:nsid w:val="BFFAE18"/>
    <w:multiLevelType w:val="hybridMultilevel"/>
    <w:lvl w:ilvl="0">
      <w:lvlJc w:val="left"/>
      <w:lvlText w:val="(%1)"/>
      <w:numFmt w:val="decimal"/>
      <w:start w:val="1"/>
    </w:lvl>
  </w:abstractNum>
  <w:abstractNum w:abstractNumId="102">
    <w:nsid w:val="E3E47A8"/>
    <w:multiLevelType w:val="hybridMultilevel"/>
    <w:lvl w:ilvl="0">
      <w:lvlJc w:val="left"/>
      <w:lvlText w:val="%1"/>
      <w:numFmt w:val="decimal"/>
      <w:start w:val="46"/>
    </w:lvl>
  </w:abstractNum>
  <w:abstractNum w:abstractNumId="103">
    <w:nsid w:val="2E48F044"/>
    <w:multiLevelType w:val="hybridMultilevel"/>
    <w:lvl w:ilvl="0">
      <w:lvlJc w:val="left"/>
      <w:lvlText w:val="(%1)"/>
      <w:numFmt w:val="decimal"/>
      <w:start w:val="1"/>
    </w:lvl>
  </w:abstractNum>
  <w:abstractNum w:abstractNumId="104">
    <w:nsid w:val="49D0FEAC"/>
    <w:multiLevelType w:val="hybridMultilevel"/>
    <w:lvl w:ilvl="0">
      <w:lvlJc w:val="left"/>
      <w:lvlText w:val="•"/>
      <w:numFmt w:val="bullet"/>
      <w:start w:val="1"/>
    </w:lvl>
    <w:lvl w:ilvl="1">
      <w:lvlJc w:val="left"/>
      <w:lvlText w:val="\emdash "/>
      <w:numFmt w:val="bullet"/>
      <w:start w:val="1"/>
    </w:lvl>
  </w:abstractNum>
  <w:abstractNum w:abstractNumId="105">
    <w:nsid w:val="4BEE5A5B"/>
    <w:multiLevelType w:val="hybridMultilevel"/>
    <w:lvl w:ilvl="0">
      <w:lvlJc w:val="left"/>
      <w:lvlText w:val="*"/>
      <w:numFmt w:val="bullet"/>
      <w:start w:val="1"/>
    </w:lvl>
  </w:abstractNum>
  <w:abstractNum w:abstractNumId="106">
    <w:nsid w:val="5551B9F3"/>
    <w:multiLevelType w:val="hybridMultilevel"/>
    <w:lvl w:ilvl="0">
      <w:lvlJc w:val="left"/>
      <w:lvlText w:val="%1"/>
      <w:numFmt w:val="decimal"/>
      <w:start w:val="48"/>
    </w:lvl>
  </w:abstractNum>
  <w:abstractNum w:abstractNumId="107">
    <w:nsid w:val="24F6AB8E"/>
    <w:multiLevelType w:val="hybridMultilevel"/>
    <w:lvl w:ilvl="0">
      <w:lvlJc w:val="left"/>
      <w:lvlText w:val="•"/>
      <w:numFmt w:val="bullet"/>
      <w:start w:val="1"/>
    </w:lvl>
  </w:abstractNum>
  <w:abstractNum w:abstractNumId="108">
    <w:nsid w:val="634C574C"/>
    <w:multiLevelType w:val="hybridMultilevel"/>
    <w:lvl w:ilvl="0">
      <w:lvlJc w:val="left"/>
      <w:lvlText w:val="•"/>
      <w:numFmt w:val="bullet"/>
      <w:start w:val="1"/>
    </w:lvl>
  </w:abstractNum>
  <w:abstractNum w:abstractNumId="109">
    <w:nsid w:val="24E99DD7"/>
    <w:multiLevelType w:val="hybridMultilevel"/>
    <w:lvl w:ilvl="0">
      <w:lvlJc w:val="left"/>
      <w:lvlText w:val="•"/>
      <w:numFmt w:val="bullet"/>
      <w:start w:val="1"/>
    </w:lvl>
  </w:abstractNum>
  <w:abstractNum w:abstractNumId="110">
    <w:nsid w:val="2A31B62D"/>
    <w:multiLevelType w:val="hybridMultilevel"/>
    <w:lvl w:ilvl="0">
      <w:lvlJc w:val="left"/>
      <w:lvlText w:val="•"/>
      <w:numFmt w:val="bullet"/>
      <w:start w:val="1"/>
    </w:lvl>
  </w:abstractNum>
  <w:abstractNum w:abstractNumId="111">
    <w:nsid w:val="1849C29B"/>
    <w:multiLevelType w:val="hybridMultilevel"/>
    <w:lvl w:ilvl="0">
      <w:lvlJc w:val="left"/>
      <w:lvlText w:val="•"/>
      <w:numFmt w:val="bullet"/>
      <w:start w:val="1"/>
    </w:lvl>
  </w:abstractNum>
  <w:abstractNum w:abstractNumId="112">
    <w:nsid w:val="7DFF9D09"/>
    <w:multiLevelType w:val="hybridMultilevel"/>
    <w:lvl w:ilvl="0">
      <w:lvlJc w:val="left"/>
      <w:lvlText w:val="%1"/>
      <w:numFmt w:val="decimal"/>
      <w:start w:val="50"/>
    </w:lvl>
  </w:abstractNum>
  <w:abstractNum w:abstractNumId="113">
    <w:nsid w:val="754342"/>
    <w:multiLevelType w:val="hybridMultilevel"/>
    <w:lvl w:ilvl="0">
      <w:lvlJc w:val="left"/>
      <w:lvlText w:val="•"/>
      <w:numFmt w:val="bullet"/>
      <w:start w:val="1"/>
    </w:lvl>
  </w:abstractNum>
  <w:abstractNum w:abstractNumId="114">
    <w:nsid w:val="69E7F3E5"/>
    <w:multiLevelType w:val="hybridMultilevel"/>
    <w:lvl w:ilvl="0">
      <w:lvlJc w:val="left"/>
      <w:lvlText w:val="•"/>
      <w:numFmt w:val="bullet"/>
      <w:start w:val="1"/>
    </w:lvl>
  </w:abstractNum>
  <w:abstractNum w:abstractNumId="115">
    <w:nsid w:val="2A6DE806"/>
    <w:multiLevelType w:val="hybridMultilevel"/>
    <w:lvl w:ilvl="0">
      <w:lvlJc w:val="left"/>
      <w:lvlText w:val="•"/>
      <w:numFmt w:val="bullet"/>
      <w:start w:val="1"/>
    </w:lvl>
  </w:abstractNum>
  <w:abstractNum w:abstractNumId="116">
    <w:nsid w:val="1816F8C4"/>
    <w:multiLevelType w:val="hybridMultilevel"/>
    <w:lvl w:ilvl="0">
      <w:lvlJc w:val="left"/>
      <w:lvlText w:val="•"/>
      <w:numFmt w:val="bullet"/>
      <w:start w:val="1"/>
    </w:lvl>
  </w:abstractNum>
  <w:abstractNum w:abstractNumId="117">
    <w:nsid w:val="37DF2233"/>
    <w:multiLevelType w:val="hybridMultilevel"/>
    <w:lvl w:ilvl="0">
      <w:lvlJc w:val="left"/>
      <w:lvlText w:val="•"/>
      <w:numFmt w:val="bullet"/>
      <w:start w:val="1"/>
    </w:lvl>
  </w:abstractNum>
  <w:abstractNum w:abstractNumId="118">
    <w:nsid w:val="7AB49DAF"/>
    <w:multiLevelType w:val="hybridMultilevel"/>
    <w:lvl w:ilvl="0">
      <w:lvlJc w:val="left"/>
      <w:lvlText w:val="•"/>
      <w:numFmt w:val="bullet"/>
      <w:start w:val="1"/>
    </w:lvl>
  </w:abstractNum>
  <w:abstractNum w:abstractNumId="119">
    <w:nsid w:val="759F82CD"/>
    <w:multiLevelType w:val="hybridMultilevel"/>
    <w:lvl w:ilvl="0">
      <w:lvlJc w:val="left"/>
      <w:lvlText w:val="%1"/>
      <w:numFmt w:val="decimal"/>
      <w:start w:val="52"/>
    </w:lvl>
  </w:abstractNum>
  <w:abstractNum w:abstractNumId="120">
    <w:nsid w:val="61E74EA3"/>
    <w:multiLevelType w:val="hybridMultilevel"/>
    <w:lvl w:ilvl="0">
      <w:lvlJc w:val="left"/>
      <w:lvlText w:val="•"/>
      <w:numFmt w:val="bullet"/>
      <w:start w:val="1"/>
    </w:lvl>
  </w:abstractNum>
  <w:abstractNum w:abstractNumId="121">
    <w:nsid w:val="597B4D84"/>
    <w:multiLevelType w:val="hybridMultilevel"/>
    <w:lvl w:ilvl="0">
      <w:lvlJc w:val="left"/>
      <w:lvlText w:val="1"/>
      <w:numFmt w:val="bullet"/>
      <w:start w:val="1"/>
    </w:lvl>
  </w:abstractNum>
  <w:abstractNum w:abstractNumId="122">
    <w:nsid w:val="F819E7F"/>
    <w:multiLevelType w:val="hybridMultilevel"/>
    <w:lvl w:ilvl="0">
      <w:lvlJc w:val="left"/>
      <w:lvlText w:val="2"/>
      <w:numFmt w:val="bullet"/>
      <w:start w:val="1"/>
    </w:lvl>
  </w:abstractNum>
  <w:abstractNum w:abstractNumId="123">
    <w:nsid w:val="57C7D42D"/>
    <w:multiLevelType w:val="hybridMultilevel"/>
    <w:lvl w:ilvl="0">
      <w:lvlJc w:val="left"/>
      <w:lvlText w:val="3"/>
      <w:numFmt w:val="bullet"/>
      <w:start w:val="1"/>
    </w:lvl>
  </w:abstractNum>
  <w:abstractNum w:abstractNumId="124">
    <w:nsid w:val="312167AD"/>
    <w:multiLevelType w:val="hybridMultilevel"/>
    <w:lvl w:ilvl="0">
      <w:lvlJc w:val="left"/>
      <w:lvlText w:val="%1"/>
      <w:numFmt w:val="decimal"/>
      <w:start w:val="54"/>
    </w:lvl>
  </w:abstractNum>
  <w:abstractNum w:abstractNumId="125">
    <w:nsid w:val="631B64D4"/>
    <w:multiLevelType w:val="hybridMultilevel"/>
    <w:lvl w:ilvl="0">
      <w:lvlJc w:val="left"/>
      <w:lvlText w:val="4"/>
      <w:numFmt w:val="bullet"/>
      <w:start w:val="1"/>
    </w:lvl>
  </w:abstractNum>
  <w:abstractNum w:abstractNumId="126">
    <w:nsid w:val="78B5E776"/>
    <w:multiLevelType w:val="hybridMultilevel"/>
    <w:lvl w:ilvl="0">
      <w:lvlJc w:val="left"/>
      <w:lvlText w:val="5"/>
      <w:numFmt w:val="bullet"/>
      <w:start w:val="1"/>
    </w:lvl>
  </w:abstractNum>
  <w:abstractNum w:abstractNumId="127">
    <w:nsid w:val="75486E47"/>
    <w:multiLevelType w:val="hybridMultilevel"/>
    <w:lvl w:ilvl="0">
      <w:lvlJc w:val="left"/>
      <w:lvlText w:val="6"/>
      <w:numFmt w:val="bullet"/>
      <w:start w:val="1"/>
    </w:lvl>
  </w:abstractNum>
  <w:abstractNum w:abstractNumId="128">
    <w:nsid w:val="6E534CDE"/>
    <w:multiLevelType w:val="hybridMultilevel"/>
    <w:lvl w:ilvl="0">
      <w:lvlJc w:val="left"/>
      <w:lvlText w:val="7"/>
      <w:numFmt w:val="bullet"/>
      <w:start w:val="1"/>
    </w:lvl>
  </w:abstractNum>
  <w:abstractNum w:abstractNumId="129">
    <w:nsid w:val="1A0DDE32"/>
    <w:multiLevelType w:val="hybridMultilevel"/>
    <w:lvl w:ilvl="0">
      <w:lvlJc w:val="left"/>
      <w:lvlText w:val="1"/>
      <w:numFmt w:val="bullet"/>
      <w:start w:val="1"/>
    </w:lvl>
  </w:abstractNum>
  <w:abstractNum w:abstractNumId="130">
    <w:nsid w:val="65968C1C"/>
    <w:multiLevelType w:val="hybridMultilevel"/>
    <w:lvl w:ilvl="0">
      <w:lvlJc w:val="left"/>
      <w:lvlText w:val="2"/>
      <w:numFmt w:val="bullet"/>
      <w:start w:val="1"/>
    </w:lvl>
  </w:abstractNum>
  <w:abstractNum w:abstractNumId="131">
    <w:nsid w:val="46263DEC"/>
    <w:multiLevelType w:val="hybridMultilevel"/>
    <w:lvl w:ilvl="0">
      <w:lvlJc w:val="left"/>
      <w:lvlText w:val="3"/>
      <w:numFmt w:val="bullet"/>
      <w:start w:val="1"/>
    </w:lvl>
  </w:abstractNum>
  <w:abstractNum w:abstractNumId="132">
    <w:nsid w:val="260D8C4A"/>
    <w:multiLevelType w:val="hybridMultilevel"/>
    <w:lvl w:ilvl="0">
      <w:lvlJc w:val="left"/>
      <w:lvlText w:val="4"/>
      <w:numFmt w:val="bullet"/>
      <w:start w:val="1"/>
    </w:lvl>
  </w:abstractNum>
  <w:abstractNum w:abstractNumId="133">
    <w:nsid w:val="73D4D3C4"/>
    <w:multiLevelType w:val="hybridMultilevel"/>
    <w:lvl w:ilvl="0">
      <w:lvlJc w:val="left"/>
      <w:lvlText w:val="%1"/>
      <w:numFmt w:val="decimal"/>
      <w:start w:val="56"/>
    </w:lvl>
  </w:abstractNum>
  <w:abstractNum w:abstractNumId="134">
    <w:nsid w:val="746F2E30"/>
    <w:multiLevelType w:val="hybridMultilevel"/>
    <w:lvl w:ilvl="0">
      <w:lvlJc w:val="left"/>
      <w:lvlText w:val="1"/>
      <w:numFmt w:val="bullet"/>
      <w:start w:val="1"/>
    </w:lvl>
  </w:abstractNum>
  <w:abstractNum w:abstractNumId="135">
    <w:nsid w:val="6FDE8AF6"/>
    <w:multiLevelType w:val="hybridMultilevel"/>
    <w:lvl w:ilvl="0">
      <w:lvlJc w:val="left"/>
      <w:lvlText w:val="%1"/>
      <w:numFmt w:val="decimal"/>
      <w:start w:val="12"/>
    </w:lvl>
  </w:abstractNum>
  <w:abstractNum w:abstractNumId="136">
    <w:nsid w:val="3FC32E20"/>
    <w:multiLevelType w:val="hybridMultilevel"/>
    <w:lvl w:ilvl="0">
      <w:lvlJc w:val="left"/>
      <w:lvlText w:val="1"/>
      <w:numFmt w:val="bullet"/>
      <w:start w:val="1"/>
    </w:lvl>
  </w:abstractNum>
  <w:abstractNum w:abstractNumId="137">
    <w:nsid w:val="49C0E823"/>
    <w:multiLevelType w:val="hybridMultilevel"/>
    <w:lvl w:ilvl="0">
      <w:lvlJc w:val="left"/>
      <w:lvlText w:val="%1"/>
      <w:numFmt w:val="decimal"/>
      <w:start w:val="58"/>
    </w:lvl>
  </w:abstractNum>
  <w:abstractNum w:abstractNumId="138">
    <w:nsid w:val="14D53685"/>
    <w:multiLevelType w:val="hybridMultilevel"/>
    <w:lvl w:ilvl="0">
      <w:lvlJc w:val="left"/>
      <w:lvlText w:val="(%1)"/>
      <w:numFmt w:val="upperLetter"/>
      <w:start w:val="1"/>
    </w:lvl>
  </w:abstractNum>
  <w:abstractNum w:abstractNumId="139">
    <w:nsid w:val="230F856C"/>
    <w:multiLevelType w:val="hybridMultilevel"/>
    <w:lvl w:ilvl="0">
      <w:lvlJc w:val="left"/>
      <w:lvlText w:val="1"/>
      <w:numFmt w:val="bullet"/>
      <w:start w:val="1"/>
    </w:lvl>
  </w:abstractNum>
  <w:abstractNum w:abstractNumId="140">
    <w:nsid w:val="6EAA85FB"/>
    <w:multiLevelType w:val="hybridMultilevel"/>
    <w:lvl w:ilvl="0">
      <w:lvlJc w:val="left"/>
      <w:lvlText w:val="%1"/>
      <w:numFmt w:val="decimal"/>
      <w:start w:val="60"/>
    </w:lvl>
  </w:abstractNum>
  <w:abstractNum w:abstractNumId="141">
    <w:nsid w:val="3F06ECB2"/>
    <w:multiLevelType w:val="hybridMultilevel"/>
    <w:lvl w:ilvl="0">
      <w:lvlJc w:val="left"/>
      <w:lvlText w:val="%1"/>
      <w:numFmt w:val="decimal"/>
      <w:start w:val="62"/>
    </w:lvl>
  </w:abstractNum>
  <w:abstractNum w:abstractNumId="142">
    <w:nsid w:val="3B594807"/>
    <w:multiLevelType w:val="hybridMultilevel"/>
    <w:lvl w:ilvl="0">
      <w:lvlJc w:val="left"/>
      <w:lvlText w:val="1"/>
      <w:numFmt w:val="bullet"/>
      <w:start w:val="1"/>
    </w:lvl>
  </w:abstractNum>
  <w:abstractNum w:abstractNumId="143">
    <w:nsid w:val="6CAA2304"/>
    <w:multiLevelType w:val="hybridMultilevel"/>
    <w:lvl w:ilvl="0">
      <w:lvlJc w:val="left"/>
      <w:lvlText w:val="2"/>
      <w:numFmt w:val="bullet"/>
      <w:start w:val="1"/>
    </w:lvl>
  </w:abstractNum>
  <w:abstractNum w:abstractNumId="144">
    <w:nsid w:val="3F7C2FF4"/>
    <w:multiLevelType w:val="hybridMultilevel"/>
    <w:lvl w:ilvl="0">
      <w:lvlJc w:val="left"/>
      <w:lvlText w:val="3"/>
      <w:numFmt w:val="bullet"/>
      <w:start w:val="1"/>
    </w:lvl>
  </w:abstractNum>
  <w:abstractNum w:abstractNumId="145">
    <w:nsid w:val="25413BEC"/>
    <w:multiLevelType w:val="hybridMultilevel"/>
    <w:lvl w:ilvl="0">
      <w:lvlJc w:val="left"/>
      <w:lvlText w:val="4"/>
      <w:numFmt w:val="bullet"/>
      <w:start w:val="1"/>
    </w:lvl>
  </w:abstractNum>
  <w:abstractNum w:abstractNumId="146">
    <w:nsid w:val="17180B0B"/>
    <w:multiLevelType w:val="hybridMultilevel"/>
    <w:lvl w:ilvl="0">
      <w:lvlJc w:val="left"/>
      <w:lvlText w:val="5"/>
      <w:numFmt w:val="bullet"/>
      <w:start w:val="1"/>
    </w:lvl>
  </w:abstractNum>
  <w:abstractNum w:abstractNumId="147">
    <w:nsid w:val="579328B9"/>
    <w:multiLevelType w:val="hybridMultilevel"/>
    <w:lvl w:ilvl="0">
      <w:lvlJc w:val="left"/>
      <w:lvlText w:val="6"/>
      <w:numFmt w:val="bullet"/>
      <w:start w:val="1"/>
    </w:lvl>
  </w:abstractNum>
  <w:abstractNum w:abstractNumId="148">
    <w:nsid w:val="5D205E20"/>
    <w:multiLevelType w:val="hybridMultilevel"/>
    <w:lvl w:ilvl="0">
      <w:lvlJc w:val="left"/>
      <w:lvlText w:val="7"/>
      <w:numFmt w:val="bullet"/>
      <w:start w:val="1"/>
    </w:lvl>
  </w:abstractNum>
  <w:abstractNum w:abstractNumId="149">
    <w:nsid w:val="11CCA8BA"/>
    <w:multiLevelType w:val="hybridMultilevel"/>
    <w:lvl w:ilvl="0">
      <w:lvlJc w:val="left"/>
      <w:lvlText w:val="8"/>
      <w:numFmt w:val="bullet"/>
      <w:start w:val="1"/>
    </w:lvl>
  </w:abstractNum>
  <w:abstractNum w:abstractNumId="150">
    <w:nsid w:val="4D32AB86"/>
    <w:multiLevelType w:val="hybridMultilevel"/>
    <w:lvl w:ilvl="0">
      <w:lvlJc w:val="left"/>
      <w:lvlText w:val="•"/>
      <w:numFmt w:val="bullet"/>
      <w:start w:val="1"/>
    </w:lvl>
  </w:abstractNum>
  <w:abstractNum w:abstractNumId="151">
    <w:nsid w:val="3F07ACC3"/>
    <w:multiLevelType w:val="hybridMultilevel"/>
    <w:lvl w:ilvl="0">
      <w:lvlJc w:val="left"/>
      <w:lvlText w:val="%1"/>
      <w:numFmt w:val="decimal"/>
      <w:start w:val="64"/>
    </w:lvl>
  </w:abstractNum>
  <w:abstractNum w:abstractNumId="152">
    <w:nsid w:val="6B47F63E"/>
    <w:multiLevelType w:val="hybridMultilevel"/>
    <w:lvl w:ilvl="0">
      <w:lvlJc w:val="left"/>
      <w:lvlText w:val="•"/>
      <w:numFmt w:val="bullet"/>
      <w:start w:val="1"/>
    </w:lvl>
  </w:abstractNum>
  <w:abstractNum w:abstractNumId="153">
    <w:nsid w:val="5CB44A05"/>
    <w:multiLevelType w:val="hybridMultilevel"/>
    <w:lvl w:ilvl="0">
      <w:lvlJc w:val="left"/>
      <w:lvlText w:val="1"/>
      <w:numFmt w:val="bullet"/>
      <w:start w:val="1"/>
    </w:lvl>
  </w:abstractNum>
  <w:abstractNum w:abstractNumId="154">
    <w:nsid w:val="16CF80F1"/>
    <w:multiLevelType w:val="hybridMultilevel"/>
    <w:lvl w:ilvl="0">
      <w:lvlJc w:val="left"/>
      <w:lvlText w:val="2"/>
      <w:numFmt w:val="bullet"/>
      <w:start w:val="1"/>
    </w:lvl>
  </w:abstractNum>
  <w:abstractNum w:abstractNumId="155">
    <w:nsid w:val="1C695DEC"/>
    <w:multiLevelType w:val="hybridMultilevel"/>
    <w:lvl w:ilvl="0">
      <w:lvlJc w:val="left"/>
      <w:lvlText w:val="4"/>
      <w:numFmt w:val="bullet"/>
      <w:start w:val="1"/>
    </w:lvl>
  </w:abstractNum>
  <w:abstractNum w:abstractNumId="156">
    <w:nsid w:val="3FCFAED9"/>
    <w:multiLevelType w:val="hybridMultilevel"/>
    <w:lvl w:ilvl="0">
      <w:lvlJc w:val="left"/>
      <w:lvlText w:val="5"/>
      <w:numFmt w:val="bullet"/>
      <w:start w:val="1"/>
    </w:lvl>
  </w:abstractNum>
  <w:abstractNum w:abstractNumId="157">
    <w:nsid w:val="F856867"/>
    <w:multiLevelType w:val="hybridMultilevel"/>
    <w:lvl w:ilvl="0">
      <w:lvlJc w:val="left"/>
      <w:lvlText w:val="%1"/>
      <w:numFmt w:val="decimal"/>
      <w:start w:val="66"/>
    </w:lvl>
  </w:abstractNum>
  <w:abstractNum w:abstractNumId="158">
    <w:nsid w:val="11B1CC33"/>
    <w:multiLevelType w:val="hybridMultilevel"/>
    <w:lvl w:ilvl="0">
      <w:lvlJc w:val="left"/>
      <w:lvlText w:val="•"/>
      <w:numFmt w:val="bullet"/>
      <w:start w:val="1"/>
    </w:lvl>
  </w:abstractNum>
  <w:abstractNum w:abstractNumId="159">
    <w:nsid w:val="2E22FBB7"/>
    <w:multiLevelType w:val="hybridMultilevel"/>
    <w:lvl w:ilvl="0">
      <w:lvlJc w:val="left"/>
      <w:lvlText w:val="•"/>
      <w:numFmt w:val="bullet"/>
      <w:start w:val="1"/>
    </w:lvl>
  </w:abstractNum>
  <w:abstractNum w:abstractNumId="160">
    <w:nsid w:val="29934699"/>
    <w:multiLevelType w:val="hybridMultilevel"/>
    <w:lvl w:ilvl="0">
      <w:lvlJc w:val="left"/>
      <w:lvlText w:val="%1"/>
      <w:numFmt w:val="decimal"/>
      <w:start w:val="68"/>
    </w:lvl>
  </w:abstractNum>
  <w:abstractNum w:abstractNumId="161">
    <w:nsid w:val="77485850"/>
    <w:multiLevelType w:val="hybridMultilevel"/>
    <w:lvl w:ilvl="0">
      <w:lvlJc w:val="left"/>
      <w:lvlText w:val="◆"/>
      <w:numFmt w:val="bullet"/>
      <w:start w:val="1"/>
    </w:lvl>
  </w:abstractNum>
  <w:abstractNum w:abstractNumId="162">
    <w:nsid w:val="744939A3"/>
    <w:multiLevelType w:val="hybridMultilevel"/>
    <w:lvl w:ilvl="0">
      <w:lvlJc w:val="left"/>
      <w:lvlText w:val="%1"/>
      <w:numFmt w:val="decimal"/>
      <w:start w:val="70"/>
    </w:lvl>
  </w:abstractNum>
  <w:abstractNum w:abstractNumId="163">
    <w:nsid w:val="4FA0D2E3"/>
    <w:multiLevelType w:val="hybridMultilevel"/>
    <w:lvl w:ilvl="0">
      <w:lvlJc w:val="left"/>
      <w:lvlText w:val="%1."/>
      <w:numFmt w:val="decimal"/>
      <w:start w:val="1"/>
    </w:lvl>
  </w:abstractNum>
  <w:abstractNum w:abstractNumId="164">
    <w:nsid w:val="6B1D2C14"/>
    <w:multiLevelType w:val="hybridMultilevel"/>
    <w:lvl w:ilvl="0">
      <w:lvlJc w:val="left"/>
      <w:lvlText w:val="%1."/>
      <w:numFmt w:val="decimal"/>
      <w:start w:val="6"/>
    </w:lvl>
  </w:abstractNum>
  <w:abstractNum w:abstractNumId="165">
    <w:nsid w:val="68B867D3"/>
    <w:multiLevelType w:val="hybridMultilevel"/>
    <w:lvl w:ilvl="0">
      <w:lvlJc w:val="left"/>
      <w:lvlText w:val="$"/>
      <w:numFmt w:val="bullet"/>
      <w:start w:val="1"/>
    </w:lvl>
  </w:abstractNum>
  <w:abstractNum w:abstractNumId="166">
    <w:nsid w:val="3F7F5DD9"/>
    <w:multiLevelType w:val="hybridMultilevel"/>
    <w:lvl w:ilvl="0">
      <w:lvlJc w:val="left"/>
      <w:lvlText w:val="%1."/>
      <w:numFmt w:val="decimal"/>
      <w:start w:val="4"/>
    </w:lvl>
  </w:abstractNum>
  <w:abstractNum w:abstractNumId="167">
    <w:nsid w:val="2AE05A34"/>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2019-12-03T13:11:11Z</dcterms:created>
  <dcterms:modified xsi:type="dcterms:W3CDTF">2019-12-03T13:11:11Z</dcterms:modified>
</cp:coreProperties>
</file>