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182880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5"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4" w:lineRule="exact"/>
        <w:rPr>
          <w:sz w:val="24"/>
          <w:szCs w:val="24"/>
          <w:color w:val="auto"/>
        </w:rPr>
      </w:pPr>
    </w:p>
    <w:p>
      <w:pPr>
        <w:ind w:left="352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Number 1-12744</w:t>
      </w:r>
    </w:p>
    <w:p>
      <w:pPr>
        <w:spacing w:after="0" w:line="9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167" w:lineRule="exact"/>
        <w:rPr>
          <w:sz w:val="24"/>
          <w:szCs w:val="24"/>
          <w:color w:val="auto"/>
        </w:rPr>
      </w:pPr>
    </w:p>
    <w:tbl>
      <w:tblPr>
        <w:tblLayout w:type="fixed"/>
        <w:tblInd w:w="500" w:type="dxa"/>
        <w:tblCellMar>
          <w:top w:w="0" w:type="dxa"/>
          <w:left w:w="0" w:type="dxa"/>
          <w:bottom w:w="0" w:type="dxa"/>
          <w:right w:w="0" w:type="dxa"/>
        </w:tblCellMar>
      </w:tblPr>
      <w:tr>
        <w:trPr>
          <w:trHeight w:val="215"/>
        </w:trPr>
        <w:tc>
          <w:tcPr>
            <w:tcW w:w="42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4"/>
          </w:tcPr>
          <w:p>
            <w:pPr>
              <w:jc w:val="center"/>
              <w:ind w:left="1211"/>
              <w:spacing w:after="0"/>
              <w:rPr>
                <w:sz w:val="20"/>
                <w:szCs w:val="20"/>
                <w:color w:val="auto"/>
              </w:rPr>
            </w:pPr>
            <w:r>
              <w:rPr>
                <w:rFonts w:ascii="Times New Roman" w:cs="Times New Roman" w:eastAsia="Times New Roman" w:hAnsi="Times New Roman"/>
                <w:sz w:val="18"/>
                <w:szCs w:val="18"/>
                <w:b w:val="1"/>
                <w:bCs w:val="1"/>
                <w:color w:val="auto"/>
                <w:w w:val="98"/>
              </w:rPr>
              <w:t>56-1848578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80" w:type="dxa"/>
            <w:vAlign w:val="bottom"/>
            <w:gridSpan w:val="6"/>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400" w:type="dxa"/>
            <w:vAlign w:val="bottom"/>
            <w:gridSpan w:val="5"/>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Number)</w:t>
            </w:r>
          </w:p>
        </w:tc>
        <w:tc>
          <w:tcPr>
            <w:tcW w:w="0" w:type="dxa"/>
            <w:vAlign w:val="bottom"/>
          </w:tcPr>
          <w:p>
            <w:pPr>
              <w:spacing w:after="0"/>
              <w:rPr>
                <w:sz w:val="1"/>
                <w:szCs w:val="1"/>
                <w:color w:val="auto"/>
              </w:rPr>
            </w:pPr>
          </w:p>
        </w:tc>
      </w:tr>
      <w:tr>
        <w:trPr>
          <w:trHeight w:val="340"/>
        </w:trPr>
        <w:tc>
          <w:tcPr>
            <w:tcW w:w="426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9"/>
              </w:rPr>
              <w:t>2710 Wycliff Road, Raleigh, NC</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center"/>
              <w:ind w:left="1211"/>
              <w:spacing w:after="0"/>
              <w:rPr>
                <w:sz w:val="20"/>
                <w:szCs w:val="20"/>
                <w:color w:val="auto"/>
              </w:rPr>
            </w:pPr>
            <w:r>
              <w:rPr>
                <w:rFonts w:ascii="Times New Roman" w:cs="Times New Roman" w:eastAsia="Times New Roman" w:hAnsi="Times New Roman"/>
                <w:sz w:val="18"/>
                <w:szCs w:val="18"/>
                <w:b w:val="1"/>
                <w:bCs w:val="1"/>
                <w:color w:val="auto"/>
                <w:w w:val="98"/>
              </w:rPr>
              <w:t>27607-3033</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6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r>
        <w:trPr>
          <w:trHeight w:val="215"/>
        </w:trPr>
        <w:tc>
          <w:tcPr>
            <w:tcW w:w="2140" w:type="dxa"/>
            <w:vAlign w:val="bottom"/>
          </w:tcPr>
          <w:p>
            <w:pPr>
              <w:spacing w:after="0"/>
              <w:rPr>
                <w:sz w:val="18"/>
                <w:szCs w:val="18"/>
                <w:color w:val="auto"/>
              </w:rPr>
            </w:pPr>
          </w:p>
        </w:tc>
        <w:tc>
          <w:tcPr>
            <w:tcW w:w="7540" w:type="dxa"/>
            <w:vAlign w:val="bottom"/>
            <w:gridSpan w:val="10"/>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 919-781-4550</w:t>
            </w: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Former name: None</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680" w:type="dxa"/>
            <w:vAlign w:val="bottom"/>
            <w:gridSpan w:val="11"/>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8"/>
              </w:rPr>
              <w:t>Former name, former address and former fiscal year, if changes since last report.</w:t>
            </w:r>
          </w:p>
        </w:tc>
        <w:tc>
          <w:tcPr>
            <w:tcW w:w="0" w:type="dxa"/>
            <w:vAlign w:val="bottom"/>
          </w:tcPr>
          <w:p>
            <w:pPr>
              <w:spacing w:after="0"/>
              <w:rPr>
                <w:sz w:val="1"/>
                <w:szCs w:val="1"/>
                <w:color w:val="auto"/>
              </w:rPr>
            </w:pPr>
          </w:p>
        </w:tc>
      </w:tr>
      <w:tr>
        <w:trPr>
          <w:trHeight w:val="300"/>
        </w:trPr>
        <w:tc>
          <w:tcPr>
            <w:tcW w:w="2140" w:type="dxa"/>
            <w:vAlign w:val="bottom"/>
          </w:tcPr>
          <w:p>
            <w:pPr>
              <w:spacing w:after="0"/>
              <w:rPr>
                <w:sz w:val="24"/>
                <w:szCs w:val="24"/>
                <w:color w:val="auto"/>
              </w:rPr>
            </w:pPr>
          </w:p>
        </w:tc>
        <w:tc>
          <w:tcPr>
            <w:tcW w:w="7540" w:type="dxa"/>
            <w:vAlign w:val="bottom"/>
            <w:gridSpan w:val="10"/>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197"/>
        </w:trPr>
        <w:tc>
          <w:tcPr>
            <w:tcW w:w="2140" w:type="dxa"/>
            <w:vAlign w:val="bottom"/>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68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8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Borders>
              <w:bottom w:val="single" w:sz="8" w:color="auto"/>
            </w:tcBorders>
            <w:gridSpan w:val="3"/>
          </w:tcPr>
          <w:p>
            <w:pPr>
              <w:jc w:val="center"/>
              <w:ind w:right="40"/>
              <w:spacing w:after="0" w:line="197" w:lineRule="exact"/>
              <w:rPr>
                <w:sz w:val="20"/>
                <w:szCs w:val="20"/>
                <w:color w:val="auto"/>
              </w:rPr>
            </w:pPr>
            <w:r>
              <w:rPr>
                <w:rFonts w:ascii="Times New Roman" w:cs="Times New Roman" w:eastAsia="Times New Roman" w:hAnsi="Times New Roman"/>
                <w:sz w:val="18"/>
                <w:szCs w:val="18"/>
                <w:b w:val="1"/>
                <w:bCs w:val="1"/>
                <w:color w:val="auto"/>
                <w:w w:val="99"/>
              </w:rPr>
              <w:t>Name of each exchange on</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4"/>
          </w:tcPr>
          <w:p>
            <w:pPr>
              <w:jc w:val="center"/>
              <w:ind w:right="1000"/>
              <w:spacing w:after="0" w:line="195" w:lineRule="exact"/>
              <w:rPr>
                <w:sz w:val="20"/>
                <w:szCs w:val="20"/>
                <w:color w:val="auto"/>
              </w:rPr>
            </w:pPr>
            <w:r>
              <w:rPr>
                <w:rFonts w:ascii="Times New Roman" w:cs="Times New Roman" w:eastAsia="Times New Roman" w:hAnsi="Times New Roman"/>
                <w:sz w:val="18"/>
                <w:szCs w:val="18"/>
                <w:b w:val="1"/>
                <w:bCs w:val="1"/>
                <w:color w:val="auto"/>
                <w:w w:val="98"/>
              </w:rPr>
              <w:t>which registered</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gridSpan w:val="3"/>
          </w:tcPr>
          <w:p>
            <w:pPr>
              <w:jc w:val="center"/>
              <w:ind w:left="1351"/>
              <w:spacing w:after="0"/>
              <w:rPr>
                <w:sz w:val="20"/>
                <w:szCs w:val="20"/>
                <w:color w:val="auto"/>
              </w:rPr>
            </w:pPr>
            <w:r>
              <w:rPr>
                <w:rFonts w:ascii="Times New Roman" w:cs="Times New Roman" w:eastAsia="Times New Roman" w:hAnsi="Times New Roman"/>
                <w:sz w:val="18"/>
                <w:szCs w:val="18"/>
                <w:color w:val="auto"/>
                <w:w w:val="98"/>
              </w:rPr>
              <w:t>Common Stock (Par Value $0.01)</w:t>
            </w:r>
          </w:p>
        </w:tc>
        <w:tc>
          <w:tcPr>
            <w:tcW w:w="32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MLM</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6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7"/>
              </w:rPr>
              <w:t>NYSE</w:t>
            </w:r>
          </w:p>
        </w:tc>
        <w:tc>
          <w:tcPr>
            <w:tcW w:w="0" w:type="dxa"/>
            <w:vAlign w:val="bottom"/>
          </w:tcPr>
          <w:p>
            <w:pPr>
              <w:spacing w:after="0"/>
              <w:rPr>
                <w:sz w:val="1"/>
                <w:szCs w:val="1"/>
                <w:color w:val="auto"/>
              </w:rPr>
            </w:pPr>
          </w:p>
        </w:tc>
      </w:tr>
    </w:tbl>
    <w:p>
      <w:pPr>
        <w:spacing w:after="0" w:line="89"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69"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700" w:type="dxa"/>
            <w:vAlign w:val="bottom"/>
            <w:gridSpan w:val="2"/>
          </w:tcPr>
          <w:p>
            <w:pPr>
              <w:ind w:left="5100"/>
              <w:spacing w:after="0" w:line="203"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570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33"/>
        </w:trPr>
        <w:tc>
          <w:tcPr>
            <w:tcW w:w="1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r>
      <w:tr>
        <w:trPr>
          <w:trHeight w:val="349"/>
        </w:trPr>
        <w:tc>
          <w:tcPr>
            <w:tcW w:w="20" w:type="dxa"/>
            <w:vAlign w:val="bottom"/>
          </w:tcPr>
          <w:p>
            <w:pPr>
              <w:spacing w:after="0"/>
              <w:rPr>
                <w:sz w:val="24"/>
                <w:szCs w:val="24"/>
                <w:color w:val="auto"/>
              </w:rPr>
            </w:pPr>
          </w:p>
        </w:tc>
        <w:tc>
          <w:tcPr>
            <w:tcW w:w="5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July 26, 2019</w:t>
            </w:r>
          </w:p>
        </w:tc>
      </w:tr>
      <w:tr>
        <w:trPr>
          <w:trHeight w:val="227"/>
        </w:trPr>
        <w:tc>
          <w:tcPr>
            <w:tcW w:w="2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80" w:type="dxa"/>
            <w:vAlign w:val="bottom"/>
            <w:tcBorders>
              <w:top w:val="single" w:sz="8" w:color="auto"/>
            </w:tcBorders>
          </w:tcPr>
          <w:p>
            <w:pPr>
              <w:jc w:val="right"/>
              <w:ind w:right="2291"/>
              <w:spacing w:after="0"/>
              <w:rPr>
                <w:sz w:val="20"/>
                <w:szCs w:val="20"/>
                <w:color w:val="auto"/>
              </w:rPr>
            </w:pPr>
            <w:r>
              <w:rPr>
                <w:rFonts w:ascii="Times New Roman" w:cs="Times New Roman" w:eastAsia="Times New Roman" w:hAnsi="Times New Roman"/>
                <w:sz w:val="18"/>
                <w:szCs w:val="18"/>
                <w:color w:val="auto"/>
              </w:rPr>
              <w:t>62,439,522</w:t>
            </w:r>
          </w:p>
        </w:tc>
      </w:tr>
      <w:tr>
        <w:trPr>
          <w:trHeight w:val="156"/>
        </w:trPr>
        <w:tc>
          <w:tcPr>
            <w:tcW w:w="20" w:type="dxa"/>
            <w:vAlign w:val="bottom"/>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86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auto"/>
              </w:rPr>
              <w:t>Part I. Financial Information:</w:t>
            </w: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28"/>
        </w:trPr>
        <w:tc>
          <w:tcPr>
            <w:tcW w:w="10860" w:type="dxa"/>
            <w:vAlign w:val="bottom"/>
            <w:gridSpan w:val="18"/>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2260" w:type="dxa"/>
            <w:vAlign w:val="bottom"/>
            <w:tcBorders>
              <w:bottom w:val="single" w:sz="8" w:color="0000EE"/>
            </w:tcBorders>
            <w:gridSpan w:val="7"/>
          </w:tcPr>
          <w:p>
            <w:pPr>
              <w:spacing w:after="0"/>
              <w:rPr>
                <w:rFonts w:ascii="Times New Roman" w:cs="Times New Roman" w:eastAsia="Times New Roman" w:hAnsi="Times New Roman"/>
                <w:sz w:val="20"/>
                <w:szCs w:val="20"/>
                <w:color w:val="0000EE"/>
                <w:w w:val="97"/>
              </w:rPr>
            </w:pPr>
            <w:hyperlink w:anchor="page3">
              <w:r>
                <w:rPr>
                  <w:rFonts w:ascii="Times New Roman" w:cs="Times New Roman" w:eastAsia="Times New Roman" w:hAnsi="Times New Roman"/>
                  <w:sz w:val="20"/>
                  <w:szCs w:val="20"/>
                  <w:color w:val="0000EE"/>
                  <w:w w:val="97"/>
                </w:rPr>
                <w:t>Item 1. Financial Statements</w:t>
              </w:r>
            </w:hyperlink>
          </w:p>
        </w:tc>
        <w:tc>
          <w:tcPr>
            <w:tcW w:w="838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Times New Roman" w:cs="Times New Roman" w:eastAsia="Times New Roman" w:hAnsi="Times New Roman"/>
                <w:sz w:val="20"/>
                <w:szCs w:val="20"/>
                <w:color w:val="0000EE"/>
              </w:rPr>
            </w:pPr>
            <w:hyperlink w:anchor="page3">
              <w:r>
                <w:rPr>
                  <w:rFonts w:ascii="Times New Roman" w:cs="Times New Roman" w:eastAsia="Times New Roman" w:hAnsi="Times New Roman"/>
                  <w:sz w:val="20"/>
                  <w:szCs w:val="20"/>
                  <w:color w:val="0000EE"/>
                </w:rPr>
                <w:t>Consolidated Balance Sheets – June 30, 2019 and December 31, 2018</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color w:val="0000EE"/>
                </w:rPr>
                <w:t>Consolidated Statements of Earnings and Comprehensive Earnings – Three and Six Months Ended June 30, 2019 and 2018</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Borders>
              <w:top w:val="single" w:sz="8" w:color="0000EE"/>
            </w:tcBorders>
            <w:gridSpan w:val="15"/>
          </w:tcPr>
          <w:p>
            <w:pPr>
              <w:spacing w:after="0"/>
              <w:rPr>
                <w:rFonts w:ascii="Times New Roman" w:cs="Times New Roman" w:eastAsia="Times New Roman" w:hAnsi="Times New Roman"/>
                <w:sz w:val="20"/>
                <w:szCs w:val="20"/>
                <w:color w:val="0000EE"/>
              </w:rPr>
            </w:pPr>
            <w:hyperlink w:anchor="page5">
              <w:r>
                <w:rPr>
                  <w:rFonts w:ascii="Times New Roman" w:cs="Times New Roman" w:eastAsia="Times New Roman" w:hAnsi="Times New Roman"/>
                  <w:sz w:val="20"/>
                  <w:szCs w:val="20"/>
                  <w:color w:val="0000EE"/>
                </w:rPr>
                <w:t>Consolidated Statements of Cash Flows – Six Months Ended June 30, 2019 and 2018</w:t>
              </w:r>
            </w:hyperlink>
          </w:p>
        </w:tc>
        <w:tc>
          <w:tcPr>
            <w:tcW w:w="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tcBorders>
              <w:bottom w:val="single" w:sz="8" w:color="0000EE"/>
            </w:tcBorders>
            <w:gridSpan w:val="14"/>
          </w:tcPr>
          <w:p>
            <w:pPr>
              <w:spacing w:after="0"/>
              <w:rPr>
                <w:rFonts w:ascii="Times New Roman" w:cs="Times New Roman" w:eastAsia="Times New Roman" w:hAnsi="Times New Roman"/>
                <w:sz w:val="20"/>
                <w:szCs w:val="20"/>
                <w:color w:val="0000EE"/>
                <w:w w:val="97"/>
              </w:rPr>
            </w:pPr>
            <w:hyperlink w:anchor="page6">
              <w:r>
                <w:rPr>
                  <w:rFonts w:ascii="Times New Roman" w:cs="Times New Roman" w:eastAsia="Times New Roman" w:hAnsi="Times New Roman"/>
                  <w:sz w:val="20"/>
                  <w:szCs w:val="20"/>
                  <w:color w:val="0000EE"/>
                  <w:w w:val="97"/>
                </w:rPr>
                <w:t>Consolidated Statement of Total Equity – Three and Six Months Ended June 30, 2019 and 2018</w:t>
              </w:r>
            </w:hyperlink>
          </w:p>
        </w:tc>
        <w:tc>
          <w:tcPr>
            <w:tcW w:w="288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Times New Roman" w:cs="Times New Roman" w:eastAsia="Times New Roman" w:hAnsi="Times New Roman"/>
                <w:sz w:val="20"/>
                <w:szCs w:val="20"/>
                <w:color w:val="0000EE"/>
              </w:rPr>
            </w:pPr>
            <w:hyperlink w:anchor="page8">
              <w:r>
                <w:rPr>
                  <w:rFonts w:ascii="Times New Roman" w:cs="Times New Roman" w:eastAsia="Times New Roman" w:hAnsi="Times New Roman"/>
                  <w:sz w:val="20"/>
                  <w:szCs w:val="20"/>
                  <w:color w:val="0000EE"/>
                </w:rPr>
                <w:t>Notes to Consolidated Financial Statements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2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Times New Roman" w:cs="Times New Roman" w:eastAsia="Times New Roman" w:hAnsi="Times New Roman"/>
                <w:sz w:val="20"/>
                <w:szCs w:val="20"/>
                <w:color w:val="0000EE"/>
                <w:w w:val="98"/>
              </w:rPr>
            </w:pPr>
            <w:hyperlink w:anchor="page29">
              <w:r>
                <w:rPr>
                  <w:rFonts w:ascii="Times New Roman" w:cs="Times New Roman" w:eastAsia="Times New Roman" w:hAnsi="Times New Roman"/>
                  <w:sz w:val="20"/>
                  <w:szCs w:val="20"/>
                  <w:color w:val="0000EE"/>
                  <w:w w:val="98"/>
                </w:rPr>
                <w:t>Item 2. Management’s Discussion and Analysis of Financial Condition and Results of Operations</w:t>
              </w:r>
            </w:hyperlink>
          </w:p>
        </w:tc>
        <w:tc>
          <w:tcPr>
            <w:tcW w:w="29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5380" w:type="dxa"/>
            <w:vAlign w:val="bottom"/>
            <w:tcBorders>
              <w:bottom w:val="single" w:sz="8" w:color="0000EE"/>
            </w:tcBorders>
            <w:gridSpan w:val="11"/>
          </w:tcPr>
          <w:p>
            <w:pPr>
              <w:spacing w:after="0"/>
              <w:rPr>
                <w:rFonts w:ascii="Times New Roman" w:cs="Times New Roman" w:eastAsia="Times New Roman" w:hAnsi="Times New Roman"/>
                <w:sz w:val="20"/>
                <w:szCs w:val="20"/>
                <w:color w:val="0000EE"/>
                <w:w w:val="98"/>
              </w:rPr>
            </w:pPr>
            <w:hyperlink w:anchor="page50">
              <w:r>
                <w:rPr>
                  <w:rFonts w:ascii="Times New Roman" w:cs="Times New Roman" w:eastAsia="Times New Roman" w:hAnsi="Times New Roman"/>
                  <w:sz w:val="20"/>
                  <w:szCs w:val="20"/>
                  <w:color w:val="0000EE"/>
                  <w:w w:val="98"/>
                </w:rPr>
                <w:t>Item 3. Quantitative and Qualitative Disclosures About Market Risk</w:t>
              </w:r>
            </w:hyperlink>
          </w:p>
        </w:tc>
        <w:tc>
          <w:tcPr>
            <w:tcW w:w="52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10640" w:type="dxa"/>
            <w:vAlign w:val="bottom"/>
            <w:gridSpan w:val="17"/>
          </w:tcPr>
          <w:p>
            <w:pPr>
              <w:spacing w:after="0"/>
              <w:rPr>
                <w:rFonts w:ascii="Times New Roman" w:cs="Times New Roman" w:eastAsia="Times New Roman" w:hAnsi="Times New Roman"/>
                <w:sz w:val="20"/>
                <w:szCs w:val="20"/>
                <w:color w:val="0000EE"/>
              </w:rPr>
            </w:pPr>
            <w:hyperlink w:anchor="page51">
              <w:r>
                <w:rPr>
                  <w:rFonts w:ascii="Times New Roman" w:cs="Times New Roman" w:eastAsia="Times New Roman" w:hAnsi="Times New Roman"/>
                  <w:sz w:val="20"/>
                  <w:szCs w:val="20"/>
                  <w:color w:val="0000EE"/>
                </w:rPr>
                <w:t>Item 4. Controls and Procedures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08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580" w:type="dxa"/>
            <w:vAlign w:val="bottom"/>
            <w:gridSpan w:val="2"/>
          </w:tcPr>
          <w:p>
            <w:pPr>
              <w:spacing w:after="0"/>
              <w:rPr>
                <w:rFonts w:ascii="Times New Roman" w:cs="Times New Roman" w:eastAsia="Times New Roman" w:hAnsi="Times New Roman"/>
                <w:sz w:val="20"/>
                <w:szCs w:val="20"/>
                <w:color w:val="0000EE"/>
                <w:w w:val="98"/>
              </w:rPr>
            </w:pPr>
            <w:hyperlink w:anchor="page52">
              <w:r>
                <w:rPr>
                  <w:rFonts w:ascii="Times New Roman" w:cs="Times New Roman" w:eastAsia="Times New Roman" w:hAnsi="Times New Roman"/>
                  <w:sz w:val="20"/>
                  <w:szCs w:val="20"/>
                  <w:color w:val="0000EE"/>
                  <w:w w:val="98"/>
                </w:rPr>
                <w:t>Item 1.</w:t>
              </w:r>
            </w:hyperlink>
          </w:p>
        </w:tc>
        <w:tc>
          <w:tcPr>
            <w:tcW w:w="10060" w:type="dxa"/>
            <w:vAlign w:val="bottom"/>
            <w:gridSpan w:val="15"/>
          </w:tcPr>
          <w:p>
            <w:pPr>
              <w:ind w:left="20"/>
              <w:spacing w:after="0"/>
              <w:rPr>
                <w:rFonts w:ascii="Times New Roman" w:cs="Times New Roman" w:eastAsia="Times New Roman" w:hAnsi="Times New Roman"/>
                <w:sz w:val="20"/>
                <w:szCs w:val="20"/>
                <w:color w:val="0000EE"/>
              </w:rPr>
            </w:pPr>
            <w:hyperlink w:anchor="page52">
              <w:r>
                <w:rPr>
                  <w:rFonts w:ascii="Times New Roman" w:cs="Times New Roman" w:eastAsia="Times New Roman" w:hAnsi="Times New Roman"/>
                  <w:sz w:val="20"/>
                  <w:szCs w:val="20"/>
                  <w:color w:val="0000EE"/>
                </w:rPr>
                <w:t>Legal Proceedings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060" w:type="dxa"/>
            <w:vAlign w:val="bottom"/>
            <w:tcBorders>
              <w:top w:val="single" w:sz="8" w:color="0000EE"/>
            </w:tcBorders>
            <w:gridSpan w:val="6"/>
          </w:tcPr>
          <w:p>
            <w:pPr>
              <w:spacing w:after="0"/>
              <w:rPr>
                <w:rFonts w:ascii="Times New Roman" w:cs="Times New Roman" w:eastAsia="Times New Roman" w:hAnsi="Times New Roman"/>
                <w:sz w:val="20"/>
                <w:szCs w:val="20"/>
                <w:color w:val="0000EE"/>
              </w:rPr>
            </w:pPr>
            <w:hyperlink w:anchor="page52">
              <w:r>
                <w:rPr>
                  <w:rFonts w:ascii="Times New Roman" w:cs="Times New Roman" w:eastAsia="Times New Roman" w:hAnsi="Times New Roman"/>
                  <w:sz w:val="20"/>
                  <w:szCs w:val="20"/>
                  <w:color w:val="0000EE"/>
                </w:rPr>
                <w:t>Item 1A. Risk Factors</w:t>
              </w:r>
            </w:hyperlink>
          </w:p>
        </w:tc>
        <w:tc>
          <w:tcPr>
            <w:tcW w:w="85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20" w:type="dxa"/>
            <w:vAlign w:val="bottom"/>
          </w:tcPr>
          <w:p>
            <w:pPr>
              <w:spacing w:after="0"/>
              <w:rPr>
                <w:sz w:val="24"/>
                <w:szCs w:val="24"/>
                <w:color w:val="auto"/>
              </w:rPr>
            </w:pPr>
          </w:p>
        </w:tc>
        <w:tc>
          <w:tcPr>
            <w:tcW w:w="580" w:type="dxa"/>
            <w:vAlign w:val="bottom"/>
            <w:gridSpan w:val="2"/>
          </w:tcPr>
          <w:p>
            <w:pPr>
              <w:spacing w:after="0"/>
              <w:rPr>
                <w:rFonts w:ascii="Times New Roman" w:cs="Times New Roman" w:eastAsia="Times New Roman" w:hAnsi="Times New Roman"/>
                <w:sz w:val="20"/>
                <w:szCs w:val="20"/>
                <w:color w:val="0000EE"/>
                <w:w w:val="98"/>
              </w:rPr>
            </w:pPr>
            <w:hyperlink w:anchor="page52">
              <w:r>
                <w:rPr>
                  <w:rFonts w:ascii="Times New Roman" w:cs="Times New Roman" w:eastAsia="Times New Roman" w:hAnsi="Times New Roman"/>
                  <w:sz w:val="20"/>
                  <w:szCs w:val="20"/>
                  <w:color w:val="0000EE"/>
                  <w:w w:val="98"/>
                </w:rPr>
                <w:t>Item 2.</w:t>
              </w:r>
            </w:hyperlink>
          </w:p>
        </w:tc>
        <w:tc>
          <w:tcPr>
            <w:tcW w:w="10060" w:type="dxa"/>
            <w:vAlign w:val="bottom"/>
            <w:gridSpan w:val="15"/>
          </w:tcPr>
          <w:p>
            <w:pPr>
              <w:ind w:left="20"/>
              <w:spacing w:after="0"/>
              <w:rPr>
                <w:rFonts w:ascii="Times New Roman" w:cs="Times New Roman" w:eastAsia="Times New Roman" w:hAnsi="Times New Roman"/>
                <w:sz w:val="20"/>
                <w:szCs w:val="20"/>
                <w:color w:val="0000EE"/>
              </w:rPr>
            </w:pPr>
            <w:hyperlink w:anchor="page52">
              <w:r>
                <w:rPr>
                  <w:rFonts w:ascii="Times New Roman" w:cs="Times New Roman" w:eastAsia="Times New Roman" w:hAnsi="Times New Roman"/>
                  <w:sz w:val="20"/>
                  <w:szCs w:val="20"/>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Times New Roman" w:cs="Times New Roman" w:eastAsia="Times New Roman" w:hAnsi="Times New Roman"/>
                <w:sz w:val="20"/>
                <w:szCs w:val="20"/>
                <w:color w:val="0000EE"/>
                <w:w w:val="98"/>
              </w:rPr>
            </w:pPr>
            <w:hyperlink w:anchor="page52">
              <w:r>
                <w:rPr>
                  <w:rFonts w:ascii="Times New Roman" w:cs="Times New Roman" w:eastAsia="Times New Roman" w:hAnsi="Times New Roman"/>
                  <w:sz w:val="20"/>
                  <w:szCs w:val="20"/>
                  <w:color w:val="0000EE"/>
                  <w:w w:val="98"/>
                </w:rPr>
                <w:t>Item 4.</w:t>
              </w:r>
            </w:hyperlink>
          </w:p>
        </w:tc>
        <w:tc>
          <w:tcPr>
            <w:tcW w:w="4780" w:type="dxa"/>
            <w:vAlign w:val="bottom"/>
            <w:tcBorders>
              <w:top w:val="single" w:sz="8" w:color="0000EE"/>
            </w:tcBorders>
            <w:gridSpan w:val="8"/>
          </w:tcPr>
          <w:p>
            <w:pPr>
              <w:ind w:left="20"/>
              <w:spacing w:after="0"/>
              <w:rPr>
                <w:rFonts w:ascii="Times New Roman" w:cs="Times New Roman" w:eastAsia="Times New Roman" w:hAnsi="Times New Roman"/>
                <w:sz w:val="20"/>
                <w:szCs w:val="20"/>
                <w:color w:val="0000EE"/>
              </w:rPr>
            </w:pPr>
            <w:hyperlink w:anchor="page52">
              <w:r>
                <w:rPr>
                  <w:rFonts w:ascii="Times New Roman" w:cs="Times New Roman" w:eastAsia="Times New Roman" w:hAnsi="Times New Roman"/>
                  <w:sz w:val="20"/>
                  <w:szCs w:val="20"/>
                  <w:color w:val="0000EE"/>
                </w:rPr>
                <w:t>Mine Safety Disclosures</w:t>
              </w:r>
            </w:hyperlink>
          </w:p>
        </w:tc>
        <w:tc>
          <w:tcPr>
            <w:tcW w:w="52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Times New Roman" w:cs="Times New Roman" w:eastAsia="Times New Roman" w:hAnsi="Times New Roman"/>
                <w:sz w:val="20"/>
                <w:szCs w:val="20"/>
                <w:color w:val="0000EE"/>
                <w:w w:val="98"/>
              </w:rPr>
            </w:pPr>
            <w:hyperlink w:anchor="page53">
              <w:r>
                <w:rPr>
                  <w:rFonts w:ascii="Times New Roman" w:cs="Times New Roman" w:eastAsia="Times New Roman" w:hAnsi="Times New Roman"/>
                  <w:sz w:val="20"/>
                  <w:szCs w:val="20"/>
                  <w:color w:val="0000EE"/>
                  <w:w w:val="98"/>
                </w:rPr>
                <w:t>Item 6.</w:t>
              </w:r>
            </w:hyperlink>
          </w:p>
        </w:tc>
        <w:tc>
          <w:tcPr>
            <w:tcW w:w="1960" w:type="dxa"/>
            <w:vAlign w:val="bottom"/>
            <w:tcBorders>
              <w:top w:val="single" w:sz="8" w:color="0000EE"/>
            </w:tcBorders>
            <w:gridSpan w:val="6"/>
          </w:tcPr>
          <w:p>
            <w:pPr>
              <w:ind w:left="20"/>
              <w:spacing w:after="0"/>
              <w:rPr>
                <w:rFonts w:ascii="Times New Roman" w:cs="Times New Roman" w:eastAsia="Times New Roman" w:hAnsi="Times New Roman"/>
                <w:sz w:val="20"/>
                <w:szCs w:val="20"/>
                <w:color w:val="0000EE"/>
              </w:rPr>
            </w:pPr>
            <w:hyperlink w:anchor="page53">
              <w:r>
                <w:rPr>
                  <w:rFonts w:ascii="Times New Roman" w:cs="Times New Roman" w:eastAsia="Times New Roman" w:hAnsi="Times New Roman"/>
                  <w:sz w:val="20"/>
                  <w:szCs w:val="20"/>
                  <w:color w:val="0000EE"/>
                </w:rPr>
                <w:t>Exhibits</w:t>
              </w:r>
            </w:hyperlink>
          </w:p>
        </w:tc>
        <w:tc>
          <w:tcPr>
            <w:tcW w:w="81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38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40" w:type="dxa"/>
            <w:vAlign w:val="bottom"/>
            <w:tcBorders>
              <w:bottom w:val="single" w:sz="8" w:color="0000EE"/>
            </w:tcBorders>
            <w:gridSpan w:val="4"/>
          </w:tcPr>
          <w:p>
            <w:pPr>
              <w:spacing w:after="0"/>
              <w:rPr>
                <w:rFonts w:ascii="Times New Roman" w:cs="Times New Roman" w:eastAsia="Times New Roman" w:hAnsi="Times New Roman"/>
                <w:sz w:val="20"/>
                <w:szCs w:val="20"/>
                <w:color w:val="0000EE"/>
                <w:w w:val="97"/>
              </w:rPr>
            </w:pPr>
            <w:hyperlink w:anchor="page54">
              <w:r>
                <w:rPr>
                  <w:rFonts w:ascii="Times New Roman" w:cs="Times New Roman" w:eastAsia="Times New Roman" w:hAnsi="Times New Roman"/>
                  <w:sz w:val="20"/>
                  <w:szCs w:val="20"/>
                  <w:color w:val="0000EE"/>
                  <w:w w:val="97"/>
                </w:rPr>
                <w:t>Signatures</w:t>
              </w:r>
            </w:hyperlink>
          </w:p>
        </w:tc>
        <w:tc>
          <w:tcPr>
            <w:tcW w:w="1002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MARTIN MARIETTA MATERIALS, INC. AND CONSOLIDATED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8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2019</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60" w:type="dxa"/>
            <w:vAlign w:val="bottom"/>
            <w:gridSpan w:val="2"/>
            <w:shd w:val="clear" w:color="auto" w:fill="CFF0FC"/>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53,595</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710,605</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646,342</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400" w:type="dxa"/>
            <w:vAlign w:val="bottom"/>
            <w:tcBorders>
              <w:bottom w:val="single" w:sz="8" w:color="CFF0FC"/>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122,579</w:t>
            </w:r>
          </w:p>
        </w:tc>
        <w:tc>
          <w:tcPr>
            <w:tcW w:w="3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40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1,533,121</w:t>
            </w:r>
          </w:p>
        </w:tc>
        <w:tc>
          <w:tcPr>
            <w:tcW w:w="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8,396,505</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8,294,962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Allowances for depreciation, depletion and amortization</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(3,263,823)</w:t>
            </w:r>
          </w:p>
        </w:tc>
        <w:tc>
          <w:tcPr>
            <w:tcW w:w="6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(3,137,733)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140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5,132,682</w:t>
            </w:r>
          </w:p>
        </w:tc>
        <w:tc>
          <w:tcPr>
            <w:tcW w:w="3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5,157,229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2,394,320</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intangibles, net</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493,824</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487,360</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122,350</w:t>
            </w:r>
          </w:p>
        </w:tc>
        <w:tc>
          <w:tcPr>
            <w:tcW w:w="3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400" w:type="dxa"/>
            <w:vAlign w:val="bottom"/>
            <w:tcBorders>
              <w:bottom w:val="single" w:sz="8" w:color="CFF0FC"/>
            </w:tcBorders>
          </w:tcPr>
          <w:p>
            <w:pPr>
              <w:spacing w:after="0"/>
              <w:rPr>
                <w:sz w:val="21"/>
                <w:szCs w:val="21"/>
                <w:color w:val="auto"/>
              </w:rPr>
            </w:pPr>
          </w:p>
        </w:tc>
        <w:tc>
          <w:tcPr>
            <w:tcW w:w="146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10,163,657</w:t>
            </w:r>
          </w:p>
        </w:tc>
        <w:tc>
          <w:tcPr>
            <w:tcW w:w="360" w:type="dxa"/>
            <w:vAlign w:val="bottom"/>
            <w:tcBorders>
              <w:bottom w:val="single" w:sz="8" w:color="CFF0FC"/>
            </w:tcBorders>
          </w:tcPr>
          <w:p>
            <w:pPr>
              <w:spacing w:after="0"/>
              <w:rPr>
                <w:sz w:val="21"/>
                <w:szCs w:val="21"/>
                <w:color w:val="auto"/>
              </w:rPr>
            </w:pPr>
          </w:p>
        </w:tc>
        <w:tc>
          <w:tcPr>
            <w:tcW w:w="6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9,551,419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0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860" w:type="dxa"/>
            <w:vAlign w:val="bottom"/>
            <w:gridSpan w:val="2"/>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199,181</w:t>
            </w:r>
          </w:p>
        </w:tc>
        <w:tc>
          <w:tcPr>
            <w:tcW w:w="360" w:type="dxa"/>
            <w:vAlign w:val="bottom"/>
          </w:tcPr>
          <w:p>
            <w:pPr>
              <w:spacing w:after="0"/>
              <w:rPr>
                <w:sz w:val="18"/>
                <w:szCs w:val="18"/>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salaries, benefits and payroll taxes</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37,128</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Pension and postretirement benefits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insurance and other taxes</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59,383</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Current maturities of long-term debt and short-term</w:t>
            </w: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facilities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385,043</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51,011</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0" w:type="dxa"/>
            <w:vAlign w:val="bottom"/>
            <w:tcBorders>
              <w:bottom w:val="single" w:sz="8" w:color="CFF0FC"/>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79,977</w:t>
            </w:r>
          </w:p>
        </w:tc>
        <w:tc>
          <w:tcPr>
            <w:tcW w:w="3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60,981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822,216</w:t>
            </w:r>
          </w:p>
        </w:tc>
        <w:tc>
          <w:tcPr>
            <w:tcW w:w="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786,750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2,732,018</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2,730,439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Pension, postretirement and postemployment benefits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140,066</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699,455</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438,932</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233,700</w:t>
            </w:r>
          </w:p>
        </w:tc>
        <w:tc>
          <w:tcPr>
            <w:tcW w:w="3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1400" w:type="dxa"/>
            <w:vAlign w:val="bottom"/>
            <w:tcBorders>
              <w:bottom w:val="single" w:sz="8" w:color="CFF0FC"/>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5,066,387</w:t>
            </w:r>
          </w:p>
        </w:tc>
        <w:tc>
          <w:tcPr>
            <w:tcW w:w="36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4,602,007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0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Equity:</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par value $0.01 per share</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3,416,590</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3,396,059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(137,334)</w:t>
            </w:r>
          </w:p>
        </w:tc>
        <w:tc>
          <w:tcPr>
            <w:tcW w:w="6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(143,579)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40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1,814,974</w:t>
            </w:r>
          </w:p>
        </w:tc>
        <w:tc>
          <w:tcPr>
            <w:tcW w:w="3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5,094,853</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3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Equity</w:t>
            </w:r>
          </w:p>
        </w:tc>
        <w:tc>
          <w:tcPr>
            <w:tcW w:w="1400" w:type="dxa"/>
            <w:vAlign w:val="bottom"/>
            <w:tcBorders>
              <w:bottom w:val="single" w:sz="8" w:color="CFF0FC"/>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5,097,270</w:t>
            </w:r>
          </w:p>
        </w:tc>
        <w:tc>
          <w:tcPr>
            <w:tcW w:w="36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4,949,412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2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10,163,657</w:t>
            </w:r>
          </w:p>
        </w:tc>
        <w:tc>
          <w:tcPr>
            <w:tcW w:w="3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9,551,419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MARTIN MARIETTA MATERIALS, INC. AND CONSOLIDATED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EARNINGS AND COMPREHENSIVE EARNINGS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9"/>
                <w:szCs w:val="19"/>
                <w:color w:val="auto"/>
              </w:rPr>
            </w:pPr>
          </w:p>
        </w:tc>
        <w:tc>
          <w:tcPr>
            <w:tcW w:w="26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6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 and services revenues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1,196,135</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1,128,777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2,074,440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Freight revenues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73,626</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1,279,468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1,202,403</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2,218,423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 - products and services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838,322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812,430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1,572,490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 - freight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84,279</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74,056</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146,159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922,601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886,486</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1,718,649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356,867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315,917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expenses,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(31,232)</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263,953</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expense and (income), net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(7,122)</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238,104</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52,601</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earnings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(loss) earnings attributable to noncontrolling</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Attributable to Martin Marietta Materials, Inc.</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189,475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185,377</w:t>
            </w:r>
          </w:p>
        </w:tc>
        <w:tc>
          <w:tcPr>
            <w:tcW w:w="2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232,328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Comprehensive Earnings: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Earnings attributable to Martin Marietta Materials, Inc.</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192,465</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186,979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238,573</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Earnings attributable to noncontrolling interests</w:t>
            </w: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238,541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Earnings Attributable to Martin Marietta Materials, Inc.</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Per Common Share: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 attributable to common shareholders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23"/>
                <w:szCs w:val="23"/>
                <w:color w:val="auto"/>
              </w:rPr>
            </w:pP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tcPr>
          <w:p>
            <w:pPr>
              <w:spacing w:after="0"/>
              <w:rPr>
                <w:sz w:val="23"/>
                <w:szCs w:val="23"/>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23"/>
                <w:szCs w:val="23"/>
                <w:color w:val="auto"/>
              </w:rPr>
            </w:pP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Diluted attributable to common shareholders</w:t>
            </w: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5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62,563</w:t>
            </w:r>
          </w:p>
        </w:tc>
        <w:tc>
          <w:tcPr>
            <w:tcW w:w="14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63,021</w:t>
            </w:r>
          </w:p>
        </w:tc>
        <w:tc>
          <w:tcPr>
            <w:tcW w:w="26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62,574</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62,720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63,285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MARTIN MARIETTA MATERIALS, INC. AND CONSOLIDATED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CASH FLOWS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(Dollars 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earnings</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232,296</w:t>
            </w:r>
          </w:p>
        </w:tc>
        <w:tc>
          <w:tcPr>
            <w:tcW w:w="120" w:type="dxa"/>
            <w:vAlign w:val="bottom"/>
          </w:tcPr>
          <w:p>
            <w:pPr>
              <w:spacing w:after="0"/>
              <w:rPr>
                <w:sz w:val="19"/>
                <w:szCs w:val="19"/>
                <w:color w:val="auto"/>
              </w:rPr>
            </w:pPr>
          </w:p>
        </w:tc>
        <w:tc>
          <w:tcPr>
            <w:tcW w:w="860" w:type="dxa"/>
            <w:vAlign w:val="bottom"/>
            <w:gridSpan w:val="2"/>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earnings to net cash</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10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divestitures and sales of assets</w:t>
            </w:r>
          </w:p>
        </w:tc>
        <w:tc>
          <w:tcPr>
            <w:tcW w:w="10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(3,927)</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(6,393)</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items,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and divestitures:</w:t>
            </w:r>
          </w:p>
        </w:tc>
        <w:tc>
          <w:tcPr>
            <w:tcW w:w="10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(187,076)</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(157,603)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Inventories, net</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10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5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(207,452)</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(188,270)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 net</w:t>
            </w:r>
          </w:p>
        </w:tc>
        <w:tc>
          <w:tcPr>
            <w:tcW w:w="10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(1,645,698)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divestitures and sales of assets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railcar construction advances</w:t>
            </w:r>
          </w:p>
        </w:tc>
        <w:tc>
          <w:tcPr>
            <w:tcW w:w="10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Reimbursement of railcar construction advances</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 in life insurance contracts,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(957)</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(201,885)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5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Borrowings of debt</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debt</w:t>
            </w:r>
          </w:p>
        </w:tc>
        <w:tc>
          <w:tcPr>
            <w:tcW w:w="10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(170,028)</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of deferred acquisition consideration</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0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on capital lease</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issuance costs</w:t>
            </w:r>
          </w:p>
        </w:tc>
        <w:tc>
          <w:tcPr>
            <w:tcW w:w="10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Distributions to owners of noncontrolling interest</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repurchases</w:t>
            </w:r>
          </w:p>
        </w:tc>
        <w:tc>
          <w:tcPr>
            <w:tcW w:w="10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040" w:type="dxa"/>
            <w:vAlign w:val="bottom"/>
            <w:shd w:val="clear" w:color="auto" w:fill="CFF2FA"/>
          </w:tcPr>
          <w:p>
            <w:pPr>
              <w:spacing w:after="0"/>
              <w:rPr>
                <w:sz w:val="19"/>
                <w:szCs w:val="19"/>
                <w:color w:val="auto"/>
              </w:rPr>
            </w:pPr>
          </w:p>
        </w:tc>
        <w:tc>
          <w:tcPr>
            <w:tcW w:w="800" w:type="dxa"/>
            <w:vAlign w:val="bottom"/>
            <w:gridSpan w:val="2"/>
            <w:shd w:val="clear" w:color="auto" w:fill="CFF2FA"/>
          </w:tcPr>
          <w:p>
            <w:pPr>
              <w:jc w:val="right"/>
              <w:ind w:right="60"/>
              <w:spacing w:after="0"/>
              <w:rPr>
                <w:sz w:val="20"/>
                <w:szCs w:val="20"/>
                <w:color w:val="auto"/>
              </w:rPr>
            </w:pPr>
            <w:r>
              <w:rPr>
                <w:rFonts w:ascii="Times New Roman" w:cs="Times New Roman" w:eastAsia="Times New Roman" w:hAnsi="Times New Roman"/>
                <w:sz w:val="18"/>
                <w:szCs w:val="18"/>
                <w:color w:val="auto"/>
              </w:rPr>
              <w:t>(60,615)</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(55,795)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withheld for employees' income tax obligations</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(12,174)</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(10,065)</w:t>
            </w: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(123,143)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(1,412,585)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1,446,364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40" w:type="dxa"/>
            <w:vAlign w:val="bottom"/>
            <w:tcBorders>
              <w:bottom w:val="single" w:sz="8" w:color="auto"/>
            </w:tcBorders>
            <w:shd w:val="clear" w:color="auto" w:fill="CFF0FC"/>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MARTIN MARIETTA MATERIALS, INC. AND CONSOLIDATED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TOTAL EQUITY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Shares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Additional</w:t>
            </w: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Paid-</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Retained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Noncontrolling</w:t>
            </w: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3"/>
        </w:trPr>
        <w:tc>
          <w:tcPr>
            <w:tcW w:w="2420" w:type="dxa"/>
            <w:vAlign w:val="bottom"/>
            <w:gridSpan w:val="3"/>
            <w:vMerge w:val="continue"/>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 Capital</w:t>
            </w:r>
          </w:p>
        </w:tc>
        <w:tc>
          <w:tcPr>
            <w:tcW w:w="2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Loss</w:t>
            </w: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$ 3,406,456</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(140,324)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$ 1,705,717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4,972,474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$ 4,975,496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Consolidated net earnings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189,475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comprehensive</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earnings,</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Dividends declared ($0.48</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 share)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(30,220)</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(30,220)</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Issuances of common</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for stock</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award plans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withheld for</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employees' income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 obligations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(5,046)</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(5,046)</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Repurchases of common</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(49,998)</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Distributions to owners of</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62"/>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$ 3,416,590</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(137,334)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$ 1,814,974</w:t>
            </w:r>
          </w:p>
        </w:tc>
        <w:tc>
          <w:tcPr>
            <w:tcW w:w="2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5,094,853</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$ 5,097,270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$ 3,396,059</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(143,579)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$ 1,693,259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4,946,363</w:t>
            </w:r>
          </w:p>
        </w:tc>
        <w:tc>
          <w:tcPr>
            <w:tcW w:w="2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4,949,412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Consolidated net earnings</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232,328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232,328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comprehensive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earnings,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declared ($0.96</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per share)</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(60,615)</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(60,615)</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(60,615)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Issuances of common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for stock</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award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withheld for</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employees' income</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tax obligations</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(12,174)</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(12,174)</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Repurchases of common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(49,998)</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Distributions to owners of</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$ 3,416,590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$ 1,814,974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5,094,853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$ 5,097,270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 w:name="page7"/>
    <w:bookmarkEnd w:id="6"/>
    <w:p>
      <w:pPr>
        <w:jc w:val="both"/>
        <w:ind w:left="2580" w:right="2580" w:firstLine="11"/>
        <w:spacing w:after="0" w:line="310" w:lineRule="auto"/>
        <w:rPr>
          <w:sz w:val="20"/>
          <w:szCs w:val="20"/>
          <w:color w:val="auto"/>
        </w:rPr>
      </w:pPr>
      <w:r>
        <w:rPr>
          <w:rFonts w:ascii="Times New Roman" w:cs="Times New Roman" w:eastAsia="Times New Roman" w:hAnsi="Times New Roman"/>
          <w:sz w:val="17"/>
          <w:szCs w:val="17"/>
          <w:color w:val="auto"/>
        </w:rPr>
        <w:t>MARTIN MARIETTA MATERIALS, INC. AND CONSOLIDATED SUBSIDIARIES (UNAUDITED) CONSOLIDATED STATEMENTS OF TOTAL EQUITY (Continued)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Additional</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80" w:type="dxa"/>
            <w:vAlign w:val="bottom"/>
          </w:tcPr>
          <w:p>
            <w:pPr>
              <w:spacing w:after="0"/>
              <w:rPr>
                <w:sz w:val="18"/>
                <w:szCs w:val="18"/>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Common</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Paid-</w:t>
            </w:r>
          </w:p>
        </w:tc>
        <w:tc>
          <w:tcPr>
            <w:tcW w:w="6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Accumulated Other</w:t>
            </w:r>
          </w:p>
        </w:tc>
        <w:tc>
          <w:tcPr>
            <w:tcW w:w="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Retained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Noncontrolling</w:t>
            </w:r>
          </w:p>
        </w:tc>
        <w:tc>
          <w:tcPr>
            <w:tcW w:w="4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3"/>
        </w:trPr>
        <w:tc>
          <w:tcPr>
            <w:tcW w:w="2240" w:type="dxa"/>
            <w:vAlign w:val="bottom"/>
            <w:gridSpan w:val="3"/>
            <w:vMerge w:val="continue"/>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Stock</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Capital</w:t>
            </w: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Comprehensive Loss</w:t>
            </w:r>
          </w:p>
        </w:tc>
        <w:tc>
          <w:tcPr>
            <w:tcW w:w="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Interests</w:t>
            </w:r>
          </w:p>
        </w:tc>
        <w:tc>
          <w:tcPr>
            <w:tcW w:w="4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$ 3,381,280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(127,485)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$ 1,422,207</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4,676,630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4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$ 4,679,830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Consolidated net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earnings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185,377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185,377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comprehensive</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earnings,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of tax</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Dividends declared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($0.44 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(27,910)</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Issuances of common</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for stock</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award plans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withheld for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employees'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 obligations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(3,685)</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compensation expense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acquired in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$ 3,389,028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$ 1,579,674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4,843,448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$ 4,855,470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$ 3,368,007</w:t>
            </w:r>
          </w:p>
        </w:tc>
        <w:tc>
          <w:tcPr>
            <w:tcW w:w="1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(129,104)</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$ 1,440,069</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4,679,600</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$ 4,682,477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Consolidated net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earnings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195,400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comprehensive</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earnings,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of tax</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Dividends declared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($0.88 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(55,795)</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(55,795)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Issuances of common</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for stock</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award plans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withheld for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employees'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 obligations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(10,065)</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compensation expense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acquired in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$ 3,389,028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$ 1,579,674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4,843,448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$ 4,855,470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115" w:lineRule="exact"/>
        <w:rPr>
          <w:sz w:val="20"/>
          <w:szCs w:val="20"/>
          <w:color w:val="auto"/>
        </w:rPr>
      </w:pPr>
    </w:p>
    <w:p>
      <w:pPr>
        <w:ind w:left="380" w:right="8440" w:hanging="373"/>
        <w:spacing w:after="0" w:line="352" w:lineRule="auto"/>
        <w:tabs>
          <w:tab w:leader="none" w:pos="376"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 Organization</w:t>
      </w:r>
    </w:p>
    <w:p>
      <w:pPr>
        <w:jc w:val="both"/>
        <w:ind w:left="38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Martin Marietta Materials, Inc. (the Company or Martin Marietta) is a natural resource-based building materials company. The Company supplies aggregates (crushed stone, sand and gravel) through its network of more than 300 quarries, mines and distribution yards in 27 states, Canada, the Bahamas and the Caribbean Islands.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78" w:lineRule="exact"/>
        <w:rPr>
          <w:rFonts w:ascii="Times New Roman" w:cs="Times New Roman" w:eastAsia="Times New Roman" w:hAnsi="Times New Roman"/>
          <w:sz w:val="20"/>
          <w:szCs w:val="20"/>
          <w:b w:val="1"/>
          <w:bCs w:val="1"/>
          <w:color w:val="auto"/>
        </w:rPr>
      </w:pPr>
    </w:p>
    <w:p>
      <w:pPr>
        <w:ind w:left="380" w:right="2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Building Materials business includes three reportable segments: the Mid-America Group, the Southeast Group and the West Group.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BUILDING MATERIALS BUSINESS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2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Reportable Segments</w:t>
            </w:r>
          </w:p>
        </w:tc>
        <w:tc>
          <w:tcPr>
            <w:tcW w:w="1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8"/>
              </w:rPr>
              <w:t>Mid-America Group</w:t>
            </w:r>
          </w:p>
        </w:tc>
        <w:tc>
          <w:tcPr>
            <w:tcW w:w="26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8"/>
              </w:rPr>
              <w:t>Southeast Group</w:t>
            </w: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West Group</w:t>
            </w:r>
          </w:p>
        </w:tc>
      </w:tr>
      <w:tr>
        <w:trPr>
          <w:trHeight w:val="199"/>
        </w:trPr>
        <w:tc>
          <w:tcPr>
            <w:tcW w:w="20" w:type="dxa"/>
            <w:vAlign w:val="bottom"/>
          </w:tcPr>
          <w:p>
            <w:pPr>
              <w:spacing w:after="0"/>
              <w:rPr>
                <w:sz w:val="17"/>
                <w:szCs w:val="17"/>
                <w:color w:val="auto"/>
              </w:rPr>
            </w:pPr>
          </w:p>
        </w:tc>
        <w:tc>
          <w:tcPr>
            <w:tcW w:w="240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Operating Locations</w:t>
            </w:r>
          </w:p>
        </w:tc>
        <w:tc>
          <w:tcPr>
            <w:tcW w:w="160" w:type="dxa"/>
            <w:vAlign w:val="bottom"/>
          </w:tcPr>
          <w:p>
            <w:pPr>
              <w:spacing w:after="0"/>
              <w:rPr>
                <w:sz w:val="17"/>
                <w:szCs w:val="17"/>
                <w:color w:val="auto"/>
              </w:rPr>
            </w:pPr>
          </w:p>
        </w:tc>
        <w:tc>
          <w:tcPr>
            <w:tcW w:w="290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8"/>
              </w:rPr>
              <w:t>Indiana, Iowa, northern Kansas,</w:t>
            </w:r>
          </w:p>
        </w:tc>
        <w:tc>
          <w:tcPr>
            <w:tcW w:w="140" w:type="dxa"/>
            <w:vAlign w:val="bottom"/>
          </w:tcPr>
          <w:p>
            <w:pPr>
              <w:spacing w:after="0"/>
              <w:rPr>
                <w:sz w:val="17"/>
                <w:szCs w:val="17"/>
                <w:color w:val="auto"/>
              </w:rPr>
            </w:pPr>
          </w:p>
        </w:tc>
        <w:tc>
          <w:tcPr>
            <w:tcW w:w="246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8"/>
              </w:rPr>
              <w:t>Alabama, Florida, Georgia,</w:t>
            </w:r>
          </w:p>
        </w:tc>
        <w:tc>
          <w:tcPr>
            <w:tcW w:w="180" w:type="dxa"/>
            <w:vAlign w:val="bottom"/>
          </w:tcPr>
          <w:p>
            <w:pPr>
              <w:spacing w:after="0"/>
              <w:rPr>
                <w:sz w:val="17"/>
                <w:szCs w:val="17"/>
                <w:color w:val="auto"/>
              </w:rPr>
            </w:pPr>
          </w:p>
        </w:tc>
        <w:tc>
          <w:tcPr>
            <w:tcW w:w="310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8"/>
              </w:rPr>
              <w:t>Arkansas, Colorado, southern Kansas,</w:t>
            </w: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60"/>
              <w:spacing w:after="0" w:line="229" w:lineRule="exact"/>
              <w:rPr>
                <w:sz w:val="20"/>
                <w:szCs w:val="20"/>
                <w:color w:val="auto"/>
              </w:rPr>
            </w:pPr>
            <w:r>
              <w:rPr>
                <w:rFonts w:ascii="Times New Roman" w:cs="Times New Roman" w:eastAsia="Times New Roman" w:hAnsi="Times New Roman"/>
                <w:sz w:val="20"/>
                <w:szCs w:val="20"/>
                <w:color w:val="auto"/>
                <w:w w:val="98"/>
              </w:rPr>
              <w:t>Kentucky, Maryland, Minnesota,</w:t>
            </w:r>
          </w:p>
        </w:tc>
        <w:tc>
          <w:tcPr>
            <w:tcW w:w="2640" w:type="dxa"/>
            <w:vAlign w:val="bottom"/>
            <w:gridSpan w:val="2"/>
          </w:tcPr>
          <w:p>
            <w:pPr>
              <w:ind w:left="780"/>
              <w:spacing w:after="0" w:line="229" w:lineRule="exact"/>
              <w:rPr>
                <w:sz w:val="20"/>
                <w:szCs w:val="20"/>
                <w:color w:val="auto"/>
              </w:rPr>
            </w:pPr>
            <w:r>
              <w:rPr>
                <w:rFonts w:ascii="Times New Roman" w:cs="Times New Roman" w:eastAsia="Times New Roman" w:hAnsi="Times New Roman"/>
                <w:sz w:val="20"/>
                <w:szCs w:val="20"/>
                <w:color w:val="auto"/>
              </w:rPr>
              <w:t>Tennessee,</w:t>
            </w:r>
          </w:p>
        </w:tc>
        <w:tc>
          <w:tcPr>
            <w:tcW w:w="310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8"/>
              </w:rPr>
              <w:t>Louisiana, western Nebraska, Nevada,</w:t>
            </w: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60"/>
              <w:spacing w:after="0" w:line="229" w:lineRule="exact"/>
              <w:rPr>
                <w:sz w:val="20"/>
                <w:szCs w:val="20"/>
                <w:color w:val="auto"/>
              </w:rPr>
            </w:pPr>
            <w:r>
              <w:rPr>
                <w:rFonts w:ascii="Times New Roman" w:cs="Times New Roman" w:eastAsia="Times New Roman" w:hAnsi="Times New Roman"/>
                <w:sz w:val="20"/>
                <w:szCs w:val="20"/>
                <w:color w:val="auto"/>
                <w:w w:val="98"/>
              </w:rPr>
              <w:t>Missouri, eastern Nebraska, North</w:t>
            </w:r>
          </w:p>
        </w:tc>
        <w:tc>
          <w:tcPr>
            <w:tcW w:w="2640" w:type="dxa"/>
            <w:vAlign w:val="bottom"/>
            <w:gridSpan w:val="2"/>
          </w:tcPr>
          <w:p>
            <w:pPr>
              <w:jc w:val="center"/>
              <w:ind w:right="200"/>
              <w:spacing w:after="0" w:line="229" w:lineRule="exact"/>
              <w:rPr>
                <w:sz w:val="20"/>
                <w:szCs w:val="20"/>
                <w:color w:val="auto"/>
              </w:rPr>
            </w:pPr>
            <w:r>
              <w:rPr>
                <w:rFonts w:ascii="Times New Roman" w:cs="Times New Roman" w:eastAsia="Times New Roman" w:hAnsi="Times New Roman"/>
                <w:sz w:val="20"/>
                <w:szCs w:val="20"/>
                <w:color w:val="auto"/>
                <w:w w:val="98"/>
              </w:rPr>
              <w:t>Nova Scotia and the Bahamas</w:t>
            </w:r>
          </w:p>
        </w:tc>
        <w:tc>
          <w:tcPr>
            <w:tcW w:w="310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7"/>
              </w:rPr>
              <w:t>Oklahoma, Texas, Utah and Wyoming</w:t>
            </w: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200" w:type="dxa"/>
            <w:vAlign w:val="bottom"/>
            <w:gridSpan w:val="3"/>
          </w:tcPr>
          <w:p>
            <w:pPr>
              <w:jc w:val="center"/>
              <w:spacing w:after="0" w:line="229" w:lineRule="exact"/>
              <w:rPr>
                <w:sz w:val="20"/>
                <w:szCs w:val="20"/>
                <w:color w:val="auto"/>
              </w:rPr>
            </w:pPr>
            <w:r>
              <w:rPr>
                <w:rFonts w:ascii="Times New Roman" w:cs="Times New Roman" w:eastAsia="Times New Roman" w:hAnsi="Times New Roman"/>
                <w:sz w:val="20"/>
                <w:szCs w:val="20"/>
                <w:color w:val="auto"/>
                <w:w w:val="98"/>
              </w:rPr>
              <w:t>Carolina, Ohio, Pennsylvania, South</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40"/>
              <w:spacing w:after="0" w:line="229" w:lineRule="exact"/>
              <w:rPr>
                <w:sz w:val="20"/>
                <w:szCs w:val="20"/>
                <w:color w:val="auto"/>
              </w:rPr>
            </w:pPr>
            <w:r>
              <w:rPr>
                <w:rFonts w:ascii="Times New Roman" w:cs="Times New Roman" w:eastAsia="Times New Roman" w:hAnsi="Times New Roman"/>
                <w:sz w:val="20"/>
                <w:szCs w:val="20"/>
                <w:color w:val="auto"/>
                <w:w w:val="97"/>
              </w:rPr>
              <w:t>Carolina, Virginia, Washington and</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4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5"/>
              </w:rPr>
              <w:t>West Virginia</w:t>
            </w:r>
          </w:p>
        </w:tc>
        <w:tc>
          <w:tcPr>
            <w:tcW w:w="2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427"/>
        </w:trPr>
        <w:tc>
          <w:tcPr>
            <w:tcW w:w="2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Product Lines</w:t>
            </w:r>
          </w:p>
        </w:tc>
        <w:tc>
          <w:tcPr>
            <w:tcW w:w="160" w:type="dxa"/>
            <w:vAlign w:val="bottom"/>
          </w:tcPr>
          <w:p>
            <w:pPr>
              <w:spacing w:after="0"/>
              <w:rPr>
                <w:sz w:val="24"/>
                <w:szCs w:val="24"/>
                <w:color w:val="auto"/>
              </w:rPr>
            </w:pPr>
          </w:p>
        </w:tc>
        <w:tc>
          <w:tcPr>
            <w:tcW w:w="30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8"/>
              </w:rPr>
              <w:t>Aggregates</w:t>
            </w:r>
          </w:p>
        </w:tc>
        <w:tc>
          <w:tcPr>
            <w:tcW w:w="264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8"/>
              </w:rPr>
              <w:t>Aggregates</w:t>
            </w: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Aggregates, Cement, Ready Mixed</w:t>
            </w:r>
          </w:p>
        </w:tc>
      </w:tr>
      <w:tr>
        <w:trPr>
          <w:trHeight w:val="257"/>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Concrete, Asphalt and Paving</w:t>
            </w:r>
          </w:p>
        </w:tc>
      </w:tr>
    </w:tbl>
    <w:p>
      <w:pPr>
        <w:spacing w:after="0" w:line="186"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10"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 xml:space="preserve">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Other than the required adoption of </w:t>
      </w:r>
      <w:r>
        <w:rPr>
          <w:rFonts w:ascii="Times New Roman" w:cs="Times New Roman" w:eastAsia="Times New Roman" w:hAnsi="Times New Roman"/>
          <w:sz w:val="20"/>
          <w:szCs w:val="20"/>
          <w:i w:val="1"/>
          <w:iCs w:val="1"/>
          <w:color w:val="auto"/>
        </w:rPr>
        <w:t>Accounting Standards Codification 842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Leases </w:t>
      </w:r>
      <w:r>
        <w:rPr>
          <w:rFonts w:ascii="Times New Roman" w:cs="Times New Roman" w:eastAsia="Times New Roman" w:hAnsi="Times New Roman"/>
          <w:sz w:val="20"/>
          <w:szCs w:val="20"/>
          <w:color w:val="auto"/>
        </w:rPr>
        <w:t>(ASC 842), the Company has continued to follow the accounting policies set forth in the audited consolidated financial statements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related notes thereto included in the Company’s Annual Report on Form 10-K for the year ended December 31, 2018.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six months ended June 30,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8" w:name="page9"/>
    <w:bookmarkEnd w:id="8"/>
    <w:p>
      <w:pPr>
        <w:jc w:val="center"/>
        <w:ind w:right="380"/>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FORM 10-Q</w:t>
      </w:r>
    </w:p>
    <w:p>
      <w:pPr>
        <w:jc w:val="center"/>
        <w:ind w:right="380"/>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(Continued)</w:t>
      </w:r>
    </w:p>
    <w:p>
      <w:pPr>
        <w:spacing w:after="0" w:line="3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2019 are not indicative of the results expected for other interim periods or the full year. The consolidated balance sheet at December 31, 2018 has been derived from the audited consolidated financial statements at that date but does not 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2018.</w:t>
      </w:r>
    </w:p>
    <w:p>
      <w:pPr>
        <w:spacing w:after="0" w:line="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second quarter ended June 30, 2019, the Company identified a prior-period error that overstated its earnings from a nonconsolidated equity affiliate. The overstatement was not deemed material to the current period or any previously reported periods and was therefore corrected as an out-of-period expense of $15.7 million during the quarter ended June 30, 2019. The pretax noncash adjustment is recorded in other nonoperating expenses, consistent with the recurring classification of equity earnings from the nonconsolidated affiliate.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Pronouncement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Leases</w:t>
      </w:r>
    </w:p>
    <w:p>
      <w:pPr>
        <w:spacing w:after="0" w:line="1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Effective January 1, 2019, the Company adopted ASC 842, which requires virtually all leases, excluding mineral interest leases, to be recorded as right-of-use (ROU) assets and lease liabilities on the balance sheet and provides guidance on the recognition of lease expense and income. ASC 842 requires the modified retrospective transition approach, applying the new standard to all leases existing at the date of initial application. It further states that an entity may use either 1) its effective date or 2) the beginning of the earliest comparative period presented in the financial statements as its date of initial application. The Company used the effective date as the date of initial application. As such, financial information and disclosures required under ASC 842 will not be provided for dates and periods prior to January 1, 2019.</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lease standard provides a number of practical expedients for transition and policy elections for ongoing accounting. The Company elected the “package of practical expedients”, which permits the Company to not reassess its prior conclusions about lease identification, lease classification and initial direct costs. The Company elected the practical expedients pertaining to the use of hindsight and to land easements. Applying the hindsight practical expedient resulted in longer lease terms for many leases. The standard provides policy election options for recognition exemption for short-term leases and separation of lease and non-lease components. The Company elected the short-term lease recognition exemption and elected not to separate lease and non-lease components for all underlying asset classes, with the exceptions of railcars and fleet vehicle leases. The Company determines lease and non-lease components based on observable information, including rates provided by the lessor.</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adoption of ASC 842 resulted in the recognition of ROU assets and lease liabilities of $502.5 million and $501.6 million, respectively, for operating leases and $10.9 million and $12.1 million, respectively, for finance leases. The adoption did not have a material impact on the Company’s consolidated statement of earnings or consolidated statement of cash flows.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Subsequent to the date of adoption, the Company determines if a contract is or contains a lease at inception of the agreement. Operating and finance leases are recognized as ROU assets and the related obligations are recognized as current or noncurrent liabilities on the Company’s consolidated balance sheets. Leases with an initial lease term of one year or less are not recorded on the balance sheet.</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ROU assets, which represent the Company’s right to use an underlying asset, and lease liabilities, which represent the Company’s obligation to make lease payments arising from the lease, are recognized based on the present value of the future lease payments over the lease term at commencement date. The ROU asset also includes any lease payments made at or before commencement date and any initial direct costs incurred and excludes lease incentives. Certain of the Company’s leases contain renewal and/or termination options. The Company recognizes renewal or</w:t>
      </w:r>
    </w:p>
    <w:p>
      <w:pPr>
        <w:spacing w:after="0" w:line="18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Page 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69215</wp:posOffset>
            </wp:positionV>
            <wp:extent cx="7272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040"/>
          </w:cols>
          <w:pgMar w:left="620" w:top="118"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25"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termination options as part of its ROU assets and lease liabilities when the Company has the unilateral right to renew or terminate and it is reasonably certain these options will be exercised. The Company determines the present value of lease payments based on the implicit rate, which may be explicitly stated in the lease if available or may be the Company’s estimated collateralized incremental borrowing rate based on the term of the lease. For operating leases, lease expense is recognized on a straight-line basis over the lease term.</w:t>
      </w:r>
    </w:p>
    <w:p>
      <w:pPr>
        <w:spacing w:after="0" w:line="74"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Some leases require the Company pay non-lease components, which may include taxes, maintenance, insurance and certain other expenses applicable to the leased property, and are primarily considered variable costs. The Company generally accounts for lease and non-lease components as a single amount. However, for railcars and fleet vehicle leases, the Company separately accounts for the lease and non-lease components.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Consolidated Comprehensive Earnings/Loss and Accumulated Other Comprehensive Loss</w:t>
      </w:r>
    </w:p>
    <w:p>
      <w:pPr>
        <w:spacing w:after="0" w:line="110"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Consolidated comprehensive earnings/loss and accumulated other comprehensive loss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earnings and comprehensive earnings.</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Comprehensive earnings attributable to Martin Marietta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Three Months Ended</w:t>
            </w:r>
          </w:p>
        </w:tc>
        <w:tc>
          <w:tcPr>
            <w:tcW w:w="240" w:type="dxa"/>
            <w:vAlign w:val="bottom"/>
          </w:tcPr>
          <w:p>
            <w:pPr>
              <w:spacing w:after="0"/>
              <w:rPr>
                <w:sz w:val="21"/>
                <w:szCs w:val="21"/>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20"/>
                <w:szCs w:val="20"/>
                <w:color w:val="auto"/>
              </w:rPr>
              <w:t>Six Months Ended</w:t>
            </w:r>
          </w:p>
        </w:tc>
      </w:tr>
      <w:tr>
        <w:trPr>
          <w:trHeight w:val="251"/>
        </w:trPr>
        <w:tc>
          <w:tcPr>
            <w:tcW w:w="5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5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20"/>
                <w:szCs w:val="20"/>
                <w:color w:val="auto"/>
              </w:rPr>
              <w:t>2019</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color w:val="auto"/>
              </w:rPr>
              <w:t>2019</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20"/>
                <w:szCs w:val="20"/>
                <w:color w:val="auto"/>
              </w:rPr>
              <w:t>2018</w:t>
            </w:r>
          </w:p>
        </w:tc>
        <w:tc>
          <w:tcPr>
            <w:tcW w:w="100" w:type="dxa"/>
            <w:vAlign w:val="bottom"/>
          </w:tcPr>
          <w:p>
            <w:pPr>
              <w:spacing w:after="0"/>
              <w:rPr>
                <w:sz w:val="20"/>
                <w:szCs w:val="20"/>
                <w:color w:val="auto"/>
              </w:rPr>
            </w:pPr>
          </w:p>
        </w:tc>
      </w:tr>
      <w:tr>
        <w:trPr>
          <w:trHeight w:val="235"/>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earnings attributable to Martin Marietta Materials, Inc.</w:t>
            </w:r>
          </w:p>
        </w:tc>
        <w:tc>
          <w:tcPr>
            <w:tcW w:w="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189,475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185,377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232,328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195,400</w:t>
            </w:r>
          </w:p>
        </w:tc>
        <w:tc>
          <w:tcPr>
            <w:tcW w:w="100" w:type="dxa"/>
            <w:vAlign w:val="bottom"/>
            <w:shd w:val="clear" w:color="auto" w:fill="CFF0FC"/>
          </w:tcPr>
          <w:p>
            <w:pPr>
              <w:spacing w:after="0"/>
              <w:rPr>
                <w:sz w:val="21"/>
                <w:szCs w:val="21"/>
                <w:color w:val="auto"/>
              </w:rPr>
            </w:pPr>
          </w:p>
        </w:tc>
      </w:tr>
      <w:tr>
        <w:trPr>
          <w:trHeight w:val="242"/>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Other comprehensive earnings, net of tax</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2,990</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1,602</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6,245</w:t>
            </w:r>
          </w:p>
        </w:tc>
        <w:tc>
          <w:tcPr>
            <w:tcW w:w="2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3,221</w:t>
            </w:r>
          </w:p>
        </w:tc>
        <w:tc>
          <w:tcPr>
            <w:tcW w:w="100" w:type="dxa"/>
            <w:vAlign w:val="bottom"/>
            <w:tcBorders>
              <w:bottom w:val="single" w:sz="8" w:color="CFF0FC"/>
            </w:tcBorders>
          </w:tcPr>
          <w:p>
            <w:pPr>
              <w:spacing w:after="0"/>
              <w:rPr>
                <w:sz w:val="21"/>
                <w:szCs w:val="21"/>
                <w:color w:val="auto"/>
              </w:rPr>
            </w:pPr>
          </w:p>
        </w:tc>
      </w:tr>
      <w:tr>
        <w:trPr>
          <w:trHeight w:val="212"/>
        </w:trPr>
        <w:tc>
          <w:tcPr>
            <w:tcW w:w="5900" w:type="dxa"/>
            <w:vAlign w:val="bottom"/>
            <w:shd w:val="clear" w:color="auto" w:fill="CFF0FC"/>
          </w:tcPr>
          <w:p>
            <w:pPr>
              <w:spacing w:after="0" w:line="212" w:lineRule="exact"/>
              <w:rPr>
                <w:sz w:val="20"/>
                <w:szCs w:val="20"/>
                <w:color w:val="auto"/>
              </w:rPr>
            </w:pPr>
            <w:r>
              <w:rPr>
                <w:rFonts w:ascii="Times New Roman" w:cs="Times New Roman" w:eastAsia="Times New Roman" w:hAnsi="Times New Roman"/>
                <w:sz w:val="20"/>
                <w:szCs w:val="20"/>
                <w:color w:val="auto"/>
              </w:rPr>
              <w:t>Comprehensive earnings attributable to Martin Marietta</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1"/>
        </w:trPr>
        <w:tc>
          <w:tcPr>
            <w:tcW w:w="5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Materials, Inc.</w:t>
            </w:r>
          </w:p>
        </w:tc>
        <w:tc>
          <w:tcPr>
            <w:tcW w:w="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192,465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186,979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238,573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198,621</w:t>
            </w:r>
          </w:p>
        </w:tc>
        <w:tc>
          <w:tcPr>
            <w:tcW w:w="100" w:type="dxa"/>
            <w:vAlign w:val="bottom"/>
            <w:shd w:val="clear" w:color="auto" w:fill="CFF0FC"/>
          </w:tcPr>
          <w:p>
            <w:pPr>
              <w:spacing w:after="0"/>
              <w:rPr>
                <w:sz w:val="21"/>
                <w:szCs w:val="2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2" w:lineRule="exact"/>
        <w:rPr>
          <w:sz w:val="20"/>
          <w:szCs w:val="20"/>
          <w:color w:val="auto"/>
        </w:rPr>
      </w:pPr>
    </w:p>
    <w:p>
      <w:pPr>
        <w:ind w:left="380" w:right="40"/>
        <w:spacing w:after="0" w:line="266" w:lineRule="auto"/>
        <w:rPr>
          <w:sz w:val="20"/>
          <w:szCs w:val="20"/>
          <w:color w:val="auto"/>
        </w:rPr>
      </w:pPr>
      <w:r>
        <w:rPr>
          <w:rFonts w:ascii="Times New Roman" w:cs="Times New Roman" w:eastAsia="Times New Roman" w:hAnsi="Times New Roman"/>
          <w:sz w:val="20"/>
          <w:szCs w:val="20"/>
          <w:color w:val="auto"/>
        </w:rPr>
        <w:t>Comprehensive earnings attributable to noncontrolling interests, consisting of net earnings and adjustments for the funded status of pension and postretirement benefit plans,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00" w:type="dxa"/>
            <w:vAlign w:val="bottom"/>
          </w:tcPr>
          <w:p>
            <w:pPr>
              <w:spacing w:after="0"/>
              <w:rPr>
                <w:sz w:val="21"/>
                <w:szCs w:val="21"/>
                <w:color w:val="auto"/>
              </w:rPr>
            </w:pPr>
          </w:p>
        </w:tc>
        <w:tc>
          <w:tcPr>
            <w:tcW w:w="2820" w:type="dxa"/>
            <w:vAlign w:val="bottom"/>
            <w:gridSpan w:val="7"/>
          </w:tcPr>
          <w:p>
            <w:pPr>
              <w:ind w:left="460"/>
              <w:spacing w:after="0"/>
              <w:rPr>
                <w:sz w:val="20"/>
                <w:szCs w:val="20"/>
                <w:color w:val="auto"/>
              </w:rPr>
            </w:pPr>
            <w:r>
              <w:rPr>
                <w:rFonts w:ascii="Times New Roman" w:cs="Times New Roman" w:eastAsia="Times New Roman" w:hAnsi="Times New Roman"/>
                <w:sz w:val="20"/>
                <w:szCs w:val="20"/>
                <w:color w:val="auto"/>
              </w:rPr>
              <w:t>Three Months Ended</w:t>
            </w:r>
          </w:p>
        </w:tc>
        <w:tc>
          <w:tcPr>
            <w:tcW w:w="240" w:type="dxa"/>
            <w:vAlign w:val="bottom"/>
          </w:tcPr>
          <w:p>
            <w:pPr>
              <w:spacing w:after="0"/>
              <w:rPr>
                <w:sz w:val="21"/>
                <w:szCs w:val="21"/>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20"/>
                <w:szCs w:val="20"/>
                <w:color w:val="auto"/>
              </w:rPr>
              <w:t>Six Months Ended</w:t>
            </w:r>
          </w:p>
        </w:tc>
      </w:tr>
      <w:tr>
        <w:trPr>
          <w:trHeight w:val="251"/>
        </w:trPr>
        <w:tc>
          <w:tcPr>
            <w:tcW w:w="59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59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color w:val="auto"/>
              </w:rPr>
              <w:t>2019</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20"/>
                <w:szCs w:val="20"/>
                <w:color w:val="auto"/>
              </w:rPr>
              <w:t>2018</w:t>
            </w:r>
          </w:p>
        </w:tc>
        <w:tc>
          <w:tcPr>
            <w:tcW w:w="100" w:type="dxa"/>
            <w:vAlign w:val="bottom"/>
          </w:tcPr>
          <w:p>
            <w:pPr>
              <w:spacing w:after="0"/>
              <w:rPr>
                <w:sz w:val="20"/>
                <w:szCs w:val="20"/>
                <w:color w:val="auto"/>
              </w:rPr>
            </w:pPr>
          </w:p>
        </w:tc>
      </w:tr>
      <w:tr>
        <w:trPr>
          <w:trHeight w:val="235"/>
        </w:trPr>
        <w:tc>
          <w:tcPr>
            <w:tcW w:w="5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right"/>
              <w:ind w:right="62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(loss) earnings attributable to noncontrolling interests</w:t>
            </w:r>
          </w:p>
        </w:tc>
        <w:tc>
          <w:tcPr>
            <w:tcW w:w="86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(6)</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(32)</w:t>
            </w:r>
          </w:p>
        </w:tc>
        <w:tc>
          <w:tcPr>
            <w:tcW w:w="2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00" w:type="dxa"/>
            <w:vAlign w:val="bottom"/>
            <w:shd w:val="clear" w:color="auto" w:fill="CFF0FC"/>
          </w:tcPr>
          <w:p>
            <w:pPr>
              <w:spacing w:after="0"/>
              <w:rPr>
                <w:sz w:val="21"/>
                <w:szCs w:val="21"/>
                <w:color w:val="auto"/>
              </w:rPr>
            </w:pPr>
          </w:p>
        </w:tc>
      </w:tr>
      <w:tr>
        <w:trPr>
          <w:trHeight w:val="242"/>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earnings, net of tax</w:t>
            </w:r>
          </w:p>
        </w:tc>
        <w:tc>
          <w:tcPr>
            <w:tcW w:w="8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1"/>
                <w:szCs w:val="21"/>
                <w:color w:val="auto"/>
              </w:rPr>
            </w:pPr>
          </w:p>
        </w:tc>
      </w:tr>
      <w:tr>
        <w:trPr>
          <w:trHeight w:val="212"/>
        </w:trPr>
        <w:tc>
          <w:tcPr>
            <w:tcW w:w="5900" w:type="dxa"/>
            <w:vAlign w:val="bottom"/>
            <w:tcBorders>
              <w:top w:val="single" w:sz="8" w:color="CFF0FC"/>
            </w:tcBorders>
            <w:shd w:val="clear" w:color="auto" w:fill="CFF0FC"/>
          </w:tcPr>
          <w:p>
            <w:pPr>
              <w:spacing w:after="0" w:line="212" w:lineRule="exact"/>
              <w:rPr>
                <w:sz w:val="20"/>
                <w:szCs w:val="20"/>
                <w:color w:val="auto"/>
              </w:rPr>
            </w:pPr>
            <w:r>
              <w:rPr>
                <w:rFonts w:ascii="Times New Roman" w:cs="Times New Roman" w:eastAsia="Times New Roman" w:hAnsi="Times New Roman"/>
                <w:sz w:val="20"/>
                <w:szCs w:val="20"/>
                <w:color w:val="auto"/>
              </w:rPr>
              <w:t>Comprehensive (loss) earnings attributable to</w:t>
            </w:r>
          </w:p>
        </w:tc>
        <w:tc>
          <w:tcPr>
            <w:tcW w:w="8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51"/>
        </w:trPr>
        <w:tc>
          <w:tcPr>
            <w:tcW w:w="5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noncontrolling interests</w:t>
            </w:r>
          </w:p>
        </w:tc>
        <w:tc>
          <w:tcPr>
            <w:tcW w:w="86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(32)</w:t>
            </w:r>
          </w:p>
        </w:tc>
        <w:tc>
          <w:tcPr>
            <w:tcW w:w="2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00" w:type="dxa"/>
            <w:vAlign w:val="bottom"/>
            <w:shd w:val="clear" w:color="auto" w:fill="CFF0FC"/>
          </w:tcPr>
          <w:p>
            <w:pPr>
              <w:spacing w:after="0"/>
              <w:rPr>
                <w:sz w:val="21"/>
                <w:szCs w:val="2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Changes in accumulated other comprehensive loss, net of tax,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9"/>
                <w:szCs w:val="19"/>
                <w:i w:val="1"/>
                <w:iCs w:val="1"/>
                <w:color w:val="auto"/>
                <w:w w:val="99"/>
              </w:rPr>
              <w:t>(Dollars in Thousands)</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440"/>
              <w:spacing w:after="0" w:line="195" w:lineRule="exact"/>
              <w:rPr>
                <w:sz w:val="20"/>
                <w:szCs w:val="20"/>
                <w:color w:val="auto"/>
              </w:rPr>
            </w:pPr>
            <w:r>
              <w:rPr>
                <w:rFonts w:ascii="Times New Roman" w:cs="Times New Roman" w:eastAsia="Times New Roman" w:hAnsi="Times New Roman"/>
                <w:sz w:val="19"/>
                <w:szCs w:val="19"/>
                <w:color w:val="auto"/>
                <w:w w:val="98"/>
              </w:rPr>
              <w:t>Unamortized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420"/>
              <w:spacing w:after="0" w:line="215" w:lineRule="exact"/>
              <w:rPr>
                <w:sz w:val="20"/>
                <w:szCs w:val="20"/>
                <w:color w:val="auto"/>
              </w:rPr>
            </w:pPr>
            <w:r>
              <w:rPr>
                <w:rFonts w:ascii="Times New Roman" w:cs="Times New Roman" w:eastAsia="Times New Roman" w:hAnsi="Times New Roman"/>
                <w:sz w:val="19"/>
                <w:szCs w:val="19"/>
                <w:color w:val="auto"/>
                <w:w w:val="96"/>
              </w:rPr>
              <w:t>Value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440"/>
              <w:spacing w:after="0" w:line="215" w:lineRule="exact"/>
              <w:rPr>
                <w:sz w:val="20"/>
                <w:szCs w:val="20"/>
                <w:color w:val="auto"/>
              </w:rPr>
            </w:pPr>
            <w:r>
              <w:rPr>
                <w:rFonts w:ascii="Times New Roman" w:cs="Times New Roman" w:eastAsia="Times New Roman" w:hAnsi="Times New Roman"/>
                <w:sz w:val="19"/>
                <w:szCs w:val="19"/>
                <w:color w:val="auto"/>
                <w:w w:val="98"/>
              </w:rPr>
              <w:t>Terminated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line="215" w:lineRule="exact"/>
              <w:rPr>
                <w:sz w:val="20"/>
                <w:szCs w:val="20"/>
                <w:color w:val="auto"/>
              </w:rPr>
            </w:pPr>
            <w:r>
              <w:rPr>
                <w:rFonts w:ascii="Times New Roman" w:cs="Times New Roman" w:eastAsia="Times New Roman" w:hAnsi="Times New Roman"/>
                <w:sz w:val="19"/>
                <w:szCs w:val="19"/>
                <w:color w:val="auto"/>
                <w:w w:val="98"/>
              </w:rPr>
              <w:t>Accumulated</w:t>
            </w: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00"/>
              <w:spacing w:after="0" w:line="215" w:lineRule="exact"/>
              <w:rPr>
                <w:sz w:val="20"/>
                <w:szCs w:val="20"/>
                <w:color w:val="auto"/>
              </w:rPr>
            </w:pPr>
            <w:r>
              <w:rPr>
                <w:rFonts w:ascii="Times New Roman" w:cs="Times New Roman" w:eastAsia="Times New Roman" w:hAnsi="Times New Roman"/>
                <w:sz w:val="19"/>
                <w:szCs w:val="19"/>
                <w:color w:val="auto"/>
                <w:w w:val="97"/>
              </w:rPr>
              <w:t>Pension and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right="280"/>
              <w:spacing w:after="0" w:line="215" w:lineRule="exact"/>
              <w:rPr>
                <w:sz w:val="20"/>
                <w:szCs w:val="20"/>
                <w:color w:val="auto"/>
              </w:rPr>
            </w:pPr>
            <w:r>
              <w:rPr>
                <w:rFonts w:ascii="Times New Roman" w:cs="Times New Roman" w:eastAsia="Times New Roman" w:hAnsi="Times New Roman"/>
                <w:sz w:val="19"/>
                <w:szCs w:val="19"/>
                <w:color w:val="auto"/>
                <w:w w:val="98"/>
              </w:rPr>
              <w:t>Forward Starting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60"/>
              <w:spacing w:after="0" w:line="215" w:lineRule="exact"/>
              <w:rPr>
                <w:sz w:val="20"/>
                <w:szCs w:val="20"/>
                <w:color w:val="auto"/>
              </w:rPr>
            </w:pPr>
            <w:r>
              <w:rPr>
                <w:rFonts w:ascii="Times New Roman" w:cs="Times New Roman" w:eastAsia="Times New Roman" w:hAnsi="Times New Roman"/>
                <w:sz w:val="19"/>
                <w:szCs w:val="19"/>
                <w:color w:val="auto"/>
                <w:w w:val="96"/>
              </w:rPr>
              <w:t>Other</w:t>
            </w: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00"/>
              <w:spacing w:after="0" w:line="215" w:lineRule="exact"/>
              <w:rPr>
                <w:sz w:val="20"/>
                <w:szCs w:val="20"/>
                <w:color w:val="auto"/>
              </w:rPr>
            </w:pPr>
            <w:r>
              <w:rPr>
                <w:rFonts w:ascii="Times New Roman" w:cs="Times New Roman" w:eastAsia="Times New Roman" w:hAnsi="Times New Roman"/>
                <w:sz w:val="19"/>
                <w:szCs w:val="19"/>
                <w:color w:val="auto"/>
                <w:w w:val="99"/>
              </w:rPr>
              <w:t>Postretirement</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line="215" w:lineRule="exact"/>
              <w:rPr>
                <w:sz w:val="20"/>
                <w:szCs w:val="20"/>
                <w:color w:val="auto"/>
              </w:rPr>
            </w:pPr>
            <w:r>
              <w:rPr>
                <w:rFonts w:ascii="Times New Roman" w:cs="Times New Roman" w:eastAsia="Times New Roman" w:hAnsi="Times New Roman"/>
                <w:sz w:val="19"/>
                <w:szCs w:val="19"/>
                <w:color w:val="auto"/>
              </w:rPr>
              <w:t>Foreign</w:t>
            </w:r>
          </w:p>
        </w:tc>
        <w:tc>
          <w:tcPr>
            <w:tcW w:w="140" w:type="dxa"/>
            <w:vAlign w:val="bottom"/>
          </w:tcPr>
          <w:p>
            <w:pPr>
              <w:spacing w:after="0"/>
              <w:rPr>
                <w:sz w:val="18"/>
                <w:szCs w:val="18"/>
                <w:color w:val="auto"/>
              </w:rPr>
            </w:pPr>
          </w:p>
        </w:tc>
        <w:tc>
          <w:tcPr>
            <w:tcW w:w="1540" w:type="dxa"/>
            <w:vAlign w:val="bottom"/>
            <w:gridSpan w:val="2"/>
          </w:tcPr>
          <w:p>
            <w:pPr>
              <w:jc w:val="center"/>
              <w:ind w:right="420"/>
              <w:spacing w:after="0" w:line="215" w:lineRule="exact"/>
              <w:rPr>
                <w:sz w:val="20"/>
                <w:szCs w:val="20"/>
                <w:color w:val="auto"/>
              </w:rPr>
            </w:pPr>
            <w:r>
              <w:rPr>
                <w:rFonts w:ascii="Times New Roman" w:cs="Times New Roman" w:eastAsia="Times New Roman" w:hAnsi="Times New Roman"/>
                <w:sz w:val="19"/>
                <w:szCs w:val="19"/>
                <w:color w:val="auto"/>
                <w:w w:val="99"/>
              </w:rPr>
              <w:t>Interest 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60"/>
              <w:spacing w:after="0" w:line="215" w:lineRule="exact"/>
              <w:rPr>
                <w:sz w:val="20"/>
                <w:szCs w:val="20"/>
                <w:color w:val="auto"/>
              </w:rPr>
            </w:pPr>
            <w:r>
              <w:rPr>
                <w:rFonts w:ascii="Times New Roman" w:cs="Times New Roman" w:eastAsia="Times New Roman" w:hAnsi="Times New Roman"/>
                <w:sz w:val="19"/>
                <w:szCs w:val="19"/>
                <w:color w:val="auto"/>
                <w:w w:val="98"/>
              </w:rPr>
              <w:t>Comprehensive</w:t>
            </w: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9"/>
                <w:szCs w:val="19"/>
                <w:color w:val="auto"/>
              </w:rPr>
              <w:t>Benefit Plans</w:t>
            </w:r>
          </w:p>
        </w:tc>
        <w:tc>
          <w:tcPr>
            <w:tcW w:w="1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9"/>
                <w:szCs w:val="19"/>
                <w:color w:val="auto"/>
              </w:rPr>
              <w:t>Currency</w:t>
            </w:r>
          </w:p>
        </w:tc>
        <w:tc>
          <w:tcPr>
            <w:tcW w:w="140" w:type="dxa"/>
            <w:vAlign w:val="bottom"/>
          </w:tcPr>
          <w:p>
            <w:pPr>
              <w:spacing w:after="0"/>
              <w:rPr>
                <w:sz w:val="20"/>
                <w:szCs w:val="20"/>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9"/>
                <w:szCs w:val="19"/>
                <w:color w:val="auto"/>
                <w:w w:val="99"/>
              </w:rPr>
              <w:t>Swap</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Loss</w:t>
            </w:r>
          </w:p>
        </w:tc>
        <w:tc>
          <w:tcPr>
            <w:tcW w:w="0" w:type="dxa"/>
            <w:vAlign w:val="bottom"/>
          </w:tcPr>
          <w:p>
            <w:pPr>
              <w:spacing w:after="0"/>
              <w:rPr>
                <w:sz w:val="1"/>
                <w:szCs w:val="1"/>
                <w:color w:val="auto"/>
              </w:rPr>
            </w:pPr>
          </w:p>
        </w:tc>
      </w:tr>
      <w:tr>
        <w:trPr>
          <w:trHeight w:val="222"/>
        </w:trPr>
        <w:tc>
          <w:tcPr>
            <w:tcW w:w="42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Balance at beginning of period</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9"/>
                <w:szCs w:val="19"/>
                <w:color w:val="auto"/>
                <w:w w:val="98"/>
              </w:rPr>
              <w:t>Three Months Ended June 30, 2019</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(138,747)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(1,577)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9"/>
                <w:szCs w:val="19"/>
                <w:color w:val="auto"/>
              </w:rPr>
              <w:t>Other comprehensive earnings before</w:t>
            </w: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9"/>
                <w:szCs w:val="19"/>
                <w:color w:val="auto"/>
              </w:rPr>
              <w:t>reclassifications, net of tax</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264</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264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6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Amounts reclassified from accumulated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other comprehensive loss, net of tax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9"/>
                <w:szCs w:val="19"/>
                <w:color w:val="auto"/>
              </w:rPr>
              <w:t>Other comprehensive earnings, net of tax</w:t>
            </w:r>
          </w:p>
        </w:tc>
        <w:tc>
          <w:tcPr>
            <w:tcW w:w="7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2,726</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264</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2,990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Balance at end of period</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(136,021)</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(1,313)</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(137,334)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2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Balance at beginning of period</w:t>
            </w: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9"/>
                <w:szCs w:val="19"/>
                <w:color w:val="auto"/>
                <w:w w:val="98"/>
              </w:rPr>
              <w:t>Three Months Ended June 30,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(126,806)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(609)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(70)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60" w:type="dxa"/>
            <w:vAlign w:val="bottom"/>
            <w:tcBorders>
              <w:top w:val="single" w:sz="8" w:color="CFF2FA"/>
            </w:tcBorders>
            <w:shd w:val="clear" w:color="auto" w:fill="CFF2FA"/>
          </w:tcPr>
          <w:p>
            <w:pPr>
              <w:spacing w:after="0" w:line="195" w:lineRule="exact"/>
              <w:rPr>
                <w:sz w:val="20"/>
                <w:szCs w:val="20"/>
                <w:color w:val="auto"/>
              </w:rPr>
            </w:pPr>
            <w:r>
              <w:rPr>
                <w:rFonts w:ascii="Times New Roman" w:cs="Times New Roman" w:eastAsia="Times New Roman" w:hAnsi="Times New Roman"/>
                <w:sz w:val="19"/>
                <w:szCs w:val="19"/>
                <w:color w:val="auto"/>
              </w:rPr>
              <w:t>Other comprehensive loss before</w:t>
            </w:r>
          </w:p>
        </w:tc>
        <w:tc>
          <w:tcPr>
            <w:tcW w:w="700" w:type="dxa"/>
            <w:vAlign w:val="bottom"/>
            <w:tcBorders>
              <w:top w:val="single" w:sz="8" w:color="CFF2FA"/>
            </w:tcBorders>
            <w:shd w:val="clear" w:color="auto" w:fill="CFF2FA"/>
          </w:tcPr>
          <w:p>
            <w:pPr>
              <w:spacing w:after="0"/>
              <w:rPr>
                <w:sz w:val="16"/>
                <w:szCs w:val="16"/>
                <w:color w:val="auto"/>
              </w:rPr>
            </w:pPr>
          </w:p>
        </w:tc>
        <w:tc>
          <w:tcPr>
            <w:tcW w:w="120" w:type="dxa"/>
            <w:vAlign w:val="bottom"/>
            <w:tcBorders>
              <w:top w:val="single" w:sz="8" w:color="auto"/>
            </w:tcBorders>
            <w:shd w:val="clear" w:color="auto" w:fill="CFF2FA"/>
          </w:tcPr>
          <w:p>
            <w:pPr>
              <w:spacing w:after="0"/>
              <w:rPr>
                <w:sz w:val="16"/>
                <w:szCs w:val="16"/>
                <w:color w:val="auto"/>
              </w:rPr>
            </w:pPr>
          </w:p>
        </w:tc>
        <w:tc>
          <w:tcPr>
            <w:tcW w:w="1300" w:type="dxa"/>
            <w:vAlign w:val="bottom"/>
            <w:tcBorders>
              <w:top w:val="single" w:sz="8" w:color="auto"/>
            </w:tcBorders>
            <w:shd w:val="clear" w:color="auto" w:fill="CFF2FA"/>
          </w:tcPr>
          <w:p>
            <w:pPr>
              <w:spacing w:after="0"/>
              <w:rPr>
                <w:sz w:val="16"/>
                <w:szCs w:val="16"/>
                <w:color w:val="auto"/>
              </w:rPr>
            </w:pPr>
          </w:p>
        </w:tc>
        <w:tc>
          <w:tcPr>
            <w:tcW w:w="280" w:type="dxa"/>
            <w:vAlign w:val="bottom"/>
            <w:tcBorders>
              <w:top w:val="single" w:sz="8" w:color="CFF2FA"/>
            </w:tcBorders>
            <w:shd w:val="clear" w:color="auto" w:fill="CFF2FA"/>
          </w:tcPr>
          <w:p>
            <w:pPr>
              <w:spacing w:after="0"/>
              <w:rPr>
                <w:sz w:val="16"/>
                <w:szCs w:val="16"/>
                <w:color w:val="auto"/>
              </w:rPr>
            </w:pPr>
          </w:p>
        </w:tc>
        <w:tc>
          <w:tcPr>
            <w:tcW w:w="100" w:type="dxa"/>
            <w:vAlign w:val="bottom"/>
            <w:tcBorders>
              <w:top w:val="single" w:sz="8" w:color="auto"/>
            </w:tcBorders>
            <w:shd w:val="clear" w:color="auto" w:fill="CFF2FA"/>
          </w:tcPr>
          <w:p>
            <w:pPr>
              <w:spacing w:after="0"/>
              <w:rPr>
                <w:sz w:val="16"/>
                <w:szCs w:val="16"/>
                <w:color w:val="auto"/>
              </w:rPr>
            </w:pPr>
          </w:p>
        </w:tc>
        <w:tc>
          <w:tcPr>
            <w:tcW w:w="1140" w:type="dxa"/>
            <w:vAlign w:val="bottom"/>
            <w:tcBorders>
              <w:top w:val="single" w:sz="8" w:color="auto"/>
            </w:tcBorders>
            <w:shd w:val="clear" w:color="auto" w:fill="CFF2FA"/>
          </w:tcPr>
          <w:p>
            <w:pPr>
              <w:spacing w:after="0"/>
              <w:rPr>
                <w:sz w:val="16"/>
                <w:szCs w:val="16"/>
                <w:color w:val="auto"/>
              </w:rPr>
            </w:pPr>
          </w:p>
        </w:tc>
        <w:tc>
          <w:tcPr>
            <w:tcW w:w="280" w:type="dxa"/>
            <w:vAlign w:val="bottom"/>
            <w:tcBorders>
              <w:top w:val="single" w:sz="8" w:color="CFF2FA"/>
            </w:tcBorders>
            <w:shd w:val="clear" w:color="auto" w:fill="CFF2FA"/>
          </w:tcPr>
          <w:p>
            <w:pPr>
              <w:spacing w:after="0"/>
              <w:rPr>
                <w:sz w:val="16"/>
                <w:szCs w:val="16"/>
                <w:color w:val="auto"/>
              </w:rPr>
            </w:pPr>
          </w:p>
        </w:tc>
        <w:tc>
          <w:tcPr>
            <w:tcW w:w="140" w:type="dxa"/>
            <w:vAlign w:val="bottom"/>
            <w:tcBorders>
              <w:top w:val="single" w:sz="8" w:color="auto"/>
            </w:tcBorders>
            <w:shd w:val="clear" w:color="auto" w:fill="CFF2FA"/>
          </w:tcPr>
          <w:p>
            <w:pPr>
              <w:spacing w:after="0"/>
              <w:rPr>
                <w:sz w:val="16"/>
                <w:szCs w:val="16"/>
                <w:color w:val="auto"/>
              </w:rPr>
            </w:pPr>
          </w:p>
        </w:tc>
        <w:tc>
          <w:tcPr>
            <w:tcW w:w="1280" w:type="dxa"/>
            <w:vAlign w:val="bottom"/>
            <w:tcBorders>
              <w:top w:val="single" w:sz="8" w:color="auto"/>
            </w:tcBorders>
            <w:shd w:val="clear" w:color="auto" w:fill="CFF2FA"/>
          </w:tcPr>
          <w:p>
            <w:pPr>
              <w:spacing w:after="0"/>
              <w:rPr>
                <w:sz w:val="16"/>
                <w:szCs w:val="16"/>
                <w:color w:val="auto"/>
              </w:rPr>
            </w:pPr>
          </w:p>
        </w:tc>
        <w:tc>
          <w:tcPr>
            <w:tcW w:w="260" w:type="dxa"/>
            <w:vAlign w:val="bottom"/>
            <w:tcBorders>
              <w:top w:val="single" w:sz="8" w:color="CFF2FA"/>
            </w:tcBorders>
            <w:shd w:val="clear" w:color="auto" w:fill="CFF2FA"/>
          </w:tcPr>
          <w:p>
            <w:pPr>
              <w:spacing w:after="0"/>
              <w:rPr>
                <w:sz w:val="16"/>
                <w:szCs w:val="16"/>
                <w:color w:val="auto"/>
              </w:rPr>
            </w:pPr>
          </w:p>
        </w:tc>
        <w:tc>
          <w:tcPr>
            <w:tcW w:w="20" w:type="dxa"/>
            <w:vAlign w:val="bottom"/>
            <w:tcBorders>
              <w:top w:val="single" w:sz="8" w:color="CFF2FA"/>
            </w:tcBorders>
            <w:shd w:val="clear" w:color="auto" w:fill="CFF2FA"/>
          </w:tcPr>
          <w:p>
            <w:pPr>
              <w:spacing w:after="0"/>
              <w:rPr>
                <w:sz w:val="16"/>
                <w:szCs w:val="16"/>
                <w:color w:val="auto"/>
              </w:rPr>
            </w:pPr>
          </w:p>
        </w:tc>
        <w:tc>
          <w:tcPr>
            <w:tcW w:w="100" w:type="dxa"/>
            <w:vAlign w:val="bottom"/>
            <w:tcBorders>
              <w:top w:val="single" w:sz="8" w:color="auto"/>
            </w:tcBorders>
            <w:shd w:val="clear" w:color="auto" w:fill="CFF2FA"/>
          </w:tcPr>
          <w:p>
            <w:pPr>
              <w:spacing w:after="0"/>
              <w:rPr>
                <w:sz w:val="16"/>
                <w:szCs w:val="16"/>
                <w:color w:val="auto"/>
              </w:rPr>
            </w:pPr>
          </w:p>
        </w:tc>
        <w:tc>
          <w:tcPr>
            <w:tcW w:w="1320" w:type="dxa"/>
            <w:vAlign w:val="bottom"/>
            <w:tcBorders>
              <w:top w:val="single" w:sz="8" w:color="auto"/>
            </w:tcBorders>
            <w:shd w:val="clear" w:color="auto" w:fill="CFF2FA"/>
          </w:tcPr>
          <w:p>
            <w:pPr>
              <w:spacing w:after="0"/>
              <w:rPr>
                <w:sz w:val="16"/>
                <w:szCs w:val="16"/>
                <w:color w:val="auto"/>
              </w:rPr>
            </w:pPr>
          </w:p>
        </w:tc>
        <w:tc>
          <w:tcPr>
            <w:tcW w:w="120" w:type="dxa"/>
            <w:vAlign w:val="bottom"/>
            <w:tcBorders>
              <w:top w:val="single" w:sz="8" w:color="CFF2FA"/>
            </w:tcBorders>
            <w:shd w:val="clear" w:color="auto" w:fill="CFF2FA"/>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2FA"/>
          </w:tcPr>
          <w:p>
            <w:pPr>
              <w:ind w:left="140"/>
              <w:spacing w:after="0"/>
              <w:rPr>
                <w:sz w:val="20"/>
                <w:szCs w:val="20"/>
                <w:color w:val="auto"/>
              </w:rPr>
            </w:pPr>
            <w:r>
              <w:rPr>
                <w:rFonts w:ascii="Times New Roman" w:cs="Times New Roman" w:eastAsia="Times New Roman" w:hAnsi="Times New Roman"/>
                <w:sz w:val="19"/>
                <w:szCs w:val="19"/>
                <w:color w:val="auto"/>
              </w:rPr>
              <w:t>reclassifications, net of tax</w:t>
            </w:r>
          </w:p>
        </w:tc>
        <w:tc>
          <w:tcPr>
            <w:tcW w:w="70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580" w:type="dxa"/>
            <w:vAlign w:val="bottom"/>
            <w:gridSpan w:val="2"/>
            <w:shd w:val="clear" w:color="auto" w:fill="CFF2FA"/>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CFF2FA"/>
          </w:tcPr>
          <w:p>
            <w:pPr>
              <w:spacing w:after="0"/>
              <w:rPr>
                <w:sz w:val="20"/>
                <w:szCs w:val="20"/>
                <w:color w:val="auto"/>
              </w:rPr>
            </w:pPr>
          </w:p>
        </w:tc>
        <w:tc>
          <w:tcPr>
            <w:tcW w:w="1420" w:type="dxa"/>
            <w:vAlign w:val="bottom"/>
            <w:gridSpan w:val="2"/>
            <w:shd w:val="clear" w:color="auto" w:fill="CFF2FA"/>
          </w:tcPr>
          <w:p>
            <w:pPr>
              <w:jc w:val="right"/>
              <w:ind w:right="220"/>
              <w:spacing w:after="0"/>
              <w:rPr>
                <w:sz w:val="20"/>
                <w:szCs w:val="20"/>
                <w:color w:val="auto"/>
              </w:rPr>
            </w:pPr>
            <w:r>
              <w:rPr>
                <w:rFonts w:ascii="Times New Roman" w:cs="Times New Roman" w:eastAsia="Times New Roman" w:hAnsi="Times New Roman"/>
                <w:sz w:val="19"/>
                <w:szCs w:val="19"/>
                <w:color w:val="auto"/>
              </w:rPr>
              <w:t>(476)</w:t>
            </w:r>
          </w:p>
        </w:tc>
        <w:tc>
          <w:tcPr>
            <w:tcW w:w="140" w:type="dxa"/>
            <w:vAlign w:val="bottom"/>
            <w:shd w:val="clear" w:color="auto" w:fill="CFF2FA"/>
          </w:tcPr>
          <w:p>
            <w:pPr>
              <w:spacing w:after="0"/>
              <w:rPr>
                <w:sz w:val="20"/>
                <w:szCs w:val="20"/>
                <w:color w:val="auto"/>
              </w:rPr>
            </w:pPr>
          </w:p>
        </w:tc>
        <w:tc>
          <w:tcPr>
            <w:tcW w:w="1540" w:type="dxa"/>
            <w:vAlign w:val="bottom"/>
            <w:gridSpan w:val="2"/>
            <w:shd w:val="clear" w:color="auto" w:fill="CFF2FA"/>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440" w:type="dxa"/>
            <w:vAlign w:val="bottom"/>
            <w:gridSpan w:val="2"/>
            <w:shd w:val="clear" w:color="auto" w:fill="CFF2FA"/>
          </w:tcPr>
          <w:p>
            <w:pPr>
              <w:jc w:val="right"/>
              <w:ind w:right="60"/>
              <w:spacing w:after="0"/>
              <w:rPr>
                <w:sz w:val="20"/>
                <w:szCs w:val="20"/>
                <w:color w:val="auto"/>
              </w:rPr>
            </w:pPr>
            <w:r>
              <w:rPr>
                <w:rFonts w:ascii="Times New Roman" w:cs="Times New Roman" w:eastAsia="Times New Roman" w:hAnsi="Times New Roman"/>
                <w:sz w:val="19"/>
                <w:szCs w:val="19"/>
                <w:color w:val="auto"/>
              </w:rPr>
              <w:t>(476)</w:t>
            </w:r>
          </w:p>
        </w:tc>
        <w:tc>
          <w:tcPr>
            <w:tcW w:w="0" w:type="dxa"/>
            <w:vAlign w:val="bottom"/>
          </w:tcPr>
          <w:p>
            <w:pPr>
              <w:spacing w:after="0"/>
              <w:rPr>
                <w:sz w:val="1"/>
                <w:szCs w:val="1"/>
                <w:color w:val="auto"/>
              </w:rPr>
            </w:pPr>
          </w:p>
        </w:tc>
      </w:tr>
      <w:tr>
        <w:trPr>
          <w:trHeight w:val="202"/>
        </w:trPr>
        <w:tc>
          <w:tcPr>
            <w:tcW w:w="426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Amounts reclassified from accumulated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other comprehensive loss, net of tax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260" w:type="dxa"/>
            <w:vAlign w:val="bottom"/>
            <w:tcBorders>
              <w:top w:val="single" w:sz="8" w:color="CFF2FA"/>
            </w:tcBorders>
            <w:shd w:val="clear" w:color="auto" w:fill="CFF2FA"/>
          </w:tcPr>
          <w:p>
            <w:pPr>
              <w:spacing w:after="0"/>
              <w:rPr>
                <w:sz w:val="20"/>
                <w:szCs w:val="20"/>
                <w:color w:val="auto"/>
              </w:rPr>
            </w:pPr>
            <w:r>
              <w:rPr>
                <w:rFonts w:ascii="Times New Roman" w:cs="Times New Roman" w:eastAsia="Times New Roman" w:hAnsi="Times New Roman"/>
                <w:sz w:val="19"/>
                <w:szCs w:val="19"/>
                <w:color w:val="auto"/>
              </w:rPr>
              <w:t>Other comprehensive earnings (loss), net of tax</w:t>
            </w:r>
          </w:p>
        </w:tc>
        <w:tc>
          <w:tcPr>
            <w:tcW w:w="70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3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2,008</w:t>
            </w:r>
          </w:p>
        </w:tc>
        <w:tc>
          <w:tcPr>
            <w:tcW w:w="2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(476)</w:t>
            </w:r>
          </w:p>
        </w:tc>
        <w:tc>
          <w:tcPr>
            <w:tcW w:w="28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2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260" w:type="dxa"/>
            <w:vAlign w:val="bottom"/>
            <w:tcBorders>
              <w:top w:val="single" w:sz="8" w:color="CFF2FA"/>
            </w:tcBorders>
            <w:shd w:val="clear" w:color="auto" w:fill="CFF2FA"/>
          </w:tcPr>
          <w:p>
            <w:pPr>
              <w:spacing w:after="0"/>
              <w:rPr>
                <w:sz w:val="19"/>
                <w:szCs w:val="19"/>
                <w:color w:val="auto"/>
              </w:rPr>
            </w:pPr>
          </w:p>
        </w:tc>
        <w:tc>
          <w:tcPr>
            <w:tcW w:w="2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3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1,602</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Balance at end of period</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(124,798)</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(1,085)</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(125,883)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260" w:type="dxa"/>
            <w:vAlign w:val="bottom"/>
            <w:tcBorders>
              <w:bottom w:val="single" w:sz="8" w:color="CFF2FA"/>
            </w:tcBorders>
          </w:tcPr>
          <w:p>
            <w:pPr>
              <w:spacing w:after="0"/>
              <w:rPr>
                <w:sz w:val="24"/>
                <w:szCs w:val="24"/>
                <w:color w:val="auto"/>
              </w:rPr>
            </w:pPr>
          </w:p>
        </w:tc>
        <w:tc>
          <w:tcPr>
            <w:tcW w:w="700" w:type="dxa"/>
            <w:vAlign w:val="bottom"/>
            <w:tcBorders>
              <w:bottom w:val="single" w:sz="8" w:color="CFF2FA"/>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9"/>
                <w:szCs w:val="19"/>
                <w:color w:val="auto"/>
                <w:w w:val="99"/>
              </w:rPr>
              <w:t>Six Months Ended June 30, 2019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FF2FA"/>
          </w:tcPr>
          <w:p>
            <w:pPr>
              <w:spacing w:after="0"/>
              <w:rPr>
                <w:sz w:val="20"/>
                <w:szCs w:val="20"/>
                <w:color w:val="auto"/>
              </w:rPr>
            </w:pPr>
            <w:r>
              <w:rPr>
                <w:rFonts w:ascii="Times New Roman" w:cs="Times New Roman" w:eastAsia="Times New Roman" w:hAnsi="Times New Roman"/>
                <w:sz w:val="19"/>
                <w:szCs w:val="19"/>
                <w:color w:val="auto"/>
              </w:rPr>
              <w:t>Balance at beginning of period</w:t>
            </w:r>
          </w:p>
        </w:tc>
        <w:tc>
          <w:tcPr>
            <w:tcW w:w="70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580" w:type="dxa"/>
            <w:vAlign w:val="bottom"/>
            <w:gridSpan w:val="2"/>
            <w:shd w:val="clear" w:color="auto" w:fill="CFF2FA"/>
          </w:tcPr>
          <w:p>
            <w:pPr>
              <w:jc w:val="right"/>
              <w:ind w:right="220"/>
              <w:spacing w:after="0"/>
              <w:rPr>
                <w:sz w:val="20"/>
                <w:szCs w:val="20"/>
                <w:color w:val="auto"/>
              </w:rPr>
            </w:pPr>
            <w:r>
              <w:rPr>
                <w:rFonts w:ascii="Times New Roman" w:cs="Times New Roman" w:eastAsia="Times New Roman" w:hAnsi="Times New Roman"/>
                <w:sz w:val="19"/>
                <w:szCs w:val="19"/>
                <w:color w:val="auto"/>
              </w:rPr>
              <w:t>(141,505)</w:t>
            </w:r>
          </w:p>
        </w:tc>
        <w:tc>
          <w:tcPr>
            <w:tcW w:w="10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2FA"/>
          </w:tcPr>
          <w:p>
            <w:pPr>
              <w:jc w:val="right"/>
              <w:ind w:right="220"/>
              <w:spacing w:after="0"/>
              <w:rPr>
                <w:sz w:val="20"/>
                <w:szCs w:val="20"/>
                <w:color w:val="auto"/>
              </w:rPr>
            </w:pPr>
            <w:r>
              <w:rPr>
                <w:rFonts w:ascii="Times New Roman" w:cs="Times New Roman" w:eastAsia="Times New Roman" w:hAnsi="Times New Roman"/>
                <w:sz w:val="19"/>
                <w:szCs w:val="19"/>
                <w:color w:val="auto"/>
              </w:rPr>
              <w:t>(2,074)</w:t>
            </w:r>
          </w:p>
        </w:tc>
        <w:tc>
          <w:tcPr>
            <w:tcW w:w="14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FF2FA"/>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gridSpan w:val="2"/>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(143,579)</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6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Other comprehensive earnings before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reclassifications, net of tax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60" w:type="dxa"/>
            <w:vAlign w:val="bottom"/>
            <w:shd w:val="clear" w:color="auto" w:fill="CFF2FA"/>
          </w:tcPr>
          <w:p>
            <w:pPr>
              <w:spacing w:after="0" w:line="202" w:lineRule="exact"/>
              <w:rPr>
                <w:sz w:val="20"/>
                <w:szCs w:val="20"/>
                <w:color w:val="auto"/>
              </w:rPr>
            </w:pPr>
            <w:r>
              <w:rPr>
                <w:rFonts w:ascii="Times New Roman" w:cs="Times New Roman" w:eastAsia="Times New Roman" w:hAnsi="Times New Roman"/>
                <w:sz w:val="19"/>
                <w:szCs w:val="19"/>
                <w:color w:val="auto"/>
              </w:rPr>
              <w:t>Amounts reclassified from accumulated</w:t>
            </w:r>
          </w:p>
        </w:tc>
        <w:tc>
          <w:tcPr>
            <w:tcW w:w="700" w:type="dxa"/>
            <w:vAlign w:val="bottom"/>
            <w:shd w:val="clear" w:color="auto" w:fill="CFF2FA"/>
          </w:tcPr>
          <w:p>
            <w:pPr>
              <w:spacing w:after="0"/>
              <w:rPr>
                <w:sz w:val="17"/>
                <w:szCs w:val="17"/>
                <w:color w:val="auto"/>
              </w:rPr>
            </w:pPr>
          </w:p>
        </w:tc>
        <w:tc>
          <w:tcPr>
            <w:tcW w:w="120" w:type="dxa"/>
            <w:vAlign w:val="bottom"/>
            <w:shd w:val="clear" w:color="auto" w:fill="CFF2FA"/>
          </w:tcPr>
          <w:p>
            <w:pPr>
              <w:spacing w:after="0"/>
              <w:rPr>
                <w:sz w:val="17"/>
                <w:szCs w:val="17"/>
                <w:color w:val="auto"/>
              </w:rPr>
            </w:pPr>
          </w:p>
        </w:tc>
        <w:tc>
          <w:tcPr>
            <w:tcW w:w="1300" w:type="dxa"/>
            <w:vAlign w:val="bottom"/>
            <w:shd w:val="clear" w:color="auto" w:fill="CFF2FA"/>
          </w:tcPr>
          <w:p>
            <w:pPr>
              <w:spacing w:after="0"/>
              <w:rPr>
                <w:sz w:val="17"/>
                <w:szCs w:val="17"/>
                <w:color w:val="auto"/>
              </w:rPr>
            </w:pPr>
          </w:p>
        </w:tc>
        <w:tc>
          <w:tcPr>
            <w:tcW w:w="280" w:type="dxa"/>
            <w:vAlign w:val="bottom"/>
            <w:shd w:val="clear" w:color="auto" w:fill="CFF2FA"/>
          </w:tcPr>
          <w:p>
            <w:pPr>
              <w:spacing w:after="0"/>
              <w:rPr>
                <w:sz w:val="17"/>
                <w:szCs w:val="17"/>
                <w:color w:val="auto"/>
              </w:rPr>
            </w:pPr>
          </w:p>
        </w:tc>
        <w:tc>
          <w:tcPr>
            <w:tcW w:w="100" w:type="dxa"/>
            <w:vAlign w:val="bottom"/>
            <w:shd w:val="clear" w:color="auto" w:fill="CFF2FA"/>
          </w:tcPr>
          <w:p>
            <w:pPr>
              <w:spacing w:after="0"/>
              <w:rPr>
                <w:sz w:val="17"/>
                <w:szCs w:val="17"/>
                <w:color w:val="auto"/>
              </w:rPr>
            </w:pPr>
          </w:p>
        </w:tc>
        <w:tc>
          <w:tcPr>
            <w:tcW w:w="1140" w:type="dxa"/>
            <w:vAlign w:val="bottom"/>
            <w:shd w:val="clear" w:color="auto" w:fill="CFF2FA"/>
          </w:tcPr>
          <w:p>
            <w:pPr>
              <w:spacing w:after="0"/>
              <w:rPr>
                <w:sz w:val="17"/>
                <w:szCs w:val="17"/>
                <w:color w:val="auto"/>
              </w:rPr>
            </w:pPr>
          </w:p>
        </w:tc>
        <w:tc>
          <w:tcPr>
            <w:tcW w:w="280" w:type="dxa"/>
            <w:vAlign w:val="bottom"/>
            <w:shd w:val="clear" w:color="auto" w:fill="CFF2FA"/>
          </w:tcPr>
          <w:p>
            <w:pPr>
              <w:spacing w:after="0"/>
              <w:rPr>
                <w:sz w:val="17"/>
                <w:szCs w:val="17"/>
                <w:color w:val="auto"/>
              </w:rPr>
            </w:pPr>
          </w:p>
        </w:tc>
        <w:tc>
          <w:tcPr>
            <w:tcW w:w="140" w:type="dxa"/>
            <w:vAlign w:val="bottom"/>
            <w:shd w:val="clear" w:color="auto" w:fill="CFF2FA"/>
          </w:tcPr>
          <w:p>
            <w:pPr>
              <w:spacing w:after="0"/>
              <w:rPr>
                <w:sz w:val="17"/>
                <w:szCs w:val="17"/>
                <w:color w:val="auto"/>
              </w:rPr>
            </w:pPr>
          </w:p>
        </w:tc>
        <w:tc>
          <w:tcPr>
            <w:tcW w:w="12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20" w:type="dxa"/>
            <w:vAlign w:val="bottom"/>
            <w:shd w:val="clear" w:color="auto" w:fill="CFF2FA"/>
          </w:tcPr>
          <w:p>
            <w:pPr>
              <w:spacing w:after="0"/>
              <w:rPr>
                <w:sz w:val="17"/>
                <w:szCs w:val="17"/>
                <w:color w:val="auto"/>
              </w:rPr>
            </w:pPr>
          </w:p>
        </w:tc>
        <w:tc>
          <w:tcPr>
            <w:tcW w:w="100" w:type="dxa"/>
            <w:vAlign w:val="bottom"/>
            <w:shd w:val="clear" w:color="auto" w:fill="CFF2FA"/>
          </w:tcPr>
          <w:p>
            <w:pPr>
              <w:spacing w:after="0"/>
              <w:rPr>
                <w:sz w:val="17"/>
                <w:szCs w:val="17"/>
                <w:color w:val="auto"/>
              </w:rPr>
            </w:pPr>
          </w:p>
        </w:tc>
        <w:tc>
          <w:tcPr>
            <w:tcW w:w="1320" w:type="dxa"/>
            <w:vAlign w:val="bottom"/>
            <w:shd w:val="clear" w:color="auto" w:fill="CFF2FA"/>
          </w:tcPr>
          <w:p>
            <w:pPr>
              <w:spacing w:after="0"/>
              <w:rPr>
                <w:sz w:val="17"/>
                <w:szCs w:val="17"/>
                <w:color w:val="auto"/>
              </w:rPr>
            </w:pPr>
          </w:p>
        </w:tc>
        <w:tc>
          <w:tcPr>
            <w:tcW w:w="120" w:type="dxa"/>
            <w:vAlign w:val="bottom"/>
            <w:shd w:val="clear" w:color="auto" w:fill="CFF2FA"/>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2FA"/>
          </w:tcPr>
          <w:p>
            <w:pPr>
              <w:ind w:left="140"/>
              <w:spacing w:after="0"/>
              <w:rPr>
                <w:sz w:val="20"/>
                <w:szCs w:val="20"/>
                <w:color w:val="auto"/>
              </w:rPr>
            </w:pPr>
            <w:r>
              <w:rPr>
                <w:rFonts w:ascii="Times New Roman" w:cs="Times New Roman" w:eastAsia="Times New Roman" w:hAnsi="Times New Roman"/>
                <w:sz w:val="19"/>
                <w:szCs w:val="19"/>
                <w:color w:val="auto"/>
              </w:rPr>
              <w:t>other comprehensive loss, net of tax</w:t>
            </w:r>
          </w:p>
        </w:tc>
        <w:tc>
          <w:tcPr>
            <w:tcW w:w="70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30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5,484</w:t>
            </w:r>
          </w:p>
        </w:tc>
        <w:tc>
          <w:tcPr>
            <w:tcW w:w="28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420" w:type="dxa"/>
            <w:vAlign w:val="bottom"/>
            <w:gridSpan w:val="2"/>
            <w:shd w:val="clear" w:color="auto" w:fill="CFF2FA"/>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shd w:val="clear" w:color="auto" w:fill="CFF2FA"/>
          </w:tcPr>
          <w:p>
            <w:pPr>
              <w:spacing w:after="0"/>
              <w:rPr>
                <w:sz w:val="20"/>
                <w:szCs w:val="20"/>
                <w:color w:val="auto"/>
              </w:rPr>
            </w:pPr>
          </w:p>
        </w:tc>
        <w:tc>
          <w:tcPr>
            <w:tcW w:w="1540" w:type="dxa"/>
            <w:vAlign w:val="bottom"/>
            <w:gridSpan w:val="2"/>
            <w:shd w:val="clear" w:color="auto" w:fill="CFF2FA"/>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32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5,484</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260" w:type="dxa"/>
            <w:vAlign w:val="bottom"/>
            <w:tcBorders>
              <w:bottom w:val="single" w:sz="8" w:color="CFF2FA"/>
            </w:tcBorders>
          </w:tcPr>
          <w:p>
            <w:pPr>
              <w:spacing w:after="0"/>
              <w:rPr>
                <w:sz w:val="20"/>
                <w:szCs w:val="20"/>
                <w:color w:val="auto"/>
              </w:rPr>
            </w:pPr>
            <w:r>
              <w:rPr>
                <w:rFonts w:ascii="Times New Roman" w:cs="Times New Roman" w:eastAsia="Times New Roman" w:hAnsi="Times New Roman"/>
                <w:sz w:val="19"/>
                <w:szCs w:val="19"/>
                <w:color w:val="auto"/>
              </w:rPr>
              <w:t>Other comprehensive earnings, net of tax</w:t>
            </w:r>
          </w:p>
        </w:tc>
        <w:tc>
          <w:tcPr>
            <w:tcW w:w="700" w:type="dxa"/>
            <w:vAlign w:val="bottom"/>
            <w:tcBorders>
              <w:bottom w:val="single" w:sz="8" w:color="CFF2FA"/>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5,484</w:t>
            </w:r>
          </w:p>
        </w:tc>
        <w:tc>
          <w:tcPr>
            <w:tcW w:w="280" w:type="dxa"/>
            <w:vAlign w:val="bottom"/>
            <w:tcBorders>
              <w:bottom w:val="single" w:sz="8" w:color="CFF2FA"/>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761</w:t>
            </w:r>
          </w:p>
        </w:tc>
        <w:tc>
          <w:tcPr>
            <w:tcW w:w="280" w:type="dxa"/>
            <w:vAlign w:val="bottom"/>
            <w:tcBorders>
              <w:bottom w:val="single" w:sz="8" w:color="CFF2FA"/>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Borders>
              <w:bottom w:val="single" w:sz="8" w:color="CFF2FA"/>
            </w:tcBorders>
          </w:tcPr>
          <w:p>
            <w:pPr>
              <w:spacing w:after="0"/>
              <w:rPr>
                <w:sz w:val="19"/>
                <w:szCs w:val="19"/>
                <w:color w:val="auto"/>
              </w:rPr>
            </w:pPr>
          </w:p>
        </w:tc>
        <w:tc>
          <w:tcPr>
            <w:tcW w:w="20" w:type="dxa"/>
            <w:vAlign w:val="bottom"/>
            <w:tcBorders>
              <w:bottom w:val="single" w:sz="8" w:color="CFF2FA"/>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6,245</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Borders>
              <w:bottom w:val="single" w:sz="8" w:color="CFF2FA"/>
            </w:tcBorders>
            <w:shd w:val="clear" w:color="auto" w:fill="CFF2FA"/>
          </w:tcPr>
          <w:p>
            <w:pPr>
              <w:spacing w:after="0"/>
              <w:rPr>
                <w:sz w:val="20"/>
                <w:szCs w:val="20"/>
                <w:color w:val="auto"/>
              </w:rPr>
            </w:pPr>
            <w:r>
              <w:rPr>
                <w:rFonts w:ascii="Times New Roman" w:cs="Times New Roman" w:eastAsia="Times New Roman" w:hAnsi="Times New Roman"/>
                <w:sz w:val="19"/>
                <w:szCs w:val="19"/>
                <w:color w:val="auto"/>
              </w:rPr>
              <w:t>Balance at end of period</w:t>
            </w:r>
          </w:p>
        </w:tc>
        <w:tc>
          <w:tcPr>
            <w:tcW w:w="70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0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(136,021)</w:t>
            </w:r>
          </w:p>
        </w:tc>
        <w:tc>
          <w:tcPr>
            <w:tcW w:w="280" w:type="dxa"/>
            <w:vAlign w:val="bottom"/>
            <w:tcBorders>
              <w:bottom w:val="single" w:sz="8" w:color="CFF2FA"/>
            </w:tcBorders>
            <w:shd w:val="clear" w:color="auto" w:fill="CFF2FA"/>
          </w:tcPr>
          <w:p>
            <w:pPr>
              <w:spacing w:after="0"/>
              <w:rPr>
                <w:sz w:val="19"/>
                <w:szCs w:val="19"/>
                <w:color w:val="auto"/>
              </w:rPr>
            </w:pPr>
          </w:p>
        </w:tc>
        <w:tc>
          <w:tcPr>
            <w:tcW w:w="10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(1,313)</w:t>
            </w:r>
          </w:p>
        </w:tc>
        <w:tc>
          <w:tcPr>
            <w:tcW w:w="2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Borders>
              <w:bottom w:val="single" w:sz="8" w:color="CFF2FA"/>
            </w:tcBorders>
            <w:shd w:val="clear" w:color="auto" w:fill="CFF2FA"/>
          </w:tcPr>
          <w:p>
            <w:pPr>
              <w:spacing w:after="0"/>
              <w:rPr>
                <w:sz w:val="19"/>
                <w:szCs w:val="19"/>
                <w:color w:val="auto"/>
              </w:rPr>
            </w:pPr>
          </w:p>
        </w:tc>
        <w:tc>
          <w:tcPr>
            <w:tcW w:w="20" w:type="dxa"/>
            <w:vAlign w:val="bottom"/>
            <w:tcBorders>
              <w:bottom w:val="single" w:sz="8" w:color="CFF2FA"/>
            </w:tcBorders>
            <w:shd w:val="clear" w:color="auto" w:fill="CFF2FA"/>
          </w:tcPr>
          <w:p>
            <w:pPr>
              <w:spacing w:after="0"/>
              <w:rPr>
                <w:sz w:val="19"/>
                <w:szCs w:val="19"/>
                <w:color w:val="auto"/>
              </w:rPr>
            </w:pPr>
          </w:p>
        </w:tc>
        <w:tc>
          <w:tcPr>
            <w:tcW w:w="10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(137,334)</w:t>
            </w:r>
          </w:p>
        </w:tc>
        <w:tc>
          <w:tcPr>
            <w:tcW w:w="12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2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Balance at beginning of period</w:t>
            </w: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9"/>
                <w:szCs w:val="19"/>
                <w:color w:val="auto"/>
                <w:w w:val="99"/>
              </w:rPr>
              <w:t>Six Months Ended June 30,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(128,802)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(280)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60" w:type="dxa"/>
            <w:vAlign w:val="bottom"/>
            <w:shd w:val="clear" w:color="auto" w:fill="CFF2FA"/>
          </w:tcPr>
          <w:p>
            <w:pPr>
              <w:spacing w:after="0" w:line="202" w:lineRule="exact"/>
              <w:rPr>
                <w:sz w:val="20"/>
                <w:szCs w:val="20"/>
                <w:color w:val="auto"/>
              </w:rPr>
            </w:pPr>
            <w:r>
              <w:rPr>
                <w:rFonts w:ascii="Times New Roman" w:cs="Times New Roman" w:eastAsia="Times New Roman" w:hAnsi="Times New Roman"/>
                <w:sz w:val="19"/>
                <w:szCs w:val="19"/>
                <w:color w:val="auto"/>
              </w:rPr>
              <w:t>Other comprehensive loss before</w:t>
            </w:r>
          </w:p>
        </w:tc>
        <w:tc>
          <w:tcPr>
            <w:tcW w:w="700" w:type="dxa"/>
            <w:vAlign w:val="bottom"/>
            <w:shd w:val="clear" w:color="auto" w:fill="CFF2FA"/>
          </w:tcPr>
          <w:p>
            <w:pPr>
              <w:spacing w:after="0"/>
              <w:rPr>
                <w:sz w:val="17"/>
                <w:szCs w:val="17"/>
                <w:color w:val="auto"/>
              </w:rPr>
            </w:pPr>
          </w:p>
        </w:tc>
        <w:tc>
          <w:tcPr>
            <w:tcW w:w="120" w:type="dxa"/>
            <w:vAlign w:val="bottom"/>
            <w:shd w:val="clear" w:color="auto" w:fill="CFF2FA"/>
          </w:tcPr>
          <w:p>
            <w:pPr>
              <w:spacing w:after="0"/>
              <w:rPr>
                <w:sz w:val="17"/>
                <w:szCs w:val="17"/>
                <w:color w:val="auto"/>
              </w:rPr>
            </w:pPr>
          </w:p>
        </w:tc>
        <w:tc>
          <w:tcPr>
            <w:tcW w:w="1300" w:type="dxa"/>
            <w:vAlign w:val="bottom"/>
            <w:shd w:val="clear" w:color="auto" w:fill="CFF2FA"/>
          </w:tcPr>
          <w:p>
            <w:pPr>
              <w:spacing w:after="0"/>
              <w:rPr>
                <w:sz w:val="17"/>
                <w:szCs w:val="17"/>
                <w:color w:val="auto"/>
              </w:rPr>
            </w:pPr>
          </w:p>
        </w:tc>
        <w:tc>
          <w:tcPr>
            <w:tcW w:w="280" w:type="dxa"/>
            <w:vAlign w:val="bottom"/>
            <w:shd w:val="clear" w:color="auto" w:fill="CFF2FA"/>
          </w:tcPr>
          <w:p>
            <w:pPr>
              <w:spacing w:after="0"/>
              <w:rPr>
                <w:sz w:val="17"/>
                <w:szCs w:val="17"/>
                <w:color w:val="auto"/>
              </w:rPr>
            </w:pPr>
          </w:p>
        </w:tc>
        <w:tc>
          <w:tcPr>
            <w:tcW w:w="100" w:type="dxa"/>
            <w:vAlign w:val="bottom"/>
            <w:shd w:val="clear" w:color="auto" w:fill="CFF2FA"/>
          </w:tcPr>
          <w:p>
            <w:pPr>
              <w:spacing w:after="0"/>
              <w:rPr>
                <w:sz w:val="17"/>
                <w:szCs w:val="17"/>
                <w:color w:val="auto"/>
              </w:rPr>
            </w:pPr>
          </w:p>
        </w:tc>
        <w:tc>
          <w:tcPr>
            <w:tcW w:w="1140" w:type="dxa"/>
            <w:vAlign w:val="bottom"/>
            <w:shd w:val="clear" w:color="auto" w:fill="CFF2FA"/>
          </w:tcPr>
          <w:p>
            <w:pPr>
              <w:spacing w:after="0"/>
              <w:rPr>
                <w:sz w:val="17"/>
                <w:szCs w:val="17"/>
                <w:color w:val="auto"/>
              </w:rPr>
            </w:pPr>
          </w:p>
        </w:tc>
        <w:tc>
          <w:tcPr>
            <w:tcW w:w="280" w:type="dxa"/>
            <w:vAlign w:val="bottom"/>
            <w:shd w:val="clear" w:color="auto" w:fill="CFF2FA"/>
          </w:tcPr>
          <w:p>
            <w:pPr>
              <w:spacing w:after="0"/>
              <w:rPr>
                <w:sz w:val="17"/>
                <w:szCs w:val="17"/>
                <w:color w:val="auto"/>
              </w:rPr>
            </w:pPr>
          </w:p>
        </w:tc>
        <w:tc>
          <w:tcPr>
            <w:tcW w:w="140" w:type="dxa"/>
            <w:vAlign w:val="bottom"/>
            <w:shd w:val="clear" w:color="auto" w:fill="CFF2FA"/>
          </w:tcPr>
          <w:p>
            <w:pPr>
              <w:spacing w:after="0"/>
              <w:rPr>
                <w:sz w:val="17"/>
                <w:szCs w:val="17"/>
                <w:color w:val="auto"/>
              </w:rPr>
            </w:pPr>
          </w:p>
        </w:tc>
        <w:tc>
          <w:tcPr>
            <w:tcW w:w="12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20" w:type="dxa"/>
            <w:vAlign w:val="bottom"/>
            <w:shd w:val="clear" w:color="auto" w:fill="CFF2FA"/>
          </w:tcPr>
          <w:p>
            <w:pPr>
              <w:spacing w:after="0"/>
              <w:rPr>
                <w:sz w:val="17"/>
                <w:szCs w:val="17"/>
                <w:color w:val="auto"/>
              </w:rPr>
            </w:pPr>
          </w:p>
        </w:tc>
        <w:tc>
          <w:tcPr>
            <w:tcW w:w="100" w:type="dxa"/>
            <w:vAlign w:val="bottom"/>
            <w:shd w:val="clear" w:color="auto" w:fill="CFF2FA"/>
          </w:tcPr>
          <w:p>
            <w:pPr>
              <w:spacing w:after="0"/>
              <w:rPr>
                <w:sz w:val="17"/>
                <w:szCs w:val="17"/>
                <w:color w:val="auto"/>
              </w:rPr>
            </w:pPr>
          </w:p>
        </w:tc>
        <w:tc>
          <w:tcPr>
            <w:tcW w:w="1320" w:type="dxa"/>
            <w:vAlign w:val="bottom"/>
            <w:shd w:val="clear" w:color="auto" w:fill="CFF2FA"/>
          </w:tcPr>
          <w:p>
            <w:pPr>
              <w:spacing w:after="0"/>
              <w:rPr>
                <w:sz w:val="17"/>
                <w:szCs w:val="17"/>
                <w:color w:val="auto"/>
              </w:rPr>
            </w:pPr>
          </w:p>
        </w:tc>
        <w:tc>
          <w:tcPr>
            <w:tcW w:w="120" w:type="dxa"/>
            <w:vAlign w:val="bottom"/>
            <w:shd w:val="clear" w:color="auto" w:fill="CFF2FA"/>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2FA"/>
          </w:tcPr>
          <w:p>
            <w:pPr>
              <w:ind w:left="140"/>
              <w:spacing w:after="0"/>
              <w:rPr>
                <w:sz w:val="20"/>
                <w:szCs w:val="20"/>
                <w:color w:val="auto"/>
              </w:rPr>
            </w:pPr>
            <w:r>
              <w:rPr>
                <w:rFonts w:ascii="Times New Roman" w:cs="Times New Roman" w:eastAsia="Times New Roman" w:hAnsi="Times New Roman"/>
                <w:sz w:val="19"/>
                <w:szCs w:val="19"/>
                <w:color w:val="auto"/>
              </w:rPr>
              <w:t>reclassifications, net of tax</w:t>
            </w:r>
          </w:p>
        </w:tc>
        <w:tc>
          <w:tcPr>
            <w:tcW w:w="70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580" w:type="dxa"/>
            <w:vAlign w:val="bottom"/>
            <w:gridSpan w:val="2"/>
            <w:shd w:val="clear" w:color="auto" w:fill="CFF2FA"/>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CFF2FA"/>
          </w:tcPr>
          <w:p>
            <w:pPr>
              <w:spacing w:after="0"/>
              <w:rPr>
                <w:sz w:val="20"/>
                <w:szCs w:val="20"/>
                <w:color w:val="auto"/>
              </w:rPr>
            </w:pPr>
          </w:p>
        </w:tc>
        <w:tc>
          <w:tcPr>
            <w:tcW w:w="1420" w:type="dxa"/>
            <w:vAlign w:val="bottom"/>
            <w:gridSpan w:val="2"/>
            <w:shd w:val="clear" w:color="auto" w:fill="CFF2FA"/>
          </w:tcPr>
          <w:p>
            <w:pPr>
              <w:jc w:val="right"/>
              <w:ind w:right="220"/>
              <w:spacing w:after="0"/>
              <w:rPr>
                <w:sz w:val="20"/>
                <w:szCs w:val="20"/>
                <w:color w:val="auto"/>
              </w:rPr>
            </w:pPr>
            <w:r>
              <w:rPr>
                <w:rFonts w:ascii="Times New Roman" w:cs="Times New Roman" w:eastAsia="Times New Roman" w:hAnsi="Times New Roman"/>
                <w:sz w:val="19"/>
                <w:szCs w:val="19"/>
                <w:color w:val="auto"/>
              </w:rPr>
              <w:t>(1,063)</w:t>
            </w:r>
          </w:p>
        </w:tc>
        <w:tc>
          <w:tcPr>
            <w:tcW w:w="140" w:type="dxa"/>
            <w:vAlign w:val="bottom"/>
            <w:shd w:val="clear" w:color="auto" w:fill="CFF2FA"/>
          </w:tcPr>
          <w:p>
            <w:pPr>
              <w:spacing w:after="0"/>
              <w:rPr>
                <w:sz w:val="20"/>
                <w:szCs w:val="20"/>
                <w:color w:val="auto"/>
              </w:rPr>
            </w:pPr>
          </w:p>
        </w:tc>
        <w:tc>
          <w:tcPr>
            <w:tcW w:w="1540" w:type="dxa"/>
            <w:vAlign w:val="bottom"/>
            <w:gridSpan w:val="2"/>
            <w:shd w:val="clear" w:color="auto" w:fill="CFF2FA"/>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440" w:type="dxa"/>
            <w:vAlign w:val="bottom"/>
            <w:gridSpan w:val="2"/>
            <w:shd w:val="clear" w:color="auto" w:fill="CFF2FA"/>
          </w:tcPr>
          <w:p>
            <w:pPr>
              <w:jc w:val="right"/>
              <w:ind w:right="60"/>
              <w:spacing w:after="0"/>
              <w:rPr>
                <w:sz w:val="20"/>
                <w:szCs w:val="20"/>
                <w:color w:val="auto"/>
              </w:rPr>
            </w:pPr>
            <w:r>
              <w:rPr>
                <w:rFonts w:ascii="Times New Roman" w:cs="Times New Roman" w:eastAsia="Times New Roman" w:hAnsi="Times New Roman"/>
                <w:sz w:val="19"/>
                <w:szCs w:val="19"/>
                <w:color w:val="auto"/>
              </w:rPr>
              <w:t>(1,063)</w:t>
            </w:r>
          </w:p>
        </w:tc>
        <w:tc>
          <w:tcPr>
            <w:tcW w:w="0" w:type="dxa"/>
            <w:vAlign w:val="bottom"/>
          </w:tcPr>
          <w:p>
            <w:pPr>
              <w:spacing w:after="0"/>
              <w:rPr>
                <w:sz w:val="1"/>
                <w:szCs w:val="1"/>
                <w:color w:val="auto"/>
              </w:rPr>
            </w:pPr>
          </w:p>
        </w:tc>
      </w:tr>
      <w:tr>
        <w:trPr>
          <w:trHeight w:val="202"/>
        </w:trPr>
        <w:tc>
          <w:tcPr>
            <w:tcW w:w="426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Amounts reclassified from accumulated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other comprehensive loss, net of tax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4,004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260" w:type="dxa"/>
            <w:vAlign w:val="bottom"/>
            <w:tcBorders>
              <w:top w:val="single" w:sz="8" w:color="CFF2FA"/>
            </w:tcBorders>
            <w:shd w:val="clear" w:color="auto" w:fill="CFF2FA"/>
          </w:tcPr>
          <w:p>
            <w:pPr>
              <w:spacing w:after="0"/>
              <w:rPr>
                <w:sz w:val="20"/>
                <w:szCs w:val="20"/>
                <w:color w:val="auto"/>
              </w:rPr>
            </w:pPr>
            <w:r>
              <w:rPr>
                <w:rFonts w:ascii="Times New Roman" w:cs="Times New Roman" w:eastAsia="Times New Roman" w:hAnsi="Times New Roman"/>
                <w:sz w:val="19"/>
                <w:szCs w:val="19"/>
                <w:color w:val="auto"/>
              </w:rPr>
              <w:t>Other comprehensive earnings (loss), net of tax</w:t>
            </w:r>
          </w:p>
        </w:tc>
        <w:tc>
          <w:tcPr>
            <w:tcW w:w="70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3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4,004</w:t>
            </w:r>
          </w:p>
        </w:tc>
        <w:tc>
          <w:tcPr>
            <w:tcW w:w="2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(1,063)</w:t>
            </w:r>
          </w:p>
        </w:tc>
        <w:tc>
          <w:tcPr>
            <w:tcW w:w="28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2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280</w:t>
            </w:r>
          </w:p>
        </w:tc>
        <w:tc>
          <w:tcPr>
            <w:tcW w:w="260" w:type="dxa"/>
            <w:vAlign w:val="bottom"/>
            <w:tcBorders>
              <w:top w:val="single" w:sz="8" w:color="CFF2FA"/>
            </w:tcBorders>
            <w:shd w:val="clear" w:color="auto" w:fill="CFF2FA"/>
          </w:tcPr>
          <w:p>
            <w:pPr>
              <w:spacing w:after="0"/>
              <w:rPr>
                <w:sz w:val="19"/>
                <w:szCs w:val="19"/>
                <w:color w:val="auto"/>
              </w:rPr>
            </w:pPr>
          </w:p>
        </w:tc>
        <w:tc>
          <w:tcPr>
            <w:tcW w:w="2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3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9"/>
                <w:szCs w:val="19"/>
                <w:color w:val="auto"/>
              </w:rPr>
              <w:t>3,221</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Balance at end of period</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(124,798)</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(1,085)</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(125,883)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Changes in net noncurrent deferred tax assets recorded in accumulated other comprehensive loss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i w:val="1"/>
                <w:iCs w:val="1"/>
                <w:color w:val="auto"/>
                <w:w w:val="97"/>
              </w:rPr>
              <w:t>(Dollars in Thousands)</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12"/>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400"/>
              <w:spacing w:after="0" w:line="212" w:lineRule="exact"/>
              <w:rPr>
                <w:sz w:val="20"/>
                <w:szCs w:val="20"/>
                <w:color w:val="auto"/>
              </w:rPr>
            </w:pPr>
            <w:r>
              <w:rPr>
                <w:rFonts w:ascii="Times New Roman" w:cs="Times New Roman" w:eastAsia="Times New Roman" w:hAnsi="Times New Roman"/>
                <w:sz w:val="20"/>
                <w:szCs w:val="20"/>
                <w:color w:val="auto"/>
                <w:w w:val="99"/>
              </w:rPr>
              <w:t>Unamortized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0"/>
                <w:szCs w:val="20"/>
                <w:color w:val="auto"/>
                <w:w w:val="94"/>
              </w:rPr>
              <w:t>Value of</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0"/>
                <w:szCs w:val="20"/>
                <w:color w:val="auto"/>
                <w:w w:val="97"/>
              </w:rPr>
              <w:t>Terminated</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center"/>
              <w:ind w:right="322"/>
              <w:spacing w:after="0" w:line="229" w:lineRule="exact"/>
              <w:rPr>
                <w:sz w:val="20"/>
                <w:szCs w:val="20"/>
                <w:color w:val="auto"/>
              </w:rPr>
            </w:pPr>
            <w:r>
              <w:rPr>
                <w:rFonts w:ascii="Times New Roman" w:cs="Times New Roman" w:eastAsia="Times New Roman" w:hAnsi="Times New Roman"/>
                <w:sz w:val="20"/>
                <w:szCs w:val="20"/>
                <w:color w:val="auto"/>
                <w:w w:val="98"/>
              </w:rPr>
              <w:t>Pension and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0"/>
                <w:szCs w:val="20"/>
                <w:color w:val="auto"/>
                <w:w w:val="98"/>
              </w:rPr>
              <w:t>Forward Starting</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center"/>
              <w:ind w:right="360"/>
              <w:spacing w:after="0" w:line="229" w:lineRule="exact"/>
              <w:rPr>
                <w:sz w:val="20"/>
                <w:szCs w:val="20"/>
                <w:color w:val="auto"/>
              </w:rPr>
            </w:pPr>
            <w:r>
              <w:rPr>
                <w:rFonts w:ascii="Times New Roman" w:cs="Times New Roman" w:eastAsia="Times New Roman" w:hAnsi="Times New Roman"/>
                <w:sz w:val="20"/>
                <w:szCs w:val="20"/>
                <w:color w:val="auto"/>
                <w:w w:val="97"/>
              </w:rPr>
              <w:t>Net Noncurrent</w:t>
            </w: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center"/>
              <w:ind w:right="322"/>
              <w:spacing w:after="0" w:line="229" w:lineRule="exact"/>
              <w:rPr>
                <w:sz w:val="20"/>
                <w:szCs w:val="20"/>
                <w:color w:val="auto"/>
              </w:rPr>
            </w:pPr>
            <w:r>
              <w:rPr>
                <w:rFonts w:ascii="Times New Roman" w:cs="Times New Roman" w:eastAsia="Times New Roman" w:hAnsi="Times New Roman"/>
                <w:sz w:val="20"/>
                <w:szCs w:val="20"/>
                <w:color w:val="auto"/>
                <w:w w:val="99"/>
              </w:rPr>
              <w:t>Postretirement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2"/>
          </w:tcPr>
          <w:p>
            <w:pPr>
              <w:jc w:val="center"/>
              <w:ind w:right="400"/>
              <w:spacing w:after="0" w:line="229" w:lineRule="exact"/>
              <w:rPr>
                <w:sz w:val="20"/>
                <w:szCs w:val="20"/>
                <w:color w:val="auto"/>
              </w:rPr>
            </w:pPr>
            <w:r>
              <w:rPr>
                <w:rFonts w:ascii="Times New Roman" w:cs="Times New Roman" w:eastAsia="Times New Roman" w:hAnsi="Times New Roman"/>
                <w:sz w:val="20"/>
                <w:szCs w:val="20"/>
                <w:color w:val="auto"/>
                <w:w w:val="98"/>
              </w:rPr>
              <w:t>Interest Rate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center"/>
              <w:ind w:right="340"/>
              <w:spacing w:after="0" w:line="229" w:lineRule="exact"/>
              <w:rPr>
                <w:sz w:val="20"/>
                <w:szCs w:val="20"/>
                <w:color w:val="auto"/>
              </w:rPr>
            </w:pPr>
            <w:r>
              <w:rPr>
                <w:rFonts w:ascii="Times New Roman" w:cs="Times New Roman" w:eastAsia="Times New Roman" w:hAnsi="Times New Roman"/>
                <w:sz w:val="20"/>
                <w:szCs w:val="20"/>
                <w:color w:val="auto"/>
                <w:w w:val="97"/>
              </w:rPr>
              <w:t>Deferred Tax</w:t>
            </w:r>
          </w:p>
        </w:tc>
      </w:tr>
      <w:tr>
        <w:trPr>
          <w:trHeight w:val="251"/>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20"/>
                <w:szCs w:val="20"/>
                <w:color w:val="auto"/>
                <w:w w:val="96"/>
              </w:rPr>
              <w:t>Benefit Plans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20"/>
                <w:szCs w:val="20"/>
                <w:color w:val="auto"/>
                <w:w w:val="98"/>
              </w:rPr>
              <w:t>Swap</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20"/>
                <w:szCs w:val="20"/>
                <w:color w:val="auto"/>
                <w:w w:val="95"/>
              </w:rPr>
              <w:t>Assets</w:t>
            </w:r>
          </w:p>
        </w:tc>
        <w:tc>
          <w:tcPr>
            <w:tcW w:w="120" w:type="dxa"/>
            <w:vAlign w:val="bottom"/>
          </w:tcPr>
          <w:p>
            <w:pPr>
              <w:spacing w:after="0"/>
              <w:rPr>
                <w:sz w:val="21"/>
                <w:szCs w:val="21"/>
                <w:color w:val="auto"/>
              </w:rPr>
            </w:pPr>
          </w:p>
        </w:tc>
      </w:tr>
      <w:tr>
        <w:trPr>
          <w:trHeight w:val="477"/>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8"/>
          </w:tcPr>
          <w:p>
            <w:pPr>
              <w:jc w:val="center"/>
              <w:ind w:left="1362"/>
              <w:spacing w:after="0"/>
              <w:rPr>
                <w:sz w:val="20"/>
                <w:szCs w:val="20"/>
                <w:color w:val="auto"/>
              </w:rPr>
            </w:pPr>
            <w:r>
              <w:rPr>
                <w:rFonts w:ascii="Times New Roman" w:cs="Times New Roman" w:eastAsia="Times New Roman" w:hAnsi="Times New Roman"/>
                <w:sz w:val="20"/>
                <w:szCs w:val="20"/>
                <w:color w:val="auto"/>
                <w:w w:val="98"/>
              </w:rPr>
              <w:t>Three Months Ended June 30, 2019</w:t>
            </w: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5"/>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83,339</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83,339</w:t>
            </w:r>
          </w:p>
        </w:tc>
        <w:tc>
          <w:tcPr>
            <w:tcW w:w="120" w:type="dxa"/>
            <w:vAlign w:val="bottom"/>
            <w:shd w:val="clear" w:color="auto" w:fill="CFF0FC"/>
          </w:tcPr>
          <w:p>
            <w:pPr>
              <w:spacing w:after="0"/>
              <w:rPr>
                <w:sz w:val="20"/>
                <w:szCs w:val="20"/>
                <w:color w:val="auto"/>
              </w:rPr>
            </w:pPr>
          </w:p>
        </w:tc>
      </w:tr>
      <w:tr>
        <w:trPr>
          <w:trHeight w:val="242"/>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Tax effect of other comprehensive earnings</w:t>
            </w:r>
          </w:p>
        </w:tc>
        <w:tc>
          <w:tcPr>
            <w:tcW w:w="220" w:type="dxa"/>
            <w:vAlign w:val="bottom"/>
          </w:tcPr>
          <w:p>
            <w:pPr>
              <w:spacing w:after="0"/>
              <w:rPr>
                <w:sz w:val="21"/>
                <w:szCs w:val="21"/>
                <w:color w:val="auto"/>
              </w:rPr>
            </w:pPr>
          </w:p>
        </w:tc>
        <w:tc>
          <w:tcPr>
            <w:tcW w:w="186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(922)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(922)</w:t>
            </w:r>
          </w:p>
        </w:tc>
      </w:tr>
      <w:tr>
        <w:trPr>
          <w:trHeight w:val="235"/>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82,417</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82,417</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4"/>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8"/>
          </w:tcPr>
          <w:p>
            <w:pPr>
              <w:jc w:val="center"/>
              <w:ind w:left="1362"/>
              <w:spacing w:after="0"/>
              <w:rPr>
                <w:sz w:val="20"/>
                <w:szCs w:val="20"/>
                <w:color w:val="auto"/>
              </w:rPr>
            </w:pPr>
            <w:r>
              <w:rPr>
                <w:rFonts w:ascii="Times New Roman" w:cs="Times New Roman" w:eastAsia="Times New Roman" w:hAnsi="Times New Roman"/>
                <w:sz w:val="20"/>
                <w:szCs w:val="20"/>
                <w:color w:val="auto"/>
                <w:w w:val="98"/>
              </w:rPr>
              <w:t>Three Months Ended June 30, 2018</w:t>
            </w: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5"/>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79,280</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79,321</w:t>
            </w:r>
          </w:p>
        </w:tc>
        <w:tc>
          <w:tcPr>
            <w:tcW w:w="120" w:type="dxa"/>
            <w:vAlign w:val="bottom"/>
            <w:shd w:val="clear" w:color="auto" w:fill="CFF0FC"/>
          </w:tcPr>
          <w:p>
            <w:pPr>
              <w:spacing w:after="0"/>
              <w:rPr>
                <w:sz w:val="20"/>
                <w:szCs w:val="20"/>
                <w:color w:val="auto"/>
              </w:rPr>
            </w:pPr>
          </w:p>
        </w:tc>
      </w:tr>
      <w:tr>
        <w:trPr>
          <w:trHeight w:val="242"/>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Tax effect of other comprehensive earnings</w:t>
            </w:r>
          </w:p>
        </w:tc>
        <w:tc>
          <w:tcPr>
            <w:tcW w:w="220" w:type="dxa"/>
            <w:vAlign w:val="bottom"/>
          </w:tcPr>
          <w:p>
            <w:pPr>
              <w:spacing w:after="0"/>
              <w:rPr>
                <w:sz w:val="21"/>
                <w:szCs w:val="21"/>
                <w:color w:val="auto"/>
              </w:rPr>
            </w:pPr>
          </w:p>
        </w:tc>
        <w:tc>
          <w:tcPr>
            <w:tcW w:w="186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(702)</w:t>
            </w:r>
          </w:p>
        </w:tc>
      </w:tr>
      <w:tr>
        <w:trPr>
          <w:trHeight w:val="235"/>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78,619</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78,619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4"/>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8"/>
              </w:rPr>
              <w:t>Six Months Ended June 30, 2019</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5"/>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84,207</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84,207</w:t>
            </w:r>
          </w:p>
        </w:tc>
        <w:tc>
          <w:tcPr>
            <w:tcW w:w="120" w:type="dxa"/>
            <w:vAlign w:val="bottom"/>
            <w:shd w:val="clear" w:color="auto" w:fill="CFF0FC"/>
          </w:tcPr>
          <w:p>
            <w:pPr>
              <w:spacing w:after="0"/>
              <w:rPr>
                <w:sz w:val="20"/>
                <w:szCs w:val="20"/>
                <w:color w:val="auto"/>
              </w:rPr>
            </w:pPr>
          </w:p>
        </w:tc>
      </w:tr>
      <w:tr>
        <w:trPr>
          <w:trHeight w:val="242"/>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Tax effect of other comprehensive earnings</w:t>
            </w:r>
          </w:p>
        </w:tc>
        <w:tc>
          <w:tcPr>
            <w:tcW w:w="220" w:type="dxa"/>
            <w:vAlign w:val="bottom"/>
          </w:tcPr>
          <w:p>
            <w:pPr>
              <w:spacing w:after="0"/>
              <w:rPr>
                <w:sz w:val="21"/>
                <w:szCs w:val="21"/>
                <w:color w:val="auto"/>
              </w:rPr>
            </w:pPr>
          </w:p>
        </w:tc>
        <w:tc>
          <w:tcPr>
            <w:tcW w:w="186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(1,790)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(1,790)</w:t>
            </w:r>
          </w:p>
        </w:tc>
      </w:tr>
      <w:tr>
        <w:trPr>
          <w:trHeight w:val="235"/>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82,417</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82,417</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4"/>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8"/>
              </w:rPr>
              <w:t>Six Months Ended June 30, 2018</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5"/>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79,938</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2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80,116</w:t>
            </w:r>
          </w:p>
        </w:tc>
        <w:tc>
          <w:tcPr>
            <w:tcW w:w="120" w:type="dxa"/>
            <w:vAlign w:val="bottom"/>
            <w:shd w:val="clear" w:color="auto" w:fill="CFF0FC"/>
          </w:tcPr>
          <w:p>
            <w:pPr>
              <w:spacing w:after="0"/>
              <w:rPr>
                <w:sz w:val="20"/>
                <w:szCs w:val="20"/>
                <w:color w:val="auto"/>
              </w:rPr>
            </w:pPr>
          </w:p>
        </w:tc>
      </w:tr>
      <w:tr>
        <w:trPr>
          <w:trHeight w:val="242"/>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Tax effect of other comprehensive earnings</w:t>
            </w:r>
          </w:p>
        </w:tc>
        <w:tc>
          <w:tcPr>
            <w:tcW w:w="220" w:type="dxa"/>
            <w:vAlign w:val="bottom"/>
          </w:tcPr>
          <w:p>
            <w:pPr>
              <w:spacing w:after="0"/>
              <w:rPr>
                <w:sz w:val="21"/>
                <w:szCs w:val="21"/>
                <w:color w:val="auto"/>
              </w:rPr>
            </w:pPr>
          </w:p>
        </w:tc>
        <w:tc>
          <w:tcPr>
            <w:tcW w:w="186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(1,319)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(178)</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(1,497)</w:t>
            </w:r>
          </w:p>
        </w:tc>
      </w:tr>
      <w:tr>
        <w:trPr>
          <w:trHeight w:val="235"/>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78,619</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78,619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Reclassifications out of accumulated other comprehensive loss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6"/>
          </w:tcPr>
          <w:p>
            <w:pPr>
              <w:jc w:val="right"/>
              <w:ind w:right="500"/>
              <w:spacing w:after="0"/>
              <w:rPr>
                <w:sz w:val="20"/>
                <w:szCs w:val="20"/>
                <w:color w:val="auto"/>
              </w:rPr>
            </w:pPr>
            <w:r>
              <w:rPr>
                <w:rFonts w:ascii="Times New Roman" w:cs="Times New Roman" w:eastAsia="Times New Roman" w:hAnsi="Times New Roman"/>
                <w:sz w:val="20"/>
                <w:szCs w:val="20"/>
                <w:color w:val="auto"/>
              </w:rPr>
              <w:t>Three Months Ended</w:t>
            </w:r>
          </w:p>
        </w:tc>
        <w:tc>
          <w:tcPr>
            <w:tcW w:w="180" w:type="dxa"/>
            <w:vAlign w:val="bottom"/>
          </w:tcPr>
          <w:p>
            <w:pPr>
              <w:spacing w:after="0"/>
              <w:rPr>
                <w:sz w:val="20"/>
                <w:szCs w:val="20"/>
                <w:color w:val="auto"/>
              </w:rPr>
            </w:pPr>
          </w:p>
        </w:tc>
        <w:tc>
          <w:tcPr>
            <w:tcW w:w="2020" w:type="dxa"/>
            <w:vAlign w:val="bottom"/>
            <w:gridSpan w:val="6"/>
          </w:tcPr>
          <w:p>
            <w:pPr>
              <w:jc w:val="right"/>
              <w:ind w:right="460"/>
              <w:spacing w:after="0"/>
              <w:rPr>
                <w:sz w:val="20"/>
                <w:szCs w:val="20"/>
                <w:color w:val="auto"/>
              </w:rPr>
            </w:pPr>
            <w:r>
              <w:rPr>
                <w:rFonts w:ascii="Times New Roman" w:cs="Times New Roman" w:eastAsia="Times New Roman" w:hAnsi="Times New Roman"/>
                <w:sz w:val="19"/>
                <w:szCs w:val="19"/>
                <w:color w:val="auto"/>
              </w:rPr>
              <w:t>Six Months Ended</w:t>
            </w:r>
          </w:p>
        </w:tc>
        <w:tc>
          <w:tcPr>
            <w:tcW w:w="316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8"/>
              </w:rPr>
              <w:t>Affected line items in the consolidated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6"/>
          </w:tcPr>
          <w:p>
            <w:pPr>
              <w:jc w:val="right"/>
              <w:ind w:right="1020"/>
              <w:spacing w:after="0"/>
              <w:rPr>
                <w:sz w:val="20"/>
                <w:szCs w:val="20"/>
                <w:color w:val="auto"/>
              </w:rPr>
            </w:pPr>
            <w:r>
              <w:rPr>
                <w:rFonts w:ascii="Times New Roman" w:cs="Times New Roman" w:eastAsia="Times New Roman" w:hAnsi="Times New Roman"/>
                <w:sz w:val="19"/>
                <w:szCs w:val="19"/>
                <w:color w:val="auto"/>
              </w:rPr>
              <w:t>June 30,</w:t>
            </w:r>
          </w:p>
        </w:tc>
        <w:tc>
          <w:tcPr>
            <w:tcW w:w="18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June 30,</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Pr>
          <w:p>
            <w:pPr>
              <w:jc w:val="center"/>
              <w:ind w:left="26"/>
              <w:spacing w:after="0"/>
              <w:rPr>
                <w:sz w:val="20"/>
                <w:szCs w:val="20"/>
                <w:color w:val="auto"/>
              </w:rPr>
            </w:pPr>
            <w:r>
              <w:rPr>
                <w:rFonts w:ascii="Times New Roman" w:cs="Times New Roman" w:eastAsia="Times New Roman" w:hAnsi="Times New Roman"/>
                <w:sz w:val="19"/>
                <w:szCs w:val="19"/>
                <w:color w:val="auto"/>
                <w:w w:val="98"/>
              </w:rPr>
              <w:t>statements of earnings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9"/>
                <w:szCs w:val="19"/>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9"/>
                <w:szCs w:val="19"/>
                <w:color w:val="auto"/>
              </w:rPr>
              <w:t>2018</w:t>
            </w:r>
          </w:p>
        </w:tc>
        <w:tc>
          <w:tcPr>
            <w:tcW w:w="2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9"/>
                <w:szCs w:val="19"/>
                <w:color w:val="auto"/>
              </w:rPr>
              <w:t>2019</w:t>
            </w:r>
          </w:p>
        </w:tc>
        <w:tc>
          <w:tcPr>
            <w:tcW w:w="2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9"/>
                <w:szCs w:val="19"/>
                <w:color w:val="auto"/>
              </w:rPr>
              <w:t>2018</w:t>
            </w:r>
          </w:p>
        </w:tc>
        <w:tc>
          <w:tcPr>
            <w:tcW w:w="120" w:type="dxa"/>
            <w:vAlign w:val="bottom"/>
          </w:tcPr>
          <w:p>
            <w:pPr>
              <w:spacing w:after="0"/>
              <w:rPr>
                <w:sz w:val="19"/>
                <w:szCs w:val="19"/>
                <w:color w:val="auto"/>
              </w:rPr>
            </w:pPr>
          </w:p>
        </w:tc>
        <w:tc>
          <w:tcPr>
            <w:tcW w:w="316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9"/>
                <w:szCs w:val="19"/>
                <w:color w:val="auto"/>
                <w:w w:val="98"/>
              </w:rPr>
              <w:t>comprehensive earnings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5"/>
          </w:tcPr>
          <w:p>
            <w:pPr>
              <w:jc w:val="right"/>
              <w:ind w:right="460"/>
              <w:spacing w:after="0"/>
              <w:rPr>
                <w:sz w:val="20"/>
                <w:szCs w:val="20"/>
                <w:color w:val="auto"/>
              </w:rPr>
            </w:pPr>
            <w:r>
              <w:rPr>
                <w:rFonts w:ascii="Times New Roman" w:cs="Times New Roman" w:eastAsia="Times New Roman" w:hAnsi="Times New Roman"/>
                <w:sz w:val="19"/>
                <w:szCs w:val="19"/>
                <w:i w:val="1"/>
                <w:iCs w:val="1"/>
                <w:color w:val="auto"/>
                <w:w w:val="99"/>
              </w:rPr>
              <w:t>(Dollars in Thousands)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9"/>
                <w:szCs w:val="19"/>
                <w:color w:val="auto"/>
              </w:rPr>
              <w:t>Pension and postretirement benefit</w:t>
            </w: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9"/>
                <w:szCs w:val="19"/>
                <w:color w:val="auto"/>
              </w:rPr>
              <w:t>plans</w:t>
            </w: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Amortization of:</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9"/>
                <w:szCs w:val="19"/>
                <w:color w:val="auto"/>
              </w:rPr>
              <w:t>Prior service credit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9"/>
                <w:szCs w:val="19"/>
                <w:color w:val="auto"/>
              </w:rPr>
              <w:t>(184)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9"/>
                <w:szCs w:val="19"/>
                <w:color w:val="auto"/>
              </w:rPr>
              <w:t>(400)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9"/>
                <w:szCs w:val="19"/>
                <w:color w:val="auto"/>
              </w:rPr>
              <w:t>(396)</w:t>
            </w: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9"/>
                <w:szCs w:val="19"/>
                <w:color w:val="auto"/>
              </w:rPr>
              <w:t>(985)</w:t>
            </w:r>
          </w:p>
        </w:tc>
        <w:tc>
          <w:tcPr>
            <w:tcW w:w="3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9"/>
                <w:szCs w:val="19"/>
                <w:color w:val="auto"/>
              </w:rPr>
              <w:t>Actuarial loss</w:t>
            </w: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3,832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3,069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7,670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6,308</w:t>
            </w:r>
          </w:p>
        </w:tc>
        <w:tc>
          <w:tcPr>
            <w:tcW w:w="120" w:type="dxa"/>
            <w:vAlign w:val="bottom"/>
            <w:tcBorders>
              <w:bottom w:val="single" w:sz="8" w:color="CFF0FC"/>
            </w:tcBorders>
          </w:tcPr>
          <w:p>
            <w:pPr>
              <w:spacing w:after="0"/>
              <w:rPr>
                <w:sz w:val="19"/>
                <w:szCs w:val="19"/>
                <w:color w:val="auto"/>
              </w:rPr>
            </w:pPr>
          </w:p>
        </w:tc>
        <w:tc>
          <w:tcPr>
            <w:tcW w:w="3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160" w:type="dxa"/>
            <w:vAlign w:val="bottom"/>
            <w:shd w:val="clear" w:color="auto" w:fill="CFF0FC"/>
          </w:tcPr>
          <w:p>
            <w:pPr>
              <w:ind w:left="120"/>
              <w:spacing w:after="0" w:line="195" w:lineRule="exact"/>
              <w:rPr>
                <w:sz w:val="20"/>
                <w:szCs w:val="20"/>
                <w:color w:val="auto"/>
              </w:rPr>
            </w:pPr>
            <w:r>
              <w:rPr>
                <w:rFonts w:ascii="Times New Roman" w:cs="Times New Roman" w:eastAsia="Times New Roman" w:hAnsi="Times New Roman"/>
                <w:sz w:val="19"/>
                <w:szCs w:val="19"/>
                <w:color w:val="auto"/>
              </w:rPr>
              <w:t>Other nonoperating expense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3,648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2,669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7,274</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5,323</w:t>
            </w:r>
          </w:p>
        </w:tc>
        <w:tc>
          <w:tcPr>
            <w:tcW w:w="120" w:type="dxa"/>
            <w:vAlign w:val="bottom"/>
            <w:shd w:val="clear" w:color="auto" w:fill="CFF0FC"/>
          </w:tcPr>
          <w:p>
            <w:pPr>
              <w:spacing w:after="0"/>
              <w:rPr>
                <w:sz w:val="20"/>
                <w:szCs w:val="20"/>
                <w:color w:val="auto"/>
              </w:rPr>
            </w:pPr>
          </w:p>
        </w:tc>
        <w:tc>
          <w:tcPr>
            <w:tcW w:w="3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9"/>
                <w:szCs w:val="19"/>
                <w:color w:val="auto"/>
              </w:rPr>
              <w:t>and (income), net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Tax benefit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(661)</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(1,790)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(1,319)</w:t>
            </w:r>
          </w:p>
        </w:tc>
        <w:tc>
          <w:tcPr>
            <w:tcW w:w="31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Income tax expense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2,726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2,008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5,484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4,004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9"/>
                <w:szCs w:val="19"/>
                <w:color w:val="auto"/>
              </w:rPr>
              <w:t>Unamortized value of terminated</w:t>
            </w: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9"/>
                <w:szCs w:val="19"/>
                <w:color w:val="auto"/>
              </w:rPr>
              <w:t>forward starting interest rate swap</w:t>
            </w: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Additional interest expense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9"/>
                <w:szCs w:val="19"/>
                <w:color w:val="auto"/>
                <w:w w:val="8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458</w:t>
            </w:r>
          </w:p>
        </w:tc>
        <w:tc>
          <w:tcPr>
            <w:tcW w:w="120" w:type="dxa"/>
            <w:vAlign w:val="bottom"/>
          </w:tcPr>
          <w:p>
            <w:pPr>
              <w:spacing w:after="0"/>
              <w:rPr>
                <w:sz w:val="19"/>
                <w:szCs w:val="19"/>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Interest expense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9"/>
                <w:szCs w:val="19"/>
                <w:color w:val="auto"/>
              </w:rPr>
              <w:t>Tax benefit</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9"/>
                <w:szCs w:val="19"/>
                <w:color w:val="auto"/>
              </w:rPr>
              <w:t>(41)</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9"/>
                <w:szCs w:val="19"/>
                <w:color w:val="auto"/>
              </w:rPr>
              <w:t>(178)</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9"/>
                <w:szCs w:val="19"/>
                <w:color w:val="auto"/>
              </w:rPr>
              <w:t>Income tax expense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280</w:t>
            </w: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Earnings per Common Share</w:t>
      </w:r>
    </w:p>
    <w:p>
      <w:pPr>
        <w:spacing w:after="0" w:line="110"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The numerator for basic and diluted earnings per common share is net earnings attributable to Martin Marietta Materials, Inc.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six months ended June 30, 2019 and 2018, the diluted per-share computations reflect the number of common shares outstanding to include the number of additional shares that would have been outstanding if the potentially dilutive common shares had been issued.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reconciles the numerator and denominator for basic and diluted earnings per common share: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4"/>
          </w:tcPr>
          <w:p>
            <w:pPr>
              <w:jc w:val="right"/>
              <w:ind w:right="462"/>
              <w:spacing w:after="0"/>
              <w:rPr>
                <w:sz w:val="20"/>
                <w:szCs w:val="20"/>
                <w:color w:val="auto"/>
              </w:rPr>
            </w:pPr>
            <w:r>
              <w:rPr>
                <w:rFonts w:ascii="Times New Roman" w:cs="Times New Roman" w:eastAsia="Times New Roman" w:hAnsi="Times New Roman"/>
                <w:sz w:val="20"/>
                <w:szCs w:val="20"/>
                <w:color w:val="auto"/>
              </w:rPr>
              <w:t>Three Months Ended</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5"/>
          </w:tcPr>
          <w:p>
            <w:pPr>
              <w:ind w:left="400"/>
              <w:spacing w:after="0"/>
              <w:rPr>
                <w:sz w:val="20"/>
                <w:szCs w:val="20"/>
                <w:color w:val="auto"/>
              </w:rPr>
            </w:pPr>
            <w:r>
              <w:rPr>
                <w:rFonts w:ascii="Times New Roman" w:cs="Times New Roman" w:eastAsia="Times New Roman" w:hAnsi="Times New Roman"/>
                <w:sz w:val="20"/>
                <w:szCs w:val="20"/>
                <w:color w:val="auto"/>
              </w:rPr>
              <w:t>Six Months Ended</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June 30,</w:t>
            </w:r>
          </w:p>
        </w:tc>
        <w:tc>
          <w:tcPr>
            <w:tcW w:w="9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2019</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2018</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2019</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20"/>
                <w:szCs w:val="20"/>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Net earnings attributable to Martin Marietta</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Materials, Inc.</w:t>
            </w:r>
          </w:p>
        </w:tc>
        <w:tc>
          <w:tcPr>
            <w:tcW w:w="2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189,475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185,377</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232,328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195,400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Less: Distributed and undistributed earnings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20"/>
                <w:szCs w:val="20"/>
                <w:color w:val="auto"/>
              </w:rPr>
              <w:t>attributable to unvested awards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FF0FC"/>
          </w:tcPr>
          <w:p>
            <w:pPr>
              <w:spacing w:after="0" w:line="212" w:lineRule="exact"/>
              <w:rPr>
                <w:sz w:val="20"/>
                <w:szCs w:val="20"/>
                <w:color w:val="auto"/>
              </w:rPr>
            </w:pPr>
            <w:r>
              <w:rPr>
                <w:rFonts w:ascii="Times New Roman" w:cs="Times New Roman" w:eastAsia="Times New Roman" w:hAnsi="Times New Roman"/>
                <w:sz w:val="20"/>
                <w:szCs w:val="20"/>
                <w:color w:val="auto"/>
              </w:rPr>
              <w:t>Basic and diluted net earnings available to common</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shd w:val="clear" w:color="auto" w:fill="CFF0FC"/>
          </w:tcPr>
          <w:p>
            <w:pPr>
              <w:ind w:left="140"/>
              <w:spacing w:after="0" w:line="229" w:lineRule="exact"/>
              <w:rPr>
                <w:sz w:val="20"/>
                <w:szCs w:val="20"/>
                <w:color w:val="auto"/>
              </w:rPr>
            </w:pPr>
            <w:r>
              <w:rPr>
                <w:rFonts w:ascii="Times New Roman" w:cs="Times New Roman" w:eastAsia="Times New Roman" w:hAnsi="Times New Roman"/>
                <w:sz w:val="20"/>
                <w:szCs w:val="20"/>
                <w:color w:val="auto"/>
              </w:rPr>
              <w:t>shareholders attributable to Martin Marietta</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Materials, Inc.</w:t>
            </w:r>
          </w:p>
        </w:tc>
        <w:tc>
          <w:tcPr>
            <w:tcW w:w="2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189,075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185,060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231,837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195,022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Basic weighted-average common shares outstanding</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62,563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63,021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62,574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62,989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Effect of dilutive employee and director awards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Diluted weighted-average common shares outstanding</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62,720</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63,285</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62,749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63,253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380" w:hanging="373"/>
        <w:spacing w:after="0"/>
        <w:tabs>
          <w:tab w:leader="none" w:pos="38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Recognition</w:t>
      </w:r>
    </w:p>
    <w:p>
      <w:pPr>
        <w:spacing w:after="0" w:line="109" w:lineRule="exact"/>
        <w:rPr>
          <w:rFonts w:ascii="Times New Roman" w:cs="Times New Roman" w:eastAsia="Times New Roman" w:hAnsi="Times New Roman"/>
          <w:sz w:val="20"/>
          <w:szCs w:val="20"/>
          <w:b w:val="1"/>
          <w:bCs w:val="1"/>
          <w:color w:val="auto"/>
        </w:rPr>
      </w:pPr>
    </w:p>
    <w:p>
      <w:pPr>
        <w:jc w:val="both"/>
        <w:ind w:left="38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revenue-cost approach. Freight revenues reflect delivery arranged by the Company using a third party on behalf of the customer and are recognized consistently with the timing of the product revenues.</w:t>
      </w:r>
    </w:p>
    <w:p>
      <w:pPr>
        <w:spacing w:after="0" w:line="70" w:lineRule="exact"/>
        <w:rPr>
          <w:rFonts w:ascii="Times New Roman" w:cs="Times New Roman" w:eastAsia="Times New Roman" w:hAnsi="Times New Roman"/>
          <w:sz w:val="20"/>
          <w:szCs w:val="20"/>
          <w:b w:val="1"/>
          <w:bCs w:val="1"/>
          <w:color w:val="auto"/>
        </w:rPr>
      </w:pPr>
    </w:p>
    <w:p>
      <w:pPr>
        <w:jc w:val="both"/>
        <w:ind w:left="38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Performance Obligations. </w:t>
      </w:r>
      <w:r>
        <w:rPr>
          <w:rFonts w:ascii="Times New Roman" w:cs="Times New Roman" w:eastAsia="Times New Roman" w:hAnsi="Times New Roman"/>
          <w:sz w:val="20"/>
          <w:szCs w:val="20"/>
          <w:color w:val="auto"/>
        </w:rPr>
        <w:t>Performance obligations are contractual promises to transfer or provide a distinct good or service for a stated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price. The Company’s product sales agreements are single-performance obligations that are satisfied at a point in time. Performance obligations within paving service agreements are satisfied over time, primarily ranging from one day to 20 months. For product revenues and freight revenues, customer payment terms are generally 30 days from invoice date. Customer payments for the paving operations are based on a contractual billing schedule and are due 30 days from invoice date.</w:t>
      </w:r>
    </w:p>
    <w:p>
      <w:pPr>
        <w:spacing w:after="0" w:line="74" w:lineRule="exact"/>
        <w:rPr>
          <w:rFonts w:ascii="Times New Roman" w:cs="Times New Roman" w:eastAsia="Times New Roman" w:hAnsi="Times New Roman"/>
          <w:sz w:val="20"/>
          <w:szCs w:val="20"/>
          <w:b w:val="1"/>
          <w:bCs w:val="1"/>
          <w:color w:val="auto"/>
        </w:rPr>
      </w:pPr>
    </w:p>
    <w:p>
      <w:pPr>
        <w:jc w:val="both"/>
        <w:ind w:left="38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Future revenues from unsatisfied performance obligations at June 30, 2019 and 2018 were $177.9 million and $129.0 million, respectively, where the remaining periods to complete these obligations ranged from one month to 18 months and one month to 13 months, respectively.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Revenue by Category. </w:t>
      </w:r>
      <w:r>
        <w:rPr>
          <w:rFonts w:ascii="Times New Roman" w:cs="Times New Roman" w:eastAsia="Times New Roman" w:hAnsi="Times New Roman"/>
          <w:sz w:val="20"/>
          <w:szCs w:val="20"/>
          <w:color w:val="auto"/>
        </w:rPr>
        <w:t>The following table presents the Company’s total revenues by category for each reportable segment: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Three Months Ended</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1"/>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June 30, 2019</w:t>
            </w: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9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Products and Services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Freight</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20"/>
                <w:szCs w:val="20"/>
                <w:color w:val="auto"/>
              </w:rPr>
              <w:t>Total</w:t>
            </w:r>
          </w:p>
        </w:tc>
        <w:tc>
          <w:tcPr>
            <w:tcW w:w="12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3"/>
          </w:tcPr>
          <w:p>
            <w:pPr>
              <w:jc w:val="center"/>
              <w:ind w:right="100"/>
              <w:spacing w:after="0" w:line="226" w:lineRule="exact"/>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1"/>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600" w:type="dxa"/>
            <w:vAlign w:val="bottom"/>
          </w:tcPr>
          <w:p>
            <w:pPr>
              <w:jc w:val="right"/>
              <w:ind w:right="42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382,717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32,610</w:t>
            </w:r>
          </w:p>
        </w:tc>
        <w:tc>
          <w:tcPr>
            <w:tcW w:w="100" w:type="dxa"/>
            <w:vAlign w:val="bottom"/>
          </w:tcPr>
          <w:p>
            <w:pPr>
              <w:spacing w:after="0"/>
              <w:rPr>
                <w:sz w:val="21"/>
                <w:szCs w:val="21"/>
                <w:color w:val="auto"/>
              </w:rPr>
            </w:pPr>
          </w:p>
        </w:tc>
        <w:tc>
          <w:tcPr>
            <w:tcW w:w="440" w:type="dxa"/>
            <w:vAlign w:val="bottom"/>
            <w:gridSpan w:val="2"/>
          </w:tcPr>
          <w:p>
            <w:pPr>
              <w:jc w:val="right"/>
              <w:ind w:right="253"/>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415,327</w:t>
            </w:r>
          </w:p>
        </w:tc>
        <w:tc>
          <w:tcPr>
            <w:tcW w:w="12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6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132,036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4,988</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137,024</w:t>
            </w:r>
          </w:p>
        </w:tc>
        <w:tc>
          <w:tcPr>
            <w:tcW w:w="120" w:type="dxa"/>
            <w:vAlign w:val="bottom"/>
            <w:shd w:val="clear" w:color="auto" w:fill="CFF0FC"/>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West Group</w:t>
            </w: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611,003</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39,875</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650,878</w:t>
            </w:r>
          </w:p>
        </w:tc>
        <w:tc>
          <w:tcPr>
            <w:tcW w:w="120" w:type="dxa"/>
            <w:vAlign w:val="bottom"/>
            <w:tcBorders>
              <w:bottom w:val="single" w:sz="8" w:color="CFF0FC"/>
            </w:tcBorders>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6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1,125,756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77,473</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1,203,229</w:t>
            </w:r>
          </w:p>
        </w:tc>
        <w:tc>
          <w:tcPr>
            <w:tcW w:w="120" w:type="dxa"/>
            <w:vAlign w:val="bottom"/>
            <w:shd w:val="clear" w:color="auto" w:fill="CFF0FC"/>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70,379</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5,860</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76,239</w:t>
            </w:r>
          </w:p>
        </w:tc>
        <w:tc>
          <w:tcPr>
            <w:tcW w:w="120" w:type="dxa"/>
            <w:vAlign w:val="bottom"/>
            <w:tcBorders>
              <w:bottom w:val="single" w:sz="8" w:color="CFF0FC"/>
            </w:tcBorders>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600" w:type="dxa"/>
            <w:vAlign w:val="bottom"/>
            <w:tcBorders>
              <w:bottom w:val="single" w:sz="8" w:color="auto"/>
            </w:tcBorders>
            <w:shd w:val="clear" w:color="auto" w:fill="CFF0FC"/>
          </w:tcPr>
          <w:p>
            <w:pPr>
              <w:jc w:val="right"/>
              <w:ind w:right="42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1,196,135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83,333</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1,279,468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Three Months Ended</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1"/>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June 30, 2018</w:t>
            </w: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9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Products and Services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Freight</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20"/>
                <w:szCs w:val="20"/>
                <w:color w:val="auto"/>
              </w:rPr>
              <w:t>Total</w:t>
            </w:r>
          </w:p>
        </w:tc>
        <w:tc>
          <w:tcPr>
            <w:tcW w:w="12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60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325,578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25,014</w:t>
            </w:r>
          </w:p>
        </w:tc>
        <w:tc>
          <w:tcPr>
            <w:tcW w:w="1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53"/>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350,592</w:t>
            </w:r>
          </w:p>
        </w:tc>
        <w:tc>
          <w:tcPr>
            <w:tcW w:w="120" w:type="dxa"/>
            <w:vAlign w:val="bottom"/>
            <w:shd w:val="clear" w:color="auto" w:fill="CFF0FC"/>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6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112,963</w:t>
            </w:r>
          </w:p>
        </w:tc>
        <w:tc>
          <w:tcPr>
            <w:tcW w:w="12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West Group</w:t>
            </w:r>
          </w:p>
        </w:tc>
        <w:tc>
          <w:tcPr>
            <w:tcW w:w="6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625,960</w:t>
            </w:r>
          </w:p>
        </w:tc>
        <w:tc>
          <w:tcPr>
            <w:tcW w:w="1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39,926</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665,886</w:t>
            </w:r>
          </w:p>
        </w:tc>
        <w:tc>
          <w:tcPr>
            <w:tcW w:w="12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6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1,060,620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1,129,441</w:t>
            </w:r>
          </w:p>
        </w:tc>
        <w:tc>
          <w:tcPr>
            <w:tcW w:w="1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6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68,157</w:t>
            </w:r>
          </w:p>
        </w:tc>
        <w:tc>
          <w:tcPr>
            <w:tcW w:w="1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4,805</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72,962</w:t>
            </w:r>
          </w:p>
        </w:tc>
        <w:tc>
          <w:tcPr>
            <w:tcW w:w="12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w:t>
            </w: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1,128,777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73,626</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1,202,403</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1" w:lineRule="exact"/>
        <w:rPr>
          <w:sz w:val="20"/>
          <w:szCs w:val="20"/>
          <w:color w:val="auto"/>
        </w:rPr>
      </w:pPr>
    </w:p>
    <w:p>
      <w:pPr>
        <w:ind w:left="380" w:right="20"/>
        <w:spacing w:after="0" w:line="266" w:lineRule="auto"/>
        <w:rPr>
          <w:sz w:val="20"/>
          <w:szCs w:val="20"/>
          <w:color w:val="auto"/>
        </w:rPr>
      </w:pPr>
      <w:r>
        <w:rPr>
          <w:rFonts w:ascii="Times New Roman" w:cs="Times New Roman" w:eastAsia="Times New Roman" w:hAnsi="Times New Roman"/>
          <w:sz w:val="20"/>
          <w:szCs w:val="20"/>
          <w:color w:val="auto"/>
        </w:rPr>
        <w:t>Service revenues, which include paving operations located in Colorado, were $71.0 million and $69.6 million for the three months ended June 30, 2019 and 2018, respectively.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Six Months Ended</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1"/>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20"/>
                <w:szCs w:val="20"/>
                <w:color w:val="auto"/>
                <w:w w:val="98"/>
              </w:rPr>
              <w:t>June 30, 2019</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9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Products and Services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20"/>
                <w:szCs w:val="20"/>
                <w:color w:val="auto"/>
              </w:rPr>
              <w:t>Freight</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20"/>
                <w:szCs w:val="20"/>
                <w:color w:val="auto"/>
              </w:rPr>
              <w:t>Total</w:t>
            </w:r>
          </w:p>
        </w:tc>
        <w:tc>
          <w:tcPr>
            <w:tcW w:w="12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60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613,025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51,115</w:t>
            </w:r>
          </w:p>
        </w:tc>
        <w:tc>
          <w:tcPr>
            <w:tcW w:w="540" w:type="dxa"/>
            <w:vAlign w:val="bottom"/>
            <w:gridSpan w:val="2"/>
            <w:shd w:val="clear" w:color="auto" w:fill="CFF0FC"/>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664,140</w:t>
            </w:r>
          </w:p>
        </w:tc>
        <w:tc>
          <w:tcPr>
            <w:tcW w:w="120" w:type="dxa"/>
            <w:vAlign w:val="bottom"/>
            <w:shd w:val="clear" w:color="auto" w:fill="CFF0FC"/>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6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256,262</w:t>
            </w:r>
          </w:p>
        </w:tc>
        <w:tc>
          <w:tcPr>
            <w:tcW w:w="12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West Group</w:t>
            </w:r>
          </w:p>
        </w:tc>
        <w:tc>
          <w:tcPr>
            <w:tcW w:w="6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1,074,514</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73,194</w:t>
            </w:r>
          </w:p>
        </w:tc>
        <w:tc>
          <w:tcPr>
            <w:tcW w:w="10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1,147,708</w:t>
            </w:r>
          </w:p>
        </w:tc>
        <w:tc>
          <w:tcPr>
            <w:tcW w:w="12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6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1,934,887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133,223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2,068,110</w:t>
            </w:r>
          </w:p>
        </w:tc>
        <w:tc>
          <w:tcPr>
            <w:tcW w:w="1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6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139,553</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10,760</w:t>
            </w:r>
          </w:p>
        </w:tc>
        <w:tc>
          <w:tcPr>
            <w:tcW w:w="10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150,313</w:t>
            </w:r>
          </w:p>
        </w:tc>
        <w:tc>
          <w:tcPr>
            <w:tcW w:w="12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w:t>
            </w: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2,074,440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143,983</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2,218,423</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Six Months Ended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1"/>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20"/>
                <w:szCs w:val="20"/>
                <w:color w:val="auto"/>
                <w:w w:val="98"/>
              </w:rPr>
              <w:t>June 30, 2018</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9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Products and Services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20"/>
                <w:szCs w:val="20"/>
                <w:color w:val="auto"/>
              </w:rPr>
              <w:t>Freight</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20"/>
                <w:szCs w:val="20"/>
                <w:color w:val="auto"/>
              </w:rPr>
              <w:t>Total</w:t>
            </w:r>
          </w:p>
        </w:tc>
        <w:tc>
          <w:tcPr>
            <w:tcW w:w="12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jc w:val="center"/>
              <w:spacing w:after="0" w:line="226" w:lineRule="exact"/>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1"/>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600" w:type="dxa"/>
            <w:vAlign w:val="bottom"/>
          </w:tcPr>
          <w:p>
            <w:pPr>
              <w:jc w:val="right"/>
              <w:ind w:right="42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493,468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35,905</w:t>
            </w:r>
          </w:p>
        </w:tc>
        <w:tc>
          <w:tcPr>
            <w:tcW w:w="540" w:type="dxa"/>
            <w:vAlign w:val="bottom"/>
            <w:gridSpan w:val="2"/>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529,373</w:t>
            </w:r>
          </w:p>
        </w:tc>
        <w:tc>
          <w:tcPr>
            <w:tcW w:w="12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6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186,646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6,556</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193,202</w:t>
            </w:r>
          </w:p>
        </w:tc>
        <w:tc>
          <w:tcPr>
            <w:tcW w:w="120" w:type="dxa"/>
            <w:vAlign w:val="bottom"/>
            <w:shd w:val="clear" w:color="auto" w:fill="CFF0FC"/>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West Group</w:t>
            </w: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1,068,943</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70,665</w:t>
            </w:r>
          </w:p>
        </w:tc>
        <w:tc>
          <w:tcPr>
            <w:tcW w:w="1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1,139,608</w:t>
            </w:r>
          </w:p>
        </w:tc>
        <w:tc>
          <w:tcPr>
            <w:tcW w:w="120" w:type="dxa"/>
            <w:vAlign w:val="bottom"/>
            <w:tcBorders>
              <w:bottom w:val="single" w:sz="8" w:color="CFF0FC"/>
            </w:tcBorders>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6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1,749,057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113,126</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1,862,183</w:t>
            </w:r>
          </w:p>
        </w:tc>
        <w:tc>
          <w:tcPr>
            <w:tcW w:w="120" w:type="dxa"/>
            <w:vAlign w:val="bottom"/>
            <w:shd w:val="clear" w:color="auto" w:fill="CFF0FC"/>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6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133,025</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9,199</w:t>
            </w:r>
          </w:p>
        </w:tc>
        <w:tc>
          <w:tcPr>
            <w:tcW w:w="1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142,224</w:t>
            </w:r>
          </w:p>
        </w:tc>
        <w:tc>
          <w:tcPr>
            <w:tcW w:w="120" w:type="dxa"/>
            <w:vAlign w:val="bottom"/>
            <w:tcBorders>
              <w:bottom w:val="single" w:sz="8" w:color="CFF0FC"/>
            </w:tcBorders>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600" w:type="dxa"/>
            <w:vAlign w:val="bottom"/>
            <w:tcBorders>
              <w:bottom w:val="single" w:sz="8" w:color="auto"/>
            </w:tcBorders>
            <w:shd w:val="clear" w:color="auto" w:fill="CFF0FC"/>
          </w:tcPr>
          <w:p>
            <w:pPr>
              <w:jc w:val="right"/>
              <w:ind w:right="42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1,882,082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122,325</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2,004,407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Service revenues for the six months ended June 30, 2019 and 2018 were $81.0 million and $80.7 million, respectively.</w:t>
      </w:r>
    </w:p>
    <w:p>
      <w:pPr>
        <w:spacing w:after="0" w:line="102"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Contract Balances. </w:t>
      </w:r>
      <w:r>
        <w:rPr>
          <w:rFonts w:ascii="Times New Roman" w:cs="Times New Roman" w:eastAsia="Times New Roman" w:hAnsi="Times New Roman"/>
          <w:sz w:val="19"/>
          <w:szCs w:val="19"/>
          <w:color w:val="auto"/>
        </w:rPr>
        <w:t>Costs in excess of billings relate to the conditional right to consideration for completed contractual performance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560" w:type="dxa"/>
            <w:vAlign w:val="bottom"/>
          </w:tcPr>
          <w:p>
            <w:pPr>
              <w:spacing w:after="0"/>
              <w:rPr>
                <w:sz w:val="22"/>
                <w:szCs w:val="22"/>
                <w:color w:val="auto"/>
              </w:rPr>
            </w:pPr>
          </w:p>
        </w:tc>
        <w:tc>
          <w:tcPr>
            <w:tcW w:w="21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June 30, 2019</w:t>
            </w:r>
          </w:p>
        </w:tc>
        <w:tc>
          <w:tcPr>
            <w:tcW w:w="240" w:type="dxa"/>
            <w:vAlign w:val="bottom"/>
          </w:tcPr>
          <w:p>
            <w:pPr>
              <w:spacing w:after="0"/>
              <w:rPr>
                <w:sz w:val="22"/>
                <w:szCs w:val="22"/>
                <w:color w:val="auto"/>
              </w:rPr>
            </w:pPr>
          </w:p>
        </w:tc>
        <w:tc>
          <w:tcPr>
            <w:tcW w:w="2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December 31, 2018</w:t>
            </w:r>
          </w:p>
        </w:tc>
      </w:tr>
      <w:tr>
        <w:trPr>
          <w:trHeight w:val="235"/>
        </w:trPr>
        <w:tc>
          <w:tcPr>
            <w:tcW w:w="4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Costs in excess of billings</w:t>
            </w:r>
          </w:p>
        </w:tc>
        <w:tc>
          <w:tcPr>
            <w:tcW w:w="2560" w:type="dxa"/>
            <w:vAlign w:val="bottom"/>
            <w:tcBorders>
              <w:top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9,452</w:t>
            </w:r>
          </w:p>
        </w:tc>
        <w:tc>
          <w:tcPr>
            <w:tcW w:w="1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1,975</w:t>
            </w:r>
          </w:p>
        </w:tc>
        <w:tc>
          <w:tcPr>
            <w:tcW w:w="120" w:type="dxa"/>
            <w:vAlign w:val="bottom"/>
            <w:tcBorders>
              <w:top w:val="single" w:sz="8" w:color="CFF0FC"/>
            </w:tcBorders>
            <w:shd w:val="clear" w:color="auto" w:fill="CFF0FC"/>
          </w:tcPr>
          <w:p>
            <w:pPr>
              <w:spacing w:after="0"/>
              <w:rPr>
                <w:sz w:val="20"/>
                <w:szCs w:val="20"/>
                <w:color w:val="auto"/>
              </w:rPr>
            </w:pPr>
          </w:p>
        </w:tc>
      </w:tr>
      <w:tr>
        <w:trPr>
          <w:trHeight w:val="257"/>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Billings in excess of costs</w:t>
            </w:r>
          </w:p>
        </w:tc>
        <w:tc>
          <w:tcPr>
            <w:tcW w:w="25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9,088</w:t>
            </w:r>
          </w:p>
        </w:tc>
        <w:tc>
          <w:tcPr>
            <w:tcW w:w="120" w:type="dxa"/>
            <w:vAlign w:val="bottom"/>
          </w:tcPr>
          <w:p>
            <w:pPr>
              <w:spacing w:after="0"/>
              <w:rPr>
                <w:sz w:val="22"/>
                <w:szCs w:val="22"/>
                <w:color w:val="auto"/>
              </w:rPr>
            </w:pP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6,743</w:t>
            </w:r>
          </w:p>
        </w:tc>
        <w:tc>
          <w:tcPr>
            <w:tcW w:w="120" w:type="dxa"/>
            <w:vAlign w:val="bottom"/>
          </w:tcPr>
          <w:p>
            <w:pPr>
              <w:spacing w:after="0"/>
              <w:rPr>
                <w:sz w:val="22"/>
                <w:szCs w:val="22"/>
                <w:color w:val="auto"/>
              </w:rPr>
            </w:pPr>
          </w:p>
        </w:tc>
      </w:tr>
    </w:tbl>
    <w:p>
      <w:pPr>
        <w:spacing w:after="0" w:line="176"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20"/>
          <w:szCs w:val="20"/>
          <w:color w:val="auto"/>
        </w:rPr>
        <w:t>Revenues recognized from the beginning balance of contract liabilities for the three months ended June 30, 2019 and 2018 were $4.8 million and $4.1 million, respectively, and for the six months ended June 30, 2019 and 2018 were $5.8 million and $6.2 million, respectively.</w:t>
      </w:r>
    </w:p>
    <w:p>
      <w:pPr>
        <w:spacing w:after="0" w:line="68"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20"/>
          <w:szCs w:val="20"/>
          <w:color w:val="auto"/>
        </w:rPr>
        <w:t>Retainage, which primarily relates to the paving services, represents amounts that have been billed to customers but payment withheld until final acceptance by the customer of the performance obligation. Included on the Company’s consolidated balance sheets, retainage was $6.9 million and $7.5 million at June 30, 2019 and December 31, 2018.</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21" w:lineRule="exact"/>
        <w:rPr>
          <w:sz w:val="20"/>
          <w:szCs w:val="20"/>
          <w:color w:val="auto"/>
        </w:rPr>
      </w:pPr>
    </w:p>
    <w:p>
      <w:pPr>
        <w:jc w:val="both"/>
        <w:ind w:left="38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Warranties. </w:t>
      </w:r>
      <w:r>
        <w:rPr>
          <w:rFonts w:ascii="Times New Roman" w:cs="Times New Roman" w:eastAsia="Times New Roman" w:hAnsi="Times New Roman"/>
          <w:sz w:val="19"/>
          <w:szCs w:val="19"/>
          <w:color w:val="auto"/>
        </w:rPr>
        <w:t>The Company’s construction contracts generally contain warranty provisions typically for a period of nine months to one year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after project completion and cover materials, design or workmanship defects. Historically, the Company has not experienced material costs for warranties. The ready mixed concrete product line carries longer warranty periods, for which the Company has accrued an estimate of warranty cost based on experience with the type of work and any known risks relative to the project. In total, warranty costs were not material to the Company’s consolidated results of operations for the three and six months ended June 30, 2019 and June 30, 2018.</w:t>
      </w:r>
    </w:p>
    <w:p>
      <w:pPr>
        <w:spacing w:after="0" w:line="56"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Policy Elections. </w:t>
      </w:r>
      <w:r>
        <w:rPr>
          <w:rFonts w:ascii="Times New Roman" w:cs="Times New Roman" w:eastAsia="Times New Roman" w:hAnsi="Times New Roman"/>
          <w:sz w:val="20"/>
          <w:szCs w:val="20"/>
          <w:color w:val="auto"/>
        </w:rPr>
        <w:t>When the Company arranges third party freight to deliver products to customers, the Company has elected the delivery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 a fulfillment activity rather than a separate performance obligation. Further, the Company acts as a principal in the delivery arrangements and, as required by the accounting standard, the related revenues and costs are presented gross and are included in the consolidated statements of earnings.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  Inventories, Net</w:t>
            </w: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20"/>
        </w:trPr>
        <w:tc>
          <w:tcPr>
            <w:tcW w:w="7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June 30,</w:t>
            </w:r>
          </w:p>
        </w:tc>
        <w:tc>
          <w:tcPr>
            <w:tcW w:w="160" w:type="dxa"/>
            <w:vAlign w:val="bottom"/>
          </w:tcPr>
          <w:p>
            <w:pPr>
              <w:spacing w:after="0"/>
              <w:rPr>
                <w:sz w:val="24"/>
                <w:szCs w:val="24"/>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December 31,</w:t>
            </w:r>
          </w:p>
        </w:tc>
      </w:tr>
      <w:tr>
        <w:trPr>
          <w:trHeight w:val="251"/>
        </w:trPr>
        <w:tc>
          <w:tcPr>
            <w:tcW w:w="78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color w:val="auto"/>
              </w:rPr>
              <w:t>2019</w:t>
            </w: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color w:val="auto"/>
              </w:rPr>
              <w:t>2018</w:t>
            </w:r>
          </w:p>
        </w:tc>
        <w:tc>
          <w:tcPr>
            <w:tcW w:w="120" w:type="dxa"/>
            <w:vAlign w:val="bottom"/>
          </w:tcPr>
          <w:p>
            <w:pPr>
              <w:spacing w:after="0"/>
              <w:rPr>
                <w:sz w:val="21"/>
                <w:szCs w:val="21"/>
                <w:color w:val="auto"/>
              </w:rPr>
            </w:pPr>
          </w:p>
        </w:tc>
      </w:tr>
      <w:tr>
        <w:trPr>
          <w:trHeight w:val="235"/>
        </w:trPr>
        <w:tc>
          <w:tcPr>
            <w:tcW w:w="7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80" w:type="dxa"/>
            <w:vAlign w:val="bottom"/>
            <w:gridSpan w:val="4"/>
          </w:tcPr>
          <w:p>
            <w:pPr>
              <w:jc w:val="right"/>
              <w:ind w:right="722"/>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20" w:type="dxa"/>
            <w:vAlign w:val="bottom"/>
          </w:tcPr>
          <w:p>
            <w:pPr>
              <w:spacing w:after="0"/>
              <w:rPr>
                <w:sz w:val="20"/>
                <w:szCs w:val="20"/>
                <w:color w:val="auto"/>
              </w:rPr>
            </w:pPr>
          </w:p>
        </w:tc>
      </w:tr>
      <w:tr>
        <w:trPr>
          <w:trHeight w:val="242"/>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Finished products</w:t>
            </w:r>
          </w:p>
        </w:tc>
        <w:tc>
          <w:tcPr>
            <w:tcW w:w="2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604,654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615,719</w:t>
            </w:r>
          </w:p>
        </w:tc>
        <w:tc>
          <w:tcPr>
            <w:tcW w:w="120" w:type="dxa"/>
            <w:vAlign w:val="bottom"/>
            <w:shd w:val="clear" w:color="auto" w:fill="CFF0FC"/>
          </w:tcPr>
          <w:p>
            <w:pPr>
              <w:spacing w:after="0"/>
              <w:rPr>
                <w:sz w:val="21"/>
                <w:szCs w:val="21"/>
                <w:color w:val="auto"/>
              </w:rPr>
            </w:pPr>
          </w:p>
        </w:tc>
      </w:tr>
      <w:tr>
        <w:trPr>
          <w:trHeight w:val="24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Products in process and raw materials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62,019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66,920</w:t>
            </w:r>
          </w:p>
        </w:tc>
        <w:tc>
          <w:tcPr>
            <w:tcW w:w="120" w:type="dxa"/>
            <w:vAlign w:val="bottom"/>
          </w:tcPr>
          <w:p>
            <w:pPr>
              <w:spacing w:after="0"/>
              <w:rPr>
                <w:sz w:val="21"/>
                <w:szCs w:val="21"/>
                <w:color w:val="auto"/>
              </w:rPr>
            </w:pPr>
          </w:p>
        </w:tc>
      </w:tr>
      <w:tr>
        <w:trPr>
          <w:trHeight w:val="242"/>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Supplies and expendable parts</w:t>
            </w: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140,409</w:t>
            </w:r>
          </w:p>
        </w:tc>
        <w:tc>
          <w:tcPr>
            <w:tcW w:w="2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139,566</w:t>
            </w:r>
          </w:p>
        </w:tc>
        <w:tc>
          <w:tcPr>
            <w:tcW w:w="120" w:type="dxa"/>
            <w:vAlign w:val="bottom"/>
            <w:shd w:val="clear" w:color="auto" w:fill="CFF0FC"/>
          </w:tcPr>
          <w:p>
            <w:pPr>
              <w:spacing w:after="0"/>
              <w:rPr>
                <w:sz w:val="21"/>
                <w:szCs w:val="21"/>
                <w:color w:val="auto"/>
              </w:rPr>
            </w:pPr>
          </w:p>
        </w:tc>
      </w:tr>
      <w:tr>
        <w:trPr>
          <w:trHeight w:val="235"/>
        </w:trPr>
        <w:tc>
          <w:tcPr>
            <w:tcW w:w="7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807,082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822,205</w:t>
            </w:r>
          </w:p>
        </w:tc>
        <w:tc>
          <w:tcPr>
            <w:tcW w:w="120" w:type="dxa"/>
            <w:vAlign w:val="bottom"/>
          </w:tcPr>
          <w:p>
            <w:pPr>
              <w:spacing w:after="0"/>
              <w:rPr>
                <w:sz w:val="20"/>
                <w:szCs w:val="20"/>
                <w:color w:val="auto"/>
              </w:rPr>
            </w:pPr>
          </w:p>
        </w:tc>
      </w:tr>
      <w:tr>
        <w:trPr>
          <w:trHeight w:val="242"/>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Less: Allowances</w:t>
            </w: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(160,740)</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(159,170)</w:t>
            </w:r>
          </w:p>
        </w:tc>
      </w:tr>
      <w:tr>
        <w:trPr>
          <w:trHeight w:val="23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646,342</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663,035</w:t>
            </w:r>
          </w:p>
        </w:tc>
        <w:tc>
          <w:tcPr>
            <w:tcW w:w="12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4.</w:t>
        <w:tab/>
        <w:t>Long-Term Debt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2"/>
          </w:tcPr>
          <w:p>
            <w:pPr>
              <w:jc w:val="right"/>
              <w:ind w:right="940"/>
              <w:spacing w:after="0"/>
              <w:rPr>
                <w:sz w:val="20"/>
                <w:szCs w:val="20"/>
                <w:color w:val="auto"/>
              </w:rPr>
            </w:pPr>
            <w:r>
              <w:rPr>
                <w:rFonts w:ascii="Times New Roman" w:cs="Times New Roman" w:eastAsia="Times New Roman" w:hAnsi="Times New Roman"/>
                <w:sz w:val="19"/>
                <w:szCs w:val="19"/>
                <w:color w:val="auto"/>
              </w:rPr>
              <w:t>June 30,</w:t>
            </w:r>
          </w:p>
        </w:tc>
        <w:tc>
          <w:tcPr>
            <w:tcW w:w="220" w:type="dxa"/>
            <w:vAlign w:val="bottom"/>
          </w:tcPr>
          <w:p>
            <w:pPr>
              <w:spacing w:after="0"/>
              <w:rPr>
                <w:sz w:val="19"/>
                <w:szCs w:val="19"/>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9"/>
                <w:szCs w:val="19"/>
                <w:color w:val="auto"/>
              </w:rPr>
              <w:t>December 31,</w:t>
            </w:r>
          </w:p>
        </w:tc>
      </w:tr>
      <w:tr>
        <w:trPr>
          <w:trHeight w:val="241"/>
        </w:trPr>
        <w:tc>
          <w:tcPr>
            <w:tcW w:w="6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9"/>
                <w:szCs w:val="19"/>
                <w:color w:val="auto"/>
              </w:rPr>
              <w:t>2019</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9"/>
                <w:szCs w:val="19"/>
                <w:color w:val="auto"/>
              </w:rPr>
              <w:t>2018</w:t>
            </w:r>
          </w:p>
        </w:tc>
        <w:tc>
          <w:tcPr>
            <w:tcW w:w="120" w:type="dxa"/>
            <w:vAlign w:val="bottom"/>
          </w:tcPr>
          <w:p>
            <w:pPr>
              <w:spacing w:after="0"/>
              <w:rPr>
                <w:sz w:val="20"/>
                <w:szCs w:val="20"/>
                <w:color w:val="auto"/>
              </w:rPr>
            </w:pPr>
          </w:p>
        </w:tc>
      </w:tr>
      <w:tr>
        <w:trPr>
          <w:trHeight w:val="222"/>
        </w:trPr>
        <w:tc>
          <w:tcPr>
            <w:tcW w:w="6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20" w:type="dxa"/>
            <w:vAlign w:val="bottom"/>
            <w:gridSpan w:val="4"/>
          </w:tcPr>
          <w:p>
            <w:pPr>
              <w:jc w:val="right"/>
              <w:ind w:right="1026"/>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120" w:type="dxa"/>
            <w:vAlign w:val="bottom"/>
          </w:tcPr>
          <w:p>
            <w:pPr>
              <w:spacing w:after="0"/>
              <w:rPr>
                <w:sz w:val="19"/>
                <w:szCs w:val="19"/>
                <w:color w:val="auto"/>
              </w:rPr>
            </w:pPr>
          </w:p>
        </w:tc>
      </w:tr>
      <w:tr>
        <w:trPr>
          <w:trHeight w:val="228"/>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9"/>
                <w:szCs w:val="19"/>
                <w:color w:val="auto"/>
              </w:rPr>
              <w:t>4.25% Senior Notes, due 2024</w:t>
            </w:r>
          </w:p>
        </w:tc>
        <w:tc>
          <w:tcPr>
            <w:tcW w:w="158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396,697</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396,398</w:t>
            </w:r>
          </w:p>
        </w:tc>
        <w:tc>
          <w:tcPr>
            <w:tcW w:w="120" w:type="dxa"/>
            <w:vAlign w:val="bottom"/>
            <w:shd w:val="clear" w:color="auto" w:fill="CFF0FC"/>
          </w:tcPr>
          <w:p>
            <w:pPr>
              <w:spacing w:after="0"/>
              <w:rPr>
                <w:sz w:val="19"/>
                <w:szCs w:val="19"/>
                <w:color w:val="auto"/>
              </w:rPr>
            </w:pPr>
          </w:p>
        </w:tc>
      </w:tr>
      <w:tr>
        <w:trPr>
          <w:trHeight w:val="228"/>
        </w:trPr>
        <w:tc>
          <w:tcPr>
            <w:tcW w:w="6100" w:type="dxa"/>
            <w:vAlign w:val="bottom"/>
          </w:tcPr>
          <w:p>
            <w:pPr>
              <w:spacing w:after="0"/>
              <w:rPr>
                <w:sz w:val="20"/>
                <w:szCs w:val="20"/>
                <w:color w:val="auto"/>
              </w:rPr>
            </w:pPr>
            <w:r>
              <w:rPr>
                <w:rFonts w:ascii="Times New Roman" w:cs="Times New Roman" w:eastAsia="Times New Roman" w:hAnsi="Times New Roman"/>
                <w:sz w:val="19"/>
                <w:szCs w:val="19"/>
                <w:color w:val="auto"/>
              </w:rPr>
              <w:t>7% Debentures, due 2025</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124,319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124,272</w:t>
            </w:r>
          </w:p>
        </w:tc>
        <w:tc>
          <w:tcPr>
            <w:tcW w:w="120" w:type="dxa"/>
            <w:vAlign w:val="bottom"/>
          </w:tcPr>
          <w:p>
            <w:pPr>
              <w:spacing w:after="0"/>
              <w:rPr>
                <w:sz w:val="19"/>
                <w:szCs w:val="19"/>
                <w:color w:val="auto"/>
              </w:rPr>
            </w:pPr>
          </w:p>
        </w:tc>
      </w:tr>
      <w:tr>
        <w:trPr>
          <w:trHeight w:val="228"/>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9"/>
                <w:szCs w:val="19"/>
                <w:color w:val="auto"/>
              </w:rPr>
              <w:t>3.450% Senior Notes, due 2027</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297,098</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296,939</w:t>
            </w:r>
          </w:p>
        </w:tc>
        <w:tc>
          <w:tcPr>
            <w:tcW w:w="120" w:type="dxa"/>
            <w:vAlign w:val="bottom"/>
            <w:shd w:val="clear" w:color="auto" w:fill="CFF0FC"/>
          </w:tcPr>
          <w:p>
            <w:pPr>
              <w:spacing w:after="0"/>
              <w:rPr>
                <w:sz w:val="19"/>
                <w:szCs w:val="19"/>
                <w:color w:val="auto"/>
              </w:rPr>
            </w:pPr>
          </w:p>
        </w:tc>
      </w:tr>
      <w:tr>
        <w:trPr>
          <w:trHeight w:val="228"/>
        </w:trPr>
        <w:tc>
          <w:tcPr>
            <w:tcW w:w="6100" w:type="dxa"/>
            <w:vAlign w:val="bottom"/>
          </w:tcPr>
          <w:p>
            <w:pPr>
              <w:spacing w:after="0"/>
              <w:rPr>
                <w:sz w:val="20"/>
                <w:szCs w:val="20"/>
                <w:color w:val="auto"/>
              </w:rPr>
            </w:pPr>
            <w:r>
              <w:rPr>
                <w:rFonts w:ascii="Times New Roman" w:cs="Times New Roman" w:eastAsia="Times New Roman" w:hAnsi="Times New Roman"/>
                <w:sz w:val="19"/>
                <w:szCs w:val="19"/>
                <w:color w:val="auto"/>
              </w:rPr>
              <w:t>3.500% Senior Notes, due 2027</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495,011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494,765</w:t>
            </w:r>
          </w:p>
        </w:tc>
        <w:tc>
          <w:tcPr>
            <w:tcW w:w="120" w:type="dxa"/>
            <w:vAlign w:val="bottom"/>
          </w:tcPr>
          <w:p>
            <w:pPr>
              <w:spacing w:after="0"/>
              <w:rPr>
                <w:sz w:val="19"/>
                <w:szCs w:val="19"/>
                <w:color w:val="auto"/>
              </w:rPr>
            </w:pPr>
          </w:p>
        </w:tc>
      </w:tr>
      <w:tr>
        <w:trPr>
          <w:trHeight w:val="228"/>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9"/>
                <w:szCs w:val="19"/>
                <w:color w:val="auto"/>
              </w:rPr>
              <w:t>6.25% Senior Notes, due 2037</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228,126</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228,094</w:t>
            </w:r>
          </w:p>
        </w:tc>
        <w:tc>
          <w:tcPr>
            <w:tcW w:w="120" w:type="dxa"/>
            <w:vAlign w:val="bottom"/>
            <w:shd w:val="clear" w:color="auto" w:fill="CFF0FC"/>
          </w:tcPr>
          <w:p>
            <w:pPr>
              <w:spacing w:after="0"/>
              <w:rPr>
                <w:sz w:val="19"/>
                <w:szCs w:val="19"/>
                <w:color w:val="auto"/>
              </w:rPr>
            </w:pPr>
          </w:p>
        </w:tc>
      </w:tr>
      <w:tr>
        <w:trPr>
          <w:trHeight w:val="228"/>
        </w:trPr>
        <w:tc>
          <w:tcPr>
            <w:tcW w:w="6100" w:type="dxa"/>
            <w:vAlign w:val="bottom"/>
          </w:tcPr>
          <w:p>
            <w:pPr>
              <w:spacing w:after="0"/>
              <w:rPr>
                <w:sz w:val="20"/>
                <w:szCs w:val="20"/>
                <w:color w:val="auto"/>
              </w:rPr>
            </w:pPr>
            <w:r>
              <w:rPr>
                <w:rFonts w:ascii="Times New Roman" w:cs="Times New Roman" w:eastAsia="Times New Roman" w:hAnsi="Times New Roman"/>
                <w:sz w:val="19"/>
                <w:szCs w:val="19"/>
                <w:color w:val="auto"/>
              </w:rPr>
              <w:t>4.250% Senior Notes, due 2047</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591,626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591,541</w:t>
            </w:r>
          </w:p>
        </w:tc>
        <w:tc>
          <w:tcPr>
            <w:tcW w:w="120" w:type="dxa"/>
            <w:vAlign w:val="bottom"/>
          </w:tcPr>
          <w:p>
            <w:pPr>
              <w:spacing w:after="0"/>
              <w:rPr>
                <w:sz w:val="19"/>
                <w:szCs w:val="19"/>
                <w:color w:val="auto"/>
              </w:rPr>
            </w:pPr>
          </w:p>
        </w:tc>
      </w:tr>
      <w:tr>
        <w:trPr>
          <w:trHeight w:val="202"/>
        </w:trPr>
        <w:tc>
          <w:tcPr>
            <w:tcW w:w="61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9"/>
                <w:szCs w:val="19"/>
                <w:color w:val="auto"/>
              </w:rPr>
              <w:t>Floating Rate Senior Notes, due 2019, interest rate of 2.89%</w:t>
            </w:r>
          </w:p>
        </w:tc>
        <w:tc>
          <w:tcPr>
            <w:tcW w:w="1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5"/>
        </w:trPr>
        <w:tc>
          <w:tcPr>
            <w:tcW w:w="6100" w:type="dxa"/>
            <w:vAlign w:val="bottom"/>
            <w:shd w:val="clear" w:color="auto" w:fill="CFF0FC"/>
          </w:tcPr>
          <w:p>
            <w:pPr>
              <w:ind w:left="140"/>
              <w:spacing w:after="0" w:line="215" w:lineRule="exact"/>
              <w:rPr>
                <w:sz w:val="20"/>
                <w:szCs w:val="20"/>
                <w:color w:val="auto"/>
              </w:rPr>
            </w:pPr>
            <w:r>
              <w:rPr>
                <w:rFonts w:ascii="Times New Roman" w:cs="Times New Roman" w:eastAsia="Times New Roman" w:hAnsi="Times New Roman"/>
                <w:sz w:val="19"/>
                <w:szCs w:val="19"/>
                <w:color w:val="auto"/>
              </w:rPr>
              <w:t>and 3.29% at June 30, 2019 and December 31, 2018,</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1"/>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9"/>
                <w:szCs w:val="19"/>
                <w:color w:val="auto"/>
              </w:rPr>
              <w:t>respectively</w:t>
            </w: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299,633</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299,260</w:t>
            </w:r>
          </w:p>
        </w:tc>
        <w:tc>
          <w:tcPr>
            <w:tcW w:w="120" w:type="dxa"/>
            <w:vAlign w:val="bottom"/>
            <w:shd w:val="clear" w:color="auto" w:fill="CFF0FC"/>
          </w:tcPr>
          <w:p>
            <w:pPr>
              <w:spacing w:after="0"/>
              <w:rPr>
                <w:sz w:val="20"/>
                <w:szCs w:val="20"/>
                <w:color w:val="auto"/>
              </w:rPr>
            </w:pPr>
          </w:p>
        </w:tc>
      </w:tr>
      <w:tr>
        <w:trPr>
          <w:trHeight w:val="202"/>
        </w:trPr>
        <w:tc>
          <w:tcPr>
            <w:tcW w:w="610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Floating Rate Senior Notes, due 2020, interest rate of 3.17% and</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61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3.30% at June 30, 2019 and December 31, 2018, respectively</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299,323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298,956</w:t>
            </w:r>
          </w:p>
        </w:tc>
        <w:tc>
          <w:tcPr>
            <w:tcW w:w="120" w:type="dxa"/>
            <w:vAlign w:val="bottom"/>
          </w:tcPr>
          <w:p>
            <w:pPr>
              <w:spacing w:after="0"/>
              <w:rPr>
                <w:sz w:val="20"/>
                <w:szCs w:val="20"/>
                <w:color w:val="auto"/>
              </w:rPr>
            </w:pPr>
          </w:p>
        </w:tc>
      </w:tr>
      <w:tr>
        <w:trPr>
          <w:trHeight w:val="202"/>
        </w:trPr>
        <w:tc>
          <w:tcPr>
            <w:tcW w:w="61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9"/>
                <w:szCs w:val="19"/>
                <w:color w:val="auto"/>
              </w:rPr>
              <w:t>Trade Receivable Facility, interest rate of 3.17% and 3.07% at</w:t>
            </w:r>
          </w:p>
        </w:tc>
        <w:tc>
          <w:tcPr>
            <w:tcW w:w="1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41"/>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9"/>
                <w:szCs w:val="19"/>
                <w:color w:val="auto"/>
              </w:rPr>
              <w:t>June 30, 2019 and December 31, 2018, respectively</w:t>
            </w: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385,000</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390,000</w:t>
            </w:r>
          </w:p>
        </w:tc>
        <w:tc>
          <w:tcPr>
            <w:tcW w:w="120" w:type="dxa"/>
            <w:vAlign w:val="bottom"/>
            <w:shd w:val="clear" w:color="auto" w:fill="CFF0FC"/>
          </w:tcPr>
          <w:p>
            <w:pPr>
              <w:spacing w:after="0"/>
              <w:rPr>
                <w:sz w:val="20"/>
                <w:szCs w:val="20"/>
                <w:color w:val="auto"/>
              </w:rPr>
            </w:pPr>
          </w:p>
        </w:tc>
      </w:tr>
      <w:tr>
        <w:trPr>
          <w:trHeight w:val="228"/>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9"/>
                <w:szCs w:val="19"/>
                <w:color w:val="auto"/>
              </w:rPr>
              <w:t>Other notes</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256</w:t>
            </w:r>
          </w:p>
        </w:tc>
        <w:tc>
          <w:tcPr>
            <w:tcW w:w="120" w:type="dxa"/>
            <w:vAlign w:val="bottom"/>
            <w:tcBorders>
              <w:bottom w:val="single" w:sz="8" w:color="CFF0FC"/>
            </w:tcBorders>
          </w:tcPr>
          <w:p>
            <w:pPr>
              <w:spacing w:after="0"/>
              <w:rPr>
                <w:sz w:val="19"/>
                <w:szCs w:val="19"/>
                <w:color w:val="auto"/>
              </w:rPr>
            </w:pPr>
          </w:p>
        </w:tc>
      </w:tr>
      <w:tr>
        <w:trPr>
          <w:trHeight w:val="222"/>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9"/>
                <w:szCs w:val="19"/>
                <w:color w:val="auto"/>
              </w:rPr>
              <w:t>Total debt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3,117,061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3,120,481</w:t>
            </w:r>
          </w:p>
        </w:tc>
        <w:tc>
          <w:tcPr>
            <w:tcW w:w="120" w:type="dxa"/>
            <w:vAlign w:val="bottom"/>
            <w:shd w:val="clear" w:color="auto" w:fill="CFF0FC"/>
          </w:tcPr>
          <w:p>
            <w:pPr>
              <w:spacing w:after="0"/>
              <w:rPr>
                <w:sz w:val="19"/>
                <w:szCs w:val="19"/>
                <w:color w:val="auto"/>
              </w:rPr>
            </w:pPr>
          </w:p>
        </w:tc>
      </w:tr>
      <w:tr>
        <w:trPr>
          <w:trHeight w:val="202"/>
        </w:trPr>
        <w:tc>
          <w:tcPr>
            <w:tcW w:w="610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Less: Current maturities of long-term debt and short-term</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61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facilities</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(385,043)</w:t>
            </w:r>
          </w:p>
        </w:tc>
        <w:tc>
          <w:tcPr>
            <w:tcW w:w="2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(390,042)</w:t>
            </w:r>
          </w:p>
        </w:tc>
      </w:tr>
      <w:tr>
        <w:trPr>
          <w:trHeight w:val="222"/>
        </w:trPr>
        <w:tc>
          <w:tcPr>
            <w:tcW w:w="6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9"/>
                <w:szCs w:val="19"/>
                <w:color w:val="auto"/>
              </w:rPr>
              <w:t>Long-term debt</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Times New Roman" w:cs="Times New Roman" w:eastAsia="Times New Roman" w:hAnsi="Times New Roman"/>
                <w:sz w:val="19"/>
                <w:szCs w:val="19"/>
                <w:color w:val="auto"/>
                <w:w w:val="83"/>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2,732,018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2,730,439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The Company, through a wholly-owned special-purpose subsidiary, has a $400 million trade receivable securitization facility (the Trade Receivable Facility). The Trade Receivable Facility, with SunTrust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one-month London Interbank Offered Rate, or LIBOR, plus 0.725%, subject to change in the event that this rate no longer reflects the lender’s cost of lending. The Trade Receivable Facility, which contains a cross-default provision to the Company’s other debt agreements, matures on September 25, 2019.</w:t>
      </w:r>
    </w:p>
    <w:p>
      <w:pPr>
        <w:spacing w:after="0" w:line="83"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The Company has a $700 million five-year senior unsecured revolving facility (the Revolving Facility), which expires on December 5, 2023, with JPMorgan Chase Bank, N.A., as Administrative Agent, Branch Banking and Trust Company (BB&amp;T), Deutsche Bank Securities, Inc., SunTrust Bank and Wells Fargo Bank, N.A., as Co-Syndication Agents, and the lenders party thereto. Borrowings under the Revolving Facility bear interest, at the Company’s option, at rates based upon LIBOR or a base rate, plus, for each rate, a margin determined in accordance with a ratings-based pricing grid. There were no borrowings outstanding of the Revolving Facility at June 30, 2019 and December 31, 2018.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25"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long as the Ratio calculated without such exclusion does not exceed 3.75x. Additionally, if no amounts are outstanding under both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 The Company was in compliance with this Ratio at June 30, 2019.</w:t>
      </w:r>
    </w:p>
    <w:p>
      <w:pPr>
        <w:spacing w:after="0" w:line="74"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20"/>
          <w:szCs w:val="20"/>
          <w:color w:val="auto"/>
        </w:rPr>
        <w:t>Available borrowings under the Revolving Facility are reduced by any outstanding letters of credit issued by the Company under the Revolving Facility. The Company had $2.3 million of outstanding letters of credit issued under the Revolving Facility at June 30, 2019 and December 31, 2018.</w:t>
      </w:r>
    </w:p>
    <w:p>
      <w:pPr>
        <w:spacing w:after="0" w:line="68"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20"/>
          <w:szCs w:val="20"/>
          <w:color w:val="auto"/>
        </w:rPr>
        <w:t>The Floating Senior Rate Notes due 2019 and Floating Rate Senior Notes due 2020 are classified as noncurrent long-term debt on the consolidated balance sheets as of June 30, 2019 and December 31, 2018 as the Company has the intent and ability to refinance the notes on a long-term basis under the Revolving Facility.</w:t>
      </w:r>
    </w:p>
    <w:p>
      <w:pPr>
        <w:spacing w:after="0" w:line="279" w:lineRule="exact"/>
        <w:rPr>
          <w:sz w:val="20"/>
          <w:szCs w:val="20"/>
          <w:color w:val="auto"/>
        </w:rPr>
      </w:pPr>
    </w:p>
    <w:p>
      <w:pPr>
        <w:ind w:left="380" w:hanging="373"/>
        <w:spacing w:after="0"/>
        <w:tabs>
          <w:tab w:leader="none" w:pos="38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Instruments</w:t>
      </w:r>
    </w:p>
    <w:p>
      <w:pPr>
        <w:spacing w:after="0" w:line="109" w:lineRule="exact"/>
        <w:rPr>
          <w:rFonts w:ascii="Times New Roman" w:cs="Times New Roman" w:eastAsia="Times New Roman" w:hAnsi="Times New Roman"/>
          <w:sz w:val="20"/>
          <w:szCs w:val="20"/>
          <w:b w:val="1"/>
          <w:bCs w:val="1"/>
          <w:color w:val="auto"/>
        </w:rPr>
      </w:pPr>
    </w:p>
    <w:p>
      <w:pPr>
        <w:ind w:left="38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financial instruments include cash equivalents, accounts receivable, notes receivable, accounts payable, publicly-registered long-term notes, debentures and other long-term debt.</w:t>
      </w:r>
    </w:p>
    <w:p>
      <w:pPr>
        <w:spacing w:after="0" w:line="54" w:lineRule="exact"/>
        <w:rPr>
          <w:rFonts w:ascii="Times New Roman" w:cs="Times New Roman" w:eastAsia="Times New Roman" w:hAnsi="Times New Roman"/>
          <w:sz w:val="20"/>
          <w:szCs w:val="20"/>
          <w:b w:val="1"/>
          <w:bCs w:val="1"/>
          <w:color w:val="auto"/>
        </w:rPr>
      </w:pPr>
    </w:p>
    <w:p>
      <w:pPr>
        <w:jc w:val="both"/>
        <w:ind w:left="38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67" w:lineRule="exact"/>
        <w:rPr>
          <w:rFonts w:ascii="Times New Roman" w:cs="Times New Roman" w:eastAsia="Times New Roman" w:hAnsi="Times New Roman"/>
          <w:sz w:val="20"/>
          <w:szCs w:val="20"/>
          <w:b w:val="1"/>
          <w:bCs w:val="1"/>
          <w:color w:val="auto"/>
        </w:rPr>
      </w:pPr>
    </w:p>
    <w:p>
      <w:pPr>
        <w:jc w:val="both"/>
        <w:ind w:left="380" w:right="2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Accounts receivable are due from a large number of customers, primarily in the construction industry, and are dispersed across wide geographic and economic regions. No single customer accounted for 10% or more of consolidated total revenues. The estimated fair values of accounts receivable approximate their carrying amounts due to the short-term nature of the receivables.</w:t>
      </w:r>
    </w:p>
    <w:p>
      <w:pPr>
        <w:spacing w:after="0" w:line="67" w:lineRule="exact"/>
        <w:rPr>
          <w:rFonts w:ascii="Times New Roman" w:cs="Times New Roman" w:eastAsia="Times New Roman" w:hAnsi="Times New Roman"/>
          <w:sz w:val="20"/>
          <w:szCs w:val="20"/>
          <w:b w:val="1"/>
          <w:bCs w:val="1"/>
          <w:color w:val="auto"/>
        </w:rPr>
      </w:pPr>
    </w:p>
    <w:p>
      <w:pPr>
        <w:ind w:left="38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Notes receivable are not publicly traded. Management estimates that the fair value of notes receivable approximates the carrying amount due to the short-term nature of the receivables.</w:t>
      </w:r>
    </w:p>
    <w:p>
      <w:pPr>
        <w:spacing w:after="0" w:line="54" w:lineRule="exact"/>
        <w:rPr>
          <w:rFonts w:ascii="Times New Roman" w:cs="Times New Roman" w:eastAsia="Times New Roman" w:hAnsi="Times New Roman"/>
          <w:sz w:val="20"/>
          <w:szCs w:val="20"/>
          <w:b w:val="1"/>
          <w:bCs w:val="1"/>
          <w:color w:val="auto"/>
        </w:rPr>
      </w:pPr>
    </w:p>
    <w:p>
      <w:pPr>
        <w:ind w:left="38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Accounts payable represent amounts owed to suppliers and vendors. The estimated fair value of accounts payable approximates its carrying amount due to the short-term nature of the payables.</w:t>
      </w:r>
    </w:p>
    <w:p>
      <w:pPr>
        <w:spacing w:after="0" w:line="54" w:lineRule="exact"/>
        <w:rPr>
          <w:rFonts w:ascii="Times New Roman" w:cs="Times New Roman" w:eastAsia="Times New Roman" w:hAnsi="Times New Roman"/>
          <w:sz w:val="20"/>
          <w:szCs w:val="20"/>
          <w:b w:val="1"/>
          <w:bCs w:val="1"/>
          <w:color w:val="auto"/>
        </w:rPr>
      </w:pPr>
    </w:p>
    <w:p>
      <w:pPr>
        <w:jc w:val="both"/>
        <w:ind w:left="38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carrying values and fair values of the Company’s long-term debt were $3.12 billion and $3.17 billion, respectively, at June 30, 2019 and $3.12 billion and $3.01 billion, respectively, at December 31, 2018. The estimated fair value of the publicly-registered long-term notes was estimated based on Level 2 of the fair value hierarchy using quoted market prices. The estimated fair value of other borrowings approximate their carrying amounts as the interest rates reset periodically.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14" w:lineRule="exact"/>
        <w:rPr>
          <w:sz w:val="20"/>
          <w:szCs w:val="20"/>
          <w:color w:val="auto"/>
        </w:rPr>
      </w:pPr>
    </w:p>
    <w:p>
      <w:pPr>
        <w:ind w:left="380" w:hanging="373"/>
        <w:spacing w:after="0"/>
        <w:tabs>
          <w:tab w:leader="none" w:pos="38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109" w:lineRule="exact"/>
        <w:rPr>
          <w:rFonts w:ascii="Times New Roman" w:cs="Times New Roman" w:eastAsia="Times New Roman" w:hAnsi="Times New Roman"/>
          <w:sz w:val="20"/>
          <w:szCs w:val="20"/>
          <w:b w:val="1"/>
          <w:bCs w:val="1"/>
          <w:color w:val="auto"/>
        </w:rPr>
      </w:pPr>
    </w:p>
    <w:p>
      <w:pPr>
        <w:jc w:val="both"/>
        <w:ind w:left="38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effective income tax rate reflects the effect of federal and state income taxes on earnings and the impact of differences in book and tax accounting arising from the permanent tax benefits associated with the statutory depletion deduction for mineral reserves. For the six months ended June 30, 2019, the lower effective income tax rate of 16.2% is primarily attributable to a $13.2 million discrete benefit from a change in the tax status of a subsidiary from a partnership to a corporation.</w:t>
      </w:r>
    </w:p>
    <w:p>
      <w:pPr>
        <w:spacing w:after="0" w:line="73" w:lineRule="exact"/>
        <w:rPr>
          <w:rFonts w:ascii="Times New Roman" w:cs="Times New Roman" w:eastAsia="Times New Roman" w:hAnsi="Times New Roman"/>
          <w:sz w:val="20"/>
          <w:szCs w:val="20"/>
          <w:b w:val="1"/>
          <w:bCs w:val="1"/>
          <w:color w:val="auto"/>
        </w:rPr>
      </w:pPr>
    </w:p>
    <w:p>
      <w:pPr>
        <w:ind w:left="38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264" w:lineRule="exact"/>
        <w:rPr>
          <w:rFonts w:ascii="Times New Roman" w:cs="Times New Roman" w:eastAsia="Times New Roman" w:hAnsi="Times New Roman"/>
          <w:sz w:val="20"/>
          <w:szCs w:val="20"/>
          <w:b w:val="1"/>
          <w:bCs w:val="1"/>
          <w:color w:val="auto"/>
        </w:rPr>
      </w:pPr>
    </w:p>
    <w:p>
      <w:pPr>
        <w:ind w:left="380" w:hanging="373"/>
        <w:spacing w:after="0"/>
        <w:tabs>
          <w:tab w:leader="none" w:pos="38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 and Postretirement Benefits</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estimated components of the recorded net periodic benefit cost (credit) for pension and postretirement benefits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3"/>
          </w:tcPr>
          <w:p>
            <w:pPr>
              <w:jc w:val="right"/>
              <w:ind w:right="102"/>
              <w:spacing w:after="0"/>
              <w:rPr>
                <w:sz w:val="20"/>
                <w:szCs w:val="20"/>
                <w:color w:val="auto"/>
              </w:rPr>
            </w:pPr>
            <w:r>
              <w:rPr>
                <w:rFonts w:ascii="Times New Roman" w:cs="Times New Roman" w:eastAsia="Times New Roman" w:hAnsi="Times New Roman"/>
                <w:sz w:val="20"/>
                <w:szCs w:val="20"/>
                <w:color w:val="auto"/>
              </w:rPr>
              <w:t>Pension</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960"/>
              <w:spacing w:after="0"/>
              <w:rPr>
                <w:sz w:val="20"/>
                <w:szCs w:val="20"/>
                <w:color w:val="auto"/>
              </w:rPr>
            </w:pPr>
            <w:r>
              <w:rPr>
                <w:rFonts w:ascii="Times New Roman" w:cs="Times New Roman" w:eastAsia="Times New Roman" w:hAnsi="Times New Roman"/>
                <w:sz w:val="20"/>
                <w:szCs w:val="20"/>
                <w:color w:val="auto"/>
              </w:rPr>
              <w:t>Postretirement Benefits</w:t>
            </w: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340" w:type="dxa"/>
            <w:vAlign w:val="bottom"/>
            <w:tcBorders>
              <w:top w:val="single" w:sz="8" w:color="auto"/>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20"/>
                <w:szCs w:val="20"/>
                <w:color w:val="auto"/>
                <w:w w:val="98"/>
              </w:rPr>
              <w:t>Three Months Ended June 30,</w:t>
            </w: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color w:val="auto"/>
              </w:rPr>
              <w:t>2018</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color w:val="auto"/>
              </w:rPr>
              <w:t>2019</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color w:val="auto"/>
              </w:rPr>
              <w:t>2018</w:t>
            </w:r>
          </w:p>
        </w:tc>
        <w:tc>
          <w:tcPr>
            <w:tcW w:w="100" w:type="dxa"/>
            <w:vAlign w:val="bottom"/>
          </w:tcPr>
          <w:p>
            <w:pPr>
              <w:spacing w:after="0"/>
              <w:rPr>
                <w:sz w:val="20"/>
                <w:szCs w:val="20"/>
                <w:color w:val="auto"/>
              </w:rPr>
            </w:pP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40" w:type="dxa"/>
            <w:vAlign w:val="bottom"/>
            <w:gridSpan w:val="5"/>
          </w:tcPr>
          <w:p>
            <w:pPr>
              <w:jc w:val="center"/>
              <w:ind w:right="54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104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7,617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7,684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00" w:type="dxa"/>
            <w:vAlign w:val="bottom"/>
            <w:shd w:val="clear" w:color="auto" w:fill="CFF0FC"/>
          </w:tcPr>
          <w:p>
            <w:pPr>
              <w:spacing w:after="0"/>
              <w:rPr>
                <w:sz w:val="21"/>
                <w:szCs w:val="21"/>
                <w:color w:val="auto"/>
              </w:rPr>
            </w:pPr>
          </w:p>
        </w:tc>
      </w:tr>
      <w:tr>
        <w:trPr>
          <w:trHeight w:val="242"/>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00" w:type="dxa"/>
            <w:vAlign w:val="bottom"/>
          </w:tcPr>
          <w:p>
            <w:pPr>
              <w:spacing w:after="0"/>
              <w:rPr>
                <w:sz w:val="21"/>
                <w:szCs w:val="21"/>
                <w:color w:val="auto"/>
              </w:rPr>
            </w:pPr>
          </w:p>
        </w:tc>
      </w:tr>
      <w:tr>
        <w:trPr>
          <w:trHeight w:val="242"/>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Expected return on assets</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(11,824)</w:t>
            </w:r>
          </w:p>
        </w:tc>
        <w:tc>
          <w:tcPr>
            <w:tcW w:w="3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(12,403)</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Prior service cost (credit)</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(185)</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(426)</w:t>
            </w:r>
          </w:p>
        </w:tc>
      </w:tr>
      <w:tr>
        <w:trPr>
          <w:trHeight w:val="242"/>
        </w:trPr>
        <w:tc>
          <w:tcPr>
            <w:tcW w:w="32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Actuarial loss (gain)</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(48)</w:t>
            </w:r>
          </w:p>
        </w:tc>
      </w:tr>
      <w:tr>
        <w:trPr>
          <w:trHeight w:val="235"/>
        </w:trPr>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periodic benefit cost (credit)</w:t>
            </w:r>
          </w:p>
        </w:tc>
        <w:tc>
          <w:tcPr>
            <w:tcW w:w="6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9,035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6,676</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7"/>
        </w:trPr>
        <w:tc>
          <w:tcPr>
            <w:tcW w:w="3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ind w:right="102"/>
              <w:spacing w:after="0"/>
              <w:rPr>
                <w:sz w:val="20"/>
                <w:szCs w:val="20"/>
                <w:color w:val="auto"/>
              </w:rPr>
            </w:pPr>
            <w:r>
              <w:rPr>
                <w:rFonts w:ascii="Times New Roman" w:cs="Times New Roman" w:eastAsia="Times New Roman" w:hAnsi="Times New Roman"/>
                <w:sz w:val="20"/>
                <w:szCs w:val="20"/>
                <w:color w:val="auto"/>
              </w:rPr>
              <w:t>Pension</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gridSpan w:val="6"/>
          </w:tcPr>
          <w:p>
            <w:pPr>
              <w:jc w:val="right"/>
              <w:ind w:right="960"/>
              <w:spacing w:after="0"/>
              <w:rPr>
                <w:sz w:val="20"/>
                <w:szCs w:val="20"/>
                <w:color w:val="auto"/>
              </w:rPr>
            </w:pPr>
            <w:r>
              <w:rPr>
                <w:rFonts w:ascii="Times New Roman" w:cs="Times New Roman" w:eastAsia="Times New Roman" w:hAnsi="Times New Roman"/>
                <w:sz w:val="20"/>
                <w:szCs w:val="20"/>
                <w:color w:val="auto"/>
              </w:rPr>
              <w:t>Postretirement Benefits</w:t>
            </w: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340" w:type="dxa"/>
            <w:vAlign w:val="bottom"/>
            <w:tcBorders>
              <w:top w:val="single" w:sz="8" w:color="auto"/>
              <w:bottom w:val="single" w:sz="8" w:color="auto"/>
            </w:tcBorders>
            <w:gridSpan w:val="5"/>
          </w:tcPr>
          <w:p>
            <w:pPr>
              <w:jc w:val="center"/>
              <w:ind w:right="560"/>
              <w:spacing w:after="0"/>
              <w:rPr>
                <w:sz w:val="20"/>
                <w:szCs w:val="20"/>
                <w:color w:val="auto"/>
              </w:rPr>
            </w:pPr>
            <w:r>
              <w:rPr>
                <w:rFonts w:ascii="Times New Roman" w:cs="Times New Roman" w:eastAsia="Times New Roman" w:hAnsi="Times New Roman"/>
                <w:sz w:val="20"/>
                <w:szCs w:val="20"/>
                <w:color w:val="auto"/>
                <w:w w:val="98"/>
              </w:rPr>
              <w:t>Six Months Ended June 30,</w:t>
            </w: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color w:val="auto"/>
              </w:rPr>
              <w:t>2018</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color w:val="auto"/>
              </w:rPr>
              <w:t>2019</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color w:val="auto"/>
              </w:rPr>
              <w:t>2018</w:t>
            </w:r>
          </w:p>
        </w:tc>
        <w:tc>
          <w:tcPr>
            <w:tcW w:w="100" w:type="dxa"/>
            <w:vAlign w:val="bottom"/>
          </w:tcPr>
          <w:p>
            <w:pPr>
              <w:spacing w:after="0"/>
              <w:rPr>
                <w:sz w:val="20"/>
                <w:szCs w:val="20"/>
                <w:color w:val="auto"/>
              </w:rPr>
            </w:pP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40" w:type="dxa"/>
            <w:vAlign w:val="bottom"/>
            <w:gridSpan w:val="5"/>
          </w:tcPr>
          <w:p>
            <w:pPr>
              <w:jc w:val="center"/>
              <w:ind w:right="54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104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15,422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15,832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shd w:val="clear" w:color="auto" w:fill="CFF0FC"/>
          </w:tcPr>
          <w:p>
            <w:pPr>
              <w:spacing w:after="0"/>
              <w:rPr>
                <w:sz w:val="21"/>
                <w:szCs w:val="21"/>
                <w:color w:val="auto"/>
              </w:rPr>
            </w:pPr>
          </w:p>
        </w:tc>
      </w:tr>
      <w:tr>
        <w:trPr>
          <w:trHeight w:val="242"/>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18,856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100" w:type="dxa"/>
            <w:vAlign w:val="bottom"/>
          </w:tcPr>
          <w:p>
            <w:pPr>
              <w:spacing w:after="0"/>
              <w:rPr>
                <w:sz w:val="21"/>
                <w:szCs w:val="21"/>
                <w:color w:val="auto"/>
              </w:rPr>
            </w:pPr>
          </w:p>
        </w:tc>
      </w:tr>
      <w:tr>
        <w:trPr>
          <w:trHeight w:val="242"/>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Expected return on assets</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(23,930)</w:t>
            </w:r>
          </w:p>
        </w:tc>
        <w:tc>
          <w:tcPr>
            <w:tcW w:w="3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(23,032)</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Prior service cost (credit)</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(399)</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(1,037)</w:t>
            </w:r>
          </w:p>
        </w:tc>
      </w:tr>
      <w:tr>
        <w:trPr>
          <w:trHeight w:val="242"/>
        </w:trPr>
        <w:tc>
          <w:tcPr>
            <w:tcW w:w="32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Actuarial loss (gain)</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(105)</w:t>
            </w:r>
          </w:p>
        </w:tc>
      </w:tr>
      <w:tr>
        <w:trPr>
          <w:trHeight w:val="235"/>
        </w:trPr>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periodic benefit cost (credit)</w:t>
            </w:r>
          </w:p>
        </w:tc>
        <w:tc>
          <w:tcPr>
            <w:tcW w:w="6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18,269</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15,878</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20"/>
          <w:szCs w:val="20"/>
          <w:color w:val="auto"/>
        </w:rPr>
        <w:t>The service cost component of net periodic benefit cost (credit) is included in cost of revenues – products and services and selling, general and administrative expenses. All other components are included in other nonoperating income, net, in the consolidated statements of earnings and comprehensive earnings.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spacing w:after="0" w:line="336" w:lineRule="exact"/>
        <w:rPr>
          <w:sz w:val="20"/>
          <w:szCs w:val="20"/>
          <w:color w:val="auto"/>
        </w:rPr>
      </w:pPr>
    </w:p>
    <w:p>
      <w:pPr>
        <w:ind w:left="380" w:right="8020" w:hanging="373"/>
        <w:spacing w:after="0" w:line="370" w:lineRule="auto"/>
        <w:tabs>
          <w:tab w:leader="none" w:pos="376" w:val="left"/>
        </w:tabs>
        <w:numPr>
          <w:ilvl w:val="0"/>
          <w:numId w:val="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u w:val="single" w:color="auto"/>
          <w:color w:val="auto"/>
        </w:rPr>
        <w:t>Legal and Administrative Proceedings</w:t>
      </w:r>
    </w:p>
    <w:p>
      <w:pPr>
        <w:spacing w:after="0" w:line="1" w:lineRule="exact"/>
        <w:rPr>
          <w:rFonts w:ascii="Times New Roman" w:cs="Times New Roman" w:eastAsia="Times New Roman" w:hAnsi="Times New Roman"/>
          <w:sz w:val="19"/>
          <w:szCs w:val="19"/>
          <w:b w:val="1"/>
          <w:bCs w:val="1"/>
          <w:color w:val="auto"/>
        </w:rPr>
      </w:pPr>
    </w:p>
    <w:p>
      <w:pPr>
        <w:jc w:val="both"/>
        <w:ind w:left="380"/>
        <w:spacing w:after="0" w:line="24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The Company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Company and its subsidiaries, will have a material adverse effect on the overall results of the Company’s operations, its cash flows or its financial position.</w:t>
      </w:r>
    </w:p>
    <w:p>
      <w:pPr>
        <w:spacing w:after="0" w:line="181" w:lineRule="exact"/>
        <w:rPr>
          <w:rFonts w:ascii="Times New Roman" w:cs="Times New Roman" w:eastAsia="Times New Roman" w:hAnsi="Times New Roman"/>
          <w:sz w:val="19"/>
          <w:szCs w:val="19"/>
          <w:b w:val="1"/>
          <w:bCs w:val="1"/>
          <w:color w:val="auto"/>
        </w:rPr>
      </w:pPr>
    </w:p>
    <w:p>
      <w:pPr>
        <w:ind w:left="38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u w:val="single" w:color="auto"/>
          <w:color w:val="auto"/>
        </w:rPr>
        <w:t>Borrowing Arrangements with Affiliate</w:t>
      </w:r>
    </w:p>
    <w:p>
      <w:pPr>
        <w:spacing w:after="0" w:line="105" w:lineRule="exact"/>
        <w:rPr>
          <w:rFonts w:ascii="Times New Roman" w:cs="Times New Roman" w:eastAsia="Times New Roman" w:hAnsi="Times New Roman"/>
          <w:sz w:val="19"/>
          <w:szCs w:val="19"/>
          <w:b w:val="1"/>
          <w:bCs w:val="1"/>
          <w:color w:val="auto"/>
        </w:rPr>
      </w:pPr>
    </w:p>
    <w:p>
      <w:pPr>
        <w:jc w:val="both"/>
        <w:ind w:left="380"/>
        <w:spacing w:after="0" w:line="24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The Company is a co-borrower with an unconsolidated affiliate for a $15.5 million revolving line of credit agreement with BB&amp;T, of which $12.7 million was outstanding as of June 30, 2019 and has a maturity date of March 2020.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73" w:lineRule="exact"/>
        <w:rPr>
          <w:rFonts w:ascii="Times New Roman" w:cs="Times New Roman" w:eastAsia="Times New Roman" w:hAnsi="Times New Roman"/>
          <w:sz w:val="19"/>
          <w:szCs w:val="19"/>
          <w:b w:val="1"/>
          <w:bCs w:val="1"/>
          <w:color w:val="auto"/>
        </w:rPr>
      </w:pPr>
    </w:p>
    <w:p>
      <w:pPr>
        <w:ind w:left="380"/>
        <w:spacing w:after="0" w:line="26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In addition, the Company has a $6.0 million interest-only loan, due December 31, 2022, outstanding from this unconsolidated affiliate as of June 30, 2019 and December 31, 2018. The interest rate is one-month LIBOR plus a current spread of 1.75%.</w:t>
      </w:r>
    </w:p>
    <w:p>
      <w:pPr>
        <w:spacing w:after="0" w:line="161" w:lineRule="exact"/>
        <w:rPr>
          <w:rFonts w:ascii="Times New Roman" w:cs="Times New Roman" w:eastAsia="Times New Roman" w:hAnsi="Times New Roman"/>
          <w:sz w:val="19"/>
          <w:szCs w:val="19"/>
          <w:b w:val="1"/>
          <w:bCs w:val="1"/>
          <w:color w:val="auto"/>
        </w:rPr>
      </w:pPr>
    </w:p>
    <w:p>
      <w:pPr>
        <w:ind w:left="38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u w:val="single" w:color="auto"/>
          <w:color w:val="auto"/>
        </w:rPr>
        <w:t>Letters of Credit</w:t>
      </w:r>
    </w:p>
    <w:p>
      <w:pPr>
        <w:spacing w:after="0" w:line="105" w:lineRule="exact"/>
        <w:rPr>
          <w:rFonts w:ascii="Times New Roman" w:cs="Times New Roman" w:eastAsia="Times New Roman" w:hAnsi="Times New Roman"/>
          <w:sz w:val="19"/>
          <w:szCs w:val="19"/>
          <w:b w:val="1"/>
          <w:bCs w:val="1"/>
          <w:color w:val="auto"/>
        </w:rPr>
      </w:pPr>
    </w:p>
    <w:p>
      <w:pPr>
        <w:jc w:val="both"/>
        <w:ind w:left="380"/>
        <w:spacing w:after="0" w:line="252"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In the normal course of business, the Company provides certain third parties with standby letter of credit agreements guaranteeing its payment for certain insurance claims, contract performance and permit requirements. At June 30, 2019, the Company was contingently liable for $35.3 million in letters of credit, of which $2.3 million were issued under the Company’s Revolving Facility.</w:t>
      </w:r>
    </w:p>
    <w:p>
      <w:pPr>
        <w:spacing w:after="0" w:line="175" w:lineRule="exact"/>
        <w:rPr>
          <w:rFonts w:ascii="Times New Roman" w:cs="Times New Roman" w:eastAsia="Times New Roman" w:hAnsi="Times New Roman"/>
          <w:sz w:val="19"/>
          <w:szCs w:val="19"/>
          <w:b w:val="1"/>
          <w:bCs w:val="1"/>
          <w:color w:val="auto"/>
        </w:rPr>
      </w:pPr>
    </w:p>
    <w:p>
      <w:pPr>
        <w:ind w:left="38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u w:val="single" w:color="auto"/>
          <w:color w:val="auto"/>
        </w:rPr>
        <w:t>Employees</w:t>
      </w:r>
    </w:p>
    <w:p>
      <w:pPr>
        <w:spacing w:after="0" w:line="105" w:lineRule="exact"/>
        <w:rPr>
          <w:rFonts w:ascii="Times New Roman" w:cs="Times New Roman" w:eastAsia="Times New Roman" w:hAnsi="Times New Roman"/>
          <w:sz w:val="19"/>
          <w:szCs w:val="19"/>
          <w:b w:val="1"/>
          <w:bCs w:val="1"/>
          <w:color w:val="auto"/>
        </w:rPr>
      </w:pPr>
    </w:p>
    <w:p>
      <w:pPr>
        <w:jc w:val="both"/>
        <w:ind w:left="380"/>
        <w:spacing w:after="0" w:line="24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The Company maintains collective bargaining agreements relating to the union employees within the Building Materials business and Magnesia Specialties segment. Of the Magnesia Specialties segment, 100% of its hourly employees are represented by labor unions. The Woodville collective bargaining agreement expires June 2022. The Manistee collective bargaining agreement expires in August 2019. While the Company’s management believes that the existing agreement will be extended or renewed before the expiration, there can be no assurance that a successor agreement will be reached at the Manistee location.</w:t>
      </w:r>
    </w:p>
    <w:p>
      <w:pPr>
        <w:spacing w:after="0" w:line="393" w:lineRule="exact"/>
        <w:rPr>
          <w:rFonts w:ascii="Times New Roman" w:cs="Times New Roman" w:eastAsia="Times New Roman" w:hAnsi="Times New Roman"/>
          <w:sz w:val="19"/>
          <w:szCs w:val="19"/>
          <w:b w:val="1"/>
          <w:bCs w:val="1"/>
          <w:color w:val="auto"/>
        </w:rPr>
      </w:pPr>
    </w:p>
    <w:p>
      <w:pPr>
        <w:ind w:left="380" w:hanging="373"/>
        <w:spacing w:after="0"/>
        <w:tabs>
          <w:tab w:leader="none" w:pos="38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Segments</w:t>
      </w:r>
    </w:p>
    <w:p>
      <w:pPr>
        <w:spacing w:after="0" w:line="55" w:lineRule="exact"/>
        <w:rPr>
          <w:rFonts w:ascii="Times New Roman" w:cs="Times New Roman" w:eastAsia="Times New Roman" w:hAnsi="Times New Roman"/>
          <w:sz w:val="20"/>
          <w:szCs w:val="20"/>
          <w:b w:val="1"/>
          <w:bCs w:val="1"/>
          <w:color w:val="auto"/>
        </w:rPr>
      </w:pPr>
    </w:p>
    <w:p>
      <w:pPr>
        <w:jc w:val="both"/>
        <w:ind w:left="38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Building Materials business contains three reportable business segments: Mid-America Group, Southeast Group and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and expenses, net; and exclude interest expense; other nonoperating income and expenses, net; and taxes on income. Corporate loss from operations primarily includes depreciation on capitalized interest; unallocated expenses for corporate administrative functions; acquisition-related expenses, net; and other nonrecurring income and expenses excluded from the Company’s evaluation of business segment performance and resource allocation. All debt and related interest expense are held at Corporate.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25"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The following table displays selected financial data for the Company’s reportable business segments. The Bluegrass Materials Company (Bluegrass) operations, acquired in April 2018, are located in the Mid-America Group and Southeast Group. Total revenues, as well as the consolidated statements of earnings and comprehensive earnings, exclude intersegment revenues which represent sales from one segment to another segment, which are eliminated.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gridSpan w:val="6"/>
          </w:tcPr>
          <w:p>
            <w:pPr>
              <w:jc w:val="right"/>
              <w:ind w:right="980"/>
              <w:spacing w:after="0"/>
              <w:rPr>
                <w:sz w:val="20"/>
                <w:szCs w:val="20"/>
                <w:color w:val="auto"/>
              </w:rPr>
            </w:pPr>
            <w:r>
              <w:rPr>
                <w:rFonts w:ascii="Times New Roman" w:cs="Times New Roman" w:eastAsia="Times New Roman" w:hAnsi="Times New Roman"/>
                <w:sz w:val="20"/>
                <w:szCs w:val="20"/>
                <w:color w:val="auto"/>
              </w:rPr>
              <w:t>Three Months Ended</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740" w:type="dxa"/>
            <w:vAlign w:val="bottom"/>
            <w:gridSpan w:val="7"/>
          </w:tcPr>
          <w:p>
            <w:pPr>
              <w:jc w:val="right"/>
              <w:ind w:right="1080"/>
              <w:spacing w:after="0"/>
              <w:rPr>
                <w:sz w:val="20"/>
                <w:szCs w:val="20"/>
                <w:color w:val="auto"/>
              </w:rPr>
            </w:pPr>
            <w:r>
              <w:rPr>
                <w:rFonts w:ascii="Times New Roman" w:cs="Times New Roman" w:eastAsia="Times New Roman" w:hAnsi="Times New Roman"/>
                <w:sz w:val="20"/>
                <w:szCs w:val="20"/>
                <w:color w:val="auto"/>
              </w:rPr>
              <w:t>Six Months Ended</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June 30,</w:t>
            </w: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20"/>
                <w:szCs w:val="20"/>
                <w:color w:val="auto"/>
              </w:rPr>
              <w:t>June 30,</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502"/>
              <w:spacing w:after="0"/>
              <w:rPr>
                <w:sz w:val="20"/>
                <w:szCs w:val="20"/>
                <w:color w:val="auto"/>
              </w:rPr>
            </w:pPr>
            <w:r>
              <w:rPr>
                <w:rFonts w:ascii="Times New Roman" w:cs="Times New Roman" w:eastAsia="Times New Roman" w:hAnsi="Times New Roman"/>
                <w:sz w:val="20"/>
                <w:szCs w:val="20"/>
                <w:color w:val="auto"/>
              </w:rPr>
              <w:t>2018</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20"/>
                <w:szCs w:val="20"/>
                <w:color w:val="auto"/>
              </w:rPr>
              <w:t>2019</w:t>
            </w: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40" w:type="dxa"/>
            <w:vAlign w:val="bottom"/>
            <w:gridSpan w:val="7"/>
          </w:tcPr>
          <w:p>
            <w:pPr>
              <w:jc w:val="right"/>
              <w:ind w:right="108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gridSpan w:val="5"/>
            <w:shd w:val="clear" w:color="auto" w:fill="CFF0FC"/>
          </w:tcPr>
          <w:p>
            <w:pPr>
              <w:spacing w:after="0" w:line="202" w:lineRule="exact"/>
              <w:rPr>
                <w:sz w:val="20"/>
                <w:szCs w:val="20"/>
                <w:color w:val="auto"/>
              </w:rPr>
            </w:pPr>
            <w:r>
              <w:rPr>
                <w:rFonts w:ascii="Times New Roman" w:cs="Times New Roman" w:eastAsia="Times New Roman" w:hAnsi="Times New Roman"/>
                <w:sz w:val="20"/>
                <w:szCs w:val="20"/>
                <w:color w:val="auto"/>
              </w:rPr>
              <w:t>Total revenues:</w:t>
            </w: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415,327</w:t>
            </w:r>
          </w:p>
        </w:tc>
        <w:tc>
          <w:tcPr>
            <w:tcW w:w="280" w:type="dxa"/>
            <w:vAlign w:val="bottom"/>
          </w:tcPr>
          <w:p>
            <w:pPr>
              <w:spacing w:after="0"/>
              <w:rPr>
                <w:sz w:val="21"/>
                <w:szCs w:val="21"/>
                <w:color w:val="auto"/>
              </w:rPr>
            </w:pP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350,592</w:t>
            </w:r>
          </w:p>
        </w:tc>
        <w:tc>
          <w:tcPr>
            <w:tcW w:w="100" w:type="dxa"/>
            <w:vAlign w:val="bottom"/>
          </w:tcPr>
          <w:p>
            <w:pPr>
              <w:spacing w:after="0"/>
              <w:rPr>
                <w:sz w:val="21"/>
                <w:szCs w:val="21"/>
                <w:color w:val="auto"/>
              </w:rPr>
            </w:pPr>
          </w:p>
        </w:tc>
        <w:tc>
          <w:tcPr>
            <w:tcW w:w="940" w:type="dxa"/>
            <w:vAlign w:val="bottom"/>
            <w:gridSpan w:val="2"/>
          </w:tcPr>
          <w:p>
            <w:pPr>
              <w:jc w:val="right"/>
              <w:ind w:right="56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664,140</w:t>
            </w:r>
          </w:p>
        </w:tc>
        <w:tc>
          <w:tcPr>
            <w:tcW w:w="280" w:type="dxa"/>
            <w:vAlign w:val="bottom"/>
          </w:tcPr>
          <w:p>
            <w:pPr>
              <w:spacing w:after="0"/>
              <w:rPr>
                <w:sz w:val="21"/>
                <w:szCs w:val="21"/>
                <w:color w:val="auto"/>
              </w:rPr>
            </w:pPr>
          </w:p>
        </w:tc>
        <w:tc>
          <w:tcPr>
            <w:tcW w:w="380" w:type="dxa"/>
            <w:vAlign w:val="bottom"/>
            <w:gridSpan w:val="2"/>
          </w:tcPr>
          <w:p>
            <w:pPr>
              <w:jc w:val="right"/>
              <w:ind w:right="193"/>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529,373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137,024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112,963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256,262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193,202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20"/>
                <w:szCs w:val="20"/>
                <w:color w:val="auto"/>
              </w:rPr>
              <w:t>West Group</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650,878</w:t>
            </w: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665,886</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4"/>
              </w:rPr>
              <w:t>1,147,708</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1,139,608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1,203,229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1,129,441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4"/>
              </w:rPr>
              <w:t>2,068,110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1,862,183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76,239</w:t>
            </w: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72,962</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150,313</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142,224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1,279,468</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1,202,403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4"/>
              </w:rPr>
              <w:t>2,218,423</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2,004,407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500" w:type="dxa"/>
            <w:vAlign w:val="bottom"/>
            <w:tcBorders>
              <w:bottom w:val="single" w:sz="8" w:color="auto"/>
            </w:tcBorders>
            <w:gridSpan w:val="3"/>
            <w:shd w:val="clear" w:color="auto" w:fill="CFF0FC"/>
          </w:tcPr>
          <w:p>
            <w:pPr>
              <w:spacing w:after="0" w:line="202" w:lineRule="exact"/>
              <w:rPr>
                <w:sz w:val="20"/>
                <w:szCs w:val="20"/>
                <w:color w:val="auto"/>
              </w:rPr>
            </w:pPr>
            <w:r>
              <w:rPr>
                <w:rFonts w:ascii="Times New Roman" w:cs="Times New Roman" w:eastAsia="Times New Roman" w:hAnsi="Times New Roman"/>
                <w:sz w:val="20"/>
                <w:szCs w:val="20"/>
                <w:color w:val="auto"/>
                <w:w w:val="97"/>
              </w:rPr>
              <w:t>Products and services revenues:</w:t>
            </w:r>
          </w:p>
        </w:tc>
        <w:tc>
          <w:tcPr>
            <w:tcW w:w="940" w:type="dxa"/>
            <w:vAlign w:val="bottom"/>
            <w:tcBorders>
              <w:bottom w:val="single" w:sz="8" w:color="CFF0FC"/>
            </w:tcBorders>
            <w:gridSpan w:val="2"/>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382,717</w:t>
            </w:r>
          </w:p>
        </w:tc>
        <w:tc>
          <w:tcPr>
            <w:tcW w:w="280" w:type="dxa"/>
            <w:vAlign w:val="bottom"/>
          </w:tcPr>
          <w:p>
            <w:pPr>
              <w:spacing w:after="0"/>
              <w:rPr>
                <w:sz w:val="21"/>
                <w:szCs w:val="21"/>
                <w:color w:val="auto"/>
              </w:rPr>
            </w:pP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325,578</w:t>
            </w:r>
          </w:p>
        </w:tc>
        <w:tc>
          <w:tcPr>
            <w:tcW w:w="100" w:type="dxa"/>
            <w:vAlign w:val="bottom"/>
          </w:tcPr>
          <w:p>
            <w:pPr>
              <w:spacing w:after="0"/>
              <w:rPr>
                <w:sz w:val="21"/>
                <w:szCs w:val="21"/>
                <w:color w:val="auto"/>
              </w:rPr>
            </w:pPr>
          </w:p>
        </w:tc>
        <w:tc>
          <w:tcPr>
            <w:tcW w:w="940" w:type="dxa"/>
            <w:vAlign w:val="bottom"/>
            <w:gridSpan w:val="2"/>
          </w:tcPr>
          <w:p>
            <w:pPr>
              <w:jc w:val="right"/>
              <w:ind w:right="56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613,025</w:t>
            </w:r>
          </w:p>
        </w:tc>
        <w:tc>
          <w:tcPr>
            <w:tcW w:w="280" w:type="dxa"/>
            <w:vAlign w:val="bottom"/>
          </w:tcPr>
          <w:p>
            <w:pPr>
              <w:spacing w:after="0"/>
              <w:rPr>
                <w:sz w:val="21"/>
                <w:szCs w:val="21"/>
                <w:color w:val="auto"/>
              </w:rPr>
            </w:pPr>
          </w:p>
        </w:tc>
        <w:tc>
          <w:tcPr>
            <w:tcW w:w="380" w:type="dxa"/>
            <w:vAlign w:val="bottom"/>
            <w:gridSpan w:val="2"/>
          </w:tcPr>
          <w:p>
            <w:pPr>
              <w:jc w:val="right"/>
              <w:ind w:right="193"/>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493,468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132,036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109,082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247,348</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186,646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20"/>
                <w:szCs w:val="20"/>
                <w:color w:val="auto"/>
              </w:rPr>
              <w:t>West Group</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611,003</w:t>
            </w: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625,960</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4"/>
              </w:rPr>
              <w:t>1,074,514</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1,068,943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1,125,756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1,060,620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4"/>
              </w:rPr>
              <w:t>1,934,887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1,749,057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70,379</w:t>
            </w: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68,157</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139,553</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133,025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1,196,135</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1,128,777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4"/>
              </w:rPr>
              <w:t>2,074,440</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1,882,082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440" w:type="dxa"/>
            <w:vAlign w:val="bottom"/>
            <w:gridSpan w:val="5"/>
            <w:shd w:val="clear" w:color="auto" w:fill="CFF0FC"/>
          </w:tcPr>
          <w:p>
            <w:pPr>
              <w:spacing w:after="0" w:line="202" w:lineRule="exact"/>
              <w:rPr>
                <w:sz w:val="20"/>
                <w:szCs w:val="20"/>
                <w:color w:val="auto"/>
              </w:rPr>
            </w:pPr>
            <w:r>
              <w:rPr>
                <w:rFonts w:ascii="Times New Roman" w:cs="Times New Roman" w:eastAsia="Times New Roman" w:hAnsi="Times New Roman"/>
                <w:sz w:val="20"/>
                <w:szCs w:val="20"/>
                <w:color w:val="auto"/>
              </w:rPr>
              <w:t>Earnings (Loss) from operations:</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900" w:type="dxa"/>
            <w:vAlign w:val="bottom"/>
            <w:tcBorders>
              <w:top w:val="single" w:sz="8" w:color="CFF0FC"/>
            </w:tcBorders>
          </w:tcPr>
          <w:p>
            <w:pPr>
              <w:spacing w:after="0"/>
              <w:rPr>
                <w:sz w:val="21"/>
                <w:szCs w:val="21"/>
                <w:color w:val="auto"/>
              </w:rPr>
            </w:pPr>
          </w:p>
        </w:tc>
        <w:tc>
          <w:tcPr>
            <w:tcW w:w="1120" w:type="dxa"/>
            <w:vAlign w:val="bottom"/>
            <w:tcBorders>
              <w:top w:val="single" w:sz="8" w:color="CFF0FC"/>
            </w:tcBorders>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141,678</w:t>
            </w:r>
          </w:p>
        </w:tc>
        <w:tc>
          <w:tcPr>
            <w:tcW w:w="280" w:type="dxa"/>
            <w:vAlign w:val="bottom"/>
            <w:tcBorders>
              <w:top w:val="single" w:sz="8" w:color="CFF0FC"/>
            </w:tcBorders>
          </w:tcPr>
          <w:p>
            <w:pPr>
              <w:spacing w:after="0"/>
              <w:rPr>
                <w:sz w:val="21"/>
                <w:szCs w:val="21"/>
                <w:color w:val="auto"/>
              </w:rPr>
            </w:pPr>
          </w:p>
        </w:tc>
        <w:tc>
          <w:tcPr>
            <w:tcW w:w="260" w:type="dxa"/>
            <w:vAlign w:val="bottom"/>
            <w:tcBorders>
              <w:top w:val="single" w:sz="8" w:color="CFF0FC"/>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108,709</w:t>
            </w:r>
          </w:p>
        </w:tc>
        <w:tc>
          <w:tcPr>
            <w:tcW w:w="100" w:type="dxa"/>
            <w:vAlign w:val="bottom"/>
            <w:tcBorders>
              <w:top w:val="single" w:sz="8" w:color="CFF0FC"/>
            </w:tcBorders>
          </w:tcPr>
          <w:p>
            <w:pPr>
              <w:spacing w:after="0"/>
              <w:rPr>
                <w:sz w:val="21"/>
                <w:szCs w:val="21"/>
                <w:color w:val="auto"/>
              </w:rPr>
            </w:pPr>
          </w:p>
        </w:tc>
        <w:tc>
          <w:tcPr>
            <w:tcW w:w="940" w:type="dxa"/>
            <w:vAlign w:val="bottom"/>
            <w:tcBorders>
              <w:top w:val="single" w:sz="8" w:color="CFF0FC"/>
            </w:tcBorders>
            <w:gridSpan w:val="2"/>
          </w:tcPr>
          <w:p>
            <w:pPr>
              <w:jc w:val="right"/>
              <w:ind w:right="56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172,633</w:t>
            </w:r>
          </w:p>
        </w:tc>
        <w:tc>
          <w:tcPr>
            <w:tcW w:w="280" w:type="dxa"/>
            <w:vAlign w:val="bottom"/>
            <w:tcBorders>
              <w:top w:val="single" w:sz="8" w:color="CFF0FC"/>
            </w:tcBorders>
          </w:tcPr>
          <w:p>
            <w:pPr>
              <w:spacing w:after="0"/>
              <w:rPr>
                <w:sz w:val="21"/>
                <w:szCs w:val="21"/>
                <w:color w:val="auto"/>
              </w:rPr>
            </w:pPr>
          </w:p>
        </w:tc>
        <w:tc>
          <w:tcPr>
            <w:tcW w:w="380" w:type="dxa"/>
            <w:vAlign w:val="bottom"/>
            <w:tcBorders>
              <w:top w:val="single" w:sz="8" w:color="CFF0FC"/>
            </w:tcBorders>
            <w:gridSpan w:val="2"/>
          </w:tcPr>
          <w:p>
            <w:pPr>
              <w:jc w:val="right"/>
              <w:ind w:right="193"/>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114,876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32,688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32,052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53,822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34,093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20"/>
                <w:szCs w:val="20"/>
                <w:color w:val="auto"/>
              </w:rPr>
              <w:t>West Group</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110,223</w:t>
            </w: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122,844</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130,158</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157,796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284,589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263,605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356,613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306,765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25,219</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47,862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(23,926)</w:t>
            </w:r>
          </w:p>
        </w:tc>
        <w:tc>
          <w:tcPr>
            <w:tcW w:w="26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(20,981)</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(49,372)</w:t>
            </w: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(46,296)</w:t>
            </w:r>
          </w:p>
        </w:tc>
        <w:tc>
          <w:tcPr>
            <w:tcW w:w="0" w:type="dxa"/>
            <w:vAlign w:val="bottom"/>
          </w:tcPr>
          <w:p>
            <w:pPr>
              <w:spacing w:after="0"/>
              <w:rPr>
                <w:sz w:val="1"/>
                <w:szCs w:val="1"/>
                <w:color w:val="auto"/>
              </w:rPr>
            </w:pPr>
          </w:p>
        </w:tc>
      </w:tr>
      <w:tr>
        <w:trPr>
          <w:trHeight w:val="235"/>
        </w:trPr>
        <w:tc>
          <w:tcPr>
            <w:tcW w:w="34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285,882</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263,953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355,103</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346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auto"/>
              </w:rPr>
              <w:t>Assets employed:</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4"/>
          </w:tcPr>
          <w:p>
            <w:pPr>
              <w:jc w:val="right"/>
              <w:ind w:right="502"/>
              <w:spacing w:after="0"/>
              <w:rPr>
                <w:sz w:val="20"/>
                <w:szCs w:val="20"/>
                <w:color w:val="auto"/>
              </w:rPr>
            </w:pPr>
            <w:r>
              <w:rPr>
                <w:rFonts w:ascii="Times New Roman" w:cs="Times New Roman" w:eastAsia="Times New Roman" w:hAnsi="Times New Roman"/>
                <w:sz w:val="20"/>
                <w:szCs w:val="20"/>
                <w:color w:val="auto"/>
              </w:rPr>
              <w:t>June 30, 2019</w:t>
            </w:r>
          </w:p>
        </w:tc>
        <w:tc>
          <w:tcPr>
            <w:tcW w:w="360" w:type="dxa"/>
            <w:vAlign w:val="bottom"/>
          </w:tcPr>
          <w:p>
            <w:pPr>
              <w:spacing w:after="0"/>
              <w:rPr>
                <w:sz w:val="24"/>
                <w:szCs w:val="24"/>
                <w:color w:val="auto"/>
              </w:rPr>
            </w:pPr>
          </w:p>
        </w:tc>
        <w:tc>
          <w:tcPr>
            <w:tcW w:w="2380" w:type="dxa"/>
            <w:vAlign w:val="bottom"/>
            <w:gridSpan w:val="6"/>
          </w:tcPr>
          <w:p>
            <w:pPr>
              <w:jc w:val="right"/>
              <w:ind w:right="480"/>
              <w:spacing w:after="0"/>
              <w:rPr>
                <w:sz w:val="20"/>
                <w:szCs w:val="20"/>
                <w:color w:val="auto"/>
              </w:rPr>
            </w:pPr>
            <w:r>
              <w:rPr>
                <w:rFonts w:ascii="Times New Roman" w:cs="Times New Roman" w:eastAsia="Times New Roman" w:hAnsi="Times New Roman"/>
                <w:sz w:val="20"/>
                <w:szCs w:val="20"/>
                <w:color w:val="auto"/>
              </w:rPr>
              <w:t>December 31, 2018</w:t>
            </w:r>
          </w:p>
        </w:tc>
        <w:tc>
          <w:tcPr>
            <w:tcW w:w="0" w:type="dxa"/>
            <w:vAlign w:val="bottom"/>
          </w:tcPr>
          <w:p>
            <w:pPr>
              <w:spacing w:after="0"/>
              <w:rPr>
                <w:sz w:val="1"/>
                <w:szCs w:val="1"/>
                <w:color w:val="auto"/>
              </w:rPr>
            </w:pPr>
          </w:p>
        </w:tc>
      </w:tr>
      <w:tr>
        <w:trPr>
          <w:trHeight w:val="195"/>
        </w:trPr>
        <w:tc>
          <w:tcPr>
            <w:tcW w:w="3460" w:type="dxa"/>
            <w:vAlign w:val="bottom"/>
            <w:gridSpan w:val="6"/>
            <w:vMerge w:val="continue"/>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4"/>
          </w:tcPr>
          <w:p>
            <w:pPr>
              <w:jc w:val="right"/>
              <w:ind w:right="20"/>
              <w:spacing w:after="0" w:line="195" w:lineRule="exact"/>
              <w:rPr>
                <w:sz w:val="20"/>
                <w:szCs w:val="20"/>
                <w:color w:val="auto"/>
              </w:rPr>
            </w:pPr>
            <w:r>
              <w:rPr>
                <w:rFonts w:ascii="Times New Roman" w:cs="Times New Roman" w:eastAsia="Times New Roman" w:hAnsi="Times New Roman"/>
                <w:sz w:val="20"/>
                <w:szCs w:val="20"/>
                <w:i w:val="1"/>
                <w:iCs w:val="1"/>
                <w:color w:val="auto"/>
                <w:w w:val="99"/>
              </w:rPr>
              <w:t>(Dollars in thousands)</w:t>
            </w: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4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0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2,906,227</w:t>
            </w:r>
          </w:p>
        </w:tc>
        <w:tc>
          <w:tcPr>
            <w:tcW w:w="800" w:type="dxa"/>
            <w:vAlign w:val="bottom"/>
            <w:gridSpan w:val="2"/>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2,788,454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1,443,402</w:t>
            </w: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1,299,469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20"/>
                <w:szCs w:val="20"/>
                <w:color w:val="auto"/>
              </w:rPr>
              <w:t>West Group</w:t>
            </w:r>
          </w:p>
        </w:tc>
        <w:tc>
          <w:tcPr>
            <w:tcW w:w="78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5,355,685</w:t>
            </w:r>
          </w:p>
        </w:tc>
        <w:tc>
          <w:tcPr>
            <w:tcW w:w="36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4,989,639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9,705,314</w:t>
            </w:r>
          </w:p>
        </w:tc>
        <w:tc>
          <w:tcPr>
            <w:tcW w:w="3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9,077,562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176,484</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156,106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w:t>
            </w: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281,859</w:t>
            </w:r>
          </w:p>
        </w:tc>
        <w:tc>
          <w:tcPr>
            <w:tcW w:w="36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317,751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4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10,163,657</w:t>
            </w:r>
          </w:p>
        </w:tc>
        <w:tc>
          <w:tcPr>
            <w:tcW w:w="36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9,551,419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14" w:lineRule="exact"/>
        <w:rPr>
          <w:sz w:val="20"/>
          <w:szCs w:val="20"/>
          <w:color w:val="auto"/>
        </w:rPr>
      </w:pPr>
    </w:p>
    <w:p>
      <w:pPr>
        <w:ind w:left="380" w:hanging="373"/>
        <w:spacing w:after="0"/>
        <w:tabs>
          <w:tab w:leader="none" w:pos="38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Revenues and Gross Profit</w:t>
      </w:r>
    </w:p>
    <w:p>
      <w:pPr>
        <w:spacing w:after="0" w:line="55" w:lineRule="exact"/>
        <w:rPr>
          <w:rFonts w:ascii="Times New Roman" w:cs="Times New Roman" w:eastAsia="Times New Roman" w:hAnsi="Times New Roman"/>
          <w:sz w:val="20"/>
          <w:szCs w:val="20"/>
          <w:b w:val="1"/>
          <w:bCs w:val="1"/>
          <w:color w:val="auto"/>
        </w:rPr>
      </w:pPr>
    </w:p>
    <w:p>
      <w:pPr>
        <w:jc w:val="both"/>
        <w:ind w:left="38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total revenues and gross profit by product line. The Company’s two cold mix asphalt plants have been reclassified from the asphalt and paving product line to the aggregates product line. These operations did not represent a material amount of product revenues and gross profit. Prior-year information has been reclassified to conform to the presentation of the Company’s current reportable product lines.</w:t>
      </w: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right"/>
              <w:ind w:right="740"/>
              <w:spacing w:after="0" w:line="211" w:lineRule="exact"/>
              <w:rPr>
                <w:sz w:val="20"/>
                <w:szCs w:val="20"/>
                <w:color w:val="auto"/>
              </w:rPr>
            </w:pPr>
            <w:r>
              <w:rPr>
                <w:rFonts w:ascii="Times New Roman" w:cs="Times New Roman" w:eastAsia="Times New Roman" w:hAnsi="Times New Roman"/>
                <w:sz w:val="19"/>
                <w:szCs w:val="19"/>
                <w:color w:val="auto"/>
              </w:rPr>
              <w:t>Three Months Ended</w:t>
            </w:r>
          </w:p>
        </w:tc>
        <w:tc>
          <w:tcPr>
            <w:tcW w:w="260" w:type="dxa"/>
            <w:vAlign w:val="bottom"/>
          </w:tcPr>
          <w:p>
            <w:pPr>
              <w:spacing w:after="0"/>
              <w:rPr>
                <w:sz w:val="18"/>
                <w:szCs w:val="18"/>
                <w:color w:val="auto"/>
              </w:rPr>
            </w:pPr>
          </w:p>
        </w:tc>
        <w:tc>
          <w:tcPr>
            <w:tcW w:w="2420" w:type="dxa"/>
            <w:vAlign w:val="bottom"/>
            <w:gridSpan w:val="5"/>
          </w:tcPr>
          <w:p>
            <w:pPr>
              <w:jc w:val="right"/>
              <w:ind w:right="700"/>
              <w:spacing w:after="0" w:line="211" w:lineRule="exact"/>
              <w:rPr>
                <w:sz w:val="20"/>
                <w:szCs w:val="20"/>
                <w:color w:val="auto"/>
              </w:rPr>
            </w:pPr>
            <w:r>
              <w:rPr>
                <w:rFonts w:ascii="Times New Roman" w:cs="Times New Roman" w:eastAsia="Times New Roman" w:hAnsi="Times New Roman"/>
                <w:sz w:val="19"/>
                <w:szCs w:val="19"/>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
              <w:spacing w:after="0"/>
              <w:rPr>
                <w:sz w:val="20"/>
                <w:szCs w:val="20"/>
                <w:color w:val="auto"/>
              </w:rPr>
            </w:pPr>
            <w:r>
              <w:rPr>
                <w:rFonts w:ascii="Times New Roman" w:cs="Times New Roman" w:eastAsia="Times New Roman" w:hAnsi="Times New Roman"/>
                <w:sz w:val="19"/>
                <w:szCs w:val="19"/>
                <w:color w:val="auto"/>
              </w:rPr>
              <w:t>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9"/>
                <w:szCs w:val="19"/>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9"/>
                <w:szCs w:val="19"/>
                <w:color w:val="auto"/>
              </w:rPr>
              <w:t>2019</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9"/>
                <w:szCs w:val="19"/>
                <w:color w:val="auto"/>
              </w:rPr>
              <w:t>2018</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9"/>
                <w:szCs w:val="19"/>
                <w:color w:val="auto"/>
              </w:rPr>
              <w:t>2019</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9"/>
                <w:szCs w:val="19"/>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FF0FC"/>
          </w:tcPr>
          <w:p>
            <w:pPr>
              <w:spacing w:after="0" w:line="188" w:lineRule="exact"/>
              <w:rPr>
                <w:sz w:val="20"/>
                <w:szCs w:val="20"/>
                <w:color w:val="auto"/>
              </w:rPr>
            </w:pPr>
            <w:r>
              <w:rPr>
                <w:rFonts w:ascii="Times New Roman" w:cs="Times New Roman" w:eastAsia="Times New Roman" w:hAnsi="Times New Roman"/>
                <w:sz w:val="19"/>
                <w:szCs w:val="19"/>
                <w:color w:val="auto"/>
                <w:w w:val="95"/>
              </w:rPr>
              <w:t>Total revenues:</w:t>
            </w:r>
          </w:p>
        </w:tc>
        <w:tc>
          <w:tcPr>
            <w:tcW w:w="4720" w:type="dxa"/>
            <w:vAlign w:val="bottom"/>
            <w:tcBorders>
              <w:bottom w:val="single" w:sz="8" w:color="CFF0FC"/>
            </w:tcBorders>
            <w:gridSpan w:val="2"/>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Building Materials Business: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9"/>
                <w:szCs w:val="19"/>
                <w:color w:val="auto"/>
              </w:rPr>
              <w:t>Products and services: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Aggregates</w:t>
            </w: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757,802</w:t>
            </w:r>
          </w:p>
        </w:tc>
        <w:tc>
          <w:tcPr>
            <w:tcW w:w="160" w:type="dxa"/>
            <w:vAlign w:val="bottom"/>
          </w:tcPr>
          <w:p>
            <w:pPr>
              <w:spacing w:after="0"/>
              <w:rPr>
                <w:sz w:val="19"/>
                <w:szCs w:val="19"/>
                <w:color w:val="auto"/>
              </w:rPr>
            </w:pPr>
          </w:p>
        </w:tc>
        <w:tc>
          <w:tcPr>
            <w:tcW w:w="380" w:type="dxa"/>
            <w:vAlign w:val="bottom"/>
            <w:gridSpan w:val="2"/>
          </w:tcPr>
          <w:p>
            <w:pPr>
              <w:jc w:val="right"/>
              <w:ind w:right="106"/>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666,966</w:t>
            </w:r>
          </w:p>
        </w:tc>
        <w:tc>
          <w:tcPr>
            <w:tcW w:w="220" w:type="dxa"/>
            <w:vAlign w:val="bottom"/>
          </w:tcPr>
          <w:p>
            <w:pPr>
              <w:spacing w:after="0"/>
              <w:rPr>
                <w:sz w:val="19"/>
                <w:szCs w:val="19"/>
                <w:color w:val="auto"/>
              </w:rPr>
            </w:pP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1,302,750</w:t>
            </w:r>
          </w:p>
        </w:tc>
        <w:tc>
          <w:tcPr>
            <w:tcW w:w="220" w:type="dxa"/>
            <w:vAlign w:val="bottom"/>
          </w:tcPr>
          <w:p>
            <w:pPr>
              <w:spacing w:after="0"/>
              <w:rPr>
                <w:sz w:val="19"/>
                <w:szCs w:val="19"/>
                <w:color w:val="auto"/>
              </w:rPr>
            </w:pPr>
          </w:p>
        </w:tc>
        <w:tc>
          <w:tcPr>
            <w:tcW w:w="30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1,094,139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9"/>
                <w:szCs w:val="19"/>
                <w:color w:val="auto"/>
              </w:rPr>
              <w:t>Cement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112,350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113,148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211,367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202,331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Ready mixed concrete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241,178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277,202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452,335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9"/>
                <w:szCs w:val="19"/>
                <w:color w:val="auto"/>
              </w:rPr>
              <w:t>Asphalt and paving services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82,198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81,482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94,570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95,692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Less: interproduct revenues</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(67,772)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(78,178)</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(126,135)</w:t>
            </w:r>
          </w:p>
        </w:tc>
        <w:tc>
          <w:tcPr>
            <w:tcW w:w="3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(138,843)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Borders>
              <w:top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9"/>
                <w:szCs w:val="19"/>
                <w:color w:val="auto"/>
              </w:rPr>
              <w:t>Products and services</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1,125,756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1,060,620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1,934,887</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1,749,057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Borders>
              <w:bottom w:val="single" w:sz="8" w:color="CFF0FC"/>
            </w:tcBorders>
            <w:gridSpan w:val="3"/>
          </w:tcPr>
          <w:p>
            <w:pPr>
              <w:ind w:left="120"/>
              <w:spacing w:after="0"/>
              <w:rPr>
                <w:sz w:val="20"/>
                <w:szCs w:val="20"/>
                <w:color w:val="auto"/>
              </w:rPr>
            </w:pPr>
            <w:r>
              <w:rPr>
                <w:rFonts w:ascii="Times New Roman" w:cs="Times New Roman" w:eastAsia="Times New Roman" w:hAnsi="Times New Roman"/>
                <w:sz w:val="19"/>
                <w:szCs w:val="19"/>
                <w:color w:val="auto"/>
              </w:rPr>
              <w:t>Freight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77,473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68,821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133,223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113,126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9"/>
                <w:szCs w:val="19"/>
                <w:color w:val="auto"/>
              </w:rPr>
              <w:t>Total Building Materials Business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1,203,229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1,129,441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2,068,110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1,862,183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Magnesia Specialties: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9"/>
                <w:szCs w:val="19"/>
                <w:color w:val="auto"/>
              </w:rPr>
              <w:t>Products and services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70,379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68,157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139,553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133,025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Borders>
              <w:bottom w:val="single" w:sz="8" w:color="CFF0FC"/>
            </w:tcBorders>
            <w:gridSpan w:val="3"/>
          </w:tcPr>
          <w:p>
            <w:pPr>
              <w:ind w:left="120"/>
              <w:spacing w:after="0"/>
              <w:rPr>
                <w:sz w:val="20"/>
                <w:szCs w:val="20"/>
                <w:color w:val="auto"/>
              </w:rPr>
            </w:pPr>
            <w:r>
              <w:rPr>
                <w:rFonts w:ascii="Times New Roman" w:cs="Times New Roman" w:eastAsia="Times New Roman" w:hAnsi="Times New Roman"/>
                <w:sz w:val="19"/>
                <w:szCs w:val="19"/>
                <w:color w:val="auto"/>
              </w:rPr>
              <w:t>Freight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5,860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4,805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10,760</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9"/>
                <w:szCs w:val="19"/>
                <w:color w:val="auto"/>
              </w:rPr>
              <w:t>Total Magnesia Specialties</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76,239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72,962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150,313</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142,224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Total</w:t>
            </w:r>
          </w:p>
        </w:tc>
        <w:tc>
          <w:tcPr>
            <w:tcW w:w="2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1,279,468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1,202,403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2,218,423</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2,004,407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gridSpan w:val="4"/>
            <w:vMerge w:val="restart"/>
          </w:tcPr>
          <w:p>
            <w:pPr>
              <w:spacing w:after="0"/>
              <w:rPr>
                <w:sz w:val="20"/>
                <w:szCs w:val="20"/>
                <w:color w:val="auto"/>
              </w:rPr>
            </w:pPr>
            <w:r>
              <w:rPr>
                <w:rFonts w:ascii="Times New Roman" w:cs="Times New Roman" w:eastAsia="Times New Roman" w:hAnsi="Times New Roman"/>
                <w:sz w:val="19"/>
                <w:szCs w:val="19"/>
                <w:color w:val="auto"/>
              </w:rPr>
              <w:t>Gross profit (loss):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880" w:type="dxa"/>
            <w:vAlign w:val="bottom"/>
            <w:gridSpan w:val="4"/>
            <w:vMerge w:val="continue"/>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9"/>
                <w:szCs w:val="19"/>
                <w:color w:val="auto"/>
              </w:rPr>
              <w:t>Building Materials Business: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Products and services: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9"/>
                <w:szCs w:val="19"/>
                <w:color w:val="auto"/>
              </w:rPr>
              <w:t>Aggregates</w:t>
            </w:r>
          </w:p>
        </w:tc>
        <w:tc>
          <w:tcPr>
            <w:tcW w:w="2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251,422</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198,705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349,482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252,246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Cement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41,305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56,007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9"/>
                <w:szCs w:val="19"/>
                <w:color w:val="auto"/>
              </w:rPr>
              <w:t>Ready mixed concrete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19,014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29,952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33,506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45,593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Borders>
              <w:bottom w:val="single" w:sz="8" w:color="CFF0FC"/>
            </w:tcBorders>
            <w:gridSpan w:val="3"/>
          </w:tcPr>
          <w:p>
            <w:pPr>
              <w:ind w:left="240"/>
              <w:spacing w:after="0"/>
              <w:rPr>
                <w:sz w:val="20"/>
                <w:szCs w:val="20"/>
                <w:color w:val="auto"/>
              </w:rPr>
            </w:pPr>
            <w:r>
              <w:rPr>
                <w:rFonts w:ascii="Times New Roman" w:cs="Times New Roman" w:eastAsia="Times New Roman" w:hAnsi="Times New Roman"/>
                <w:sz w:val="19"/>
                <w:szCs w:val="19"/>
                <w:color w:val="auto"/>
              </w:rPr>
              <w:t>Asphalt and paving services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15,742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18,347</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7,415</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9"/>
                <w:szCs w:val="19"/>
                <w:color w:val="auto"/>
              </w:rPr>
              <w:t>Products and services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328,407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288,309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446,410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373,046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Borders>
              <w:bottom w:val="single" w:sz="8" w:color="CFF0FC"/>
            </w:tcBorders>
            <w:gridSpan w:val="3"/>
          </w:tcPr>
          <w:p>
            <w:pPr>
              <w:ind w:left="120"/>
              <w:spacing w:after="0"/>
              <w:rPr>
                <w:sz w:val="20"/>
                <w:szCs w:val="20"/>
                <w:color w:val="auto"/>
              </w:rPr>
            </w:pPr>
            <w:r>
              <w:rPr>
                <w:rFonts w:ascii="Times New Roman" w:cs="Times New Roman" w:eastAsia="Times New Roman" w:hAnsi="Times New Roman"/>
                <w:sz w:val="19"/>
                <w:szCs w:val="19"/>
                <w:color w:val="auto"/>
              </w:rPr>
              <w:t>Freight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9"/>
                <w:szCs w:val="19"/>
                <w:color w:val="auto"/>
              </w:rPr>
              <w:t>Total Building Materials Business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328,634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288,907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446,473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373,526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Magnesia Specialties: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9"/>
                <w:szCs w:val="19"/>
                <w:color w:val="auto"/>
              </w:rPr>
              <w:t>Products and services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29,212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24,870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55,819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49,933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Freight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(1,174)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(1,028)</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(2,239)</w:t>
            </w:r>
          </w:p>
        </w:tc>
        <w:tc>
          <w:tcPr>
            <w:tcW w:w="3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(2,203)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9"/>
                <w:szCs w:val="19"/>
                <w:color w:val="auto"/>
              </w:rPr>
              <w:t>Total Magnesia Specialties</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28,038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23,842</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53,580</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47,730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Corporate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(279)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9"/>
                <w:szCs w:val="19"/>
                <w:color w:val="auto"/>
              </w:rPr>
              <w:t>Total</w:t>
            </w:r>
          </w:p>
        </w:tc>
        <w:tc>
          <w:tcPr>
            <w:tcW w:w="26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356,867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315,917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499,774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426,309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14" w:lineRule="exact"/>
        <w:rPr>
          <w:sz w:val="20"/>
          <w:szCs w:val="20"/>
          <w:color w:val="auto"/>
        </w:rPr>
      </w:pPr>
    </w:p>
    <w:p>
      <w:pPr>
        <w:ind w:left="380" w:hanging="373"/>
        <w:spacing w:after="0"/>
        <w:tabs>
          <w:tab w:leader="none" w:pos="38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09" w:lineRule="exact"/>
        <w:rPr>
          <w:rFonts w:ascii="Times New Roman" w:cs="Times New Roman" w:eastAsia="Times New Roman" w:hAnsi="Times New Roman"/>
          <w:sz w:val="20"/>
          <w:szCs w:val="20"/>
          <w:b w:val="1"/>
          <w:bCs w:val="1"/>
          <w:color w:val="auto"/>
        </w:rPr>
      </w:pPr>
    </w:p>
    <w:p>
      <w:pPr>
        <w:jc w:val="both"/>
        <w:ind w:left="380" w:right="2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has leases, primarily for equipment, railcars, fleet vehicles, office space, land and information technology equipment and software. The Company’s leases have remaining lease terms of one year to 54 years, some of which may include options to extend the leases for up to 30 years, and some of which may include options to terminate the leases within one year.</w:t>
      </w:r>
    </w:p>
    <w:p>
      <w:pPr>
        <w:spacing w:after="0" w:line="67" w:lineRule="exact"/>
        <w:rPr>
          <w:rFonts w:ascii="Times New Roman" w:cs="Times New Roman" w:eastAsia="Times New Roman" w:hAnsi="Times New Roman"/>
          <w:sz w:val="20"/>
          <w:szCs w:val="20"/>
          <w:b w:val="1"/>
          <w:bCs w:val="1"/>
          <w:color w:val="auto"/>
        </w:rPr>
      </w:pPr>
    </w:p>
    <w:p>
      <w:pPr>
        <w:jc w:val="both"/>
        <w:ind w:left="38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Certain of the Company’s lease agreements include payments based upon variable rates, including but not limited to hours used, tonnage processed and factors related to indices. The Company’s lease agreements do not contain any material residual value guarantees or material restrictive covenants.</w:t>
      </w:r>
    </w:p>
    <w:p>
      <w:pPr>
        <w:spacing w:after="0" w:line="67"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components of lease cost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color w:val="auto"/>
                <w:w w:val="98"/>
              </w:rPr>
              <w:t>Three Months Ended</w:t>
            </w:r>
          </w:p>
        </w:tc>
        <w:tc>
          <w:tcPr>
            <w:tcW w:w="24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Six Months Ended</w:t>
            </w:r>
          </w:p>
        </w:tc>
      </w:tr>
      <w:tr>
        <w:trPr>
          <w:trHeight w:val="251"/>
        </w:trPr>
        <w:tc>
          <w:tcPr>
            <w:tcW w:w="6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color w:val="auto"/>
                <w:w w:val="98"/>
              </w:rPr>
              <w:t>June 30, 2019</w:t>
            </w: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color w:val="auto"/>
              </w:rPr>
              <w:t>June 30, 2019</w:t>
            </w:r>
          </w:p>
        </w:tc>
        <w:tc>
          <w:tcPr>
            <w:tcW w:w="120" w:type="dxa"/>
            <w:vAlign w:val="bottom"/>
          </w:tcPr>
          <w:p>
            <w:pPr>
              <w:spacing w:after="0"/>
              <w:rPr>
                <w:sz w:val="21"/>
                <w:szCs w:val="21"/>
                <w:color w:val="auto"/>
              </w:rPr>
            </w:pPr>
          </w:p>
        </w:tc>
      </w:tr>
      <w:tr>
        <w:trPr>
          <w:trHeight w:val="235"/>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gridSpan w:val="4"/>
          </w:tcPr>
          <w:p>
            <w:pPr>
              <w:jc w:val="right"/>
              <w:ind w:right="1462"/>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20" w:type="dxa"/>
            <w:vAlign w:val="bottom"/>
          </w:tcPr>
          <w:p>
            <w:pPr>
              <w:spacing w:after="0"/>
              <w:rPr>
                <w:sz w:val="20"/>
                <w:szCs w:val="20"/>
                <w:color w:val="auto"/>
              </w:rPr>
            </w:pPr>
          </w:p>
        </w:tc>
      </w:tr>
      <w:tr>
        <w:trPr>
          <w:trHeight w:val="24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19,355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39,336</w:t>
            </w:r>
          </w:p>
        </w:tc>
        <w:tc>
          <w:tcPr>
            <w:tcW w:w="120" w:type="dxa"/>
            <w:vAlign w:val="bottom"/>
            <w:shd w:val="clear" w:color="auto" w:fill="CFF0FC"/>
          </w:tcPr>
          <w:p>
            <w:pPr>
              <w:spacing w:after="0"/>
              <w:rPr>
                <w:sz w:val="21"/>
                <w:szCs w:val="21"/>
                <w:color w:val="auto"/>
              </w:rPr>
            </w:pPr>
          </w:p>
        </w:tc>
      </w:tr>
      <w:tr>
        <w:trPr>
          <w:trHeight w:val="242"/>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2"/>
        </w:trPr>
        <w:tc>
          <w:tcPr>
            <w:tcW w:w="6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2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120" w:type="dxa"/>
            <w:vAlign w:val="bottom"/>
            <w:shd w:val="clear" w:color="auto" w:fill="CFF0FC"/>
          </w:tcPr>
          <w:p>
            <w:pPr>
              <w:spacing w:after="0"/>
              <w:rPr>
                <w:sz w:val="21"/>
                <w:szCs w:val="21"/>
                <w:color w:val="auto"/>
              </w:rPr>
            </w:pPr>
          </w:p>
        </w:tc>
      </w:tr>
      <w:tr>
        <w:trPr>
          <w:trHeight w:val="242"/>
        </w:trPr>
        <w:tc>
          <w:tcPr>
            <w:tcW w:w="63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2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120" w:type="dxa"/>
            <w:vAlign w:val="bottom"/>
          </w:tcPr>
          <w:p>
            <w:pPr>
              <w:spacing w:after="0"/>
              <w:rPr>
                <w:sz w:val="21"/>
                <w:szCs w:val="21"/>
                <w:color w:val="auto"/>
              </w:rPr>
            </w:pPr>
          </w:p>
        </w:tc>
      </w:tr>
      <w:tr>
        <w:trPr>
          <w:trHeight w:val="24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2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6,099</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10,766</w:t>
            </w:r>
          </w:p>
        </w:tc>
        <w:tc>
          <w:tcPr>
            <w:tcW w:w="120" w:type="dxa"/>
            <w:vAlign w:val="bottom"/>
            <w:shd w:val="clear" w:color="auto" w:fill="CFF0FC"/>
          </w:tcPr>
          <w:p>
            <w:pPr>
              <w:spacing w:after="0"/>
              <w:rPr>
                <w:sz w:val="21"/>
                <w:szCs w:val="21"/>
                <w:color w:val="auto"/>
              </w:rPr>
            </w:pPr>
          </w:p>
        </w:tc>
      </w:tr>
      <w:tr>
        <w:trPr>
          <w:trHeight w:val="242"/>
        </w:trPr>
        <w:tc>
          <w:tcPr>
            <w:tcW w:w="6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8,142</w:t>
            </w:r>
          </w:p>
        </w:tc>
        <w:tc>
          <w:tcPr>
            <w:tcW w:w="3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16,260</w:t>
            </w:r>
          </w:p>
        </w:tc>
        <w:tc>
          <w:tcPr>
            <w:tcW w:w="120" w:type="dxa"/>
            <w:vAlign w:val="bottom"/>
            <w:tcBorders>
              <w:bottom w:val="single" w:sz="8" w:color="CFF0FC"/>
            </w:tcBorders>
          </w:tcPr>
          <w:p>
            <w:pPr>
              <w:spacing w:after="0"/>
              <w:rPr>
                <w:sz w:val="21"/>
                <w:szCs w:val="21"/>
                <w:color w:val="auto"/>
              </w:rPr>
            </w:pPr>
          </w:p>
        </w:tc>
      </w:tr>
      <w:tr>
        <w:trPr>
          <w:trHeight w:val="235"/>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lease cost</w:t>
            </w:r>
          </w:p>
        </w:tc>
        <w:tc>
          <w:tcPr>
            <w:tcW w:w="2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34,369</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68,217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balance sheet classifications of operating and finance leases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gridSpan w:val="2"/>
          </w:tcPr>
          <w:p>
            <w:pPr>
              <w:jc w:val="right"/>
              <w:ind w:right="1080"/>
              <w:spacing w:after="0"/>
              <w:rPr>
                <w:sz w:val="20"/>
                <w:szCs w:val="20"/>
                <w:color w:val="auto"/>
              </w:rPr>
            </w:pPr>
            <w:r>
              <w:rPr>
                <w:rFonts w:ascii="Times New Roman" w:cs="Times New Roman" w:eastAsia="Times New Roman" w:hAnsi="Times New Roman"/>
                <w:sz w:val="20"/>
                <w:szCs w:val="20"/>
                <w:color w:val="auto"/>
              </w:rPr>
              <w:t>June 30, 2019</w:t>
            </w:r>
          </w:p>
        </w:tc>
        <w:tc>
          <w:tcPr>
            <w:tcW w:w="0" w:type="dxa"/>
            <w:vAlign w:val="bottom"/>
          </w:tcPr>
          <w:p>
            <w:pPr>
              <w:spacing w:after="0"/>
              <w:rPr>
                <w:sz w:val="1"/>
                <w:szCs w:val="1"/>
                <w:color w:val="auto"/>
              </w:rPr>
            </w:pPr>
          </w:p>
        </w:tc>
      </w:tr>
      <w:tr>
        <w:trPr>
          <w:trHeight w:val="253"/>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66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3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4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20"/>
                <w:szCs w:val="20"/>
                <w:color w:val="auto"/>
                <w:w w:val="79"/>
              </w:rPr>
              <w: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487,360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0"/>
                <w:szCs w:val="20"/>
                <w:color w:val="auto"/>
              </w:rPr>
              <w:t>Current operating lease liabilities</w:t>
            </w:r>
          </w:p>
        </w:tc>
        <w:tc>
          <w:tcPr>
            <w:tcW w:w="34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20"/>
                <w:szCs w:val="20"/>
                <w:color w:val="auto"/>
                <w:w w:val="79"/>
              </w:rPr>
              <w: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51,011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438,932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489,943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8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Finance Leases:</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340" w:type="dxa"/>
            <w:vAlign w:val="bottom"/>
            <w:gridSpan w:val="2"/>
          </w:tcPr>
          <w:p>
            <w:pPr>
              <w:jc w:val="right"/>
              <w:ind w:right="153"/>
              <w:spacing w:after="0"/>
              <w:rPr>
                <w:sz w:val="20"/>
                <w:szCs w:val="20"/>
                <w:color w:val="auto"/>
              </w:rPr>
            </w:pPr>
            <w:r>
              <w:rPr>
                <w:rFonts w:ascii="Times New Roman" w:cs="Times New Roman" w:eastAsia="Times New Roman" w:hAnsi="Times New Roman"/>
                <w:sz w:val="20"/>
                <w:szCs w:val="20"/>
                <w:color w:val="auto"/>
                <w:w w:val="79"/>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0"/>
                <w:szCs w:val="20"/>
                <w:color w:val="auto"/>
              </w:rPr>
              <w:t>Accumulated depreciation</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(1,570)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2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0" w:type="dxa"/>
            <w:vAlign w:val="bottom"/>
            <w:tcBorders>
              <w:bottom w:val="single" w:sz="8" w:color="CFF0FC"/>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2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9,259</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40" w:type="dxa"/>
            <w:vAlign w:val="bottom"/>
            <w:gridSpan w:val="2"/>
          </w:tcPr>
          <w:p>
            <w:pPr>
              <w:jc w:val="right"/>
              <w:ind w:right="153"/>
              <w:spacing w:after="0"/>
              <w:rPr>
                <w:sz w:val="20"/>
                <w:szCs w:val="20"/>
                <w:color w:val="auto"/>
              </w:rPr>
            </w:pPr>
            <w:r>
              <w:rPr>
                <w:rFonts w:ascii="Times New Roman" w:cs="Times New Roman" w:eastAsia="Times New Roman" w:hAnsi="Times New Roman"/>
                <w:sz w:val="20"/>
                <w:szCs w:val="20"/>
                <w:color w:val="auto"/>
                <w:w w:val="79"/>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7,095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finance lease liabilities</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25" w:lineRule="exact"/>
        <w:rPr>
          <w:sz w:val="20"/>
          <w:szCs w:val="20"/>
          <w:color w:val="auto"/>
        </w:rPr>
      </w:pPr>
    </w:p>
    <w:p>
      <w:pPr>
        <w:ind w:left="380"/>
        <w:spacing w:after="0" w:line="266" w:lineRule="auto"/>
        <w:rPr>
          <w:sz w:val="20"/>
          <w:szCs w:val="20"/>
          <w:color w:val="auto"/>
        </w:rPr>
      </w:pPr>
      <w:r>
        <w:rPr>
          <w:rFonts w:ascii="Times New Roman" w:cs="Times New Roman" w:eastAsia="Times New Roman" w:hAnsi="Times New Roman"/>
          <w:sz w:val="20"/>
          <w:szCs w:val="20"/>
          <w:color w:val="auto"/>
        </w:rPr>
        <w:t>The estimated incremental borrowing rate range used was 3.5% to 5.5%. Weighted-average remaining lease terms and discount rates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Weighted-average remaining lease term (years):</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auto"/>
            </w:tcBorders>
          </w:tcPr>
          <w:p>
            <w:pPr>
              <w:jc w:val="center"/>
              <w:ind w:left="582"/>
              <w:spacing w:after="0"/>
              <w:rPr>
                <w:sz w:val="20"/>
                <w:szCs w:val="20"/>
                <w:color w:val="auto"/>
              </w:rPr>
            </w:pPr>
            <w:r>
              <w:rPr>
                <w:rFonts w:ascii="Times New Roman" w:cs="Times New Roman" w:eastAsia="Times New Roman" w:hAnsi="Times New Roman"/>
                <w:sz w:val="20"/>
                <w:szCs w:val="20"/>
                <w:color w:val="auto"/>
                <w:w w:val="98"/>
              </w:rPr>
              <w:t>June 30, 2019</w:t>
            </w:r>
          </w:p>
        </w:tc>
        <w:tc>
          <w:tcPr>
            <w:tcW w:w="7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2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Operating leases</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Finance leases</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5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Operating leases</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6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Finance leases</w:t>
            </w:r>
          </w:p>
        </w:tc>
        <w:tc>
          <w:tcPr>
            <w:tcW w:w="7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70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Future lease payments under leases as of June 30, 2019 are as follows: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Operating</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jc w:val="center"/>
              <w:ind w:left="582"/>
              <w:spacing w:after="0"/>
              <w:rPr>
                <w:sz w:val="20"/>
                <w:szCs w:val="20"/>
                <w:color w:val="auto"/>
              </w:rPr>
            </w:pPr>
            <w:r>
              <w:rPr>
                <w:rFonts w:ascii="Times New Roman" w:cs="Times New Roman" w:eastAsia="Times New Roman" w:hAnsi="Times New Roman"/>
                <w:sz w:val="20"/>
                <w:szCs w:val="20"/>
                <w:color w:val="auto"/>
                <w:w w:val="97"/>
              </w:rPr>
              <w:t>Finance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20"/>
                <w:szCs w:val="20"/>
                <w:color w:val="auto"/>
              </w:rPr>
              <w:t>Leases</w:t>
            </w:r>
          </w:p>
        </w:tc>
        <w:tc>
          <w:tcPr>
            <w:tcW w:w="8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center"/>
              <w:ind w:left="582"/>
              <w:spacing w:after="0"/>
              <w:rPr>
                <w:sz w:val="20"/>
                <w:szCs w:val="20"/>
                <w:color w:val="auto"/>
              </w:rPr>
            </w:pPr>
            <w:r>
              <w:rPr>
                <w:rFonts w:ascii="Times New Roman" w:cs="Times New Roman" w:eastAsia="Times New Roman" w:hAnsi="Times New Roman"/>
                <w:sz w:val="20"/>
                <w:szCs w:val="20"/>
                <w:color w:val="auto"/>
                <w:w w:val="99"/>
              </w:rPr>
              <w:t>Leases</w:t>
            </w: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00" w:type="dxa"/>
            <w:vAlign w:val="bottom"/>
            <w:gridSpan w:val="4"/>
          </w:tcPr>
          <w:p>
            <w:pPr>
              <w:ind w:left="34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2019</w:t>
            </w:r>
          </w:p>
        </w:tc>
        <w:tc>
          <w:tcPr>
            <w:tcW w:w="2500" w:type="dxa"/>
            <w:vAlign w:val="bottom"/>
            <w:gridSpan w:val="2"/>
            <w:shd w:val="clear" w:color="auto" w:fill="CFF0FC"/>
          </w:tcPr>
          <w:p>
            <w:pPr>
              <w:jc w:val="right"/>
              <w:ind w:right="158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35,493</w:t>
            </w:r>
          </w:p>
        </w:tc>
        <w:tc>
          <w:tcPr>
            <w:tcW w:w="320" w:type="dxa"/>
            <w:vAlign w:val="bottom"/>
            <w:shd w:val="clear" w:color="auto" w:fill="CFF0FC"/>
          </w:tcPr>
          <w:p>
            <w:pPr>
              <w:spacing w:after="0"/>
              <w:rPr>
                <w:sz w:val="21"/>
                <w:szCs w:val="21"/>
                <w:color w:val="auto"/>
              </w:rPr>
            </w:pPr>
          </w:p>
        </w:tc>
        <w:tc>
          <w:tcPr>
            <w:tcW w:w="2360" w:type="dxa"/>
            <w:vAlign w:val="bottom"/>
            <w:gridSpan w:val="2"/>
            <w:shd w:val="clear" w:color="auto" w:fill="CFF0FC"/>
          </w:tcPr>
          <w:p>
            <w:pPr>
              <w:jc w:val="right"/>
              <w:ind w:right="2162"/>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1,906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2020</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65,623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2021</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53,662</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1,951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2022</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49,131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2023</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46,313</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779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720" w:type="dxa"/>
            <w:vAlign w:val="bottom"/>
            <w:tcBorders>
              <w:bottom w:val="single" w:sz="8" w:color="CFF0FC"/>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432,382</w:t>
            </w:r>
          </w:p>
        </w:tc>
        <w:tc>
          <w:tcPr>
            <w:tcW w:w="3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4,177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7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682,604</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13,103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(192,661)</w:t>
            </w: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(2,740)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Present value of lease payments</w:t>
            </w:r>
          </w:p>
        </w:tc>
        <w:tc>
          <w:tcPr>
            <w:tcW w:w="720" w:type="dxa"/>
            <w:vAlign w:val="bottom"/>
            <w:tcBorders>
              <w:top w:val="single" w:sz="8" w:color="CFF0FC"/>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489,943</w:t>
            </w:r>
          </w:p>
        </w:tc>
        <w:tc>
          <w:tcPr>
            <w:tcW w:w="3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2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10,363</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Less: current lease obligations</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(51,011)</w:t>
            </w: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(3,268)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long-term lease obligations</w:t>
            </w:r>
          </w:p>
        </w:tc>
        <w:tc>
          <w:tcPr>
            <w:tcW w:w="720" w:type="dxa"/>
            <w:vAlign w:val="bottom"/>
            <w:tcBorders>
              <w:top w:val="single" w:sz="8" w:color="CFF0FC"/>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ind w:right="1582"/>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438,932</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2360" w:type="dxa"/>
            <w:vAlign w:val="bottom"/>
            <w:tcBorders>
              <w:top w:val="single" w:sz="8" w:color="auto"/>
              <w:bottom w:val="single" w:sz="8" w:color="auto"/>
            </w:tcBorders>
            <w:gridSpan w:val="2"/>
            <w:shd w:val="clear" w:color="auto" w:fill="CFF0FC"/>
          </w:tcPr>
          <w:p>
            <w:pPr>
              <w:jc w:val="right"/>
              <w:ind w:right="2162"/>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7,095</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Other lease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right="360" w:hanging="147"/>
        <w:spacing w:after="0" w:line="253" w:lineRule="auto"/>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Operating cash flows used for operating leases</w:t>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Operating cash flows used for finance leases</w:t>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Financing cash flows used for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right="580" w:hanging="147"/>
        <w:spacing w:after="0" w:line="253" w:lineRule="auto"/>
        <w:rPr>
          <w:sz w:val="20"/>
          <w:szCs w:val="20"/>
          <w:color w:val="auto"/>
        </w:rPr>
      </w:pPr>
      <w:r>
        <w:rPr>
          <w:rFonts w:ascii="Times New Roman" w:cs="Times New Roman" w:eastAsia="Times New Roman" w:hAnsi="Times New Roman"/>
          <w:sz w:val="20"/>
          <w:szCs w:val="20"/>
          <w:color w:val="auto"/>
        </w:rPr>
        <w:t>Right-of-use assets obtained in exchange for new operating lease liabilities</w:t>
      </w:r>
    </w:p>
    <w:p>
      <w:pPr>
        <w:spacing w:after="0" w:line="1" w:lineRule="exact"/>
        <w:rPr>
          <w:sz w:val="20"/>
          <w:szCs w:val="20"/>
          <w:color w:val="auto"/>
        </w:rPr>
      </w:pPr>
    </w:p>
    <w:p>
      <w:pPr>
        <w:ind w:left="160" w:right="940" w:hanging="147"/>
        <w:spacing w:after="0" w:line="250" w:lineRule="auto"/>
        <w:rPr>
          <w:sz w:val="20"/>
          <w:szCs w:val="20"/>
          <w:color w:val="auto"/>
        </w:rPr>
      </w:pPr>
      <w:r>
        <w:rPr>
          <w:rFonts w:ascii="Times New Roman" w:cs="Times New Roman" w:eastAsia="Times New Roman" w:hAnsi="Times New Roman"/>
          <w:sz w:val="20"/>
          <w:szCs w:val="20"/>
          <w:color w:val="auto"/>
        </w:rPr>
        <w:t>Right-of-use assets obtained in exchange for new finance lease liabilities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1340" w:type="dxa"/>
        <w:tblCellMar>
          <w:top w:w="0" w:type="dxa"/>
          <w:left w:w="0" w:type="dxa"/>
          <w:bottom w:w="0" w:type="dxa"/>
          <w:right w:w="0" w:type="dxa"/>
        </w:tblCellMar>
      </w:tblPr>
      <w:tr>
        <w:trPr>
          <w:trHeight w:val="251"/>
        </w:trPr>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20"/>
                <w:szCs w:val="20"/>
                <w:color w:val="auto"/>
                <w:w w:val="98"/>
              </w:rPr>
              <w:t>June 30, 2019</w:t>
            </w:r>
          </w:p>
        </w:tc>
        <w:tc>
          <w:tcPr>
            <w:tcW w:w="0" w:type="dxa"/>
            <w:vAlign w:val="bottom"/>
          </w:tcPr>
          <w:p>
            <w:pPr>
              <w:spacing w:after="0"/>
              <w:rPr>
                <w:sz w:val="1"/>
                <w:szCs w:val="1"/>
                <w:color w:val="auto"/>
              </w:rPr>
            </w:pPr>
          </w:p>
        </w:tc>
      </w:tr>
      <w:tr>
        <w:trPr>
          <w:trHeight w:val="253"/>
        </w:trPr>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0" w:type="dxa"/>
            <w:vAlign w:val="bottom"/>
          </w:tcPr>
          <w:p>
            <w:pPr>
              <w:spacing w:after="0"/>
              <w:rPr>
                <w:sz w:val="1"/>
                <w:szCs w:val="1"/>
                <w:color w:val="auto"/>
              </w:rPr>
            </w:pPr>
          </w:p>
        </w:tc>
      </w:tr>
      <w:tr>
        <w:trPr>
          <w:trHeight w:val="685"/>
        </w:trPr>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38,532</w:t>
            </w:r>
          </w:p>
        </w:tc>
        <w:tc>
          <w:tcPr>
            <w:tcW w:w="0" w:type="dxa"/>
            <w:vAlign w:val="bottom"/>
          </w:tcPr>
          <w:p>
            <w:pPr>
              <w:spacing w:after="0"/>
              <w:rPr>
                <w:sz w:val="1"/>
                <w:szCs w:val="1"/>
                <w:color w:val="auto"/>
              </w:rPr>
            </w:pPr>
          </w:p>
        </w:tc>
      </w:tr>
      <w:tr>
        <w:trPr>
          <w:trHeight w:val="242"/>
        </w:trPr>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0" w:type="dxa"/>
            <w:vAlign w:val="bottom"/>
          </w:tcPr>
          <w:p>
            <w:pPr>
              <w:spacing w:after="0"/>
              <w:rPr>
                <w:sz w:val="1"/>
                <w:szCs w:val="1"/>
                <w:color w:val="auto"/>
              </w:rPr>
            </w:pPr>
          </w:p>
        </w:tc>
      </w:tr>
      <w:tr>
        <w:trPr>
          <w:trHeight w:val="257"/>
        </w:trPr>
        <w:tc>
          <w:tcPr>
            <w:tcW w:w="2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1,820</w:t>
            </w:r>
          </w:p>
        </w:tc>
        <w:tc>
          <w:tcPr>
            <w:tcW w:w="0" w:type="dxa"/>
            <w:vAlign w:val="bottom"/>
          </w:tcPr>
          <w:p>
            <w:pPr>
              <w:spacing w:after="0"/>
              <w:rPr>
                <w:sz w:val="1"/>
                <w:szCs w:val="1"/>
                <w:color w:val="auto"/>
              </w:rPr>
            </w:pPr>
          </w:p>
        </w:tc>
      </w:tr>
      <w:tr>
        <w:trPr>
          <w:trHeight w:val="347"/>
        </w:trPr>
        <w:tc>
          <w:tcPr>
            <w:tcW w:w="200" w:type="dxa"/>
            <w:vAlign w:val="bottom"/>
          </w:tcPr>
          <w:p>
            <w:pPr>
              <w:spacing w:after="0"/>
              <w:rPr>
                <w:sz w:val="24"/>
                <w:szCs w:val="24"/>
                <w:color w:val="auto"/>
              </w:rPr>
            </w:pPr>
          </w:p>
        </w:tc>
        <w:tc>
          <w:tcPr>
            <w:tcW w:w="2400" w:type="dxa"/>
            <w:vAlign w:val="bottom"/>
          </w:tcPr>
          <w:p>
            <w:pPr>
              <w:jc w:val="right"/>
              <w:ind w:right="522"/>
              <w:spacing w:after="0"/>
              <w:rPr>
                <w:sz w:val="20"/>
                <w:szCs w:val="20"/>
                <w:color w:val="auto"/>
              </w:rPr>
            </w:pPr>
            <w:r>
              <w:rPr>
                <w:rFonts w:ascii="Times New Roman" w:cs="Times New Roman" w:eastAsia="Times New Roman" w:hAnsi="Times New Roman"/>
                <w:sz w:val="20"/>
                <w:szCs w:val="20"/>
                <w:color w:val="auto"/>
              </w:rPr>
              <w:t>Three Months Ended</w:t>
            </w:r>
          </w:p>
        </w:tc>
        <w:tc>
          <w:tcPr>
            <w:tcW w:w="240" w:type="dxa"/>
            <w:vAlign w:val="bottom"/>
          </w:tcPr>
          <w:p>
            <w:pPr>
              <w:spacing w:after="0"/>
              <w:rPr>
                <w:sz w:val="24"/>
                <w:szCs w:val="24"/>
                <w:color w:val="auto"/>
              </w:rPr>
            </w:pPr>
          </w:p>
        </w:tc>
        <w:tc>
          <w:tcPr>
            <w:tcW w:w="1960" w:type="dxa"/>
            <w:vAlign w:val="bottom"/>
          </w:tcPr>
          <w:p>
            <w:pPr>
              <w:jc w:val="center"/>
              <w:ind w:right="162"/>
              <w:spacing w:after="0"/>
              <w:rPr>
                <w:sz w:val="20"/>
                <w:szCs w:val="20"/>
                <w:color w:val="auto"/>
              </w:rPr>
            </w:pPr>
            <w:r>
              <w:rPr>
                <w:rFonts w:ascii="Times New Roman" w:cs="Times New Roman" w:eastAsia="Times New Roman" w:hAnsi="Times New Roman"/>
                <w:sz w:val="20"/>
                <w:szCs w:val="20"/>
                <w:color w:val="auto"/>
                <w:w w:val="98"/>
              </w:rPr>
              <w:t>Six Months Ended</w:t>
            </w:r>
          </w:p>
        </w:tc>
        <w:tc>
          <w:tcPr>
            <w:tcW w:w="0" w:type="dxa"/>
            <w:vAlign w:val="bottom"/>
          </w:tcPr>
          <w:p>
            <w:pPr>
              <w:spacing w:after="0"/>
              <w:rPr>
                <w:sz w:val="1"/>
                <w:szCs w:val="1"/>
                <w:color w:val="auto"/>
              </w:rPr>
            </w:pPr>
          </w:p>
        </w:tc>
      </w:tr>
      <w:tr>
        <w:trPr>
          <w:trHeight w:val="251"/>
        </w:trPr>
        <w:tc>
          <w:tcPr>
            <w:tcW w:w="2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20"/>
                <w:szCs w:val="20"/>
                <w:color w:val="auto"/>
              </w:rPr>
              <w:t>June 30, 2019</w:t>
            </w:r>
          </w:p>
        </w:tc>
        <w:tc>
          <w:tcPr>
            <w:tcW w:w="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20"/>
                <w:szCs w:val="20"/>
                <w:color w:val="auto"/>
                <w:w w:val="98"/>
              </w:rPr>
              <w:t>June 30, 2019</w:t>
            </w:r>
          </w:p>
        </w:tc>
        <w:tc>
          <w:tcPr>
            <w:tcW w:w="0" w:type="dxa"/>
            <w:vAlign w:val="bottom"/>
          </w:tcPr>
          <w:p>
            <w:pPr>
              <w:spacing w:after="0"/>
              <w:rPr>
                <w:sz w:val="1"/>
                <w:szCs w:val="1"/>
                <w:color w:val="auto"/>
              </w:rPr>
            </w:pPr>
          </w:p>
        </w:tc>
      </w:tr>
      <w:tr>
        <w:trPr>
          <w:trHeight w:val="253"/>
        </w:trPr>
        <w:tc>
          <w:tcPr>
            <w:tcW w:w="200" w:type="dxa"/>
            <w:vAlign w:val="bottom"/>
          </w:tcPr>
          <w:p>
            <w:pPr>
              <w:spacing w:after="0"/>
              <w:rPr>
                <w:sz w:val="21"/>
                <w:szCs w:val="21"/>
                <w:color w:val="auto"/>
              </w:rPr>
            </w:pPr>
          </w:p>
        </w:tc>
        <w:tc>
          <w:tcPr>
            <w:tcW w:w="4600" w:type="dxa"/>
            <w:vAlign w:val="bottom"/>
            <w:gridSpan w:val="3"/>
          </w:tcPr>
          <w:p>
            <w:pPr>
              <w:jc w:val="right"/>
              <w:ind w:right="1402"/>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0" w:type="dxa"/>
            <w:vAlign w:val="bottom"/>
          </w:tcPr>
          <w:p>
            <w:pPr>
              <w:spacing w:after="0"/>
              <w:rPr>
                <w:sz w:val="1"/>
                <w:szCs w:val="1"/>
                <w:color w:val="auto"/>
              </w:rPr>
            </w:pPr>
          </w:p>
        </w:tc>
      </w:tr>
      <w:tr>
        <w:trPr>
          <w:trHeight w:val="459"/>
        </w:trPr>
        <w:tc>
          <w:tcPr>
            <w:tcW w:w="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79"/>
              </w:rPr>
              <w:t>$</w:t>
            </w:r>
          </w:p>
        </w:tc>
        <w:tc>
          <w:tcPr>
            <w:tcW w:w="240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5,803</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524,689</w:t>
            </w:r>
          </w:p>
        </w:tc>
        <w:tc>
          <w:tcPr>
            <w:tcW w:w="0" w:type="dxa"/>
            <w:vAlign w:val="bottom"/>
          </w:tcPr>
          <w:p>
            <w:pPr>
              <w:spacing w:after="0"/>
              <w:rPr>
                <w:sz w:val="1"/>
                <w:szCs w:val="1"/>
                <w:color w:val="auto"/>
              </w:rPr>
            </w:pPr>
          </w:p>
        </w:tc>
      </w:tr>
      <w:tr>
        <w:trPr>
          <w:trHeight w:val="349"/>
        </w:trPr>
        <w:tc>
          <w:tcPr>
            <w:tcW w:w="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79"/>
              </w:rPr>
              <w:t>$</w:t>
            </w:r>
          </w:p>
        </w:tc>
        <w:tc>
          <w:tcPr>
            <w:tcW w:w="240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-1606550</wp:posOffset>
            </wp:positionV>
            <wp:extent cx="7247255" cy="153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15367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-1299210</wp:posOffset>
            </wp:positionV>
            <wp:extent cx="7247255" cy="153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255" cy="15367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-301625</wp:posOffset>
            </wp:positionV>
            <wp:extent cx="7247255" cy="298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29845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69215</wp:posOffset>
            </wp:positionV>
            <wp:extent cx="7272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2">
            <w:col w:w="4460" w:space="720"/>
            <w:col w:w="6240"/>
          </w:cols>
          <w:pgMar w:left="240" w:top="118" w:right="2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Lease disclosures for the full year December 31, 2018, as reported:</w:t>
      </w:r>
    </w:p>
    <w:p>
      <w:pPr>
        <w:spacing w:after="0" w:line="110"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Total lease expense for operating leases was $122.5 million for the year ended December 31, 2018. Total royalties, principally for leased properties, were $52.5 million, for the year ended December 31, 2018. The Company also has capital lease obligations for machinery and equipment. Future minimum lease and royalty commitments for all noncancelable agreements and capital lease obligations as of December 31, 2018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20"/>
                <w:szCs w:val="20"/>
                <w:color w:val="auto"/>
              </w:rPr>
              <w:t>Capital</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7"/>
              </w:rPr>
              <w:t>Royalty</w:t>
            </w:r>
          </w:p>
        </w:tc>
        <w:tc>
          <w:tcPr>
            <w:tcW w:w="0" w:type="dxa"/>
            <w:vAlign w:val="bottom"/>
          </w:tcPr>
          <w:p>
            <w:pPr>
              <w:spacing w:after="0"/>
              <w:rPr>
                <w:sz w:val="1"/>
                <w:szCs w:val="1"/>
                <w:color w:val="auto"/>
              </w:rPr>
            </w:pPr>
          </w:p>
        </w:tc>
      </w:tr>
      <w:tr>
        <w:trPr>
          <w:trHeight w:val="251"/>
        </w:trPr>
        <w:tc>
          <w:tcPr>
            <w:tcW w:w="5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20"/>
                <w:szCs w:val="20"/>
                <w:color w:val="auto"/>
              </w:rPr>
              <w:t>Leases</w:t>
            </w:r>
          </w:p>
        </w:tc>
        <w:tc>
          <w:tcPr>
            <w:tcW w:w="180" w:type="dxa"/>
            <w:vAlign w:val="bottom"/>
          </w:tcPr>
          <w:p>
            <w:pPr>
              <w:spacing w:after="0"/>
              <w:rPr>
                <w:sz w:val="21"/>
                <w:szCs w:val="21"/>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Operating Leases</w:t>
            </w:r>
          </w:p>
        </w:tc>
        <w:tc>
          <w:tcPr>
            <w:tcW w:w="14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6"/>
              </w:rPr>
              <w:t>Commitments</w:t>
            </w:r>
          </w:p>
        </w:tc>
        <w:tc>
          <w:tcPr>
            <w:tcW w:w="0" w:type="dxa"/>
            <w:vAlign w:val="bottom"/>
          </w:tcPr>
          <w:p>
            <w:pPr>
              <w:spacing w:after="0"/>
              <w:rPr>
                <w:sz w:val="1"/>
                <w:szCs w:val="1"/>
                <w:color w:val="auto"/>
              </w:rPr>
            </w:pPr>
          </w:p>
        </w:tc>
      </w:tr>
      <w:tr>
        <w:trPr>
          <w:trHeight w:val="235"/>
        </w:trPr>
        <w:tc>
          <w:tcPr>
            <w:tcW w:w="5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0"/>
                <w:szCs w:val="20"/>
                <w:i w:val="1"/>
                <w:iCs w:val="1"/>
                <w:color w:val="auto"/>
                <w:w w:val="99"/>
              </w:rPr>
              <w:t>(Dollars in Thousands)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2019</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3,718</w:t>
            </w:r>
          </w:p>
        </w:tc>
        <w:tc>
          <w:tcPr>
            <w:tcW w:w="120" w:type="dxa"/>
            <w:vAlign w:val="bottom"/>
            <w:tcBorders>
              <w:right w:val="single" w:sz="8" w:color="CFF0FC"/>
            </w:tcBorders>
            <w:shd w:val="clear" w:color="auto" w:fill="CFF0FC"/>
          </w:tcPr>
          <w:p>
            <w:pPr>
              <w:spacing w:after="0"/>
              <w:rPr>
                <w:sz w:val="21"/>
                <w:szCs w:val="21"/>
                <w:color w:val="auto"/>
              </w:rPr>
            </w:pPr>
          </w:p>
        </w:tc>
        <w:tc>
          <w:tcPr>
            <w:tcW w:w="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105,955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14,614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2020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2021</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1,735</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60,382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10,335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2022</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57,531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2023</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56,511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8,109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3,893</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318,147</w:t>
            </w:r>
          </w:p>
        </w:tc>
        <w:tc>
          <w:tcPr>
            <w:tcW w:w="1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65,981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13,758</w:t>
            </w:r>
          </w:p>
        </w:tc>
        <w:tc>
          <w:tcPr>
            <w:tcW w:w="120" w:type="dxa"/>
            <w:vAlign w:val="bottom"/>
            <w:tcBorders>
              <w:right w:val="single" w:sz="8" w:color="CFF0FC"/>
            </w:tcBorders>
            <w:shd w:val="clear" w:color="auto" w:fill="CFF0FC"/>
          </w:tcPr>
          <w:p>
            <w:pPr>
              <w:spacing w:after="0"/>
              <w:rPr>
                <w:sz w:val="20"/>
                <w:szCs w:val="20"/>
                <w:color w:val="auto"/>
              </w:rPr>
            </w:pPr>
          </w:p>
        </w:tc>
        <w:tc>
          <w:tcPr>
            <w:tcW w:w="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669,004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119,948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4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CFF0FC"/>
            </w:tcBorders>
            <w:gridSpan w:val="3"/>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(2,879)</w:t>
            </w: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Present value of minimum lease payments</w:t>
            </w:r>
          </w:p>
        </w:tc>
        <w:tc>
          <w:tcPr>
            <w:tcW w:w="4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10,879</w:t>
            </w:r>
          </w:p>
        </w:tc>
        <w:tc>
          <w:tcPr>
            <w:tcW w:w="120" w:type="dxa"/>
            <w:vAlign w:val="bottom"/>
            <w:tcBorders>
              <w:top w:val="single" w:sz="8" w:color="CFF0FC"/>
              <w:right w:val="single" w:sz="8" w:color="CFF0FC"/>
            </w:tcBorders>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Less: current capital lease obligations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(3,249)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8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Long-term capital lease obligations</w:t>
            </w:r>
          </w:p>
        </w:tc>
        <w:tc>
          <w:tcPr>
            <w:tcW w:w="72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7,630</w:t>
            </w:r>
          </w:p>
        </w:tc>
        <w:tc>
          <w:tcPr>
            <w:tcW w:w="120" w:type="dxa"/>
            <w:vAlign w:val="bottom"/>
            <w:tcBorders>
              <w:top w:val="single" w:sz="8" w:color="CFF0FC"/>
              <w:bottom w:val="single" w:sz="8" w:color="CFF0FC"/>
              <w:right w:val="single" w:sz="8" w:color="CFF0FC"/>
            </w:tcBorders>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5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12. Supplemental Cash Flow Information</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8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Noncash investing and financing activities are as follows: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June 30,</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2019</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20"/>
                <w:szCs w:val="20"/>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6"/>
          </w:tcPr>
          <w:p>
            <w:pPr>
              <w:jc w:val="right"/>
              <w:ind w:right="902"/>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Noncash investing and financing activities:</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Accrued liabilities for purchases of property, plant and equipment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18,745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20,771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Acquisition of assets through swap</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1,114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9"/>
        </w:trPr>
        <w:tc>
          <w:tcPr>
            <w:tcW w:w="5880" w:type="dxa"/>
            <w:vAlign w:val="bottom"/>
          </w:tcPr>
          <w:p>
            <w:pPr>
              <w:ind w:left="260"/>
              <w:spacing w:after="0" w:line="219" w:lineRule="exact"/>
              <w:rPr>
                <w:sz w:val="20"/>
                <w:szCs w:val="20"/>
                <w:color w:val="auto"/>
              </w:rPr>
            </w:pPr>
            <w:r>
              <w:rPr>
                <w:rFonts w:ascii="Times New Roman" w:cs="Times New Roman" w:eastAsia="Times New Roman" w:hAnsi="Times New Roman"/>
                <w:sz w:val="20"/>
                <w:szCs w:val="20"/>
                <w:color w:val="auto"/>
              </w:rPr>
              <w:t>Receivable issued in connection with sale of property, plant</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and equipment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252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Acquisition of assets through capital lease</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Supplemental disclosures of cash flow information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jc w:val="right"/>
              <w:ind w:right="922"/>
              <w:spacing w:after="0"/>
              <w:rPr>
                <w:sz w:val="20"/>
                <w:szCs w:val="20"/>
                <w:color w:val="auto"/>
              </w:rPr>
            </w:pPr>
            <w:r>
              <w:rPr>
                <w:rFonts w:ascii="Times New Roman" w:cs="Times New Roman" w:eastAsia="Times New Roman" w:hAnsi="Times New Roman"/>
                <w:sz w:val="20"/>
                <w:szCs w:val="20"/>
                <w:color w:val="auto"/>
              </w:rPr>
              <w:t>June 30,</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5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8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2018</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5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60" w:type="dxa"/>
            <w:vAlign w:val="bottom"/>
            <w:gridSpan w:val="2"/>
          </w:tcPr>
          <w:p>
            <w:pPr>
              <w:jc w:val="right"/>
              <w:ind w:right="322"/>
              <w:spacing w:after="0"/>
              <w:rPr>
                <w:sz w:val="20"/>
                <w:szCs w:val="20"/>
                <w:color w:val="auto"/>
              </w:rPr>
            </w:pPr>
            <w:r>
              <w:rPr>
                <w:rFonts w:ascii="Times New Roman" w:cs="Times New Roman" w:eastAsia="Times New Roman" w:hAnsi="Times New Roman"/>
                <w:sz w:val="20"/>
                <w:szCs w:val="20"/>
                <w:i w:val="1"/>
                <w:iCs w:val="1"/>
                <w:color w:val="auto"/>
                <w:w w:val="97"/>
              </w:rPr>
              <w:t>(Dollars in Thousands)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Cash paid for interest</w:t>
            </w:r>
          </w:p>
        </w:tc>
        <w:tc>
          <w:tcPr>
            <w:tcW w:w="320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65,923</w:t>
            </w:r>
          </w:p>
        </w:tc>
        <w:tc>
          <w:tcPr>
            <w:tcW w:w="1400" w:type="dxa"/>
            <w:vAlign w:val="bottom"/>
            <w:shd w:val="clear" w:color="auto" w:fill="CFF0FC"/>
          </w:tcPr>
          <w:p>
            <w:pPr>
              <w:jc w:val="right"/>
              <w:ind w:right="1002"/>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67,399</w:t>
            </w:r>
          </w:p>
        </w:tc>
        <w:tc>
          <w:tcPr>
            <w:tcW w:w="100" w:type="dxa"/>
            <w:vAlign w:val="bottom"/>
            <w:shd w:val="clear" w:color="auto" w:fill="CFF0FC"/>
          </w:tcPr>
          <w:p>
            <w:pPr>
              <w:spacing w:after="0"/>
              <w:rPr>
                <w:sz w:val="21"/>
                <w:szCs w:val="21"/>
                <w:color w:val="auto"/>
              </w:rPr>
            </w:pP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(refund of) income taxes</w:t>
            </w:r>
          </w:p>
        </w:tc>
        <w:tc>
          <w:tcPr>
            <w:tcW w:w="3200" w:type="dxa"/>
            <w:vAlign w:val="bottom"/>
            <w:gridSpan w:val="2"/>
          </w:tcPr>
          <w:p>
            <w:pPr>
              <w:jc w:val="right"/>
              <w:ind w:right="88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8,009</w:t>
            </w:r>
          </w:p>
        </w:tc>
        <w:tc>
          <w:tcPr>
            <w:tcW w:w="1400" w:type="dxa"/>
            <w:vAlign w:val="bottom"/>
          </w:tcPr>
          <w:p>
            <w:pPr>
              <w:jc w:val="right"/>
              <w:ind w:right="100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(2,244)</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21" w:lineRule="exact"/>
        <w:rPr>
          <w:sz w:val="20"/>
          <w:szCs w:val="20"/>
          <w:color w:val="auto"/>
        </w:rPr>
      </w:pPr>
    </w:p>
    <w:p>
      <w:pPr>
        <w:ind w:left="380" w:hanging="373"/>
        <w:spacing w:after="0"/>
        <w:tabs>
          <w:tab w:leader="none" w:pos="38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Bluegrass Acquisition</w:t>
      </w:r>
    </w:p>
    <w:p>
      <w:pPr>
        <w:spacing w:after="0" w:line="55" w:lineRule="exact"/>
        <w:rPr>
          <w:rFonts w:ascii="Times New Roman" w:cs="Times New Roman" w:eastAsia="Times New Roman" w:hAnsi="Times New Roman"/>
          <w:sz w:val="20"/>
          <w:szCs w:val="20"/>
          <w:b w:val="1"/>
          <w:bCs w:val="1"/>
          <w:color w:val="auto"/>
        </w:rPr>
      </w:pPr>
    </w:p>
    <w:p>
      <w:pPr>
        <w:jc w:val="both"/>
        <w:ind w:left="38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April 2018, the Company acquired Bluegrass, the largest privately-held, pure-play aggregates company in the United States for $1.62 billion. These operations complement the Company’s existing southeastern footprint in its Mid-America and Southeast Groups and provide new growth platforms within Maryland and Kentucky.</w:t>
      </w:r>
    </w:p>
    <w:p>
      <w:pPr>
        <w:spacing w:after="0" w:line="67" w:lineRule="exact"/>
        <w:rPr>
          <w:rFonts w:ascii="Times New Roman" w:cs="Times New Roman" w:eastAsia="Times New Roman" w:hAnsi="Times New Roman"/>
          <w:sz w:val="20"/>
          <w:szCs w:val="20"/>
          <w:b w:val="1"/>
          <w:bCs w:val="1"/>
          <w:color w:val="auto"/>
        </w:rPr>
      </w:pPr>
    </w:p>
    <w:p>
      <w:pPr>
        <w:ind w:left="38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determined fair values of the assets acquired and liabilities assumed and the measurement period is closed as of April 2019. The following is a summary of the estimated fair values of the assets acquired and the liabilities assumed (dollars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w:t>
            </w:r>
          </w:p>
        </w:tc>
        <w:tc>
          <w:tcPr>
            <w:tcW w:w="1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Cash</w:t>
            </w:r>
          </w:p>
        </w:tc>
        <w:tc>
          <w:tcPr>
            <w:tcW w:w="1120" w:type="dxa"/>
            <w:vAlign w:val="bottom"/>
            <w:shd w:val="clear" w:color="auto" w:fill="CFF0FC"/>
          </w:tcPr>
          <w:p>
            <w:pPr>
              <w:jc w:val="right"/>
              <w:ind w:right="922"/>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Receivables</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Inventory</w:t>
            </w: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46,635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current assets</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1,519,289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 other than goodwill</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Goodwill</w:t>
            </w:r>
          </w:p>
        </w:tc>
        <w:tc>
          <w:tcPr>
            <w:tcW w:w="112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242,981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1,856,722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8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17,914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income tax liabilities, net</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212,450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Noncontrolling interest</w:t>
            </w:r>
          </w:p>
        </w:tc>
        <w:tc>
          <w:tcPr>
            <w:tcW w:w="112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9,001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1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8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20"/>
                <w:szCs w:val="20"/>
                <w:color w:val="auto"/>
              </w:rPr>
              <w:t>Total consideration</w:t>
            </w:r>
          </w:p>
        </w:tc>
        <w:tc>
          <w:tcPr>
            <w:tcW w:w="112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1,617,357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380" w:right="20"/>
        <w:spacing w:after="0" w:line="247" w:lineRule="auto"/>
        <w:rPr>
          <w:sz w:val="20"/>
          <w:szCs w:val="20"/>
          <w:color w:val="auto"/>
        </w:rPr>
      </w:pPr>
      <w:r>
        <w:rPr>
          <w:rFonts w:ascii="Times New Roman" w:cs="Times New Roman" w:eastAsia="Times New Roman" w:hAnsi="Times New Roman"/>
          <w:sz w:val="20"/>
          <w:szCs w:val="20"/>
          <w:color w:val="auto"/>
        </w:rPr>
        <w:t>Total revenues and earnings from operations attributable to Bluegrass, included in the consolidated earnings statements, for three months ended June 30, 2019 were $70,169,000 and $23,628,000, respectively, and for the six months ended June 30, 2019 were $116,633,000 and $28,307,000, respectively. Total revenues and earnings from operations attributable to Bluegrass in 2018 for the three and six months ended June 30, 2018 were $46,111,000 and $6,611,000, respectively.</w:t>
      </w:r>
    </w:p>
    <w:p>
      <w:pPr>
        <w:spacing w:after="0" w:line="74"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The unaudited pro forma financial information summarizes the combined results of operations for the Company and Bluegrass as though the companies were combined as of January 1, 2017. The pro forma earnings does not reflect any cost savings or associated costs to achieve such savings from operating efficiencies or synergies that result from the combination. Consistent with the assumed acquisition date of January 1, 2017, expenses related to the acquisition are considered to have been incurred for the year ended December 31, 2017. The pro forma financial information does not purport to project the future financial position or operating results of the combined company. The pro forma financial information as presented below is for informational purposes only and is not indicative of the results of operations that would have been achieved if the acquisition had taken place at the beginning of 2017.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presents pro forma results for the three and six months ended June 30, 2018: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38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(Dollars in Thousands, except per share data)</w:t>
            </w:r>
          </w:p>
        </w:tc>
        <w:tc>
          <w:tcPr>
            <w:tcW w:w="220" w:type="dxa"/>
            <w:vAlign w:val="bottom"/>
          </w:tcPr>
          <w:p>
            <w:pPr>
              <w:spacing w:after="0"/>
              <w:rPr>
                <w:sz w:val="21"/>
                <w:szCs w:val="21"/>
                <w:color w:val="auto"/>
              </w:rPr>
            </w:pPr>
          </w:p>
        </w:tc>
        <w:tc>
          <w:tcPr>
            <w:tcW w:w="21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rPr>
              <w:t>Three Months Ended</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Six Months Ended</w:t>
            </w:r>
          </w:p>
        </w:tc>
        <w:tc>
          <w:tcPr>
            <w:tcW w:w="0" w:type="dxa"/>
            <w:vAlign w:val="bottom"/>
          </w:tcPr>
          <w:p>
            <w:pPr>
              <w:spacing w:after="0"/>
              <w:rPr>
                <w:sz w:val="1"/>
                <w:szCs w:val="1"/>
                <w:color w:val="auto"/>
              </w:rPr>
            </w:pPr>
          </w:p>
        </w:tc>
      </w:tr>
      <w:tr>
        <w:trPr>
          <w:trHeight w:val="226"/>
        </w:trPr>
        <w:tc>
          <w:tcPr>
            <w:tcW w:w="638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1,218,904</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2,059,816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80" w:type="dxa"/>
            <w:vAlign w:val="bottom"/>
            <w:shd w:val="clear" w:color="auto" w:fill="CDF0FC"/>
          </w:tcPr>
          <w:p>
            <w:pPr>
              <w:spacing w:after="0"/>
              <w:rPr>
                <w:sz w:val="20"/>
                <w:szCs w:val="20"/>
                <w:color w:val="auto"/>
              </w:rPr>
            </w:pPr>
            <w:r>
              <w:rPr>
                <w:rFonts w:ascii="Times New Roman" w:cs="Times New Roman" w:eastAsia="Times New Roman" w:hAnsi="Times New Roman"/>
                <w:sz w:val="20"/>
                <w:szCs w:val="20"/>
                <w:color w:val="auto"/>
              </w:rPr>
              <w:t>Net earnings attributable to Martin Marietta</w:t>
            </w:r>
          </w:p>
        </w:tc>
        <w:tc>
          <w:tcPr>
            <w:tcW w:w="220" w:type="dxa"/>
            <w:vAlign w:val="bottom"/>
            <w:shd w:val="clear" w:color="auto" w:fill="CD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2140" w:type="dxa"/>
            <w:vAlign w:val="bottom"/>
            <w:shd w:val="clear" w:color="auto" w:fill="CDF0FC"/>
          </w:tcPr>
          <w:p>
            <w:pPr>
              <w:jc w:val="right"/>
              <w:spacing w:after="0"/>
              <w:rPr>
                <w:sz w:val="20"/>
                <w:szCs w:val="20"/>
                <w:color w:val="auto"/>
              </w:rPr>
            </w:pPr>
            <w:r>
              <w:rPr>
                <w:rFonts w:ascii="Times New Roman" w:cs="Times New Roman" w:eastAsia="Times New Roman" w:hAnsi="Times New Roman"/>
                <w:sz w:val="20"/>
                <w:szCs w:val="20"/>
                <w:color w:val="auto"/>
              </w:rPr>
              <w:t>207,886</w:t>
            </w:r>
          </w:p>
        </w:tc>
        <w:tc>
          <w:tcPr>
            <w:tcW w:w="580" w:type="dxa"/>
            <w:vAlign w:val="bottom"/>
            <w:gridSpan w:val="2"/>
            <w:shd w:val="clear" w:color="auto" w:fill="CDF0FC"/>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CDF0FC"/>
          </w:tcPr>
          <w:p>
            <w:pPr>
              <w:jc w:val="right"/>
              <w:spacing w:after="0"/>
              <w:rPr>
                <w:sz w:val="20"/>
                <w:szCs w:val="20"/>
                <w:color w:val="auto"/>
              </w:rPr>
            </w:pPr>
            <w:r>
              <w:rPr>
                <w:rFonts w:ascii="Times New Roman" w:cs="Times New Roman" w:eastAsia="Times New Roman" w:hAnsi="Times New Roman"/>
                <w:sz w:val="20"/>
                <w:szCs w:val="20"/>
                <w:color w:val="auto"/>
              </w:rPr>
              <w:t>216,756</w:t>
            </w:r>
          </w:p>
        </w:tc>
        <w:tc>
          <w:tcPr>
            <w:tcW w:w="120" w:type="dxa"/>
            <w:vAlign w:val="bottom"/>
            <w:shd w:val="clear" w:color="auto" w:fill="CD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Diluted EPS</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73"/>
        <w:spacing w:after="0"/>
        <w:tabs>
          <w:tab w:leader="none" w:pos="38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Operating Income, Net</w:t>
      </w:r>
    </w:p>
    <w:p>
      <w:pPr>
        <w:spacing w:after="0" w:line="109" w:lineRule="exact"/>
        <w:rPr>
          <w:rFonts w:ascii="Times New Roman" w:cs="Times New Roman" w:eastAsia="Times New Roman" w:hAnsi="Times New Roman"/>
          <w:sz w:val="20"/>
          <w:szCs w:val="20"/>
          <w:b w:val="1"/>
          <w:bCs w:val="1"/>
          <w:color w:val="auto"/>
        </w:rPr>
      </w:pPr>
    </w:p>
    <w:p>
      <w:pPr>
        <w:ind w:left="38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Other operating income, net, for the quarter ended June 30, 2018 reflects a net gain on legal settlements of $7.7 million and a gain on the sale of surplus land of $16.9 million.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Second Quarter Ended June 30, 2019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 Management’s Discussion and Analysis of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OVERVIEW</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Martin Marietta Materials, Inc. (the Company or Martin Marietta) is a natural resource-based building materials company. The Company supplies aggregates (crushed stone, sand and gravel) through its network of more than 300 quarries, mines and distribution yards in 27 states, Canada, the Bahamas and the Caribbean Islands.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conducts its Building Materials business through three reportable business segments: Mid-America Group, Southeast Group and West Group.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BUILDING MATERIALS BUSINESS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2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Reportable Segments</w:t>
            </w: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Mid-America Group</w:t>
            </w:r>
          </w:p>
        </w:tc>
        <w:tc>
          <w:tcPr>
            <w:tcW w:w="12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Southeast Group</w:t>
            </w: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West Group</w:t>
            </w:r>
          </w:p>
        </w:tc>
      </w:tr>
      <w:tr>
        <w:trPr>
          <w:trHeight w:val="199"/>
        </w:trPr>
        <w:tc>
          <w:tcPr>
            <w:tcW w:w="200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8"/>
              </w:rPr>
              <w:t>Operating Locations</w:t>
            </w:r>
          </w:p>
        </w:tc>
        <w:tc>
          <w:tcPr>
            <w:tcW w:w="120" w:type="dxa"/>
            <w:vAlign w:val="bottom"/>
          </w:tcPr>
          <w:p>
            <w:pPr>
              <w:spacing w:after="0"/>
              <w:rPr>
                <w:sz w:val="17"/>
                <w:szCs w:val="17"/>
                <w:color w:val="auto"/>
              </w:rPr>
            </w:pPr>
          </w:p>
        </w:tc>
        <w:tc>
          <w:tcPr>
            <w:tcW w:w="296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8"/>
              </w:rPr>
              <w:t>Indiana, Iowa, northern Kansas,</w:t>
            </w:r>
          </w:p>
        </w:tc>
        <w:tc>
          <w:tcPr>
            <w:tcW w:w="120" w:type="dxa"/>
            <w:vAlign w:val="bottom"/>
          </w:tcPr>
          <w:p>
            <w:pPr>
              <w:spacing w:after="0"/>
              <w:rPr>
                <w:sz w:val="17"/>
                <w:szCs w:val="17"/>
                <w:color w:val="auto"/>
              </w:rPr>
            </w:pPr>
          </w:p>
        </w:tc>
        <w:tc>
          <w:tcPr>
            <w:tcW w:w="264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9"/>
              </w:rPr>
              <w:t>Alabama, Florida,</w:t>
            </w:r>
          </w:p>
        </w:tc>
        <w:tc>
          <w:tcPr>
            <w:tcW w:w="120" w:type="dxa"/>
            <w:vAlign w:val="bottom"/>
          </w:tcPr>
          <w:p>
            <w:pPr>
              <w:spacing w:after="0"/>
              <w:rPr>
                <w:sz w:val="17"/>
                <w:szCs w:val="17"/>
                <w:color w:val="auto"/>
              </w:rPr>
            </w:pPr>
          </w:p>
        </w:tc>
        <w:tc>
          <w:tcPr>
            <w:tcW w:w="346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8"/>
              </w:rPr>
              <w:t>Arkansas, Colorado, southern Kansas,</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8"/>
              </w:rPr>
              <w:t>Kentucky, Maryland, Minnesota,</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line="229" w:lineRule="exact"/>
              <w:rPr>
                <w:sz w:val="20"/>
                <w:szCs w:val="20"/>
                <w:color w:val="auto"/>
              </w:rPr>
            </w:pPr>
            <w:r>
              <w:rPr>
                <w:rFonts w:ascii="Times New Roman" w:cs="Times New Roman" w:eastAsia="Times New Roman" w:hAnsi="Times New Roman"/>
                <w:sz w:val="20"/>
                <w:szCs w:val="20"/>
                <w:color w:val="auto"/>
                <w:w w:val="98"/>
              </w:rPr>
              <w:t>Georgia, Tennessee,</w:t>
            </w:r>
          </w:p>
        </w:tc>
        <w:tc>
          <w:tcPr>
            <w:tcW w:w="34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8"/>
              </w:rPr>
              <w:t>Louisiana, western Nebraska, Nevada,</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8"/>
              </w:rPr>
              <w:t>Missouri, eastern Nebraska, North</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line="229" w:lineRule="exact"/>
              <w:rPr>
                <w:sz w:val="20"/>
                <w:szCs w:val="20"/>
                <w:color w:val="auto"/>
              </w:rPr>
            </w:pPr>
            <w:r>
              <w:rPr>
                <w:rFonts w:ascii="Times New Roman" w:cs="Times New Roman" w:eastAsia="Times New Roman" w:hAnsi="Times New Roman"/>
                <w:sz w:val="20"/>
                <w:szCs w:val="20"/>
                <w:color w:val="auto"/>
                <w:w w:val="98"/>
              </w:rPr>
              <w:t>Nova Scotia and the Bahamas</w:t>
            </w:r>
          </w:p>
        </w:tc>
        <w:tc>
          <w:tcPr>
            <w:tcW w:w="34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7"/>
              </w:rPr>
              <w:t>Oklahoma, Texas, Utah and Wyoming</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8"/>
              </w:rPr>
              <w:t>Carolina, Ohio, Pennsylvania, South</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7"/>
              </w:rPr>
              <w:t>Carolina, Virginia, Washington and</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57"/>
        </w:trPr>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West Virginia</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427"/>
        </w:trPr>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Product Lines</w:t>
            </w:r>
          </w:p>
        </w:tc>
        <w:tc>
          <w:tcPr>
            <w:tcW w:w="2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Aggregates</w:t>
            </w:r>
          </w:p>
        </w:tc>
        <w:tc>
          <w:tcPr>
            <w:tcW w:w="120" w:type="dxa"/>
            <w:vAlign w:val="bottom"/>
          </w:tcPr>
          <w:p>
            <w:pPr>
              <w:spacing w:after="0"/>
              <w:rPr>
                <w:sz w:val="24"/>
                <w:szCs w:val="24"/>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Aggregates</w:t>
            </w:r>
          </w:p>
        </w:tc>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Aggregates, Cement, Ready</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7"/>
              </w:rPr>
              <w:t>Mixed Concrete, Asphalt and</w:t>
            </w:r>
          </w:p>
        </w:tc>
      </w:tr>
      <w:tr>
        <w:trPr>
          <w:trHeight w:val="257"/>
        </w:trPr>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Paving</w:t>
            </w:r>
          </w:p>
        </w:tc>
      </w:tr>
      <w:tr>
        <w:trPr>
          <w:trHeight w:val="427"/>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Plant Types</w:t>
            </w:r>
          </w:p>
        </w:tc>
        <w:tc>
          <w:tcPr>
            <w:tcW w:w="2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Quarries, Mines and Distribution</w:t>
            </w:r>
          </w:p>
        </w:tc>
        <w:tc>
          <w:tcPr>
            <w:tcW w:w="120" w:type="dxa"/>
            <w:vAlign w:val="bottom"/>
          </w:tcPr>
          <w:p>
            <w:pPr>
              <w:spacing w:after="0"/>
              <w:rPr>
                <w:sz w:val="24"/>
                <w:szCs w:val="24"/>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Quarries, Mines and Distribution</w:t>
            </w:r>
          </w:p>
        </w:tc>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Quarries, Mines, Plants and</w:t>
            </w:r>
          </w:p>
        </w:tc>
      </w:tr>
      <w:tr>
        <w:trPr>
          <w:trHeight w:val="257"/>
        </w:trPr>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Facilities</w:t>
            </w:r>
          </w:p>
        </w:tc>
        <w:tc>
          <w:tcPr>
            <w:tcW w:w="120" w:type="dxa"/>
            <w:vAlign w:val="bottom"/>
          </w:tcPr>
          <w:p>
            <w:pPr>
              <w:spacing w:after="0"/>
              <w:rPr>
                <w:sz w:val="22"/>
                <w:szCs w:val="22"/>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Facilities</w:t>
            </w:r>
          </w:p>
        </w:tc>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Distribution Facilities</w:t>
            </w:r>
          </w:p>
        </w:tc>
      </w:tr>
      <w:tr>
        <w:trPr>
          <w:trHeight w:val="441"/>
        </w:trPr>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7"/>
              </w:rPr>
              <w:t>Modes of</w:t>
            </w:r>
          </w:p>
        </w:tc>
        <w:tc>
          <w:tcPr>
            <w:tcW w:w="2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Truck and Railcar</w:t>
            </w:r>
          </w:p>
        </w:tc>
        <w:tc>
          <w:tcPr>
            <w:tcW w:w="120" w:type="dxa"/>
            <w:vAlign w:val="bottom"/>
          </w:tcPr>
          <w:p>
            <w:pPr>
              <w:spacing w:after="0"/>
              <w:rPr>
                <w:sz w:val="24"/>
                <w:szCs w:val="24"/>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Truck, Railcar and Ship</w:t>
            </w:r>
          </w:p>
        </w:tc>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Truck and Railcar</w:t>
            </w:r>
          </w:p>
        </w:tc>
      </w:tr>
      <w:tr>
        <w:trPr>
          <w:trHeight w:val="257"/>
        </w:trPr>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6"/>
              </w:rPr>
              <w:t>Transportation</w:t>
            </w:r>
          </w:p>
        </w:tc>
        <w:tc>
          <w:tcPr>
            <w:tcW w:w="2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913"/>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Page 29 of 54</w:t>
            </w:r>
          </w:p>
        </w:tc>
        <w:tc>
          <w:tcPr>
            <w:tcW w:w="3460" w:type="dxa"/>
            <w:vAlign w:val="bottom"/>
          </w:tcPr>
          <w:p>
            <w:pPr>
              <w:spacing w:after="0"/>
              <w:rPr>
                <w:sz w:val="24"/>
                <w:szCs w:val="24"/>
                <w:color w:val="auto"/>
              </w:rPr>
            </w:pPr>
          </w:p>
        </w:tc>
      </w:tr>
      <w:tr>
        <w:trPr>
          <w:trHeight w:val="108"/>
        </w:trPr>
        <w:tc>
          <w:tcPr>
            <w:tcW w:w="2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also has a Magnesia Specialties business that produces magnesia-based chemicals products used in industrial, agricultural and environmental applications and dolomitic lime sold primarily to customers in the steel and mining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CRITICAL ACCOUNTING POLICIES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outlined its critical accounting policies in its Annual Report on Form 10-K for the year ended December 31, 2018. There were no changes to the Company’s critical accounting policies during the six months ended June 30, 2019.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RESULTS OF OPERATIONS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Due to the potentially significant impact of weather on the Company’s operations, current period and year-to-date results are not indicative of expected performance for other interim periods or the full year.</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Earnings before interest, income taxes, depreciation and amortization, the noncash earnings/loss from nonconsolidated equity affiliates, acquisition-related expenses, net, and the impact of selling acquired inventory after its markup to fair value as part of acquisition accounting (Adjusted EBITDA) is a financial indicator of a company’s ability to service and/or incur indebtedness. Adjusted EBITDA is not defined by generally accepted accounting principles and, as such, should not be construed as an alternative to net earnings, operating earnings or operating cash flow. However, the Company’s management believes that Adjusted EBITDA may provide additional information with respect to the Company’s performance or ability to meet its future debt service, capital expenditures or working capital requirements. Because Adjusted EBITDA excludes some, but not all, items that affect net earnings and may vary among companies, Adjusted EBITDA as presented by the Company may not be comparable to similarly titled measures of other companies.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net earnings attributable to Martin Marietta Materials, Inc. to consolidated Adjusted EBITDA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5"/>
          </w:tcPr>
          <w:p>
            <w:pPr>
              <w:ind w:left="320"/>
              <w:spacing w:after="0"/>
              <w:rPr>
                <w:sz w:val="20"/>
                <w:szCs w:val="20"/>
                <w:color w:val="auto"/>
              </w:rPr>
            </w:pPr>
            <w:r>
              <w:rPr>
                <w:rFonts w:ascii="Times New Roman" w:cs="Times New Roman" w:eastAsia="Times New Roman" w:hAnsi="Times New Roman"/>
                <w:sz w:val="20"/>
                <w:szCs w:val="20"/>
                <w:color w:val="auto"/>
              </w:rPr>
              <w:t>Three Months Ended</w:t>
            </w:r>
          </w:p>
        </w:tc>
        <w:tc>
          <w:tcPr>
            <w:tcW w:w="280" w:type="dxa"/>
            <w:vAlign w:val="bottom"/>
          </w:tcPr>
          <w:p>
            <w:pPr>
              <w:spacing w:after="0"/>
              <w:rPr>
                <w:sz w:val="21"/>
                <w:szCs w:val="21"/>
                <w:color w:val="auto"/>
              </w:rPr>
            </w:pPr>
          </w:p>
        </w:tc>
        <w:tc>
          <w:tcPr>
            <w:tcW w:w="268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Six Months Ended</w:t>
            </w:r>
          </w:p>
        </w:tc>
      </w:tr>
      <w:tr>
        <w:trPr>
          <w:trHeight w:val="251"/>
        </w:trPr>
        <w:tc>
          <w:tcPr>
            <w:tcW w:w="5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June 30,</w:t>
            </w:r>
          </w:p>
        </w:tc>
        <w:tc>
          <w:tcPr>
            <w:tcW w:w="10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June 30,</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5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2019</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rPr>
              <w:t xml:space="preserve">2018 </w:t>
            </w:r>
            <w:r>
              <w:rPr>
                <w:rFonts w:ascii="Times New Roman" w:cs="Times New Roman" w:eastAsia="Times New Roman" w:hAnsi="Times New Roman"/>
                <w:sz w:val="16"/>
                <w:szCs w:val="16"/>
                <w:color w:val="auto"/>
              </w:rPr>
              <w:t>(1)</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20"/>
                <w:szCs w:val="20"/>
                <w:color w:val="auto"/>
              </w:rPr>
              <w:t>2019</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rPr>
              <w:t xml:space="preserve">2018 </w:t>
            </w: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r>
      <w:tr>
        <w:trPr>
          <w:trHeight w:val="235"/>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538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Net Earnings Attributable to Martin Marietta</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1"/>
        </w:trPr>
        <w:tc>
          <w:tcPr>
            <w:tcW w:w="5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Materials, Inc.</w:t>
            </w:r>
          </w:p>
        </w:tc>
        <w:tc>
          <w:tcPr>
            <w:tcW w:w="2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189,475</w:t>
            </w:r>
          </w:p>
        </w:tc>
        <w:tc>
          <w:tcPr>
            <w:tcW w:w="5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185,377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232,328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195,400</w:t>
            </w:r>
          </w:p>
        </w:tc>
        <w:tc>
          <w:tcPr>
            <w:tcW w:w="100" w:type="dxa"/>
            <w:vAlign w:val="bottom"/>
            <w:shd w:val="clear" w:color="auto" w:fill="CFF0FC"/>
          </w:tcPr>
          <w:p>
            <w:pPr>
              <w:spacing w:after="0"/>
              <w:rPr>
                <w:sz w:val="21"/>
                <w:szCs w:val="21"/>
                <w:color w:val="auto"/>
              </w:rPr>
            </w:pPr>
          </w:p>
        </w:tc>
      </w:tr>
      <w:tr>
        <w:trPr>
          <w:trHeight w:val="242"/>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Add back:</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33,199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32,971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66,045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68,059</w:t>
            </w:r>
          </w:p>
        </w:tc>
        <w:tc>
          <w:tcPr>
            <w:tcW w:w="100" w:type="dxa"/>
            <w:vAlign w:val="bottom"/>
            <w:shd w:val="clear" w:color="auto" w:fill="CFF0FC"/>
          </w:tcPr>
          <w:p>
            <w:pPr>
              <w:spacing w:after="0"/>
              <w:rPr>
                <w:sz w:val="21"/>
                <w:szCs w:val="21"/>
                <w:color w:val="auto"/>
              </w:rPr>
            </w:pPr>
          </w:p>
        </w:tc>
      </w:tr>
      <w:tr>
        <w:trPr>
          <w:trHeight w:val="242"/>
        </w:trPr>
        <w:tc>
          <w:tcPr>
            <w:tcW w:w="5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Income tax expense for controlling interests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49,878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52,581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44,876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55,018</w:t>
            </w:r>
          </w:p>
        </w:tc>
        <w:tc>
          <w:tcPr>
            <w:tcW w:w="100" w:type="dxa"/>
            <w:vAlign w:val="bottom"/>
          </w:tcPr>
          <w:p>
            <w:pPr>
              <w:spacing w:after="0"/>
              <w:rPr>
                <w:sz w:val="21"/>
                <w:szCs w:val="21"/>
                <w:color w:val="auto"/>
              </w:rPr>
            </w:pPr>
          </w:p>
        </w:tc>
      </w:tr>
      <w:tr>
        <w:trPr>
          <w:trHeight w:val="219"/>
        </w:trPr>
        <w:tc>
          <w:tcPr>
            <w:tcW w:w="5380" w:type="dxa"/>
            <w:vAlign w:val="bottom"/>
            <w:shd w:val="clear" w:color="auto" w:fill="CFF0FC"/>
          </w:tcPr>
          <w:p>
            <w:pPr>
              <w:ind w:left="260"/>
              <w:spacing w:after="0" w:line="219" w:lineRule="exact"/>
              <w:rPr>
                <w:sz w:val="20"/>
                <w:szCs w:val="20"/>
                <w:color w:val="auto"/>
              </w:rPr>
            </w:pPr>
            <w:r>
              <w:rPr>
                <w:rFonts w:ascii="Times New Roman" w:cs="Times New Roman" w:eastAsia="Times New Roman" w:hAnsi="Times New Roman"/>
                <w:sz w:val="20"/>
                <w:szCs w:val="20"/>
                <w:color w:val="auto"/>
              </w:rPr>
              <w:t>Depreciation, depletion and amortization and</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5380" w:type="dxa"/>
            <w:vAlign w:val="bottom"/>
            <w:shd w:val="clear" w:color="auto" w:fill="CFF0FC"/>
          </w:tcPr>
          <w:p>
            <w:pPr>
              <w:ind w:left="400"/>
              <w:spacing w:after="0" w:line="229" w:lineRule="exact"/>
              <w:rPr>
                <w:sz w:val="20"/>
                <w:szCs w:val="20"/>
                <w:color w:val="auto"/>
              </w:rPr>
            </w:pPr>
            <w:r>
              <w:rPr>
                <w:rFonts w:ascii="Times New Roman" w:cs="Times New Roman" w:eastAsia="Times New Roman" w:hAnsi="Times New Roman"/>
                <w:sz w:val="20"/>
                <w:szCs w:val="20"/>
                <w:color w:val="auto"/>
              </w:rPr>
              <w:t>earnings/loss from nonconsolidated equity</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1"/>
        </w:trPr>
        <w:tc>
          <w:tcPr>
            <w:tcW w:w="5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affiliates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105,915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82,874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193,449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155,883</w:t>
            </w:r>
          </w:p>
        </w:tc>
        <w:tc>
          <w:tcPr>
            <w:tcW w:w="100" w:type="dxa"/>
            <w:vAlign w:val="bottom"/>
            <w:shd w:val="clear" w:color="auto" w:fill="CFF0FC"/>
          </w:tcPr>
          <w:p>
            <w:pPr>
              <w:spacing w:after="0"/>
              <w:rPr>
                <w:sz w:val="21"/>
                <w:szCs w:val="21"/>
                <w:color w:val="auto"/>
              </w:rPr>
            </w:pPr>
          </w:p>
        </w:tc>
      </w:tr>
      <w:tr>
        <w:trPr>
          <w:trHeight w:val="242"/>
        </w:trPr>
        <w:tc>
          <w:tcPr>
            <w:tcW w:w="5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Bluegrass acquisition-related expenses, net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12,836</w:t>
            </w:r>
          </w:p>
        </w:tc>
        <w:tc>
          <w:tcPr>
            <w:tcW w:w="100" w:type="dxa"/>
            <w:vAlign w:val="bottom"/>
          </w:tcPr>
          <w:p>
            <w:pPr>
              <w:spacing w:after="0"/>
              <w:rPr>
                <w:sz w:val="21"/>
                <w:szCs w:val="21"/>
                <w:color w:val="auto"/>
              </w:rPr>
            </w:pPr>
          </w:p>
        </w:tc>
      </w:tr>
      <w:tr>
        <w:trPr>
          <w:trHeight w:val="219"/>
        </w:trPr>
        <w:tc>
          <w:tcPr>
            <w:tcW w:w="5380" w:type="dxa"/>
            <w:vAlign w:val="bottom"/>
            <w:shd w:val="clear" w:color="auto" w:fill="CFF0FC"/>
          </w:tcPr>
          <w:p>
            <w:pPr>
              <w:ind w:left="260"/>
              <w:spacing w:after="0" w:line="219" w:lineRule="exact"/>
              <w:rPr>
                <w:sz w:val="20"/>
                <w:szCs w:val="20"/>
                <w:color w:val="auto"/>
              </w:rPr>
            </w:pPr>
            <w:r>
              <w:rPr>
                <w:rFonts w:ascii="Times New Roman" w:cs="Times New Roman" w:eastAsia="Times New Roman" w:hAnsi="Times New Roman"/>
                <w:sz w:val="20"/>
                <w:szCs w:val="20"/>
                <w:color w:val="auto"/>
              </w:rPr>
              <w:t>Impact of selling acquired inventory after markup</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1"/>
        </w:trPr>
        <w:tc>
          <w:tcPr>
            <w:tcW w:w="5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to fair value as part of acquisition accounting</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10,167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10,167</w:t>
            </w:r>
          </w:p>
        </w:tc>
        <w:tc>
          <w:tcPr>
            <w:tcW w:w="100" w:type="dxa"/>
            <w:vAlign w:val="bottom"/>
            <w:shd w:val="clear" w:color="auto" w:fill="CFF0FC"/>
          </w:tcPr>
          <w:p>
            <w:pPr>
              <w:spacing w:after="0"/>
              <w:rPr>
                <w:sz w:val="21"/>
                <w:szCs w:val="21"/>
                <w:color w:val="auto"/>
              </w:rPr>
            </w:pPr>
          </w:p>
        </w:tc>
      </w:tr>
      <w:tr>
        <w:trPr>
          <w:trHeight w:val="235"/>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Adjusted EBITDA</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378,467</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376,096</w:t>
            </w:r>
          </w:p>
        </w:tc>
        <w:tc>
          <w:tcPr>
            <w:tcW w:w="2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536,698</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497,363</w:t>
            </w:r>
          </w:p>
        </w:tc>
        <w:tc>
          <w:tcPr>
            <w:tcW w:w="10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760" w:hanging="377"/>
        <w:spacing w:after="0" w:line="192" w:lineRule="auto"/>
        <w:tabs>
          <w:tab w:leader="none" w:pos="760" w:val="left"/>
        </w:tabs>
        <w:numPr>
          <w:ilvl w:val="0"/>
          <w:numId w:val="12"/>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6"/>
          <w:szCs w:val="16"/>
          <w:i w:val="1"/>
          <w:iCs w:val="1"/>
          <w:color w:val="auto"/>
        </w:rPr>
        <w:t>The Company modified its calculation of Adjusted EBITDA in 2019. 2018 amounts have been calculated consistently with the 2019 presentation.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items for the quarter ended June 30, 2019 (unless noted, all comparisons are versus the prior-year quarter):</w:t>
      </w:r>
    </w:p>
    <w:p>
      <w:pPr>
        <w:spacing w:after="0" w:line="106" w:lineRule="exact"/>
        <w:rPr>
          <w:sz w:val="20"/>
          <w:szCs w:val="20"/>
          <w:color w:val="auto"/>
        </w:rPr>
      </w:pPr>
    </w:p>
    <w:p>
      <w:pPr>
        <w:ind w:left="760" w:hanging="377"/>
        <w:spacing w:after="0"/>
        <w:tabs>
          <w:tab w:leader="none" w:pos="760" w:val="left"/>
        </w:tabs>
        <w:numPr>
          <w:ilvl w:val="0"/>
          <w:numId w:val="13"/>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total revenues of $1.28 billion compared with $1.20 billion, an increase of 6%</w:t>
      </w:r>
    </w:p>
    <w:p>
      <w:pPr>
        <w:spacing w:after="0" w:line="19" w:lineRule="exact"/>
        <w:rPr>
          <w:rFonts w:ascii="Arial" w:cs="Arial" w:eastAsia="Arial" w:hAnsi="Arial"/>
          <w:sz w:val="20"/>
          <w:szCs w:val="20"/>
          <w:color w:val="007DC6"/>
        </w:rPr>
      </w:pPr>
    </w:p>
    <w:p>
      <w:pPr>
        <w:ind w:left="760" w:hanging="377"/>
        <w:spacing w:after="0" w:line="237" w:lineRule="auto"/>
        <w:tabs>
          <w:tab w:leader="none" w:pos="760" w:val="left"/>
        </w:tabs>
        <w:numPr>
          <w:ilvl w:val="0"/>
          <w:numId w:val="13"/>
        </w:numPr>
        <w:rPr>
          <w:rFonts w:ascii="Arial" w:cs="Arial" w:eastAsia="Arial" w:hAnsi="Arial"/>
          <w:sz w:val="20"/>
          <w:szCs w:val="20"/>
          <w:color w:val="007DC6"/>
        </w:rPr>
      </w:pPr>
      <w:r>
        <w:rPr>
          <w:rFonts w:ascii="Times New Roman" w:cs="Times New Roman" w:eastAsia="Times New Roman" w:hAnsi="Times New Roman"/>
          <w:sz w:val="20"/>
          <w:szCs w:val="20"/>
          <w:color w:val="auto"/>
        </w:rPr>
        <w:t>Building Materials business products and services revenues of $1.13 billion compared with $1.06 billion and Magnesia Specialties products revenue of $70.4 million compared with $68.2 million</w:t>
      </w:r>
    </w:p>
    <w:p>
      <w:pPr>
        <w:spacing w:after="0" w:line="1" w:lineRule="exact"/>
        <w:rPr>
          <w:rFonts w:ascii="Arial" w:cs="Arial" w:eastAsia="Arial" w:hAnsi="Arial"/>
          <w:sz w:val="20"/>
          <w:szCs w:val="20"/>
          <w:color w:val="007DC6"/>
        </w:rPr>
      </w:pPr>
    </w:p>
    <w:p>
      <w:pPr>
        <w:ind w:left="760" w:hanging="377"/>
        <w:spacing w:after="0" w:line="237" w:lineRule="auto"/>
        <w:tabs>
          <w:tab w:leader="none" w:pos="760" w:val="left"/>
        </w:tabs>
        <w:numPr>
          <w:ilvl w:val="0"/>
          <w:numId w:val="13"/>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gross profit of $356.9 million compared with $315.9 million, an increase of 13%</w:t>
      </w:r>
    </w:p>
    <w:p>
      <w:pPr>
        <w:ind w:left="760" w:hanging="377"/>
        <w:spacing w:after="0" w:line="237" w:lineRule="auto"/>
        <w:tabs>
          <w:tab w:leader="none" w:pos="760" w:val="left"/>
        </w:tabs>
        <w:numPr>
          <w:ilvl w:val="0"/>
          <w:numId w:val="13"/>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earnings from operations of $285.9 million compared with $264.0 million</w:t>
      </w:r>
    </w:p>
    <w:p>
      <w:pPr>
        <w:ind w:left="760" w:hanging="377"/>
        <w:spacing w:after="0" w:line="237" w:lineRule="auto"/>
        <w:tabs>
          <w:tab w:leader="none" w:pos="760" w:val="left"/>
        </w:tabs>
        <w:numPr>
          <w:ilvl w:val="0"/>
          <w:numId w:val="13"/>
        </w:numPr>
        <w:rPr>
          <w:rFonts w:ascii="Arial" w:cs="Arial" w:eastAsia="Arial" w:hAnsi="Arial"/>
          <w:sz w:val="20"/>
          <w:szCs w:val="20"/>
          <w:color w:val="007DC6"/>
        </w:rPr>
      </w:pPr>
      <w:r>
        <w:rPr>
          <w:rFonts w:ascii="Times New Roman" w:cs="Times New Roman" w:eastAsia="Times New Roman" w:hAnsi="Times New Roman"/>
          <w:sz w:val="20"/>
          <w:szCs w:val="20"/>
          <w:color w:val="auto"/>
        </w:rPr>
        <w:t>Net earnings attributable to Martin Marietta of $189.5 million compared with $185.4 million</w:t>
      </w:r>
    </w:p>
    <w:p>
      <w:pPr>
        <w:ind w:left="760" w:hanging="377"/>
        <w:spacing w:after="0" w:line="237" w:lineRule="auto"/>
        <w:tabs>
          <w:tab w:leader="none" w:pos="760" w:val="left"/>
        </w:tabs>
        <w:numPr>
          <w:ilvl w:val="0"/>
          <w:numId w:val="13"/>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Adjusted EBITDA of $378.5 million compared with $376.1 million</w:t>
      </w:r>
    </w:p>
    <w:p>
      <w:pPr>
        <w:ind w:left="760" w:hanging="377"/>
        <w:spacing w:after="0"/>
        <w:tabs>
          <w:tab w:leader="none" w:pos="760" w:val="left"/>
        </w:tabs>
        <w:numPr>
          <w:ilvl w:val="0"/>
          <w:numId w:val="13"/>
        </w:numPr>
        <w:rPr>
          <w:rFonts w:ascii="Arial" w:cs="Arial" w:eastAsia="Arial" w:hAnsi="Arial"/>
          <w:sz w:val="20"/>
          <w:szCs w:val="20"/>
          <w:color w:val="007DC6"/>
        </w:rPr>
      </w:pPr>
      <w:r>
        <w:rPr>
          <w:rFonts w:ascii="Times New Roman" w:cs="Times New Roman" w:eastAsia="Times New Roman" w:hAnsi="Times New Roman"/>
          <w:sz w:val="20"/>
          <w:szCs w:val="20"/>
          <w:color w:val="auto"/>
        </w:rPr>
        <w:t>Earnings per diluted share of $3.01 compared with $2.92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following tables present total revenues, gross profit (loss), selling, general and administrative (SG&amp;A) expenses and earnings (loss) from operations data for the Company and its reportable segments by product line for the three months ended June 30, 2019 and 2018. In each case, the data is stated as a percentage of revenues of the Company or the relevant segment or product line, as the case may be. The Company’s two cold mix asphalt plants have been reclassified from the asphalt and paving product line to the aggregates product line as they display characteristics more similar to aggregates than asphalt products. These operations did not represent a material amount of product revenues or gross profit. Prior-year information has been reclassified to conform to the presentation of the Company’s current reportable product lines.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20"/>
                <w:szCs w:val="20"/>
                <w:color w:val="auto"/>
              </w:rPr>
              <w:t>Three Months Ended June 30,</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2019</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2018</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Amount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w w:val="99"/>
              </w:rPr>
              <w:t>% of Revenues</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Amount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w w:val="99"/>
              </w:rPr>
              <w:t>% of Revenues</w:t>
            </w:r>
          </w:p>
        </w:tc>
        <w:tc>
          <w:tcPr>
            <w:tcW w:w="100" w:type="dxa"/>
            <w:vAlign w:val="bottom"/>
          </w:tcPr>
          <w:p>
            <w:pPr>
              <w:spacing w:after="0"/>
              <w:rPr>
                <w:sz w:val="20"/>
                <w:szCs w:val="20"/>
                <w:color w:val="auto"/>
              </w:rPr>
            </w:pPr>
          </w:p>
        </w:tc>
      </w:tr>
      <w:tr>
        <w:trPr>
          <w:trHeight w:val="235"/>
        </w:trPr>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94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Products and services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Mid-America Group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Aggregates</w:t>
            </w:r>
          </w:p>
        </w:tc>
        <w:tc>
          <w:tcPr>
            <w:tcW w:w="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382,717</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325,578</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Southeast Group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Aggregates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132,036</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109,082</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West Group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Aggregates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243,049</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232,306</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Cement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112,350</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113,148</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Ready mixed concrete</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241,178</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277,202</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Asphalt and paving</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82,198</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81,482</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Less: Interproduct revenues</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20"/>
                <w:szCs w:val="20"/>
                <w:color w:val="auto"/>
              </w:rPr>
              <w:t>(67,772)</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(78,178)</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49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20"/>
                <w:szCs w:val="20"/>
                <w:color w:val="auto"/>
              </w:rPr>
              <w:t>West Group Total</w:t>
            </w: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611,003</w:t>
            </w: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625,960</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5"/>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Products and services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1,125,756</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1,060,620</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0"/>
                <w:szCs w:val="20"/>
                <w:color w:val="auto"/>
              </w:rPr>
            </w:pPr>
          </w:p>
        </w:tc>
      </w:tr>
      <w:tr>
        <w:trPr>
          <w:trHeight w:val="242"/>
        </w:trPr>
        <w:tc>
          <w:tcPr>
            <w:tcW w:w="49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77,473</w:t>
            </w:r>
          </w:p>
        </w:tc>
        <w:tc>
          <w:tcPr>
            <w:tcW w:w="36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68,821</w:t>
            </w:r>
          </w:p>
        </w:tc>
        <w:tc>
          <w:tcPr>
            <w:tcW w:w="32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5"/>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1,203,229</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1,129,441</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0"/>
                <w:szCs w:val="20"/>
                <w:color w:val="auto"/>
              </w:rPr>
            </w:pPr>
          </w:p>
        </w:tc>
      </w:tr>
      <w:tr>
        <w:trPr>
          <w:trHeight w:val="235"/>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Magnesia Specialties Business: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Products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70,379</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68,157</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5,860</w:t>
            </w:r>
          </w:p>
        </w:tc>
        <w:tc>
          <w:tcPr>
            <w:tcW w:w="36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4,805</w:t>
            </w:r>
          </w:p>
        </w:tc>
        <w:tc>
          <w:tcPr>
            <w:tcW w:w="32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5"/>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Magnesia Specialties Business</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76,239</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72,962</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0"/>
                <w:szCs w:val="20"/>
                <w:color w:val="auto"/>
              </w:rPr>
            </w:pPr>
          </w:p>
        </w:tc>
      </w:tr>
      <w:tr>
        <w:trPr>
          <w:trHeight w:val="235"/>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1,279,468</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1,202,403</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20"/>
                <w:szCs w:val="20"/>
                <w:color w:val="auto"/>
              </w:rPr>
              <w:t>Three Months Ended June 30,</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2019</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2018</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Amount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w w:val="99"/>
              </w:rPr>
              <w:t>% of Revenues</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Amount</w:t>
            </w: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w w:val="97"/>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Gross profit (loss):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80" w:type="dxa"/>
            <w:vAlign w:val="bottom"/>
            <w:gridSpan w:val="6"/>
          </w:tcPr>
          <w:p>
            <w:pPr>
              <w:jc w:val="right"/>
              <w:ind w:right="98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9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Products and services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Mid-America Group</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Aggregates</w:t>
            </w:r>
          </w:p>
        </w:tc>
        <w:tc>
          <w:tcPr>
            <w:tcW w:w="12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155,474</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2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120,821</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Southeast Group</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Aggregates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38,023</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20,070</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West Group</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Aggregates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57,925</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57,814</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Cement</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42,229</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41,305</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Ready mixed concrete</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19,014</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29,952</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20"/>
                <w:szCs w:val="20"/>
                <w:color w:val="auto"/>
              </w:rPr>
              <w:t>Asphalt and paving</w:t>
            </w:r>
          </w:p>
        </w:tc>
        <w:tc>
          <w:tcPr>
            <w:tcW w:w="10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15,742</w:t>
            </w:r>
          </w:p>
        </w:tc>
        <w:tc>
          <w:tcPr>
            <w:tcW w:w="38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18,347</w:t>
            </w:r>
          </w:p>
        </w:tc>
        <w:tc>
          <w:tcPr>
            <w:tcW w:w="3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West Group Total</w:t>
            </w:r>
          </w:p>
        </w:tc>
        <w:tc>
          <w:tcPr>
            <w:tcW w:w="10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134,910</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147,418</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Products and services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328,407</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288,309</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Freight</w:t>
            </w:r>
          </w:p>
        </w:tc>
        <w:tc>
          <w:tcPr>
            <w:tcW w:w="10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10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328,634</w:t>
            </w:r>
          </w:p>
        </w:tc>
        <w:tc>
          <w:tcPr>
            <w:tcW w:w="38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288,907</w:t>
            </w:r>
          </w:p>
        </w:tc>
        <w:tc>
          <w:tcPr>
            <w:tcW w:w="32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 Business:</w:t>
            </w: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Products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29,212</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24,870</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Freight</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20"/>
                <w:szCs w:val="20"/>
                <w:color w:val="auto"/>
              </w:rPr>
              <w:t>(1,174)</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(1,028)</w:t>
            </w: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Total Magnesia Specialties Business</w:t>
            </w:r>
          </w:p>
        </w:tc>
        <w:tc>
          <w:tcPr>
            <w:tcW w:w="10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28,038</w:t>
            </w:r>
          </w:p>
        </w:tc>
        <w:tc>
          <w:tcPr>
            <w:tcW w:w="38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23,842</w:t>
            </w:r>
          </w:p>
        </w:tc>
        <w:tc>
          <w:tcPr>
            <w:tcW w:w="32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w:t>
            </w:r>
          </w:p>
        </w:tc>
        <w:tc>
          <w:tcPr>
            <w:tcW w:w="10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3,168</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040" w:type="dxa"/>
            <w:vAlign w:val="bottom"/>
          </w:tcPr>
          <w:p>
            <w:pPr>
              <w:spacing w:after="0"/>
              <w:rPr>
                <w:sz w:val="20"/>
                <w:szCs w:val="20"/>
                <w:color w:val="auto"/>
              </w:rPr>
            </w:pPr>
          </w:p>
        </w:tc>
        <w:tc>
          <w:tcPr>
            <w:tcW w:w="2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356,867</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315,917</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20"/>
                <w:szCs w:val="20"/>
                <w:color w:val="auto"/>
              </w:rPr>
              <w:t>Three Months Ended June 30,</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2019</w:t>
            </w: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2018</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ind w:left="320"/>
              <w:spacing w:after="0" w:line="212" w:lineRule="exact"/>
              <w:rPr>
                <w:sz w:val="20"/>
                <w:szCs w:val="20"/>
                <w:color w:val="auto"/>
              </w:rPr>
            </w:pPr>
            <w:r>
              <w:rPr>
                <w:rFonts w:ascii="Times New Roman" w:cs="Times New Roman" w:eastAsia="Times New Roman" w:hAnsi="Times New Roman"/>
                <w:sz w:val="20"/>
                <w:szCs w:val="20"/>
                <w:color w:val="auto"/>
              </w:rPr>
              <w:t>% of</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center"/>
              <w:ind w:right="122"/>
              <w:spacing w:after="0" w:line="212" w:lineRule="exact"/>
              <w:rPr>
                <w:sz w:val="20"/>
                <w:szCs w:val="20"/>
                <w:color w:val="auto"/>
              </w:rPr>
            </w:pPr>
            <w:r>
              <w:rPr>
                <w:rFonts w:ascii="Times New Roman" w:cs="Times New Roman" w:eastAsia="Times New Roman" w:hAnsi="Times New Roman"/>
                <w:sz w:val="20"/>
                <w:szCs w:val="20"/>
                <w:color w:val="auto"/>
                <w:w w:val="99"/>
              </w:rPr>
              <w:t>%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860"/>
              <w:spacing w:after="0"/>
              <w:rPr>
                <w:sz w:val="20"/>
                <w:szCs w:val="20"/>
                <w:color w:val="auto"/>
              </w:rPr>
            </w:pPr>
            <w:r>
              <w:rPr>
                <w:rFonts w:ascii="Times New Roman" w:cs="Times New Roman" w:eastAsia="Times New Roman" w:hAnsi="Times New Roman"/>
                <w:sz w:val="20"/>
                <w:szCs w:val="20"/>
                <w:color w:val="auto"/>
              </w:rPr>
              <w:t>Amount</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Revenues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rPr>
              <w:t>Amount</w:t>
            </w: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Revenues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3280" w:type="dxa"/>
            <w:vAlign w:val="bottom"/>
            <w:tcBorders>
              <w:top w:val="single" w:sz="8" w:color="auto"/>
            </w:tcBorders>
            <w:gridSpan w:val="6"/>
            <w:shd w:val="clear" w:color="auto" w:fill="CFF0FC"/>
          </w:tcPr>
          <w:p>
            <w:pPr>
              <w:ind w:left="38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Selling, general &amp; administrative expenses: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Mid-America Group</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15,542</w:t>
            </w: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33"/>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14,016</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Southeast Group</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5,376</w:t>
            </w: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4,833</w:t>
            </w: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20"/>
                <w:szCs w:val="20"/>
                <w:color w:val="auto"/>
              </w:rPr>
              <w:t>West Group</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27,717</w:t>
            </w:r>
          </w:p>
        </w:tc>
        <w:tc>
          <w:tcPr>
            <w:tcW w:w="48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27,161</w:t>
            </w:r>
          </w:p>
        </w:tc>
        <w:tc>
          <w:tcPr>
            <w:tcW w:w="44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48,635</w:t>
            </w:r>
          </w:p>
        </w:tc>
        <w:tc>
          <w:tcPr>
            <w:tcW w:w="4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46,010</w:t>
            </w:r>
          </w:p>
        </w:tc>
        <w:tc>
          <w:tcPr>
            <w:tcW w:w="4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2,796</w:t>
            </w: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2,505</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20,951</w:t>
            </w: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22,555</w:t>
            </w: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72,382</w:t>
            </w: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71,070</w:t>
            </w: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Earnings (Loss) from operations: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Mid-America Group</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141,678</w:t>
            </w: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33"/>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108,709</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Southeast Group</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32,688</w:t>
            </w: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32,052</w:t>
            </w: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20"/>
                <w:szCs w:val="20"/>
                <w:color w:val="auto"/>
              </w:rPr>
              <w:t>West Group</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110,223</w:t>
            </w:r>
          </w:p>
        </w:tc>
        <w:tc>
          <w:tcPr>
            <w:tcW w:w="48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122,844</w:t>
            </w:r>
          </w:p>
        </w:tc>
        <w:tc>
          <w:tcPr>
            <w:tcW w:w="44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284,589</w:t>
            </w:r>
          </w:p>
        </w:tc>
        <w:tc>
          <w:tcPr>
            <w:tcW w:w="4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263,605</w:t>
            </w:r>
          </w:p>
        </w:tc>
        <w:tc>
          <w:tcPr>
            <w:tcW w:w="4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25,219</w:t>
            </w: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21,329</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20"/>
                <w:szCs w:val="20"/>
                <w:color w:val="auto"/>
              </w:rPr>
              <w:t>(23,926)</w:t>
            </w: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20"/>
                <w:szCs w:val="20"/>
                <w:color w:val="auto"/>
              </w:rPr>
              <w:t>(20,981)</w:t>
            </w: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285,882</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263,953</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aggregates products volume and pricing variance data and shipments data by segment:</w:t>
      </w:r>
    </w:p>
    <w:p>
      <w:pPr>
        <w:spacing w:after="0" w:line="79"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20"/>
          <w:szCs w:val="20"/>
          <w:color w:val="auto"/>
        </w:rPr>
        <w:t>Three Months Ended</w:t>
      </w:r>
    </w:p>
    <w:p>
      <w:pPr>
        <w:spacing w:after="0" w:line="2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20"/>
          <w:szCs w:val="20"/>
          <w:color w:val="auto"/>
        </w:rPr>
        <w:t>June 30, 2019</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Volume</w:t>
            </w:r>
          </w:p>
        </w:tc>
        <w:tc>
          <w:tcPr>
            <w:tcW w:w="5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FF0FC"/>
            </w:tcBorders>
          </w:tcPr>
          <w:p>
            <w:pPr>
              <w:spacing w:after="0"/>
              <w:rPr>
                <w:sz w:val="20"/>
                <w:szCs w:val="20"/>
                <w:color w:val="auto"/>
              </w:rPr>
            </w:pPr>
          </w:p>
        </w:tc>
        <w:tc>
          <w:tcPr>
            <w:tcW w:w="260" w:type="dxa"/>
            <w:vAlign w:val="bottom"/>
            <w:tcBorders>
              <w:top w:val="single" w:sz="8" w:color="auto"/>
              <w:bottom w:val="single" w:sz="8" w:color="CFF0FC"/>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Pricing</w:t>
            </w:r>
          </w:p>
        </w:tc>
        <w:tc>
          <w:tcPr>
            <w:tcW w:w="58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 xml:space="preserve">Volume/Pricing variance </w:t>
            </w: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38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Mid-America Group</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15.9%</w:t>
            </w: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42"/>
        </w:trPr>
        <w:tc>
          <w:tcPr>
            <w:tcW w:w="8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Southeast Group</w:t>
            </w: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20"/>
                <w:szCs w:val="20"/>
                <w:color w:val="auto"/>
              </w:rPr>
              <w:t>12.7%</w:t>
            </w: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42"/>
        </w:trPr>
        <w:tc>
          <w:tcPr>
            <w:tcW w:w="838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West Group</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42"/>
        </w:trPr>
        <w:tc>
          <w:tcPr>
            <w:tcW w:w="8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Aggregates Operations</w:t>
            </w:r>
            <w:r>
              <w:rPr>
                <w:rFonts w:ascii="Times New Roman" w:cs="Times New Roman" w:eastAsia="Times New Roman" w:hAnsi="Times New Roman"/>
                <w:sz w:val="16"/>
                <w:szCs w:val="16"/>
                <w:color w:val="auto"/>
              </w:rPr>
              <w:t>(2)</w:t>
            </w: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447"/>
        </w:trPr>
        <w:tc>
          <w:tcPr>
            <w:tcW w:w="7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5"/>
          </w:tcPr>
          <w:p>
            <w:pPr>
              <w:jc w:val="center"/>
              <w:ind w:right="442"/>
              <w:spacing w:after="0"/>
              <w:rPr>
                <w:sz w:val="20"/>
                <w:szCs w:val="20"/>
                <w:color w:val="auto"/>
              </w:rPr>
            </w:pPr>
            <w:r>
              <w:rPr>
                <w:rFonts w:ascii="Times New Roman" w:cs="Times New Roman" w:eastAsia="Times New Roman" w:hAnsi="Times New Roman"/>
                <w:sz w:val="20"/>
                <w:szCs w:val="20"/>
                <w:color w:val="auto"/>
                <w:w w:val="98"/>
              </w:rPr>
              <w:t>Three Months Ended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5"/>
          </w:tcPr>
          <w:p>
            <w:pPr>
              <w:jc w:val="center"/>
              <w:ind w:right="422"/>
              <w:spacing w:after="0"/>
              <w:rPr>
                <w:sz w:val="20"/>
                <w:szCs w:val="20"/>
                <w:color w:val="auto"/>
              </w:rPr>
            </w:pPr>
            <w:r>
              <w:rPr>
                <w:rFonts w:ascii="Times New Roman" w:cs="Times New Roman" w:eastAsia="Times New Roman" w:hAnsi="Times New Roman"/>
                <w:sz w:val="20"/>
                <w:szCs w:val="20"/>
                <w:color w:val="auto"/>
                <w:w w:val="95"/>
              </w:rPr>
              <w:t>June 30,</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220" w:type="dxa"/>
            <w:vAlign w:val="bottom"/>
            <w:gridSpan w:val="2"/>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2280" w:type="dxa"/>
            <w:vAlign w:val="bottom"/>
            <w:tcBorders>
              <w:bottom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20"/>
                <w:szCs w:val="20"/>
                <w:color w:val="auto"/>
              </w:rPr>
              <w:t>2018</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3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Shipments</w:t>
            </w:r>
          </w:p>
        </w:tc>
        <w:tc>
          <w:tcPr>
            <w:tcW w:w="2280" w:type="dxa"/>
            <w:vAlign w:val="bottom"/>
            <w:gridSpan w:val="5"/>
          </w:tcPr>
          <w:p>
            <w:pPr>
              <w:jc w:val="center"/>
              <w:ind w:right="422"/>
              <w:spacing w:after="0"/>
              <w:rPr>
                <w:sz w:val="20"/>
                <w:szCs w:val="20"/>
                <w:color w:val="auto"/>
              </w:rPr>
            </w:pPr>
            <w:r>
              <w:rPr>
                <w:rFonts w:ascii="Times New Roman" w:cs="Times New Roman" w:eastAsia="Times New Roman" w:hAnsi="Times New Roman"/>
                <w:sz w:val="20"/>
                <w:szCs w:val="20"/>
                <w:i w:val="1"/>
                <w:iCs w:val="1"/>
                <w:color w:val="auto"/>
                <w:w w:val="97"/>
              </w:rPr>
              <w:t>(Tons in Thousands)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38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38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Mid-America Group</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27,624</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23,843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Southeast Group</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7,228</w:t>
            </w: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6,411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38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West Group</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18,301</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18,106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Aggregates Operations</w:t>
            </w:r>
            <w:r>
              <w:rPr>
                <w:rFonts w:ascii="Times New Roman" w:cs="Times New Roman" w:eastAsia="Times New Roman" w:hAnsi="Times New Roman"/>
                <w:sz w:val="16"/>
                <w:szCs w:val="16"/>
                <w:color w:val="auto"/>
              </w:rPr>
              <w:t>(2)</w:t>
            </w:r>
          </w:p>
        </w:tc>
        <w:tc>
          <w:tcPr>
            <w:tcW w:w="116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53,153</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48,360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240" w:hanging="227"/>
        <w:spacing w:after="0"/>
        <w:tabs>
          <w:tab w:leader="none" w:pos="240" w:val="left"/>
        </w:tabs>
        <w:numPr>
          <w:ilvl w:val="0"/>
          <w:numId w:val="1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Volume/pricing variances reflect the percentage increase/(decrease) from the comparable period in the prior year.</w:t>
      </w:r>
    </w:p>
    <w:p>
      <w:pPr>
        <w:spacing w:after="0" w:line="28" w:lineRule="exact"/>
        <w:rPr>
          <w:rFonts w:ascii="Times New Roman" w:cs="Times New Roman" w:eastAsia="Times New Roman" w:hAnsi="Times New Roman"/>
          <w:sz w:val="15"/>
          <w:szCs w:val="15"/>
          <w:i w:val="1"/>
          <w:iCs w:val="1"/>
          <w:color w:val="auto"/>
        </w:rPr>
      </w:pPr>
    </w:p>
    <w:p>
      <w:pPr>
        <w:ind w:left="220" w:hanging="213"/>
        <w:spacing w:after="0"/>
        <w:tabs>
          <w:tab w:leader="none" w:pos="220" w:val="left"/>
        </w:tabs>
        <w:numPr>
          <w:ilvl w:val="0"/>
          <w:numId w:val="1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Total aggregates operations include acquisitions from the date of acquisition and divestitures through the date of disposal.</w:t>
      </w:r>
    </w:p>
    <w:p>
      <w:pPr>
        <w:spacing w:after="0" w:line="2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Second-quarter aggregates volume and pricing improved 9.9% and 3.4%, respectively. On a same-store basis, second-quarter 2019 aggregates volume and pricing improved 6.1% and 4.1%, respectively. The Company may exclude the operating results of recently acquired businesses that do not have comparable results in the periods being discussed; therefore, the Company may present results on a same-store concept. This approach allows management and investors to evaluate the performance of the Company’s operations on a comparable basis without the effects of acquisition activity. The Company’s same-store information may not be comparable with similar measures used by other companies. Shipments for the Mid-America Group operations increased 15.9% supported by infrastructure and commercial projects. Additionally, the Midwest Division benefited from shipments related to emergency flood repairs. Pricing improved 1.6%. Shipments for the Southeast Group operations increased 12.7% reflecting the strength of the North Georgia and Florida markets. Pricing improved 7.3% driven by solid gains in North Georgia and a higher percentage of long-haul shipments. West Group shipments increased 1.1% despite unfavorable weather that contributed to project delays. West Group pricing increased 3.4%.</w:t>
      </w:r>
    </w:p>
    <w:p>
      <w:pPr>
        <w:spacing w:after="0" w:line="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Aggregates shipments to the infrastructure market increased 2% as contractors continued to advance transportation-related projects. Following more than a decade of underinvestment, management believes infrastructure demand is poised for meaningful growth. Funding provided by the </w:t>
      </w:r>
      <w:r>
        <w:rPr>
          <w:rFonts w:ascii="Times New Roman" w:cs="Times New Roman" w:eastAsia="Times New Roman" w:hAnsi="Times New Roman"/>
          <w:sz w:val="20"/>
          <w:szCs w:val="20"/>
          <w:i w:val="1"/>
          <w:iCs w:val="1"/>
          <w:color w:val="auto"/>
        </w:rPr>
        <w:t xml:space="preserve">Fixing America’s Surface Transportation Act </w:t>
      </w:r>
      <w:r>
        <w:rPr>
          <w:rFonts w:ascii="Times New Roman" w:cs="Times New Roman" w:eastAsia="Times New Roman" w:hAnsi="Times New Roman"/>
          <w:sz w:val="20"/>
          <w:szCs w:val="20"/>
          <w:color w:val="auto"/>
        </w:rPr>
        <w:t>(FAST Act), combined with numerous state and local transportation initiatives, has recently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accelerated lettings and contract awards in key states, including Texas, Colorado, Iowa and Maryland. For the quarter, the infrastructure market represented 37% of aggregates shipments, which is below the Company’s most recent ten-year average of 46%.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Aggregates shipments to the nonresidential market increased 25%, driven by gains in commercial and heavy industrial construction activity. The Company continued to benefit from robust distribution center, warehouse, data center and wind turbine projects in key geographies, including Texas, the Carolinas, Georgia and Iowa, as well as the early phases of several large energy-sector projects along the Gulf Coast. The nonresidential market represented 37% of second-quarter aggregates shipments.</w:t>
      </w:r>
    </w:p>
    <w:p>
      <w:pPr>
        <w:spacing w:after="0" w:line="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Aggregates shipments to the residential market increased modestly, as ongoing homebuilding activity in the Carolinas, Georgia and Florida was offset by weather-related delays in Texas. The residential construction outlook across the Company’s geographic footprint remains positive for both single- and multi-family housing, driven by favorable demographics, job growth, land availability, low interest rates and efficient permitting. On a national level, housing starts remain below the 50-year annual average of 1.5 million despite notable population gains. The residential market accounted for 21% of second-quarter aggregates shipments.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ChemRock/Rail market accounted for the remaining 5% of second-quarter aggregates shipments. Volumes to this end use increased 11%, driven by improved ballast shipments to the western Class I railroads for emergency flood repairs.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average selling price by product line for the Building Materials business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40" w:type="dxa"/>
            <w:vAlign w:val="bottom"/>
            <w:gridSpan w:val="4"/>
          </w:tcPr>
          <w:p>
            <w:pPr>
              <w:jc w:val="center"/>
              <w:ind w:right="440"/>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1"/>
        </w:trPr>
        <w:tc>
          <w:tcPr>
            <w:tcW w:w="4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980"/>
              <w:spacing w:after="0"/>
              <w:rPr>
                <w:sz w:val="20"/>
                <w:szCs w:val="20"/>
                <w:color w:val="auto"/>
              </w:rPr>
            </w:pPr>
            <w:r>
              <w:rPr>
                <w:rFonts w:ascii="Times New Roman" w:cs="Times New Roman" w:eastAsia="Times New Roman" w:hAnsi="Times New Roman"/>
                <w:sz w:val="20"/>
                <w:szCs w:val="20"/>
                <w:color w:val="auto"/>
                <w:w w:val="95"/>
              </w:rPr>
              <w:t>June 30,</w:t>
            </w:r>
          </w:p>
        </w:tc>
        <w:tc>
          <w:tcPr>
            <w:tcW w:w="13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5"/>
        </w:trPr>
        <w:tc>
          <w:tcPr>
            <w:tcW w:w="44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color w:val="auto"/>
              </w:rPr>
              <w:t>2018</w:t>
            </w:r>
          </w:p>
        </w:tc>
        <w:tc>
          <w:tcPr>
            <w:tcW w:w="3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5"/>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(per ton)</w:t>
            </w:r>
          </w:p>
        </w:tc>
        <w:tc>
          <w:tcPr>
            <w:tcW w:w="1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2"/>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14.18</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13.72</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r>
      <w:tr>
        <w:trPr>
          <w:trHeight w:val="242"/>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Cement (per ton)</w:t>
            </w:r>
          </w:p>
        </w:tc>
        <w:tc>
          <w:tcPr>
            <w:tcW w:w="2420" w:type="dxa"/>
            <w:vAlign w:val="bottom"/>
            <w:gridSpan w:val="2"/>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114.17</w:t>
            </w:r>
          </w:p>
        </w:tc>
        <w:tc>
          <w:tcPr>
            <w:tcW w:w="54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109.11</w:t>
            </w:r>
          </w:p>
        </w:tc>
        <w:tc>
          <w:tcPr>
            <w:tcW w:w="38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4.6%</w:t>
            </w:r>
          </w:p>
        </w:tc>
      </w:tr>
      <w:tr>
        <w:trPr>
          <w:trHeight w:val="24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Ready Mixed Concrete (per cubic yard)</w:t>
            </w:r>
          </w:p>
        </w:tc>
        <w:tc>
          <w:tcPr>
            <w:tcW w:w="2420" w:type="dxa"/>
            <w:vAlign w:val="bottom"/>
            <w:gridSpan w:val="2"/>
            <w:shd w:val="clear" w:color="auto" w:fill="CFF0FC"/>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109.36</w:t>
            </w:r>
          </w:p>
        </w:tc>
        <w:tc>
          <w:tcPr>
            <w:tcW w:w="5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106.65</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Asphalt (per ton)</w:t>
            </w:r>
          </w:p>
        </w:tc>
        <w:tc>
          <w:tcPr>
            <w:tcW w:w="2420" w:type="dxa"/>
            <w:vAlign w:val="bottom"/>
            <w:gridSpan w:val="2"/>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47.22</w:t>
            </w:r>
          </w:p>
        </w:tc>
        <w:tc>
          <w:tcPr>
            <w:tcW w:w="54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44.89</w:t>
            </w:r>
          </w:p>
        </w:tc>
        <w:tc>
          <w:tcPr>
            <w:tcW w:w="380" w:type="dxa"/>
            <w:vAlign w:val="bottom"/>
          </w:tcPr>
          <w:p>
            <w:pPr>
              <w:spacing w:after="0"/>
              <w:rPr>
                <w:sz w:val="22"/>
                <w:szCs w:val="22"/>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5.2%</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shipments data for the Building Materials business by product line.</w:t>
      </w:r>
    </w:p>
    <w:p>
      <w:pPr>
        <w:spacing w:after="0" w:line="227"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20"/>
          <w:szCs w:val="20"/>
          <w:color w:val="auto"/>
        </w:rPr>
        <w:t>Three Months Ended</w:t>
      </w:r>
    </w:p>
    <w:p>
      <w:pPr>
        <w:spacing w:after="0" w:line="27"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20"/>
          <w:szCs w:val="20"/>
          <w:color w:val="auto"/>
        </w:rPr>
        <w:t>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gridSpan w:val="2"/>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Shipments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50,491</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20"/>
                <w:szCs w:val="20"/>
                <w:color w:val="auto"/>
              </w:rPr>
              <w:t>Internal tons used in other product lines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2,662</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8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20"/>
                <w:szCs w:val="20"/>
                <w:color w:val="auto"/>
              </w:rPr>
              <w:t>Total aggregates tons</w:t>
            </w:r>
          </w:p>
        </w:tc>
        <w:tc>
          <w:tcPr>
            <w:tcW w:w="100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53,153</w:t>
            </w:r>
          </w:p>
        </w:tc>
        <w:tc>
          <w:tcPr>
            <w:tcW w:w="280" w:type="dxa"/>
            <w:vAlign w:val="bottom"/>
            <w:tcBorders>
              <w:bottom w:val="single" w:sz="8" w:color="CFF0FC"/>
            </w:tcBorders>
          </w:tcPr>
          <w:p>
            <w:pPr>
              <w:spacing w:after="0"/>
              <w:rPr>
                <w:sz w:val="23"/>
                <w:szCs w:val="2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48,360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Cement (in thousands):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Internal tons used in ready mixed concrete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cement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978</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Ready Mixed Concrete (in thousands of cubic yards)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2,162</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2,559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Asphalt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Internal tons used in paving business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asphalt tons</w:t>
            </w:r>
          </w:p>
        </w:tc>
        <w:tc>
          <w:tcPr>
            <w:tcW w:w="10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w:t>
            </w:r>
          </w:p>
        </w:tc>
        <w:tc>
          <w:tcPr>
            <w:tcW w:w="280" w:type="dxa"/>
            <w:vAlign w:val="bottom"/>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Cement pricing increased 4.6% while shipments declined 4.9% due to extreme precipitation, most notably in Dallas/Fort Worth. Downstream shipments were negatively impacted by late winter weather in Colorado and wet conditions in Texas.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Ready mixed concrete shipments decreased 15.5%, driven by unfavorable weather conditions in Texas and Colorado. Ready mixed concrete selling prices improved 2.5%. Colorado asphalt shipments declined 8.2% while pricing improved 5.2%.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Magnesia Specialties Business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Magnesia Specialties product revenues increased 3.3% to a record $70.4 million, compared with $68.2 million, as the business continued to benefit from solid global demand for magnesia chemical products. Products gross profit was $29.2 million compared with $24.9 million. Product gross margin improved 500 basis points to 41.5% driven by favorable product mix, production efficiencies and lower energy costs. Earnings from operations were $25.2 million compared with $21.3 million.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Gross Profit</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presents a rollforward of consolidated gross profit (dollars in thousands):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3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Consolidated gross profit, quarter ended June 30, 2018</w:t>
            </w:r>
          </w:p>
        </w:tc>
        <w:tc>
          <w:tcPr>
            <w:tcW w:w="680" w:type="dxa"/>
            <w:vAlign w:val="bottom"/>
            <w:gridSpan w:val="2"/>
            <w:shd w:val="clear" w:color="auto" w:fill="CFF0FC"/>
          </w:tcPr>
          <w:p>
            <w:pPr>
              <w:jc w:val="right"/>
              <w:ind w:right="493"/>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315,917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Aggregates products:</w:t>
            </w:r>
          </w:p>
        </w:tc>
        <w:tc>
          <w:tcPr>
            <w:tcW w:w="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Volume</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32,941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Pricing</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 xml:space="preserve">Operational performance </w:t>
            </w:r>
            <w:r>
              <w:rPr>
                <w:rFonts w:ascii="Times New Roman" w:cs="Times New Roman" w:eastAsia="Times New Roman" w:hAnsi="Times New Roman"/>
                <w:sz w:val="16"/>
                <w:szCs w:val="16"/>
                <w:color w:val="auto"/>
              </w:rPr>
              <w:t>(1)</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(4,674)</w:t>
            </w:r>
          </w:p>
        </w:tc>
        <w:tc>
          <w:tcPr>
            <w:tcW w:w="0" w:type="dxa"/>
            <w:vAlign w:val="bottom"/>
          </w:tcPr>
          <w:p>
            <w:pPr>
              <w:spacing w:after="0"/>
              <w:rPr>
                <w:sz w:val="1"/>
                <w:szCs w:val="1"/>
                <w:color w:val="auto"/>
              </w:rPr>
            </w:pPr>
          </w:p>
        </w:tc>
      </w:tr>
      <w:tr>
        <w:trPr>
          <w:trHeight w:val="235"/>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aggregates products gross profit</w:t>
            </w:r>
          </w:p>
        </w:tc>
        <w:tc>
          <w:tcPr>
            <w:tcW w:w="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Cement products and downstream products and services</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(12,619)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20"/>
                <w:szCs w:val="20"/>
                <w:color w:val="auto"/>
              </w:rPr>
              <w:t>Magnesia Specialties products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(2,973)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20"/>
                <w:szCs w:val="20"/>
                <w:color w:val="auto"/>
              </w:rPr>
              <w:t>Freight</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(517)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Change in consolidated gross profit</w:t>
            </w:r>
          </w:p>
        </w:tc>
        <w:tc>
          <w:tcPr>
            <w:tcW w:w="20" w:type="dxa"/>
            <w:vAlign w:val="bottom"/>
            <w:tcBorders>
              <w:top w:val="single" w:sz="8" w:color="CFF0FC"/>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40,950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gross profit, quarter ended June 30, 2019</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380" w:hanging="373"/>
        <w:spacing w:after="0"/>
        <w:tabs>
          <w:tab w:leader="none" w:pos="380" w:val="left"/>
        </w:tabs>
        <w:numPr>
          <w:ilvl w:val="0"/>
          <w:numId w:val="1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Inclusive of cost increases/decreases, product and geographic mix and other operating impacts</w:t>
      </w:r>
    </w:p>
    <w:p>
      <w:pPr>
        <w:spacing w:after="0" w:line="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Aggregates product gross margin increased 340 basis points to 33.2%, reflecting improved operating leverage from increased shipment and production levels and the absence of the $10.2 million impact of selling acquired inventory after its markup to fair value as part of acquisition accounting incurred in 2018. Second-quarter production efficiencies and lower maintenance costs contributed to the 110-basis-point expansion in cement product gross margin to 37.6%. The decline in ready mixed concrete and asphalt shipments slightly offset by pricing gains hindered gross profit for the downstream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Consolidated Operating Results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Consolidated SG&amp;A was 5.7% of total revenues compared with 5.9% in the prior-year quarter. Earnings from operations for the quarter were $285.9 million in 2019 compared with $264.0 million in 2018.</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second quarter, consolidated other operating income, net, was $1.4 million and $31.2 million in 2019 and 2018, respectively. The 2018 amount reflects nonrecurring gains on the sale of surplus land of $16.9 million and a net gain on litigation and related settlements of $7.7 million.</w:t>
      </w:r>
    </w:p>
    <w:p>
      <w:pPr>
        <w:spacing w:after="0" w:line="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Other nonoperating income and expenses, net, includes interest income; pension and postretirement benefit cost, excluding service cost; foreign currency transaction gains and losses; equity in earnings or losses of nonconsolidated affiliates and other miscellaneous income. For the second quarter, other nonoperating income, net, was expense of $13.2 million in 2019 and income of $7.1 million in 2018. The expense in 2019 is primarily due to a $15.7 million ($12.0 million net of tax) out-of-period correction of a Company-identified overstatement of the investment balance for a nonconsolidated equity affiliate.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items for the six months ended June 30, 2019 (unless noted, all comparisons are versus the prior-year period):</w:t>
      </w:r>
    </w:p>
    <w:p>
      <w:pPr>
        <w:spacing w:after="0" w:line="106" w:lineRule="exact"/>
        <w:rPr>
          <w:sz w:val="20"/>
          <w:szCs w:val="20"/>
          <w:color w:val="auto"/>
        </w:rPr>
      </w:pPr>
    </w:p>
    <w:p>
      <w:pPr>
        <w:ind w:left="760" w:hanging="377"/>
        <w:spacing w:after="0"/>
        <w:tabs>
          <w:tab w:leader="none" w:pos="760" w:val="left"/>
        </w:tabs>
        <w:numPr>
          <w:ilvl w:val="0"/>
          <w:numId w:val="16"/>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total revenues of $2.22 billion compared with $2.00 billion, an increase of 11%</w:t>
      </w:r>
    </w:p>
    <w:p>
      <w:pPr>
        <w:spacing w:after="0" w:line="19" w:lineRule="exact"/>
        <w:rPr>
          <w:rFonts w:ascii="Arial" w:cs="Arial" w:eastAsia="Arial" w:hAnsi="Arial"/>
          <w:sz w:val="20"/>
          <w:szCs w:val="20"/>
          <w:color w:val="007DC6"/>
        </w:rPr>
      </w:pPr>
    </w:p>
    <w:p>
      <w:pPr>
        <w:ind w:left="760" w:hanging="377"/>
        <w:spacing w:after="0" w:line="237" w:lineRule="auto"/>
        <w:tabs>
          <w:tab w:leader="none" w:pos="760" w:val="left"/>
        </w:tabs>
        <w:numPr>
          <w:ilvl w:val="0"/>
          <w:numId w:val="16"/>
        </w:numPr>
        <w:rPr>
          <w:rFonts w:ascii="Arial" w:cs="Arial" w:eastAsia="Arial" w:hAnsi="Arial"/>
          <w:sz w:val="20"/>
          <w:szCs w:val="20"/>
          <w:color w:val="007DC6"/>
        </w:rPr>
      </w:pPr>
      <w:r>
        <w:rPr>
          <w:rFonts w:ascii="Times New Roman" w:cs="Times New Roman" w:eastAsia="Times New Roman" w:hAnsi="Times New Roman"/>
          <w:sz w:val="20"/>
          <w:szCs w:val="20"/>
          <w:color w:val="auto"/>
        </w:rPr>
        <w:t>Building Materials business products and services revenues of $1.93 billion compared with $1.75 billion and Magnesia Specialties products revenue of $139.6 million compared with $133.0 million</w:t>
      </w:r>
    </w:p>
    <w:p>
      <w:pPr>
        <w:spacing w:after="0" w:line="1" w:lineRule="exact"/>
        <w:rPr>
          <w:rFonts w:ascii="Arial" w:cs="Arial" w:eastAsia="Arial" w:hAnsi="Arial"/>
          <w:sz w:val="20"/>
          <w:szCs w:val="20"/>
          <w:color w:val="007DC6"/>
        </w:rPr>
      </w:pPr>
    </w:p>
    <w:p>
      <w:pPr>
        <w:ind w:left="760" w:hanging="377"/>
        <w:spacing w:after="0" w:line="237" w:lineRule="auto"/>
        <w:tabs>
          <w:tab w:leader="none" w:pos="760" w:val="left"/>
        </w:tabs>
        <w:numPr>
          <w:ilvl w:val="0"/>
          <w:numId w:val="16"/>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gross profit of $499.8 million compared with $426.3 million, an increase of 17%</w:t>
      </w:r>
    </w:p>
    <w:p>
      <w:pPr>
        <w:ind w:left="760" w:hanging="377"/>
        <w:spacing w:after="0" w:line="237" w:lineRule="auto"/>
        <w:tabs>
          <w:tab w:leader="none" w:pos="760" w:val="left"/>
        </w:tabs>
        <w:numPr>
          <w:ilvl w:val="0"/>
          <w:numId w:val="16"/>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earnings from operations of $355.1 million compared with $303.0 million, an increase of 17%</w:t>
      </w:r>
    </w:p>
    <w:p>
      <w:pPr>
        <w:ind w:left="760" w:hanging="377"/>
        <w:spacing w:after="0" w:line="237" w:lineRule="auto"/>
        <w:tabs>
          <w:tab w:leader="none" w:pos="760" w:val="left"/>
        </w:tabs>
        <w:numPr>
          <w:ilvl w:val="0"/>
          <w:numId w:val="16"/>
        </w:numPr>
        <w:rPr>
          <w:rFonts w:ascii="Arial" w:cs="Arial" w:eastAsia="Arial" w:hAnsi="Arial"/>
          <w:sz w:val="20"/>
          <w:szCs w:val="20"/>
          <w:color w:val="007DC6"/>
        </w:rPr>
      </w:pPr>
      <w:r>
        <w:rPr>
          <w:rFonts w:ascii="Times New Roman" w:cs="Times New Roman" w:eastAsia="Times New Roman" w:hAnsi="Times New Roman"/>
          <w:sz w:val="20"/>
          <w:szCs w:val="20"/>
          <w:color w:val="auto"/>
        </w:rPr>
        <w:t>Net earnings attributable to Martin Marietta of $232.3 million compared with $195.4 million</w:t>
      </w:r>
    </w:p>
    <w:p>
      <w:pPr>
        <w:ind w:left="760" w:hanging="377"/>
        <w:spacing w:after="0" w:line="237" w:lineRule="auto"/>
        <w:tabs>
          <w:tab w:leader="none" w:pos="760" w:val="left"/>
        </w:tabs>
        <w:numPr>
          <w:ilvl w:val="0"/>
          <w:numId w:val="16"/>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Adjusted EBITDA of $536.7 million compared with $497.4 million</w:t>
      </w:r>
    </w:p>
    <w:p>
      <w:pPr>
        <w:ind w:left="760" w:hanging="377"/>
        <w:spacing w:after="0"/>
        <w:tabs>
          <w:tab w:leader="none" w:pos="760" w:val="left"/>
        </w:tabs>
        <w:numPr>
          <w:ilvl w:val="0"/>
          <w:numId w:val="16"/>
        </w:numPr>
        <w:rPr>
          <w:rFonts w:ascii="Arial" w:cs="Arial" w:eastAsia="Arial" w:hAnsi="Arial"/>
          <w:sz w:val="20"/>
          <w:szCs w:val="20"/>
          <w:color w:val="007DC6"/>
        </w:rPr>
      </w:pPr>
      <w:r>
        <w:rPr>
          <w:rFonts w:ascii="Times New Roman" w:cs="Times New Roman" w:eastAsia="Times New Roman" w:hAnsi="Times New Roman"/>
          <w:sz w:val="20"/>
          <w:szCs w:val="20"/>
          <w:color w:val="auto"/>
        </w:rPr>
        <w:t>Earnings per diluted share of $3.69 compared with $3.08</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following tables present total revenues, gross profit (loss), SG&amp;A expenses and earnings (loss) from operations data for the Company and its reportable segments by product line for the six months ended June 30, 2019 and 2018. In each case, the data is stated as a percentage of revenues of the Company or the relevant segment or product line, as the case may be. The Company’s cold mix asphalt plants have been reclassified to the aggregates product line as they display characteristics more similar to aggregates than asphalt products. These operations were not material to product revenues or gross profit. Prior-year information has been reclassified to conform to the presentation of the Company’s current reportable product lines.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20"/>
                <w:szCs w:val="20"/>
                <w:color w:val="auto"/>
              </w:rPr>
              <w:t>Six Months Ended June 30,</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4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2019</w:t>
            </w:r>
          </w:p>
        </w:tc>
        <w:tc>
          <w:tcPr>
            <w:tcW w:w="1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2018</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4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Amount</w:t>
            </w: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99"/>
              </w:rPr>
              <w:t>% of Revenues</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Amount</w:t>
            </w: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 of Revenues</w:t>
            </w:r>
          </w:p>
        </w:tc>
        <w:tc>
          <w:tcPr>
            <w:tcW w:w="100" w:type="dxa"/>
            <w:vAlign w:val="bottom"/>
          </w:tcPr>
          <w:p>
            <w:pPr>
              <w:spacing w:after="0"/>
              <w:rPr>
                <w:sz w:val="20"/>
                <w:szCs w:val="20"/>
                <w:color w:val="auto"/>
              </w:rPr>
            </w:pPr>
          </w:p>
        </w:tc>
      </w:tr>
      <w:tr>
        <w:trPr>
          <w:trHeight w:val="235"/>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80" w:type="dxa"/>
            <w:vAlign w:val="bottom"/>
            <w:gridSpan w:val="6"/>
          </w:tcPr>
          <w:p>
            <w:pPr>
              <w:jc w:val="right"/>
              <w:ind w:right="100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Products and services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Mid-America Group</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Aggregates</w:t>
            </w:r>
          </w:p>
        </w:tc>
        <w:tc>
          <w:tcPr>
            <w:tcW w:w="2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613,025</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493,468</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Southeast Group</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5"/>
        </w:trPr>
        <w:tc>
          <w:tcPr>
            <w:tcW w:w="4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Aggregates</w:t>
            </w:r>
          </w:p>
        </w:tc>
        <w:tc>
          <w:tcPr>
            <w:tcW w:w="2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247,348</w:t>
            </w: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186,646</w:t>
            </w:r>
          </w:p>
        </w:tc>
        <w:tc>
          <w:tcPr>
            <w:tcW w:w="3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2"/>
                <w:szCs w:val="22"/>
                <w:color w:val="auto"/>
              </w:rPr>
            </w:pPr>
          </w:p>
        </w:tc>
      </w:tr>
      <w:tr>
        <w:trPr>
          <w:trHeight w:val="242"/>
        </w:trPr>
        <w:tc>
          <w:tcPr>
            <w:tcW w:w="4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West Group</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5"/>
        </w:trPr>
        <w:tc>
          <w:tcPr>
            <w:tcW w:w="4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Aggregates</w:t>
            </w:r>
          </w:p>
        </w:tc>
        <w:tc>
          <w:tcPr>
            <w:tcW w:w="2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442,377</w:t>
            </w: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414,025</w:t>
            </w:r>
          </w:p>
        </w:tc>
        <w:tc>
          <w:tcPr>
            <w:tcW w:w="3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2"/>
                <w:szCs w:val="22"/>
                <w:color w:val="auto"/>
              </w:rPr>
            </w:pPr>
          </w:p>
        </w:tc>
      </w:tr>
      <w:tr>
        <w:trPr>
          <w:trHeight w:val="255"/>
        </w:trPr>
        <w:tc>
          <w:tcPr>
            <w:tcW w:w="47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Cement</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211,367</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202,331</w:t>
            </w: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2"/>
                <w:szCs w:val="22"/>
                <w:color w:val="auto"/>
              </w:rPr>
            </w:pPr>
          </w:p>
        </w:tc>
      </w:tr>
      <w:tr>
        <w:trPr>
          <w:trHeight w:val="255"/>
        </w:trPr>
        <w:tc>
          <w:tcPr>
            <w:tcW w:w="4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Ready mixed concrete</w:t>
            </w:r>
          </w:p>
        </w:tc>
        <w:tc>
          <w:tcPr>
            <w:tcW w:w="2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452,335</w:t>
            </w: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495,738</w:t>
            </w:r>
          </w:p>
        </w:tc>
        <w:tc>
          <w:tcPr>
            <w:tcW w:w="3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2"/>
                <w:szCs w:val="22"/>
                <w:color w:val="auto"/>
              </w:rPr>
            </w:pPr>
          </w:p>
        </w:tc>
      </w:tr>
      <w:tr>
        <w:trPr>
          <w:trHeight w:val="255"/>
        </w:trPr>
        <w:tc>
          <w:tcPr>
            <w:tcW w:w="47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Asphalt and paving</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94,570</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95,692</w:t>
            </w: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2"/>
                <w:szCs w:val="22"/>
                <w:color w:val="auto"/>
              </w:rPr>
            </w:pPr>
          </w:p>
        </w:tc>
      </w:tr>
      <w:tr>
        <w:trPr>
          <w:trHeight w:val="255"/>
        </w:trPr>
        <w:tc>
          <w:tcPr>
            <w:tcW w:w="4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Less: Interproduct revenues</w:t>
            </w:r>
          </w:p>
        </w:tc>
        <w:tc>
          <w:tcPr>
            <w:tcW w:w="26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20"/>
                <w:szCs w:val="20"/>
                <w:color w:val="auto"/>
              </w:rPr>
              <w:t>(126,135)</w:t>
            </w:r>
          </w:p>
        </w:tc>
        <w:tc>
          <w:tcPr>
            <w:tcW w:w="1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20"/>
                <w:szCs w:val="20"/>
                <w:color w:val="auto"/>
              </w:rPr>
              <w:t>(138,843)</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5"/>
        </w:trPr>
        <w:tc>
          <w:tcPr>
            <w:tcW w:w="47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20"/>
                <w:szCs w:val="20"/>
                <w:color w:val="auto"/>
              </w:rPr>
              <w:t>West Group Total</w:t>
            </w:r>
          </w:p>
        </w:tc>
        <w:tc>
          <w:tcPr>
            <w:tcW w:w="2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1,074,514</w:t>
            </w:r>
          </w:p>
        </w:tc>
        <w:tc>
          <w:tcPr>
            <w:tcW w:w="36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1,068,943</w:t>
            </w:r>
          </w:p>
        </w:tc>
        <w:tc>
          <w:tcPr>
            <w:tcW w:w="340" w:type="dxa"/>
            <w:vAlign w:val="bottom"/>
            <w:tcBorders>
              <w:bottom w:val="single" w:sz="8" w:color="CFF0FC"/>
            </w:tcBorders>
          </w:tcPr>
          <w:p>
            <w:pPr>
              <w:spacing w:after="0"/>
              <w:rPr>
                <w:sz w:val="20"/>
                <w:szCs w:val="20"/>
                <w:color w:val="auto"/>
              </w:rPr>
            </w:pPr>
          </w:p>
        </w:tc>
        <w:tc>
          <w:tcPr>
            <w:tcW w:w="13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5"/>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Products and services</w:t>
            </w: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1,934,887</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1,749,057</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0"/>
                <w:szCs w:val="20"/>
                <w:color w:val="auto"/>
              </w:rPr>
            </w:pPr>
          </w:p>
        </w:tc>
      </w:tr>
      <w:tr>
        <w:trPr>
          <w:trHeight w:val="242"/>
        </w:trPr>
        <w:tc>
          <w:tcPr>
            <w:tcW w:w="47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20"/>
                <w:szCs w:val="20"/>
                <w:color w:val="auto"/>
              </w:rPr>
              <w:t>Freight</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133,223</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113,126</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5"/>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2,068,110</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1,862,183</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0"/>
                <w:szCs w:val="20"/>
                <w:color w:val="auto"/>
              </w:rPr>
            </w:pPr>
          </w:p>
        </w:tc>
      </w:tr>
      <w:tr>
        <w:trPr>
          <w:trHeight w:val="242"/>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rPr>
              <w:t>Products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139,553</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133,025</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7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20"/>
                <w:szCs w:val="20"/>
                <w:color w:val="auto"/>
              </w:rPr>
              <w:t>Freight</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10,760</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9,199</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5"/>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Magnesia Specialties Business</w:t>
            </w:r>
          </w:p>
        </w:tc>
        <w:tc>
          <w:tcPr>
            <w:tcW w:w="2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150,313</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142,224</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shd w:val="clear" w:color="auto" w:fill="CFF0FC"/>
          </w:tcPr>
          <w:p>
            <w:pPr>
              <w:spacing w:after="0"/>
              <w:rPr>
                <w:sz w:val="20"/>
                <w:szCs w:val="20"/>
                <w:color w:val="auto"/>
              </w:rPr>
            </w:pPr>
          </w:p>
        </w:tc>
      </w:tr>
      <w:tr>
        <w:trPr>
          <w:trHeight w:val="235"/>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2,218,423</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2,004,407</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20"/>
                <w:szCs w:val="20"/>
                <w:color w:val="auto"/>
              </w:rPr>
              <w:t>Six Months Ended June 30,</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2019</w:t>
            </w:r>
          </w:p>
        </w:tc>
        <w:tc>
          <w:tcPr>
            <w:tcW w:w="1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2018</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Amount</w:t>
            </w: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 of Revenues</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Amount</w:t>
            </w: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99"/>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Gross profit (loss):</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gridSpan w:val="5"/>
          </w:tcPr>
          <w:p>
            <w:pPr>
              <w:jc w:val="right"/>
              <w:ind w:right="102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Products and services</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20"/>
                <w:szCs w:val="20"/>
                <w:color w:val="auto"/>
              </w:rPr>
              <w:t>Mid-America Group</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Aggregates</w:t>
            </w:r>
          </w:p>
        </w:tc>
        <w:tc>
          <w:tcPr>
            <w:tcW w:w="82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200,728</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52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139,200</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20"/>
                <w:szCs w:val="20"/>
                <w:color w:val="auto"/>
              </w:rPr>
              <w:t>Southeast Group</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Aggregates</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64,585</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26,643</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20"/>
                <w:szCs w:val="20"/>
                <w:color w:val="auto"/>
              </w:rPr>
              <w:t>West Group</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Aggregates</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84,169</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86,403</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20"/>
                <w:szCs w:val="20"/>
                <w:color w:val="auto"/>
              </w:rPr>
              <w:t>Cement</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56,007</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65,038</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Ready mixed concrete</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33,506</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45,593</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20"/>
                <w:szCs w:val="20"/>
                <w:color w:val="auto"/>
              </w:rPr>
              <w:t>Asphalt and paving</w:t>
            </w:r>
          </w:p>
        </w:tc>
        <w:tc>
          <w:tcPr>
            <w:tcW w:w="5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7,415</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10,169</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20"/>
                <w:szCs w:val="20"/>
                <w:color w:val="auto"/>
              </w:rPr>
              <w:t>West Group Total</w:t>
            </w:r>
          </w:p>
        </w:tc>
        <w:tc>
          <w:tcPr>
            <w:tcW w:w="5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181,097</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207,203</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0"/>
                <w:szCs w:val="20"/>
                <w:color w:val="auto"/>
              </w:rPr>
              <w:t>Products and services</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446,410</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373,046</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20"/>
                <w:szCs w:val="20"/>
                <w:color w:val="auto"/>
              </w:rPr>
              <w:t>Freight</w:t>
            </w:r>
          </w:p>
        </w:tc>
        <w:tc>
          <w:tcPr>
            <w:tcW w:w="5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34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34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5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446,473</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2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373,526</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0"/>
                <w:szCs w:val="20"/>
                <w:color w:val="auto"/>
              </w:rPr>
              <w:t>Products</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55,819</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49,933</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Freight</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(2,239)</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(2,203)</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Magnesia Specialties Business</w:t>
            </w:r>
          </w:p>
        </w:tc>
        <w:tc>
          <w:tcPr>
            <w:tcW w:w="5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53,580</w:t>
            </w:r>
          </w:p>
        </w:tc>
        <w:tc>
          <w:tcPr>
            <w:tcW w:w="34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2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47,730</w:t>
            </w:r>
          </w:p>
        </w:tc>
        <w:tc>
          <w:tcPr>
            <w:tcW w:w="34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5,053</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5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499,774</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426,309</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Selling, general &amp; administrative expenses:</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Mid-America Group</w:t>
            </w:r>
          </w:p>
        </w:tc>
        <w:tc>
          <w:tcPr>
            <w:tcW w:w="8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31,135</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27,146</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Southeast Group</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10,753</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9,249</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West Group</w:t>
            </w:r>
          </w:p>
        </w:tc>
        <w:tc>
          <w:tcPr>
            <w:tcW w:w="5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56,995</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53,293</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98,883</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89,688</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5,662</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5,107</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Corporate</w:t>
            </w:r>
          </w:p>
        </w:tc>
        <w:tc>
          <w:tcPr>
            <w:tcW w:w="5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46,129</w:t>
            </w:r>
          </w:p>
        </w:tc>
        <w:tc>
          <w:tcPr>
            <w:tcW w:w="34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46,396</w:t>
            </w:r>
          </w:p>
        </w:tc>
        <w:tc>
          <w:tcPr>
            <w:tcW w:w="34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5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150,674</w:t>
            </w:r>
          </w:p>
        </w:tc>
        <w:tc>
          <w:tcPr>
            <w:tcW w:w="3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141,191</w:t>
            </w:r>
          </w:p>
        </w:tc>
        <w:tc>
          <w:tcPr>
            <w:tcW w:w="3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20"/>
                <w:szCs w:val="20"/>
                <w:color w:val="auto"/>
              </w:rPr>
              <w:t>Six Months Ended June 30,</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4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2019</w:t>
            </w:r>
          </w:p>
        </w:tc>
        <w:tc>
          <w:tcPr>
            <w:tcW w:w="1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2018</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4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Amount</w:t>
            </w: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99"/>
              </w:rPr>
              <w:t>% of Revenues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Amount</w:t>
            </w: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 of Revenues</w:t>
            </w:r>
          </w:p>
        </w:tc>
        <w:tc>
          <w:tcPr>
            <w:tcW w:w="100" w:type="dxa"/>
            <w:vAlign w:val="bottom"/>
          </w:tcPr>
          <w:p>
            <w:pPr>
              <w:spacing w:after="0"/>
              <w:rPr>
                <w:sz w:val="20"/>
                <w:szCs w:val="20"/>
                <w:color w:val="auto"/>
              </w:rPr>
            </w:pPr>
          </w:p>
        </w:tc>
      </w:tr>
      <w:tr>
        <w:trPr>
          <w:trHeight w:val="235"/>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80" w:type="dxa"/>
            <w:vAlign w:val="bottom"/>
            <w:gridSpan w:val="5"/>
          </w:tcPr>
          <w:p>
            <w:pPr>
              <w:jc w:val="right"/>
              <w:ind w:right="100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Earnings (Loss) from operations: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Mid-America Group</w:t>
            </w:r>
          </w:p>
        </w:tc>
        <w:tc>
          <w:tcPr>
            <w:tcW w:w="2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172,633</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114,876</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Southeast Group</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53,822</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34,093</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West Group</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130,158</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157,796</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356,613</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306,765</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47,862</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42,565</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Corporate</w:t>
            </w:r>
          </w:p>
        </w:tc>
        <w:tc>
          <w:tcPr>
            <w:tcW w:w="26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(49,372)</w:t>
            </w: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(46,296)</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355,103</w:t>
            </w: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303,034</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aggregates products volume and pricing variance data and shipments data by segment:</w:t>
      </w:r>
    </w:p>
    <w:p>
      <w:pPr>
        <w:spacing w:after="0" w:line="2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20"/>
          <w:szCs w:val="20"/>
          <w:color w:val="auto"/>
        </w:rPr>
        <w:t>Six Months Ended</w:t>
      </w:r>
    </w:p>
    <w:p>
      <w:pPr>
        <w:spacing w:after="0" w:line="12"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20"/>
          <w:szCs w:val="20"/>
          <w:color w:val="auto"/>
        </w:rPr>
        <w:t>June 30, 2019</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Volume</w:t>
            </w:r>
          </w:p>
        </w:tc>
        <w:tc>
          <w:tcPr>
            <w:tcW w:w="5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FF0FC"/>
            </w:tcBorders>
          </w:tcPr>
          <w:p>
            <w:pPr>
              <w:spacing w:after="0"/>
              <w:rPr>
                <w:sz w:val="20"/>
                <w:szCs w:val="20"/>
                <w:color w:val="auto"/>
              </w:rPr>
            </w:pPr>
          </w:p>
        </w:tc>
        <w:tc>
          <w:tcPr>
            <w:tcW w:w="260" w:type="dxa"/>
            <w:vAlign w:val="bottom"/>
            <w:tcBorders>
              <w:top w:val="single" w:sz="8" w:color="auto"/>
              <w:bottom w:val="single" w:sz="8" w:color="CFF0FC"/>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Pricing</w:t>
            </w:r>
          </w:p>
        </w:tc>
        <w:tc>
          <w:tcPr>
            <w:tcW w:w="58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 xml:space="preserve">Volume/Pricing Variance </w:t>
            </w: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Mid-America Group</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42"/>
        </w:trPr>
        <w:tc>
          <w:tcPr>
            <w:tcW w:w="84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Southeast Group</w:t>
            </w: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20"/>
                <w:szCs w:val="20"/>
                <w:color w:val="auto"/>
              </w:rPr>
              <w:t>25.8%</w:t>
            </w: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42"/>
        </w:trPr>
        <w:tc>
          <w:tcPr>
            <w:tcW w:w="8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West Group</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42"/>
        </w:trPr>
        <w:tc>
          <w:tcPr>
            <w:tcW w:w="8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Aggregates Operations</w:t>
            </w:r>
            <w:r>
              <w:rPr>
                <w:rFonts w:ascii="Times New Roman" w:cs="Times New Roman" w:eastAsia="Times New Roman" w:hAnsi="Times New Roman"/>
                <w:sz w:val="16"/>
                <w:szCs w:val="16"/>
                <w:color w:val="auto"/>
              </w:rPr>
              <w:t>(2)</w:t>
            </w: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20"/>
                <w:szCs w:val="20"/>
                <w:color w:val="auto"/>
              </w:rPr>
              <w:t>15.4%</w:t>
            </w: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514"/>
        </w:trPr>
        <w:tc>
          <w:tcPr>
            <w:tcW w:w="7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Six Months Ended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20"/>
                <w:szCs w:val="20"/>
                <w:color w:val="auto"/>
              </w:rPr>
              <w:t>June 30,</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220" w:type="dxa"/>
            <w:vAlign w:val="bottom"/>
            <w:gridSpan w:val="2"/>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2260" w:type="dxa"/>
            <w:vAlign w:val="bottom"/>
            <w:tcBorders>
              <w:bottom w:val="single" w:sz="8" w:color="auto"/>
            </w:tcBorders>
            <w:gridSpan w:val="5"/>
          </w:tcPr>
          <w:p>
            <w:pPr>
              <w:ind w:left="1760"/>
              <w:spacing w:after="0"/>
              <w:rPr>
                <w:sz w:val="20"/>
                <w:szCs w:val="20"/>
                <w:color w:val="auto"/>
              </w:rPr>
            </w:pPr>
            <w:r>
              <w:rPr>
                <w:rFonts w:ascii="Times New Roman" w:cs="Times New Roman" w:eastAsia="Times New Roman" w:hAnsi="Times New Roman"/>
                <w:sz w:val="20"/>
                <w:szCs w:val="20"/>
                <w:color w:val="auto"/>
              </w:rPr>
              <w:t>2018</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Shipments</w:t>
            </w: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20"/>
                <w:szCs w:val="20"/>
                <w:i w:val="1"/>
                <w:iCs w:val="1"/>
                <w:color w:val="auto"/>
              </w:rPr>
              <w:t>(Tons in Thousands)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40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4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Mid-America Group</w:t>
            </w:r>
          </w:p>
        </w:tc>
        <w:tc>
          <w:tcPr>
            <w:tcW w:w="7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w w:val="98"/>
              </w:rPr>
              <w:t>43,491</w:t>
            </w: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35,315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Southeast Group</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8"/>
              </w:rPr>
              <w:t>13,610</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10,816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4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West Group</w:t>
            </w:r>
          </w:p>
        </w:tc>
        <w:tc>
          <w:tcPr>
            <w:tcW w:w="7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w w:val="98"/>
              </w:rPr>
              <w:t>33,432</w:t>
            </w: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32,303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Aggregates Operations</w:t>
            </w:r>
            <w:r>
              <w:rPr>
                <w:rFonts w:ascii="Times New Roman" w:cs="Times New Roman" w:eastAsia="Times New Roman" w:hAnsi="Times New Roman"/>
                <w:sz w:val="16"/>
                <w:szCs w:val="16"/>
                <w:color w:val="auto"/>
              </w:rPr>
              <w:t>(2)</w:t>
            </w:r>
          </w:p>
        </w:tc>
        <w:tc>
          <w:tcPr>
            <w:tcW w:w="1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w w:val="98"/>
              </w:rPr>
              <w:t>90,533</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78,434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240" w:hanging="227"/>
        <w:spacing w:after="0"/>
        <w:tabs>
          <w:tab w:leader="none" w:pos="240" w:val="left"/>
        </w:tabs>
        <w:numPr>
          <w:ilvl w:val="0"/>
          <w:numId w:val="1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Volume/pricing variances reflect the percentage increase/(decrease) from the comparable period in the prior year.</w:t>
      </w:r>
    </w:p>
    <w:p>
      <w:pPr>
        <w:spacing w:after="0" w:line="28" w:lineRule="exact"/>
        <w:rPr>
          <w:rFonts w:ascii="Times New Roman" w:cs="Times New Roman" w:eastAsia="Times New Roman" w:hAnsi="Times New Roman"/>
          <w:sz w:val="15"/>
          <w:szCs w:val="15"/>
          <w:i w:val="1"/>
          <w:iCs w:val="1"/>
          <w:color w:val="auto"/>
        </w:rPr>
      </w:pPr>
    </w:p>
    <w:p>
      <w:pPr>
        <w:ind w:left="220" w:hanging="213"/>
        <w:spacing w:after="0"/>
        <w:tabs>
          <w:tab w:leader="none" w:pos="220" w:val="left"/>
        </w:tabs>
        <w:numPr>
          <w:ilvl w:val="0"/>
          <w:numId w:val="1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Total aggregates operations include acquisitions from the date of acquisition and divestitures through the date of disposal.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average selling price by product line for the Building Materials business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40" w:type="dxa"/>
            <w:vAlign w:val="bottom"/>
            <w:gridSpan w:val="4"/>
          </w:tcPr>
          <w:p>
            <w:pPr>
              <w:jc w:val="center"/>
              <w:ind w:right="440"/>
              <w:spacing w:after="0"/>
              <w:rPr>
                <w:sz w:val="20"/>
                <w:szCs w:val="20"/>
                <w:color w:val="auto"/>
              </w:rPr>
            </w:pPr>
            <w:r>
              <w:rPr>
                <w:rFonts w:ascii="Times New Roman" w:cs="Times New Roman" w:eastAsia="Times New Roman" w:hAnsi="Times New Roman"/>
                <w:sz w:val="20"/>
                <w:szCs w:val="20"/>
                <w:color w:val="auto"/>
                <w:w w:val="99"/>
              </w:rPr>
              <w:t>Six Months Ended</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1"/>
        </w:trPr>
        <w:tc>
          <w:tcPr>
            <w:tcW w:w="4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980"/>
              <w:spacing w:after="0"/>
              <w:rPr>
                <w:sz w:val="20"/>
                <w:szCs w:val="20"/>
                <w:color w:val="auto"/>
              </w:rPr>
            </w:pPr>
            <w:r>
              <w:rPr>
                <w:rFonts w:ascii="Times New Roman" w:cs="Times New Roman" w:eastAsia="Times New Roman" w:hAnsi="Times New Roman"/>
                <w:sz w:val="20"/>
                <w:szCs w:val="20"/>
                <w:color w:val="auto"/>
                <w:w w:val="95"/>
              </w:rPr>
              <w:t>June 30,</w:t>
            </w:r>
          </w:p>
        </w:tc>
        <w:tc>
          <w:tcPr>
            <w:tcW w:w="13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5"/>
        </w:trPr>
        <w:tc>
          <w:tcPr>
            <w:tcW w:w="44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color w:val="auto"/>
              </w:rPr>
              <w:t>2018</w:t>
            </w:r>
          </w:p>
        </w:tc>
        <w:tc>
          <w:tcPr>
            <w:tcW w:w="3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5"/>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(per ton)</w:t>
            </w:r>
          </w:p>
        </w:tc>
        <w:tc>
          <w:tcPr>
            <w:tcW w:w="1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2"/>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14.28</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r>
      <w:tr>
        <w:trPr>
          <w:trHeight w:val="242"/>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Cement (per ton)</w:t>
            </w:r>
          </w:p>
        </w:tc>
        <w:tc>
          <w:tcPr>
            <w:tcW w:w="2420" w:type="dxa"/>
            <w:vAlign w:val="bottom"/>
            <w:gridSpan w:val="2"/>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112.63</w:t>
            </w:r>
          </w:p>
        </w:tc>
        <w:tc>
          <w:tcPr>
            <w:tcW w:w="54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108.10</w:t>
            </w:r>
          </w:p>
        </w:tc>
        <w:tc>
          <w:tcPr>
            <w:tcW w:w="38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r>
      <w:tr>
        <w:trPr>
          <w:trHeight w:val="24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Ready Mixed Concrete (per cubic yard)</w:t>
            </w:r>
          </w:p>
        </w:tc>
        <w:tc>
          <w:tcPr>
            <w:tcW w:w="2420" w:type="dxa"/>
            <w:vAlign w:val="bottom"/>
            <w:gridSpan w:val="2"/>
            <w:shd w:val="clear" w:color="auto" w:fill="CFF0FC"/>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108.17</w:t>
            </w:r>
          </w:p>
        </w:tc>
        <w:tc>
          <w:tcPr>
            <w:tcW w:w="5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106.51</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Asphalt (per ton)</w:t>
            </w:r>
          </w:p>
        </w:tc>
        <w:tc>
          <w:tcPr>
            <w:tcW w:w="2420" w:type="dxa"/>
            <w:vAlign w:val="bottom"/>
            <w:gridSpan w:val="2"/>
          </w:tcPr>
          <w:p>
            <w:pPr>
              <w:jc w:val="right"/>
              <w:ind w:right="92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47.08</w:t>
            </w:r>
          </w:p>
        </w:tc>
        <w:tc>
          <w:tcPr>
            <w:tcW w:w="54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44.80</w:t>
            </w:r>
          </w:p>
        </w:tc>
        <w:tc>
          <w:tcPr>
            <w:tcW w:w="380" w:type="dxa"/>
            <w:vAlign w:val="bottom"/>
          </w:tcPr>
          <w:p>
            <w:pPr>
              <w:spacing w:after="0"/>
              <w:rPr>
                <w:sz w:val="22"/>
                <w:szCs w:val="22"/>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shipments data for the Building Materials business by product line.</w:t>
      </w:r>
    </w:p>
    <w:p>
      <w:pPr>
        <w:spacing w:after="0" w:line="27"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20"/>
          <w:szCs w:val="20"/>
          <w:color w:val="auto"/>
        </w:rPr>
        <w:t>Six Months Ended</w:t>
      </w:r>
    </w:p>
    <w:p>
      <w:pPr>
        <w:spacing w:after="0" w:line="12"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20"/>
          <w:szCs w:val="20"/>
          <w:color w:val="auto"/>
        </w:rPr>
        <w:t>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gridSpan w:val="2"/>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5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Shipments</w:t>
            </w:r>
          </w:p>
        </w:tc>
        <w:tc>
          <w:tcPr>
            <w:tcW w:w="100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Aggregates (in thousands):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8"/>
              </w:rPr>
              <w:t>85,841</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73,162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Internal tons used in other product lines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4,692</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aggregates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8"/>
              </w:rPr>
              <w:t>90,533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78,434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Cement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20"/>
                <w:szCs w:val="20"/>
                <w:color w:val="auto"/>
              </w:rPr>
              <w:t>Internal tons used in ready mixed concrete</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673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cement tons</w:t>
            </w:r>
          </w:p>
        </w:tc>
        <w:tc>
          <w:tcPr>
            <w:tcW w:w="100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280" w:type="dxa"/>
            <w:vAlign w:val="bottom"/>
          </w:tcPr>
          <w:p>
            <w:pPr>
              <w:spacing w:after="0"/>
              <w:rPr>
                <w:sz w:val="23"/>
                <w:szCs w:val="2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0" w:type="dxa"/>
            <w:vAlign w:val="bottom"/>
            <w:vMerge w:val="continue"/>
          </w:tcPr>
          <w:p>
            <w:pPr>
              <w:spacing w:after="0"/>
              <w:rPr>
                <w:sz w:val="24"/>
                <w:szCs w:val="24"/>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Ready Mixed Concrete (in thousands of cubic yards)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4,094</w:t>
            </w:r>
          </w:p>
        </w:tc>
        <w:tc>
          <w:tcPr>
            <w:tcW w:w="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Asphalt (in thousands):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Internal tons used in paving business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asphalt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912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Magnesia Specialties Business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For the six months ended June 30, 2019, Magnesia Specialties reported product revenues of $139.6 million, an increase of 4.9%, compared with $133.0 million. Products gross profit was $55.8 million compared with $49.9 million. Product gross margin improved 250 basis points to 40.0%. Earnings from operations were $47.9 million compared with $42.6 million.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1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Gross Profit</w:t>
            </w:r>
          </w:p>
        </w:tc>
        <w:tc>
          <w:tcPr>
            <w:tcW w:w="1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6"/>
        </w:trPr>
        <w:tc>
          <w:tcPr>
            <w:tcW w:w="816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presents a rollforward of consolidated gross profit (dollars in thousands):</w:t>
            </w: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3"/>
        </w:trPr>
        <w:tc>
          <w:tcPr>
            <w:tcW w:w="81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gross profit, six months ended June 30, 2018</w:t>
            </w:r>
          </w:p>
        </w:tc>
        <w:tc>
          <w:tcPr>
            <w:tcW w:w="1920" w:type="dxa"/>
            <w:vAlign w:val="bottom"/>
            <w:gridSpan w:val="2"/>
          </w:tcPr>
          <w:p>
            <w:pPr>
              <w:jc w:val="right"/>
              <w:ind w:right="482"/>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426,309</w:t>
            </w:r>
          </w:p>
        </w:tc>
        <w:tc>
          <w:tcPr>
            <w:tcW w:w="100" w:type="dxa"/>
            <w:vAlign w:val="bottom"/>
          </w:tcPr>
          <w:p>
            <w:pPr>
              <w:spacing w:after="0"/>
              <w:rPr>
                <w:sz w:val="24"/>
                <w:szCs w:val="24"/>
                <w:color w:val="auto"/>
              </w:rPr>
            </w:pPr>
          </w:p>
        </w:tc>
      </w:tr>
      <w:tr>
        <w:trPr>
          <w:trHeight w:val="235"/>
        </w:trPr>
        <w:tc>
          <w:tcPr>
            <w:tcW w:w="8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products:</w:t>
            </w:r>
          </w:p>
        </w:tc>
        <w:tc>
          <w:tcPr>
            <w:tcW w:w="1240" w:type="dxa"/>
            <w:vAlign w:val="bottom"/>
            <w:tcBorders>
              <w:top w:val="single" w:sz="8" w:color="CFF0FC"/>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42"/>
        </w:trPr>
        <w:tc>
          <w:tcPr>
            <w:tcW w:w="8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Volume</w:t>
            </w: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78,523</w:t>
            </w:r>
          </w:p>
        </w:tc>
        <w:tc>
          <w:tcPr>
            <w:tcW w:w="100" w:type="dxa"/>
            <w:vAlign w:val="bottom"/>
          </w:tcPr>
          <w:p>
            <w:pPr>
              <w:spacing w:after="0"/>
              <w:rPr>
                <w:sz w:val="21"/>
                <w:szCs w:val="21"/>
                <w:color w:val="auto"/>
              </w:rPr>
            </w:pPr>
          </w:p>
        </w:tc>
      </w:tr>
      <w:tr>
        <w:trPr>
          <w:trHeight w:val="242"/>
        </w:trPr>
        <w:tc>
          <w:tcPr>
            <w:tcW w:w="8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Pricing</w:t>
            </w:r>
          </w:p>
        </w:tc>
        <w:tc>
          <w:tcPr>
            <w:tcW w:w="1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38,024</w:t>
            </w:r>
          </w:p>
        </w:tc>
        <w:tc>
          <w:tcPr>
            <w:tcW w:w="100" w:type="dxa"/>
            <w:vAlign w:val="bottom"/>
            <w:shd w:val="clear" w:color="auto" w:fill="CFF0FC"/>
          </w:tcPr>
          <w:p>
            <w:pPr>
              <w:spacing w:after="0"/>
              <w:rPr>
                <w:sz w:val="21"/>
                <w:szCs w:val="21"/>
                <w:color w:val="auto"/>
              </w:rPr>
            </w:pPr>
          </w:p>
        </w:tc>
      </w:tr>
      <w:tr>
        <w:trPr>
          <w:trHeight w:val="242"/>
        </w:trPr>
        <w:tc>
          <w:tcPr>
            <w:tcW w:w="8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xml:space="preserve">Operational performance </w:t>
            </w:r>
            <w:r>
              <w:rPr>
                <w:rFonts w:ascii="Times New Roman" w:cs="Times New Roman" w:eastAsia="Times New Roman" w:hAnsi="Times New Roman"/>
                <w:sz w:val="16"/>
                <w:szCs w:val="16"/>
                <w:color w:val="auto"/>
              </w:rPr>
              <w:t>(1)</w:t>
            </w: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(19,311)</w:t>
            </w:r>
          </w:p>
        </w:tc>
      </w:tr>
      <w:tr>
        <w:trPr>
          <w:trHeight w:val="235"/>
        </w:trPr>
        <w:tc>
          <w:tcPr>
            <w:tcW w:w="8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Change in aggregates products gross profit</w:t>
            </w:r>
          </w:p>
        </w:tc>
        <w:tc>
          <w:tcPr>
            <w:tcW w:w="1240" w:type="dxa"/>
            <w:vAlign w:val="bottom"/>
            <w:tcBorders>
              <w:top w:val="single" w:sz="8" w:color="CFF0FC"/>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97,236</w:t>
            </w:r>
          </w:p>
        </w:tc>
        <w:tc>
          <w:tcPr>
            <w:tcW w:w="100" w:type="dxa"/>
            <w:vAlign w:val="bottom"/>
            <w:tcBorders>
              <w:top w:val="single" w:sz="8" w:color="CFF0FC"/>
            </w:tcBorders>
            <w:shd w:val="clear" w:color="auto" w:fill="CFF0FC"/>
          </w:tcPr>
          <w:p>
            <w:pPr>
              <w:spacing w:after="0"/>
              <w:rPr>
                <w:sz w:val="20"/>
                <w:szCs w:val="20"/>
                <w:color w:val="auto"/>
              </w:rPr>
            </w:pPr>
          </w:p>
        </w:tc>
      </w:tr>
      <w:tr>
        <w:trPr>
          <w:trHeight w:val="242"/>
        </w:trPr>
        <w:tc>
          <w:tcPr>
            <w:tcW w:w="8160" w:type="dxa"/>
            <w:vAlign w:val="bottom"/>
          </w:tcPr>
          <w:p>
            <w:pPr>
              <w:spacing w:after="0"/>
              <w:rPr>
                <w:sz w:val="20"/>
                <w:szCs w:val="20"/>
                <w:color w:val="auto"/>
              </w:rPr>
            </w:pPr>
            <w:r>
              <w:rPr>
                <w:rFonts w:ascii="Times New Roman" w:cs="Times New Roman" w:eastAsia="Times New Roman" w:hAnsi="Times New Roman"/>
                <w:sz w:val="20"/>
                <w:szCs w:val="20"/>
                <w:color w:val="auto"/>
              </w:rPr>
              <w:t>Cement products and downstream products and services</w:t>
            </w: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(23,872)</w:t>
            </w:r>
          </w:p>
        </w:tc>
      </w:tr>
      <w:tr>
        <w:trPr>
          <w:trHeight w:val="242"/>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 products</w:t>
            </w:r>
          </w:p>
        </w:tc>
        <w:tc>
          <w:tcPr>
            <w:tcW w:w="1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5,886</w:t>
            </w:r>
          </w:p>
        </w:tc>
        <w:tc>
          <w:tcPr>
            <w:tcW w:w="100" w:type="dxa"/>
            <w:vAlign w:val="bottom"/>
            <w:shd w:val="clear" w:color="auto" w:fill="CFF0FC"/>
          </w:tcPr>
          <w:p>
            <w:pPr>
              <w:spacing w:after="0"/>
              <w:rPr>
                <w:sz w:val="21"/>
                <w:szCs w:val="21"/>
                <w:color w:val="auto"/>
              </w:rPr>
            </w:pPr>
          </w:p>
        </w:tc>
      </w:tr>
      <w:tr>
        <w:trPr>
          <w:trHeight w:val="242"/>
        </w:trPr>
        <w:tc>
          <w:tcPr>
            <w:tcW w:w="8160" w:type="dxa"/>
            <w:vAlign w:val="bottom"/>
          </w:tcPr>
          <w:p>
            <w:pPr>
              <w:spacing w:after="0"/>
              <w:rPr>
                <w:sz w:val="20"/>
                <w:szCs w:val="20"/>
                <w:color w:val="auto"/>
              </w:rPr>
            </w:pPr>
            <w:r>
              <w:rPr>
                <w:rFonts w:ascii="Times New Roman" w:cs="Times New Roman" w:eastAsia="Times New Roman" w:hAnsi="Times New Roman"/>
                <w:sz w:val="20"/>
                <w:szCs w:val="20"/>
                <w:color w:val="auto"/>
              </w:rPr>
              <w:t>Corporate</w:t>
            </w: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(5,332)</w:t>
            </w:r>
          </w:p>
        </w:tc>
      </w:tr>
      <w:tr>
        <w:trPr>
          <w:trHeight w:val="242"/>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Freight</w:t>
            </w:r>
          </w:p>
        </w:tc>
        <w:tc>
          <w:tcPr>
            <w:tcW w:w="1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(453)</w:t>
            </w:r>
          </w:p>
        </w:tc>
      </w:tr>
      <w:tr>
        <w:trPr>
          <w:trHeight w:val="235"/>
        </w:trPr>
        <w:tc>
          <w:tcPr>
            <w:tcW w:w="8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Change in consolidated gross profit</w:t>
            </w:r>
          </w:p>
        </w:tc>
        <w:tc>
          <w:tcPr>
            <w:tcW w:w="1240" w:type="dxa"/>
            <w:vAlign w:val="bottom"/>
            <w:tcBorders>
              <w:bottom w:val="single" w:sz="8" w:color="CFF0FC"/>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73,465</w:t>
            </w:r>
          </w:p>
        </w:tc>
        <w:tc>
          <w:tcPr>
            <w:tcW w:w="100" w:type="dxa"/>
            <w:vAlign w:val="bottom"/>
            <w:tcBorders>
              <w:bottom w:val="single" w:sz="8" w:color="CFF0FC"/>
            </w:tcBorders>
          </w:tcPr>
          <w:p>
            <w:pPr>
              <w:spacing w:after="0"/>
              <w:rPr>
                <w:sz w:val="20"/>
                <w:szCs w:val="20"/>
                <w:color w:val="auto"/>
              </w:rPr>
            </w:pPr>
          </w:p>
        </w:tc>
      </w:tr>
      <w:tr>
        <w:trPr>
          <w:trHeight w:val="235"/>
        </w:trPr>
        <w:tc>
          <w:tcPr>
            <w:tcW w:w="8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Consolidated gross profit, six months ended June 30, 2019</w:t>
            </w:r>
          </w:p>
        </w:tc>
        <w:tc>
          <w:tcPr>
            <w:tcW w:w="124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482"/>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499,774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380" w:hanging="373"/>
        <w:spacing w:after="0"/>
        <w:tabs>
          <w:tab w:leader="none" w:pos="380" w:val="left"/>
        </w:tabs>
        <w:numPr>
          <w:ilvl w:val="0"/>
          <w:numId w:val="1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Inclusive of cost increases/decreases, product and geographic mix and other operating impacts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For the six months ended June 30, 2019 aggregates product gross margin increased 370 basis points to 26.8%, reflecting improved operating leverage from increased shipment and production levels and the absence of the$10.2 million impact of selling acquired inventory after its markup to fair value as part of acquisition accounting incurred in 2018. Shipment declines and higher maintenance costs for the six months ended June 30, 2019 attributed to a cement product gross margin decline to 26.5%.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Consolidated Operating Results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For the six months ended June 30, consolidated SG&amp;A was 6.8% of total revenues in 2019 compared with 7.0% in 2018. Earnings from operations for the six months ended June 30 were $355.1 million in 2019 compared with $303.0 million in 2018.</w:t>
      </w:r>
    </w:p>
    <w:p>
      <w:pPr>
        <w:spacing w:after="0" w:line="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six months ended June 30, consolidated other operating income and expenses, net, was income of $6.2 million and $30.8 million in 2019 and 2018, respectively. The 2019 amount reflects the reversal of a $4.2 million purchase accounting accrual related to the Texas Industries, Inc. acquisition and higher gains on the sales of assets. The 2018 amount reflects nonrecurring gains on the sale of surplus land of $16.9 million and net gain on litigation and related settlements of $7.7 million.</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Other nonoperating income and expenses, net, includes interest income; pension and postretirement benefit cost, excluding service cost; foreign currency transaction gains and losses; equity in earnings or losses of nonconsolidated affiliates and other miscellaneous income. For the six months ended June 30, other nonoperating income and expenses, net, was an expense of $11.7 million in 2019 and income of $15.6 million in 2018. The expense in 2019 includes a $15.7 million ($12.0 million net of tax) out-of-period correction of a Company-identified overstatement of the investment balance for a nonconsolidated equity affiliate.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Benefit</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the six months ended June 30, 2019, the effective income tax rate includes a $13.2 million discrete benefit from a change in the tax status of a subsidiary from a partnership to a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LIQUIDITY AND CAPITAL RESOURCES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Cash provided by operating activities for the six months ended June 30 was $333.7 million in 2019 compared with $238.0 million in 2018. Operating cash flow is primarily derived from consolidated net earnings before deducting depreciation, depletion and amortization, and the impact of changes in working capital. Depreciation, depletion and amortization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00" w:type="dxa"/>
            <w:vAlign w:val="bottom"/>
            <w:gridSpan w:val="3"/>
          </w:tcPr>
          <w:p>
            <w:pPr>
              <w:jc w:val="center"/>
              <w:ind w:left="542"/>
              <w:spacing w:after="0"/>
              <w:rPr>
                <w:sz w:val="20"/>
                <w:szCs w:val="20"/>
                <w:color w:val="auto"/>
              </w:rPr>
            </w:pPr>
            <w:r>
              <w:rPr>
                <w:rFonts w:ascii="Times New Roman" w:cs="Times New Roman" w:eastAsia="Times New Roman" w:hAnsi="Times New Roman"/>
                <w:sz w:val="20"/>
                <w:szCs w:val="20"/>
                <w:color w:val="auto"/>
                <w:w w:val="98"/>
              </w:rPr>
              <w:t>Six Months Ended</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1"/>
        </w:trPr>
        <w:tc>
          <w:tcPr>
            <w:tcW w:w="78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20"/>
                <w:szCs w:val="20"/>
                <w:color w:val="auto"/>
                <w:w w:val="98"/>
              </w:rPr>
              <w:t>June 30,</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7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color w:val="auto"/>
                <w:w w:val="94"/>
              </w:rPr>
              <w:t>2018</w:t>
            </w:r>
          </w:p>
        </w:tc>
        <w:tc>
          <w:tcPr>
            <w:tcW w:w="120" w:type="dxa"/>
            <w:vAlign w:val="bottom"/>
          </w:tcPr>
          <w:p>
            <w:pPr>
              <w:spacing w:after="0"/>
              <w:rPr>
                <w:sz w:val="20"/>
                <w:szCs w:val="20"/>
                <w:color w:val="auto"/>
              </w:rPr>
            </w:pPr>
          </w:p>
        </w:tc>
      </w:tr>
      <w:tr>
        <w:trPr>
          <w:trHeight w:val="235"/>
        </w:trPr>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4"/>
          </w:tcPr>
          <w:p>
            <w:pPr>
              <w:jc w:val="center"/>
              <w:ind w:right="282"/>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0" w:type="dxa"/>
            <w:vAlign w:val="bottom"/>
          </w:tcPr>
          <w:p>
            <w:pPr>
              <w:spacing w:after="0"/>
              <w:rPr>
                <w:sz w:val="20"/>
                <w:szCs w:val="20"/>
                <w:color w:val="auto"/>
              </w:rPr>
            </w:pPr>
          </w:p>
        </w:tc>
      </w:tr>
      <w:tr>
        <w:trPr>
          <w:trHeight w:val="242"/>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3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155,686</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143,218</w:t>
            </w:r>
          </w:p>
        </w:tc>
        <w:tc>
          <w:tcPr>
            <w:tcW w:w="120" w:type="dxa"/>
            <w:vAlign w:val="bottom"/>
            <w:shd w:val="clear" w:color="auto" w:fill="CFF0FC"/>
          </w:tcPr>
          <w:p>
            <w:pPr>
              <w:spacing w:after="0"/>
              <w:rPr>
                <w:sz w:val="21"/>
                <w:szCs w:val="21"/>
                <w:color w:val="auto"/>
              </w:rPr>
            </w:pPr>
          </w:p>
        </w:tc>
      </w:tr>
      <w:tr>
        <w:trPr>
          <w:trHeight w:val="24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Depletion</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16,006</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11,124</w:t>
            </w:r>
          </w:p>
        </w:tc>
        <w:tc>
          <w:tcPr>
            <w:tcW w:w="120" w:type="dxa"/>
            <w:vAlign w:val="bottom"/>
          </w:tcPr>
          <w:p>
            <w:pPr>
              <w:spacing w:after="0"/>
              <w:rPr>
                <w:sz w:val="21"/>
                <w:szCs w:val="21"/>
                <w:color w:val="auto"/>
              </w:rPr>
            </w:pPr>
          </w:p>
        </w:tc>
      </w:tr>
      <w:tr>
        <w:trPr>
          <w:trHeight w:val="242"/>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10,294</w:t>
            </w:r>
          </w:p>
        </w:tc>
        <w:tc>
          <w:tcPr>
            <w:tcW w:w="280" w:type="dxa"/>
            <w:vAlign w:val="bottom"/>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9,203</w:t>
            </w:r>
          </w:p>
        </w:tc>
        <w:tc>
          <w:tcPr>
            <w:tcW w:w="120" w:type="dxa"/>
            <w:vAlign w:val="bottom"/>
            <w:shd w:val="clear" w:color="auto" w:fill="CFF0FC"/>
          </w:tcPr>
          <w:p>
            <w:pPr>
              <w:spacing w:after="0"/>
              <w:rPr>
                <w:sz w:val="21"/>
                <w:szCs w:val="21"/>
                <w:color w:val="auto"/>
              </w:rPr>
            </w:pPr>
          </w:p>
        </w:tc>
      </w:tr>
      <w:tr>
        <w:trPr>
          <w:trHeight w:val="23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181,986</w:t>
            </w: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163,545</w:t>
            </w:r>
          </w:p>
        </w:tc>
        <w:tc>
          <w:tcPr>
            <w:tcW w:w="12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seasonal nature of construction activity impacts the Company’s quarterly operating cash flow when compared with the full year. Full-year 2018 net cash provided by operating activities was $705.1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During the six months ended June 30, 2019, the Company paid $207.5 million for capital investments. Full-year capital spending is expected to range from $350 million to $400 million.</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repurchased 232,411 shares of common stock during second quarter 2019, at an aggregate cost of $50.0 million. At June 30, 2019, 13,915,340 shares of common stock were remaining under the Company’s repurchase authorization. Future share repurchases are at the discretion of management.</w:t>
      </w:r>
    </w:p>
    <w:p>
      <w:pPr>
        <w:spacing w:after="0" w:line="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$700 million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$400 million Trade Receivable Facility,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Additionally,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stock-based compensation expense is added back and interest income is deducted in the calculation of consolidated EBITDA. During periods that include an acquisition, pre-acquisition adjusted EBITDA of the acquired company is added to consolidated EBITDA as if the acquisition occurred on the first day of the calculation period. Certain other nonrecurring items, if they occur, can affect the calculation of consolidated EBITDA.</w:t>
      </w:r>
    </w:p>
    <w:p>
      <w:pPr>
        <w:spacing w:after="0" w:line="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At June 30, 2019, the Company’s ratio of consolidated debt-to-consolidated EBITDA, as defined by the Company’s Revolving Facility, for the trailing-twelve months was 2.68 times and was calculated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9"/>
              </w:rPr>
              <w:t>July 1, 2018 to</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8"/>
              </w:rPr>
              <w:t>June 30, 2019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center"/>
              <w:ind w:right="82"/>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Earnings from continuing operations attributable to Martin Marietta</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506,926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Add back:</w:t>
            </w: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Income tax expense</w:t>
            </w: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95,494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expense</w:t>
            </w: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135,255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Depreciation, depletion and amortization expense</w:t>
            </w: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371,191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Acquisition-related expenses, net</w:t>
            </w: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9,082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Noncash portion of restructuring expenses</w:t>
            </w: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76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Deduct:</w:t>
            </w: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Interest income</w:t>
            </w: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(480)</w:t>
            </w:r>
          </w:p>
        </w:tc>
        <w:tc>
          <w:tcPr>
            <w:tcW w:w="0" w:type="dxa"/>
            <w:vAlign w:val="bottom"/>
          </w:tcPr>
          <w:p>
            <w:pPr>
              <w:spacing w:after="0"/>
              <w:rPr>
                <w:sz w:val="1"/>
                <w:szCs w:val="1"/>
                <w:color w:val="auto"/>
              </w:rPr>
            </w:pPr>
          </w:p>
        </w:tc>
      </w:tr>
      <w:tr>
        <w:trPr>
          <w:trHeight w:val="275"/>
        </w:trPr>
        <w:tc>
          <w:tcPr>
            <w:tcW w:w="7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EBITDA, as defined by the Company’s Revolving Facility</w:t>
            </w:r>
          </w:p>
        </w:tc>
        <w:tc>
          <w:tcPr>
            <w:tcW w:w="136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1,168,843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20" w:type="dxa"/>
            <w:vAlign w:val="bottom"/>
            <w:tcBorders>
              <w:top w:val="single" w:sz="8" w:color="CFF0FC"/>
            </w:tcBorders>
            <w:shd w:val="clear" w:color="auto" w:fill="CFF0FC"/>
          </w:tcPr>
          <w:p>
            <w:pPr>
              <w:spacing w:after="0" w:line="199" w:lineRule="exact"/>
              <w:rPr>
                <w:sz w:val="20"/>
                <w:szCs w:val="20"/>
                <w:color w:val="auto"/>
              </w:rPr>
            </w:pPr>
            <w:r>
              <w:rPr>
                <w:rFonts w:ascii="Times New Roman" w:cs="Times New Roman" w:eastAsia="Times New Roman" w:hAnsi="Times New Roman"/>
                <w:sz w:val="20"/>
                <w:szCs w:val="20"/>
                <w:color w:val="auto"/>
              </w:rPr>
              <w:t>Consolidated net debt, as defined and including debt for which the</w:t>
            </w:r>
          </w:p>
        </w:tc>
        <w:tc>
          <w:tcPr>
            <w:tcW w:w="13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6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Company is a co-borrower, at June 30, 2019</w:t>
            </w:r>
          </w:p>
        </w:tc>
        <w:tc>
          <w:tcPr>
            <w:tcW w:w="1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3,129,756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Consolidated debt-to-consolidated EBITDA, as defined by the Company’s</w:t>
            </w: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64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Revolving Facility, at June 30, 2019 for the trailing-twelve months EBITDA</w:t>
            </w: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2.68 times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Trade Receivable Facility contains a cross-default provision to the Company’s other debt agreements. In the event of a default on the Ratio, the lenders can terminate the Revolving Facility and Trade Receivable Facility and declare any outstanding balances as immediately due. Outstanding amounts on the Trade Receivable Facility have been classified as a current liability on the Company’s consolidated balance sheet.</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and allow for payment of dividends for the foreseeable future. Any future significant strategic acquisition for cash would likely require an appropriate balance of newly-issued equity with debt in order to maintain a composite investment-grade credit rating. At June 30, 2019, the Company had $712.7 million of unused borrowing capacity under its Revolving Facility and Trade Receivable Facility, subject to complying with the related leverage covenant. The Revolving Facility and Trade Receivable Facility expire on December 5, 2023 and September 25, 2019, respectively. The Company has $300 million of floating rate senior notes due in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December 2019 and $300 million of floating rate senior notes due in May 2020. Both notes are classified as long-term on the Company’s June 30, 2019 balance sheet as the Company has the intent and ability to refinance the notes on a long-term basis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TRENDS AND RISKS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outlined the risks associated with its business in its Annual Report on Form 10-K for the year ended December 31, 2018. Management continues to evaluate its exposure to all operating risks on an ongoing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OUTLOOK</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geographic footprint has attractive underlying market fundamentals, including notable employment gains, population growth and superior state fiscal health – all attributes promoting steady and sustainable construction growth. Supported by robust underlying demand and third-party forecasts, the Company is raising its full-year guidance based on its belief that the current construction cycle will continue for the foreseeable future and expand further this year for each of the Company’s three primary construction end-use markets.</w:t>
      </w:r>
    </w:p>
    <w:p>
      <w:pPr>
        <w:spacing w:after="0" w:line="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Based on current trends and expectations, management’s guidance on aggregates shipments by end-use market compared with 2018 levels are as follows:</w:t>
      </w:r>
    </w:p>
    <w:p>
      <w:pPr>
        <w:spacing w:after="0" w:line="54" w:lineRule="exact"/>
        <w:rPr>
          <w:sz w:val="20"/>
          <w:szCs w:val="20"/>
          <w:color w:val="auto"/>
        </w:rPr>
      </w:pPr>
    </w:p>
    <w:p>
      <w:pPr>
        <w:ind w:left="760" w:hanging="377"/>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Infrastructure shipments to increase in the high-single digits.</w:t>
      </w:r>
    </w:p>
    <w:p>
      <w:pPr>
        <w:spacing w:after="0" w:line="20" w:lineRule="exact"/>
        <w:rPr>
          <w:rFonts w:ascii="Times New Roman" w:cs="Times New Roman" w:eastAsia="Times New Roman" w:hAnsi="Times New Roman"/>
          <w:sz w:val="20"/>
          <w:szCs w:val="20"/>
          <w:color w:val="auto"/>
        </w:rPr>
      </w:pPr>
    </w:p>
    <w:p>
      <w:pPr>
        <w:ind w:left="760" w:hanging="377"/>
        <w:spacing w:after="0" w:line="238" w:lineRule="auto"/>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Nonresidential shipments to experience a double-digit increase.</w:t>
      </w:r>
    </w:p>
    <w:p>
      <w:pPr>
        <w:ind w:left="760" w:hanging="377"/>
        <w:spacing w:after="0" w:line="238" w:lineRule="auto"/>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Residential shipments to increase in the mid-single digits.</w:t>
      </w:r>
    </w:p>
    <w:p>
      <w:pPr>
        <w:ind w:left="760" w:hanging="377"/>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ChemRock/Rail shipments to be up slightly.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MATTERS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give the investor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the performance of the United States economy;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1"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9"/>
          <w:szCs w:val="19"/>
          <w:color w:val="auto"/>
        </w:rPr>
        <w:t>shipment declines resulting from economic events beyond the Company’s control; a widespread decline in aggregates pricing, including a decline in aggregates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infrastructure construction; the level and timing of federal, state or local transportation or infrastructure projects funding, most particularly in Texas, Colorado, North Carolina, Georgia, Iowa and Maryland; the United States Congress’ inability to reach agreement among themselves or with the current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a decline in energy-related construction activity resulting from a sustained period of low global oil prices or changes in oil production patterns in response to this decline, particularly in Texas; a slowdown in residential construction recovery; unfavorable weather conditions, particularly Atlantic Ocean and Gulf Coast hurricane activity, the late start to spring or the early onset of winter and the impact of a drought or excessive rainfall in the markets served by the Company, any of which can significantly affect production schedules, volumes, product and/or geographic mix and profitability;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chain challenges; unexpected equipment failures, unscheduled maintenance, industrial accident or other prolonged and/or significant disruption to production facilities; increasing governmental regulation, including environmental laws; transportation availability or a sustained reduction in capital investment by the railroads, notably the availability of railcars, locomotive power and the condition of rail infrastructure to move trains to supply the Company’s Texas, Colorado, Florida, North Carolina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a trade dispute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continued downward pressure on the Company’s common stock price and its impact on goodwill impairment evaluations; reduction of the Company’s credit rating to non-investment grade; and other risk factors listed from time to time found in the Company’s filings with the SEC.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line="238" w:lineRule="auto"/>
        <w:rPr>
          <w:sz w:val="20"/>
          <w:szCs w:val="20"/>
          <w:color w:val="auto"/>
        </w:rPr>
      </w:pPr>
      <w:r>
        <w:rPr>
          <w:rFonts w:ascii="Times New Roman" w:cs="Times New Roman" w:eastAsia="Times New Roman" w:hAnsi="Times New Roman"/>
          <w:sz w:val="20"/>
          <w:szCs w:val="20"/>
          <w:color w:val="auto"/>
        </w:rPr>
        <w:t>Second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You should consider these forward-looking statements in light of risk factors discussed in the Company’s Annual Report on Form 10-K for the year ended December 31, 2018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The Company assumes no obligation to update any such forward-looking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ACCESS TO COMPANY FILINGS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Shareholders may obtain, without charge, a copy of Martin Marietta’s Annual Report on Form 10-K, as filed with the Securities and Exchange Commission for the fiscal year ended December 31, 2018, by writing to:</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Martin Marietta</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Attn: Corporate Secretary</w:t>
      </w:r>
    </w:p>
    <w:p>
      <w:pPr>
        <w:ind w:left="260"/>
        <w:spacing w:after="0" w:line="238" w:lineRule="auto"/>
        <w:rPr>
          <w:sz w:val="20"/>
          <w:szCs w:val="20"/>
          <w:color w:val="auto"/>
        </w:rPr>
      </w:pPr>
      <w:r>
        <w:rPr>
          <w:rFonts w:ascii="Times New Roman" w:cs="Times New Roman" w:eastAsia="Times New Roman" w:hAnsi="Times New Roman"/>
          <w:sz w:val="20"/>
          <w:szCs w:val="20"/>
          <w:color w:val="auto"/>
        </w:rPr>
        <w:t>2710 Wycliff Road</w:t>
      </w:r>
    </w:p>
    <w:p>
      <w:pPr>
        <w:ind w:left="260"/>
        <w:spacing w:after="0"/>
        <w:rPr>
          <w:sz w:val="20"/>
          <w:szCs w:val="20"/>
          <w:color w:val="auto"/>
        </w:rPr>
      </w:pPr>
      <w:r>
        <w:rPr>
          <w:rFonts w:ascii="Times New Roman" w:cs="Times New Roman" w:eastAsia="Times New Roman" w:hAnsi="Times New Roman"/>
          <w:sz w:val="20"/>
          <w:szCs w:val="20"/>
          <w:color w:val="auto"/>
        </w:rPr>
        <w:t>Raleigh, North Carolina 27607-3033</w:t>
      </w:r>
    </w:p>
    <w:p>
      <w:pPr>
        <w:spacing w:after="0" w:line="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Telephone: (919) 510-4776</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Website address: www.martinmarietta.com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3. Quantitative and Qualitative Disclosures About Market Risk.</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Demand in the residential construction market is affected by interest rates. The Federal Reserve did not change interest rates during the quarter ended June 30, 2019. The federal funds rate at June 30, 2019 was 2.4%. The residential construction market accounted for 22% of the Company’s aggregates product line shipments in 2018.</w:t>
      </w:r>
    </w:p>
    <w:p>
      <w:pPr>
        <w:spacing w:after="0" w:line="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Aside from these inherent risks from within its operations, the Company’s earnings are also affected by changes in short-term interest rates. However, rising interest rates are not necessarily predictive of weaker operating results. Historically, the Company’s profitability increased during periods of rising interest rates. In essence, the Company’s underlying business generally serves as a natural hedge to rising interest rates.</w:t>
      </w:r>
    </w:p>
    <w:p>
      <w:pPr>
        <w:spacing w:after="0" w:line="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Variable-Rate Borrowing Facilities. </w:t>
      </w:r>
      <w:r>
        <w:rPr>
          <w:rFonts w:ascii="Times New Roman" w:cs="Times New Roman" w:eastAsia="Times New Roman" w:hAnsi="Times New Roman"/>
          <w:sz w:val="20"/>
          <w:szCs w:val="20"/>
          <w:color w:val="auto"/>
        </w:rPr>
        <w:t>At June 30, 2019, the Company had a $700 million Revolving Facility and a $400 million Trade Receivable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Facility. The Company also has $600 million variable-rate senior notes. Borrowings under these facilities bear interest at a variable interest rate. A hypothetical 100-basis-point increase in interest rates on borrowings of $985 million, which was the collective outstanding balance at June 30, 2019, would increase interest expense by $9.9 million on an annual basis.</w:t>
      </w:r>
    </w:p>
    <w:p>
      <w:pPr>
        <w:spacing w:after="0" w:line="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Pension Expense. </w:t>
      </w:r>
      <w:r>
        <w:rPr>
          <w:rFonts w:ascii="Times New Roman" w:cs="Times New Roman" w:eastAsia="Times New Roman" w:hAnsi="Times New Roman"/>
          <w:sz w:val="20"/>
          <w:szCs w:val="20"/>
          <w:color w:val="auto"/>
        </w:rPr>
        <w:t>The Company’s results of operations are affected by its pension expense. Assumptions that affect pension expense include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2018.</w:t>
      </w:r>
    </w:p>
    <w:p>
      <w:pPr>
        <w:spacing w:after="0" w:line="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Energy Costs</w:t>
      </w:r>
      <w:r>
        <w:rPr>
          <w:rFonts w:ascii="Times New Roman" w:cs="Times New Roman" w:eastAsia="Times New Roman" w:hAnsi="Times New Roman"/>
          <w:sz w:val="20"/>
          <w:szCs w:val="20"/>
          <w:color w:val="auto"/>
        </w:rPr>
        <w:t>. Energy costs, including diesel fuel, natural gas, coal and liquid asphalt, represent significant production costs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The cement operations and Magnesia Specialties business have fixed price agreements covering 100% of its 2019 coal requirements. Energy costs for the six months ended June 30, 2019 increased approximately 0.6% over the prior-year period. A hypothetical 0.6% change in the Company’s energy prices for the full year 2019 as compared with 2018, assuming constant volumes, would change full year 2019 energy expense by $1.7 million.</w:t>
      </w:r>
    </w:p>
    <w:p>
      <w:pPr>
        <w:spacing w:after="0" w:line="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Commodity Risk. </w:t>
      </w:r>
      <w:r>
        <w:rPr>
          <w:rFonts w:ascii="Times New Roman" w:cs="Times New Roman" w:eastAsia="Times New Roman" w:hAnsi="Times New Roman"/>
          <w:sz w:val="20"/>
          <w:szCs w:val="20"/>
          <w:color w:val="auto"/>
        </w:rPr>
        <w:t>Cement is a commodity and competition is based principally on price, which is highly sensitive to changes in supply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total revenues for cement for full-year 2019 of $420 million to $450 million, a hypothetical 10% change in sales price would impact net sales by $42.0 million to $45.0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50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line="238" w:lineRule="auto"/>
        <w:rPr>
          <w:sz w:val="20"/>
          <w:szCs w:val="20"/>
          <w:color w:val="auto"/>
        </w:rPr>
      </w:pPr>
      <w:r>
        <w:rPr>
          <w:rFonts w:ascii="Times New Roman" w:cs="Times New Roman" w:eastAsia="Times New Roman" w:hAnsi="Times New Roman"/>
          <w:sz w:val="20"/>
          <w:szCs w:val="20"/>
          <w:color w:val="auto"/>
        </w:rPr>
        <w:t>For the Quarter Ended June 30, 2019</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4. Controls and Procedures</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Evaluation of Disclosure Controls and Procedures. </w:t>
      </w:r>
      <w:r>
        <w:rPr>
          <w:rFonts w:ascii="Times New Roman" w:cs="Times New Roman" w:eastAsia="Times New Roman" w:hAnsi="Times New Roman"/>
          <w:sz w:val="19"/>
          <w:szCs w:val="19"/>
          <w:color w:val="auto"/>
        </w:rPr>
        <w:t>As of June 30, 2019, an evaluation was performed under the supervision and with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June 30, 2019.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51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June 30, 2019</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PART II- OTHER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Certain legal proceedings in which we are involved are discussed in Note O to the consolidated financial statements and Part I, Item 3 of our Annual Report on Form 10-K for the year ended December 31, 2018. See also </w:t>
      </w:r>
      <w:r>
        <w:rPr>
          <w:rFonts w:ascii="Times New Roman" w:cs="Times New Roman" w:eastAsia="Times New Roman" w:hAnsi="Times New Roman"/>
          <w:sz w:val="20"/>
          <w:szCs w:val="20"/>
          <w:i w:val="1"/>
          <w:iCs w:val="1"/>
          <w:color w:val="auto"/>
        </w:rPr>
        <w:t>Note 8 Commitments and Contingencies, Legal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Administrative Proceedings, </w:t>
      </w:r>
      <w:r>
        <w:rPr>
          <w:rFonts w:ascii="Times New Roman" w:cs="Times New Roman" w:eastAsia="Times New Roman" w:hAnsi="Times New Roman"/>
          <w:sz w:val="20"/>
          <w:szCs w:val="20"/>
          <w:color w:val="auto"/>
        </w:rPr>
        <w:t>of this Form 10-Q.</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Reference is made to </w:t>
      </w:r>
      <w:r>
        <w:rPr>
          <w:rFonts w:ascii="Times New Roman" w:cs="Times New Roman" w:eastAsia="Times New Roman" w:hAnsi="Times New Roman"/>
          <w:sz w:val="20"/>
          <w:szCs w:val="20"/>
          <w:i w:val="1"/>
          <w:iCs w:val="1"/>
          <w:color w:val="auto"/>
        </w:rPr>
        <w:t>Part I. Item 1A. Risk Factors and Forward-Looking Statements</w:t>
      </w:r>
      <w:r>
        <w:rPr>
          <w:rFonts w:ascii="Times New Roman" w:cs="Times New Roman" w:eastAsia="Times New Roman" w:hAnsi="Times New Roman"/>
          <w:sz w:val="20"/>
          <w:szCs w:val="20"/>
          <w:color w:val="auto"/>
        </w:rPr>
        <w:t xml:space="preserve"> of the Martin Marietta Annual Report on Form 10-K for the year ended December 31,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2. Unregistered Sales of Equity Securities and Use of Proceeds</w:t>
      </w:r>
      <w:r>
        <w:rPr>
          <w:rFonts w:ascii="Times New Roman" w:cs="Times New Roman" w:eastAsia="Times New Roman" w:hAnsi="Times New Roman"/>
          <w:sz w:val="20"/>
          <w:szCs w:val="20"/>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ISSUER PURCHASES OF EQUITY SECURITIES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120" w:type="dxa"/>
            <w:vAlign w:val="bottom"/>
            <w:gridSpan w:val="2"/>
          </w:tcPr>
          <w:p>
            <w:pPr>
              <w:jc w:val="center"/>
              <w:ind w:left="142"/>
              <w:spacing w:after="0"/>
              <w:rPr>
                <w:sz w:val="20"/>
                <w:szCs w:val="20"/>
                <w:color w:val="auto"/>
              </w:rPr>
            </w:pPr>
            <w:r>
              <w:rPr>
                <w:rFonts w:ascii="Times New Roman" w:cs="Times New Roman" w:eastAsia="Times New Roman" w:hAnsi="Times New Roman"/>
                <w:sz w:val="20"/>
                <w:szCs w:val="20"/>
                <w:color w:val="auto"/>
                <w:w w:val="97"/>
              </w:rPr>
              <w:t>Total Number of Shares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7"/>
              </w:rPr>
              <w:t>Maximum Number of</w:t>
            </w:r>
          </w:p>
        </w:tc>
      </w:tr>
      <w:tr>
        <w:trPr>
          <w:trHeight w:val="242"/>
        </w:trPr>
        <w:tc>
          <w:tcPr>
            <w:tcW w:w="4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Purchased as Part of</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Shares that May Yet</w:t>
            </w:r>
          </w:p>
        </w:tc>
      </w:tr>
      <w:tr>
        <w:trPr>
          <w:trHeight w:val="242"/>
        </w:trPr>
        <w:tc>
          <w:tcPr>
            <w:tcW w:w="4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6"/>
              </w:rPr>
              <w:t>Total Number of</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Average Price</w:t>
            </w:r>
          </w:p>
        </w:tc>
        <w:tc>
          <w:tcPr>
            <w:tcW w:w="24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Publicly Announced</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be Purchased Under</w:t>
            </w:r>
          </w:p>
        </w:tc>
      </w:tr>
      <w:tr>
        <w:trPr>
          <w:trHeight w:val="251"/>
        </w:trPr>
        <w:tc>
          <w:tcPr>
            <w:tcW w:w="420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Period</w:t>
            </w: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Shares Purchased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Paid per Share</w:t>
            </w:r>
          </w:p>
        </w:tc>
        <w:tc>
          <w:tcPr>
            <w:tcW w:w="24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Plans or Programs</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the Plans or Programs</w:t>
            </w:r>
          </w:p>
        </w:tc>
      </w:tr>
      <w:tr>
        <w:trPr>
          <w:trHeight w:val="235"/>
        </w:trPr>
        <w:tc>
          <w:tcPr>
            <w:tcW w:w="4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April 1, 2019 - April 30, 2019</w:t>
            </w:r>
          </w:p>
        </w:tc>
        <w:tc>
          <w:tcPr>
            <w:tcW w:w="140" w:type="dxa"/>
            <w:vAlign w:val="bottom"/>
            <w:tcBorders>
              <w:top w:val="single" w:sz="8" w:color="CFF0FC"/>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22"/>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14,147,751</w:t>
            </w:r>
          </w:p>
        </w:tc>
        <w:tc>
          <w:tcPr>
            <w:tcW w:w="100" w:type="dxa"/>
            <w:vAlign w:val="bottom"/>
            <w:tcBorders>
              <w:top w:val="single" w:sz="8" w:color="CFF0FC"/>
            </w:tcBorders>
            <w:shd w:val="clear" w:color="auto" w:fill="CFF0FC"/>
          </w:tcPr>
          <w:p>
            <w:pPr>
              <w:spacing w:after="0"/>
              <w:rPr>
                <w:sz w:val="20"/>
                <w:szCs w:val="20"/>
                <w:color w:val="auto"/>
              </w:rPr>
            </w:pPr>
          </w:p>
        </w:tc>
      </w:tr>
      <w:tr>
        <w:trPr>
          <w:trHeight w:val="242"/>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 2019 - May 31, 2019</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228,084</w:t>
            </w:r>
          </w:p>
        </w:tc>
        <w:tc>
          <w:tcPr>
            <w:tcW w:w="240" w:type="dxa"/>
            <w:vAlign w:val="bottom"/>
          </w:tcPr>
          <w:p>
            <w:pPr>
              <w:spacing w:after="0"/>
              <w:rPr>
                <w:sz w:val="21"/>
                <w:szCs w:val="21"/>
                <w:color w:val="auto"/>
              </w:rPr>
            </w:pPr>
          </w:p>
        </w:tc>
        <w:tc>
          <w:tcPr>
            <w:tcW w:w="52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228,084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13,919,667</w:t>
            </w:r>
          </w:p>
        </w:tc>
        <w:tc>
          <w:tcPr>
            <w:tcW w:w="100" w:type="dxa"/>
            <w:vAlign w:val="bottom"/>
          </w:tcPr>
          <w:p>
            <w:pPr>
              <w:spacing w:after="0"/>
              <w:rPr>
                <w:sz w:val="21"/>
                <w:szCs w:val="21"/>
                <w:color w:val="auto"/>
              </w:rPr>
            </w:pPr>
          </w:p>
        </w:tc>
      </w:tr>
      <w:tr>
        <w:trPr>
          <w:trHeight w:val="242"/>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June 1, 2019 - June 30, 2019</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4,327</w:t>
            </w: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4,327</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13,915,340</w:t>
            </w:r>
          </w:p>
        </w:tc>
        <w:tc>
          <w:tcPr>
            <w:tcW w:w="100" w:type="dxa"/>
            <w:vAlign w:val="bottom"/>
            <w:shd w:val="clear" w:color="auto" w:fill="CFF0FC"/>
          </w:tcPr>
          <w:p>
            <w:pPr>
              <w:spacing w:after="0"/>
              <w:rPr>
                <w:sz w:val="21"/>
                <w:szCs w:val="21"/>
                <w:color w:val="auto"/>
              </w:rPr>
            </w:pPr>
          </w:p>
        </w:tc>
      </w:tr>
    </w:tbl>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Mine Safety Disclosures.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52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22"/>
              <w:spacing w:after="0"/>
              <w:rPr>
                <w:sz w:val="20"/>
                <w:szCs w:val="20"/>
                <w:color w:val="auto"/>
              </w:rPr>
            </w:pPr>
            <w:r>
              <w:rPr>
                <w:rFonts w:ascii="Times New Roman" w:cs="Times New Roman" w:eastAsia="Times New Roman" w:hAnsi="Times New Roman"/>
                <w:sz w:val="20"/>
                <w:szCs w:val="20"/>
                <w:color w:val="auto"/>
                <w:w w:val="97"/>
              </w:rPr>
              <w:t>MARTIN MARIETTA MATERIALS, INC. AND CONSOLIDATED SUBSIDIARIES</w:t>
            </w:r>
          </w:p>
        </w:tc>
      </w:tr>
      <w:tr>
        <w:trPr>
          <w:trHeight w:val="228"/>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22"/>
              <w:spacing w:after="0" w:line="229" w:lineRule="exact"/>
              <w:rPr>
                <w:sz w:val="20"/>
                <w:szCs w:val="20"/>
                <w:color w:val="auto"/>
              </w:rPr>
            </w:pPr>
            <w:r>
              <w:rPr>
                <w:rFonts w:ascii="Times New Roman" w:cs="Times New Roman" w:eastAsia="Times New Roman" w:hAnsi="Times New Roman"/>
                <w:sz w:val="20"/>
                <w:szCs w:val="20"/>
                <w:color w:val="auto"/>
                <w:w w:val="99"/>
              </w:rPr>
              <w:t>FORM 10-Q</w:t>
            </w:r>
          </w:p>
        </w:tc>
      </w:tr>
      <w:tr>
        <w:trPr>
          <w:trHeight w:val="257"/>
        </w:trPr>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00" w:type="dxa"/>
            <w:vAlign w:val="bottom"/>
          </w:tcPr>
          <w:p>
            <w:pPr>
              <w:jc w:val="center"/>
              <w:ind w:right="1202"/>
              <w:spacing w:after="0"/>
              <w:rPr>
                <w:sz w:val="20"/>
                <w:szCs w:val="20"/>
                <w:color w:val="auto"/>
              </w:rPr>
            </w:pPr>
            <w:r>
              <w:rPr>
                <w:rFonts w:ascii="Times New Roman" w:cs="Times New Roman" w:eastAsia="Times New Roman" w:hAnsi="Times New Roman"/>
                <w:sz w:val="20"/>
                <w:szCs w:val="20"/>
                <w:color w:val="auto"/>
                <w:w w:val="98"/>
              </w:rPr>
              <w:t>For the Quarter Ended June 30, 2019</w:t>
            </w:r>
          </w:p>
        </w:tc>
      </w:tr>
      <w:tr>
        <w:trPr>
          <w:trHeight w:val="414"/>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Pr>
          <w:p>
            <w:pPr>
              <w:jc w:val="center"/>
              <w:ind w:right="1222"/>
              <w:spacing w:after="0"/>
              <w:rPr>
                <w:sz w:val="20"/>
                <w:szCs w:val="20"/>
                <w:color w:val="auto"/>
              </w:rPr>
            </w:pPr>
            <w:r>
              <w:rPr>
                <w:rFonts w:ascii="Times New Roman" w:cs="Times New Roman" w:eastAsia="Times New Roman" w:hAnsi="Times New Roman"/>
                <w:sz w:val="20"/>
                <w:szCs w:val="20"/>
                <w:color w:val="auto"/>
                <w:w w:val="96"/>
              </w:rPr>
              <w:t>PART II- OTHER INFORMATION</w:t>
            </w:r>
          </w:p>
        </w:tc>
      </w:tr>
      <w:tr>
        <w:trPr>
          <w:trHeight w:val="257"/>
        </w:trPr>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00" w:type="dxa"/>
            <w:vAlign w:val="bottom"/>
          </w:tcPr>
          <w:p>
            <w:pPr>
              <w:jc w:val="center"/>
              <w:ind w:right="1222"/>
              <w:spacing w:after="0"/>
              <w:rPr>
                <w:sz w:val="20"/>
                <w:szCs w:val="20"/>
                <w:color w:val="auto"/>
              </w:rPr>
            </w:pPr>
            <w:r>
              <w:rPr>
                <w:rFonts w:ascii="Times New Roman" w:cs="Times New Roman" w:eastAsia="Times New Roman" w:hAnsi="Times New Roman"/>
                <w:sz w:val="20"/>
                <w:szCs w:val="20"/>
                <w:color w:val="auto"/>
                <w:w w:val="97"/>
              </w:rPr>
              <w:t>(Continued)</w:t>
            </w:r>
          </w:p>
        </w:tc>
      </w:tr>
      <w:tr>
        <w:trPr>
          <w:trHeight w:val="329"/>
        </w:trPr>
        <w:tc>
          <w:tcPr>
            <w:tcW w:w="1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6. Exhibits.</w:t>
            </w:r>
          </w:p>
        </w:tc>
      </w:tr>
      <w:tr>
        <w:trPr>
          <w:trHeight w:val="477"/>
        </w:trPr>
        <w:tc>
          <w:tcPr>
            <w:tcW w:w="11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Exhibit No.</w:t>
            </w:r>
          </w:p>
        </w:tc>
        <w:tc>
          <w:tcPr>
            <w:tcW w:w="140" w:type="dxa"/>
            <w:vAlign w:val="bottom"/>
            <w:tcBorders>
              <w:top w:val="single" w:sz="8" w:color="auto"/>
            </w:tcBorders>
          </w:tcPr>
          <w:p>
            <w:pPr>
              <w:spacing w:after="0"/>
              <w:rPr>
                <w:sz w:val="24"/>
                <w:szCs w:val="24"/>
                <w:color w:val="auto"/>
              </w:rPr>
            </w:pPr>
          </w:p>
        </w:tc>
        <w:tc>
          <w:tcPr>
            <w:tcW w:w="10100" w:type="dxa"/>
            <w:vAlign w:val="bottom"/>
          </w:tcPr>
          <w:p>
            <w:pPr>
              <w:ind w:left="4560"/>
              <w:spacing w:after="0"/>
              <w:rPr>
                <w:sz w:val="20"/>
                <w:szCs w:val="20"/>
                <w:color w:val="auto"/>
              </w:rPr>
            </w:pPr>
            <w:r>
              <w:rPr>
                <w:rFonts w:ascii="Times New Roman" w:cs="Times New Roman" w:eastAsia="Times New Roman" w:hAnsi="Times New Roman"/>
                <w:sz w:val="20"/>
                <w:szCs w:val="20"/>
                <w:color w:val="auto"/>
              </w:rPr>
              <w:t>Document</w:t>
            </w:r>
          </w:p>
        </w:tc>
      </w:tr>
      <w:tr>
        <w:trPr>
          <w:trHeight w:val="302"/>
        </w:trPr>
        <w:tc>
          <w:tcPr>
            <w:tcW w:w="460" w:type="dxa"/>
            <w:vAlign w:val="bottom"/>
            <w:tcBorders>
              <w:top w:val="single" w:sz="8" w:color="auto"/>
              <w:bottom w:val="single" w:sz="8" w:color="0000EE"/>
            </w:tcBorders>
          </w:tcPr>
          <w:p>
            <w:pPr>
              <w:spacing w:after="0"/>
              <w:rPr>
                <w:rFonts w:ascii="Times New Roman" w:cs="Times New Roman" w:eastAsia="Times New Roman" w:hAnsi="Times New Roman"/>
                <w:sz w:val="20"/>
                <w:szCs w:val="20"/>
                <w:color w:val="0000EE"/>
                <w:w w:val="97"/>
              </w:rPr>
            </w:pPr>
            <w:hyperlink w:anchor="page55">
              <w:r>
                <w:rPr>
                  <w:rFonts w:ascii="Times New Roman" w:cs="Times New Roman" w:eastAsia="Times New Roman" w:hAnsi="Times New Roman"/>
                  <w:sz w:val="20"/>
                  <w:szCs w:val="20"/>
                  <w:color w:val="0000EE"/>
                  <w:w w:val="97"/>
                </w:rPr>
                <w:t>10.</w:t>
              </w:r>
              <w:r>
                <w:rPr>
                  <w:rFonts w:ascii="Times New Roman" w:cs="Times New Roman" w:eastAsia="Times New Roman" w:hAnsi="Times New Roman"/>
                  <w:sz w:val="20"/>
                  <w:szCs w:val="20"/>
                  <w:u w:val="single" w:color="auto"/>
                  <w:color w:val="0000EE"/>
                  <w:w w:val="97"/>
                </w:rPr>
                <w:t>01</w:t>
              </w:r>
            </w:hyperlink>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Offer Letter, dated as of January 11, 2019, by and between Martin Marietta Materials, Inc. and Robert J. Cardin</w:t>
            </w:r>
          </w:p>
        </w:tc>
      </w:tr>
      <w:tr>
        <w:trPr>
          <w:trHeight w:val="329"/>
        </w:trPr>
        <w:tc>
          <w:tcPr>
            <w:tcW w:w="460" w:type="dxa"/>
            <w:vAlign w:val="bottom"/>
            <w:tcBorders>
              <w:bottom w:val="single" w:sz="8" w:color="0000EE"/>
            </w:tcBorders>
          </w:tcPr>
          <w:p>
            <w:pPr>
              <w:spacing w:after="0"/>
              <w:rPr>
                <w:rFonts w:ascii="Times New Roman" w:cs="Times New Roman" w:eastAsia="Times New Roman" w:hAnsi="Times New Roman"/>
                <w:sz w:val="20"/>
                <w:szCs w:val="20"/>
                <w:color w:val="0000EE"/>
                <w:w w:val="97"/>
              </w:rPr>
            </w:pPr>
            <w:hyperlink w:anchor="page58">
              <w:r>
                <w:rPr>
                  <w:rFonts w:ascii="Times New Roman" w:cs="Times New Roman" w:eastAsia="Times New Roman" w:hAnsi="Times New Roman"/>
                  <w:sz w:val="20"/>
                  <w:szCs w:val="20"/>
                  <w:color w:val="0000EE"/>
                  <w:w w:val="97"/>
                </w:rPr>
                <w:t>31.</w:t>
              </w:r>
              <w:r>
                <w:rPr>
                  <w:rFonts w:ascii="Times New Roman" w:cs="Times New Roman" w:eastAsia="Times New Roman" w:hAnsi="Times New Roman"/>
                  <w:sz w:val="20"/>
                  <w:szCs w:val="20"/>
                  <w:u w:val="single" w:color="auto"/>
                  <w:color w:val="0000EE"/>
                  <w:w w:val="97"/>
                </w:rPr>
                <w:t>01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dated July 31, 2019 of Chief Executive Officer pursuant to Securities and Exchange Act of 1934 rule 13a-14 as</w:t>
            </w:r>
          </w:p>
        </w:tc>
      </w:tr>
      <w:tr>
        <w:trPr>
          <w:trHeight w:val="255"/>
        </w:trPr>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adopted pursuant to Section 302 of the Sarbanes-Oxley Act of 2002</w:t>
            </w:r>
          </w:p>
        </w:tc>
      </w:tr>
      <w:tr>
        <w:trPr>
          <w:trHeight w:val="303"/>
        </w:trPr>
        <w:tc>
          <w:tcPr>
            <w:tcW w:w="460" w:type="dxa"/>
            <w:vAlign w:val="bottom"/>
            <w:tcBorders>
              <w:bottom w:val="single" w:sz="8" w:color="0000EE"/>
            </w:tcBorders>
          </w:tcPr>
          <w:p>
            <w:pPr>
              <w:spacing w:after="0"/>
              <w:rPr>
                <w:rFonts w:ascii="Times New Roman" w:cs="Times New Roman" w:eastAsia="Times New Roman" w:hAnsi="Times New Roman"/>
                <w:sz w:val="20"/>
                <w:szCs w:val="20"/>
                <w:color w:val="0000EE"/>
                <w:w w:val="97"/>
              </w:rPr>
            </w:pPr>
            <w:hyperlink w:anchor="page60">
              <w:r>
                <w:rPr>
                  <w:rFonts w:ascii="Times New Roman" w:cs="Times New Roman" w:eastAsia="Times New Roman" w:hAnsi="Times New Roman"/>
                  <w:sz w:val="20"/>
                  <w:szCs w:val="20"/>
                  <w:color w:val="0000EE"/>
                  <w:w w:val="97"/>
                </w:rPr>
                <w:t>31.</w:t>
              </w:r>
              <w:r>
                <w:rPr>
                  <w:rFonts w:ascii="Times New Roman" w:cs="Times New Roman" w:eastAsia="Times New Roman" w:hAnsi="Times New Roman"/>
                  <w:sz w:val="20"/>
                  <w:szCs w:val="20"/>
                  <w:u w:val="single" w:color="auto"/>
                  <w:color w:val="0000EE"/>
                  <w:w w:val="97"/>
                </w:rPr>
                <w:t>02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dated July 31, 2019 of Chief Financial Officer pursuant to Securities and Exchange Act of 1934 rule 13a-14 as</w:t>
            </w:r>
          </w:p>
        </w:tc>
      </w:tr>
      <w:tr>
        <w:trPr>
          <w:trHeight w:val="255"/>
        </w:trPr>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adopted pursuant to Section 302 of the Sarbanes-Oxley Act of 2002</w:t>
            </w:r>
          </w:p>
        </w:tc>
      </w:tr>
      <w:tr>
        <w:trPr>
          <w:trHeight w:val="303"/>
        </w:trPr>
        <w:tc>
          <w:tcPr>
            <w:tcW w:w="460" w:type="dxa"/>
            <w:vAlign w:val="bottom"/>
            <w:tcBorders>
              <w:bottom w:val="single" w:sz="8" w:color="0000EE"/>
            </w:tcBorders>
          </w:tcPr>
          <w:p>
            <w:pPr>
              <w:spacing w:after="0"/>
              <w:rPr>
                <w:rFonts w:ascii="Times New Roman" w:cs="Times New Roman" w:eastAsia="Times New Roman" w:hAnsi="Times New Roman"/>
                <w:sz w:val="20"/>
                <w:szCs w:val="20"/>
                <w:color w:val="0000EE"/>
                <w:w w:val="97"/>
              </w:rPr>
            </w:pPr>
            <w:hyperlink w:anchor="page62">
              <w:r>
                <w:rPr>
                  <w:rFonts w:ascii="Times New Roman" w:cs="Times New Roman" w:eastAsia="Times New Roman" w:hAnsi="Times New Roman"/>
                  <w:sz w:val="20"/>
                  <w:szCs w:val="20"/>
                  <w:color w:val="0000EE"/>
                  <w:w w:val="97"/>
                </w:rPr>
                <w:t>32.</w:t>
              </w:r>
              <w:r>
                <w:rPr>
                  <w:rFonts w:ascii="Times New Roman" w:cs="Times New Roman" w:eastAsia="Times New Roman" w:hAnsi="Times New Roman"/>
                  <w:sz w:val="20"/>
                  <w:szCs w:val="20"/>
                  <w:u w:val="single" w:color="auto"/>
                  <w:color w:val="0000EE"/>
                  <w:w w:val="97"/>
                </w:rPr>
                <w:t>01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Written Statement dated July 31, 2019 of Chief Executive Officer required by 18 U.S.C. 1350, as adopted pursuant to Section 906</w:t>
            </w:r>
          </w:p>
        </w:tc>
      </w:tr>
      <w:tr>
        <w:trPr>
          <w:trHeight w:val="255"/>
        </w:trPr>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the Sarbanes-Oxley Act of 2002</w:t>
            </w:r>
          </w:p>
        </w:tc>
      </w:tr>
      <w:tr>
        <w:trPr>
          <w:trHeight w:val="303"/>
        </w:trPr>
        <w:tc>
          <w:tcPr>
            <w:tcW w:w="460" w:type="dxa"/>
            <w:vAlign w:val="bottom"/>
            <w:tcBorders>
              <w:bottom w:val="single" w:sz="8" w:color="0000EE"/>
            </w:tcBorders>
          </w:tcPr>
          <w:p>
            <w:pPr>
              <w:spacing w:after="0"/>
              <w:rPr>
                <w:rFonts w:ascii="Times New Roman" w:cs="Times New Roman" w:eastAsia="Times New Roman" w:hAnsi="Times New Roman"/>
                <w:sz w:val="20"/>
                <w:szCs w:val="20"/>
                <w:color w:val="0000EE"/>
                <w:w w:val="97"/>
              </w:rPr>
            </w:pPr>
            <w:hyperlink w:anchor="page63">
              <w:r>
                <w:rPr>
                  <w:rFonts w:ascii="Times New Roman" w:cs="Times New Roman" w:eastAsia="Times New Roman" w:hAnsi="Times New Roman"/>
                  <w:sz w:val="20"/>
                  <w:szCs w:val="20"/>
                  <w:color w:val="0000EE"/>
                  <w:w w:val="97"/>
                </w:rPr>
                <w:t>32.</w:t>
              </w:r>
              <w:r>
                <w:rPr>
                  <w:rFonts w:ascii="Times New Roman" w:cs="Times New Roman" w:eastAsia="Times New Roman" w:hAnsi="Times New Roman"/>
                  <w:sz w:val="20"/>
                  <w:szCs w:val="20"/>
                  <w:u w:val="single" w:color="auto"/>
                  <w:color w:val="0000EE"/>
                  <w:w w:val="97"/>
                </w:rPr>
                <w:t>02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Written Statement dated July 31, 2019 of Chief Financial Officer required by 18 U.S.C. 1350, as adopted pursuant to Section 906</w:t>
            </w:r>
          </w:p>
        </w:tc>
      </w:tr>
      <w:tr>
        <w:trPr>
          <w:trHeight w:val="255"/>
        </w:trPr>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the Sarbanes-Oxley Act of 2002</w:t>
            </w:r>
          </w:p>
        </w:tc>
      </w:tr>
    </w:tbl>
    <w:p>
      <w:pPr>
        <w:spacing w:after="0" w:line="92" w:lineRule="exact"/>
        <w:rPr>
          <w:sz w:val="20"/>
          <w:szCs w:val="20"/>
          <w:color w:val="auto"/>
        </w:rPr>
      </w:pPr>
    </w:p>
    <w:p>
      <w:pPr>
        <w:ind w:left="1180" w:hanging="1173"/>
        <w:spacing w:after="0"/>
        <w:tabs>
          <w:tab w:leader="none" w:pos="1180" w:val="left"/>
        </w:tabs>
        <w:numPr>
          <w:ilvl w:val="0"/>
          <w:numId w:val="20"/>
        </w:numPr>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color w:val="auto"/>
        </w:rPr>
        <w:t>Mine Safety Disclosures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0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Instance Document – The instance document does not appear in the Interactive Data File because its XBRL tags are</w:t>
            </w:r>
          </w:p>
        </w:tc>
      </w:tr>
      <w:tr>
        <w:trPr>
          <w:trHeight w:val="257"/>
        </w:trPr>
        <w:tc>
          <w:tcPr>
            <w:tcW w:w="960" w:type="dxa"/>
            <w:vAlign w:val="bottom"/>
          </w:tcPr>
          <w:p>
            <w:pPr>
              <w:spacing w:after="0"/>
              <w:rPr>
                <w:sz w:val="22"/>
                <w:szCs w:val="22"/>
                <w:color w:val="auto"/>
              </w:rPr>
            </w:pPr>
          </w:p>
        </w:tc>
        <w:tc>
          <w:tcPr>
            <w:tcW w:w="10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embedded within the Inline XBRL document.</w:t>
            </w:r>
          </w:p>
        </w:tc>
      </w:tr>
      <w:tr>
        <w:trPr>
          <w:trHeight w:val="34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0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Extension Schema Document</w:t>
            </w:r>
          </w:p>
        </w:tc>
      </w:tr>
      <w:tr>
        <w:trPr>
          <w:trHeight w:val="34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10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Extension Calculation Linkbase Document</w:t>
            </w:r>
          </w:p>
        </w:tc>
      </w:tr>
      <w:tr>
        <w:trPr>
          <w:trHeight w:val="34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10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Extension Label Linkbase Document</w:t>
            </w:r>
          </w:p>
        </w:tc>
      </w:tr>
      <w:tr>
        <w:trPr>
          <w:trHeight w:val="34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10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Extension Presentation Linkbase Document</w:t>
            </w:r>
          </w:p>
        </w:tc>
      </w:tr>
      <w:tr>
        <w:trPr>
          <w:trHeight w:val="34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10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53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2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color w:val="auto"/>
        </w:rPr>
        <w:t>SIGNATURES</w:t>
      </w:r>
    </w:p>
    <w:p>
      <w:pPr>
        <w:spacing w:after="0" w:line="2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MARTIN MARIETTA MATERIALS, INC.</w:t>
            </w:r>
          </w:p>
        </w:tc>
      </w:tr>
      <w:tr>
        <w:trPr>
          <w:trHeight w:val="257"/>
        </w:trPr>
        <w:tc>
          <w:tcPr>
            <w:tcW w:w="33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200" w:type="dxa"/>
            <w:vAlign w:val="bottom"/>
          </w:tcPr>
          <w:p>
            <w:pPr>
              <w:jc w:val="center"/>
              <w:ind w:right="2002"/>
              <w:spacing w:after="0"/>
              <w:rPr>
                <w:sz w:val="20"/>
                <w:szCs w:val="20"/>
                <w:color w:val="auto"/>
              </w:rPr>
            </w:pPr>
            <w:r>
              <w:rPr>
                <w:rFonts w:ascii="Times New Roman" w:cs="Times New Roman" w:eastAsia="Times New Roman" w:hAnsi="Times New Roman"/>
                <w:sz w:val="20"/>
                <w:szCs w:val="20"/>
                <w:color w:val="auto"/>
                <w:w w:val="98"/>
              </w:rPr>
              <w:t>(Registrant)</w:t>
            </w:r>
          </w:p>
        </w:tc>
      </w:tr>
      <w:tr>
        <w:trPr>
          <w:trHeight w:val="450"/>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Date: July 31, 2019</w:t>
            </w:r>
          </w:p>
        </w:tc>
        <w:tc>
          <w:tcPr>
            <w:tcW w:w="8060" w:type="dxa"/>
            <w:vAlign w:val="bottom"/>
            <w:gridSpan w:val="2"/>
          </w:tcPr>
          <w:p>
            <w:pPr>
              <w:ind w:left="3460"/>
              <w:spacing w:after="0"/>
              <w:rPr>
                <w:sz w:val="20"/>
                <w:szCs w:val="20"/>
                <w:color w:val="auto"/>
              </w:rPr>
            </w:pPr>
            <w:r>
              <w:rPr>
                <w:rFonts w:ascii="Times New Roman" w:cs="Times New Roman" w:eastAsia="Times New Roman" w:hAnsi="Times New Roman"/>
                <w:sz w:val="20"/>
                <w:szCs w:val="20"/>
                <w:color w:val="auto"/>
              </w:rPr>
              <w:t>By: /s/ James A. J. Nickolas</w:t>
            </w:r>
          </w:p>
        </w:tc>
      </w:tr>
      <w:tr>
        <w:trPr>
          <w:trHeight w:val="199"/>
        </w:trPr>
        <w:tc>
          <w:tcPr>
            <w:tcW w:w="33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20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James A. J. Nickolas</w:t>
            </w:r>
          </w:p>
        </w:tc>
      </w:tr>
      <w:tr>
        <w:trPr>
          <w:trHeight w:val="228"/>
        </w:trPr>
        <w:tc>
          <w:tcPr>
            <w:tcW w:w="33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Sr. Vice President and</w:t>
            </w:r>
          </w:p>
        </w:tc>
      </w:tr>
      <w:tr>
        <w:trPr>
          <w:trHeight w:val="257"/>
        </w:trPr>
        <w:tc>
          <w:tcPr>
            <w:tcW w:w="33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200" w:type="dxa"/>
            <w:vAlign w:val="bottom"/>
          </w:tcPr>
          <w:p>
            <w:pPr>
              <w:jc w:val="center"/>
              <w:ind w:right="1982"/>
              <w:spacing w:after="0"/>
              <w:rPr>
                <w:sz w:val="20"/>
                <w:szCs w:val="20"/>
                <w:color w:val="auto"/>
              </w:rPr>
            </w:pPr>
            <w:r>
              <w:rPr>
                <w:rFonts w:ascii="Times New Roman" w:cs="Times New Roman" w:eastAsia="Times New Roman" w:hAnsi="Times New Roman"/>
                <w:sz w:val="20"/>
                <w:szCs w:val="20"/>
                <w:color w:val="auto"/>
                <w:w w:val="98"/>
              </w:rPr>
              <w:t>Chief Financial Officer</w:t>
            </w:r>
          </w:p>
        </w:tc>
      </w:tr>
      <w:tr>
        <w:trPr>
          <w:trHeight w:val="900"/>
        </w:trPr>
        <w:tc>
          <w:tcPr>
            <w:tcW w:w="3360" w:type="dxa"/>
            <w:vAlign w:val="bottom"/>
          </w:tcPr>
          <w:p>
            <w:pPr>
              <w:spacing w:after="0"/>
              <w:rPr>
                <w:sz w:val="24"/>
                <w:szCs w:val="24"/>
                <w:color w:val="auto"/>
              </w:rPr>
            </w:pPr>
          </w:p>
        </w:tc>
        <w:tc>
          <w:tcPr>
            <w:tcW w:w="8060" w:type="dxa"/>
            <w:vAlign w:val="bottom"/>
            <w:gridSpan w:val="2"/>
          </w:tcPr>
          <w:p>
            <w:pPr>
              <w:ind w:left="1820"/>
              <w:spacing w:after="0"/>
              <w:rPr>
                <w:sz w:val="20"/>
                <w:szCs w:val="20"/>
                <w:color w:val="auto"/>
              </w:rPr>
            </w:pPr>
            <w:r>
              <w:rPr>
                <w:rFonts w:ascii="Times New Roman" w:cs="Times New Roman" w:eastAsia="Times New Roman" w:hAnsi="Times New Roman"/>
                <w:sz w:val="20"/>
                <w:szCs w:val="20"/>
                <w:color w:val="auto"/>
              </w:rPr>
              <w:t>Page 54 of 54</w:t>
            </w:r>
          </w:p>
        </w:tc>
      </w:tr>
    </w:tbl>
    <w:p>
      <w:pPr>
        <w:sectPr>
          <w:pgSz w:w="11900" w:h="16838" w:orient="portrait"/>
          <w:cols w:equalWidth="0" w:num="1">
            <w:col w:w="11420"/>
          </w:cols>
          <w:pgMar w:left="240" w:top="345"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4215765</wp:posOffset>
            </wp:positionH>
            <wp:positionV relativeFrom="page">
              <wp:posOffset>88900</wp:posOffset>
            </wp:positionV>
            <wp:extent cx="1935480" cy="784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935480" cy="784225"/>
                    </a:xfrm>
                    <a:prstGeom prst="rect">
                      <a:avLst/>
                    </a:prstGeom>
                    <a:noFill/>
                  </pic:spPr>
                </pic:pic>
              </a:graphicData>
            </a:graphic>
          </wp:anchor>
        </w:drawing>
        <w:t>EXHIBIT 10.01</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373B3C"/>
        </w:rPr>
        <w:t>Donald A. McCunniff</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73B3C"/>
        </w:rPr>
        <w:t>Senior Vice President, Human Resources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11,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Via Federal Express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Mr. Robert J. Cardin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16775 Quayside Drive</w:t>
      </w:r>
    </w:p>
    <w:p>
      <w:pPr>
        <w:spacing w:after="0"/>
        <w:rPr>
          <w:sz w:val="20"/>
          <w:szCs w:val="20"/>
          <w:color w:val="auto"/>
        </w:rPr>
      </w:pPr>
      <w:r>
        <w:rPr>
          <w:rFonts w:ascii="Times New Roman" w:cs="Times New Roman" w:eastAsia="Times New Roman" w:hAnsi="Times New Roman"/>
          <w:sz w:val="21"/>
          <w:szCs w:val="21"/>
          <w:color w:val="auto"/>
        </w:rPr>
        <w:t>Milton, GA 30004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Bob:</w:t>
      </w:r>
    </w:p>
    <w:p>
      <w:pPr>
        <w:spacing w:after="0" w:line="2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Based on our recent meetings and dialogue, together with your background and experience, I am pleased to offer you what I believe is an extremely attractive opportunity to join Martin Marietta (“the Company”). This letter sets out the offer terms and a brief position description.</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Starting on or about March 1, 2019, you will assume the position of Vice President and Controller to provide exceptional financial leadership for the Company. Based in Raleigh, you will report to Jim Nickolas, Martin Marietta’s Senior Vice President and Chief Financial Officer. Functionally, you will be immediately responsible for corporate accounting, financial compliance and financial planning and analysis for Martin Marietta globally. In addition, you will assume responsibility for the shared services functions at an appropriate time during your first year with the Company (to be determined between Jim Nickolas and you).</w:t>
      </w:r>
    </w:p>
    <w:p>
      <w:pPr>
        <w:spacing w:after="0" w:line="197" w:lineRule="exact"/>
        <w:rPr>
          <w:sz w:val="20"/>
          <w:szCs w:val="20"/>
          <w:color w:val="auto"/>
        </w:rPr>
      </w:pPr>
    </w:p>
    <w:p>
      <w:pPr>
        <w:ind w:left="440" w:hanging="433"/>
        <w:spacing w:after="0"/>
        <w:tabs>
          <w:tab w:leader="none" w:pos="440" w:val="left"/>
        </w:tabs>
        <w:numPr>
          <w:ilvl w:val="0"/>
          <w:numId w:val="2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Annual base pay for your first year of employment will be $350,000. You will be paid</w:t>
      </w:r>
    </w:p>
    <w:p>
      <w:pPr>
        <w:spacing w:after="0" w:line="24" w:lineRule="exact"/>
        <w:rPr>
          <w:rFonts w:ascii="MS PGothic" w:cs="MS PGothic" w:eastAsia="MS PGothic" w:hAnsi="MS PGothic"/>
          <w:sz w:val="21"/>
          <w:szCs w:val="21"/>
          <w:color w:val="auto"/>
        </w:rPr>
      </w:pPr>
    </w:p>
    <w:p>
      <w:pPr>
        <w:jc w:val="both"/>
        <w:ind w:left="440"/>
        <w:spacing w:after="0" w:line="247" w:lineRule="auto"/>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$14,583.00 on a semi-monthly basis. For all subsequent years, your salary will be determined in accordance with our standard corporate practices and policies in effect from time to time with respect to performance and salary reviews, which are effective in March of each year.</w:t>
      </w:r>
    </w:p>
    <w:p>
      <w:pPr>
        <w:spacing w:after="0" w:line="197" w:lineRule="exact"/>
        <w:rPr>
          <w:rFonts w:ascii="MS PGothic" w:cs="MS PGothic" w:eastAsia="MS PGothic" w:hAnsi="MS PGothic"/>
          <w:sz w:val="21"/>
          <w:szCs w:val="21"/>
          <w:color w:val="auto"/>
        </w:rPr>
      </w:pPr>
    </w:p>
    <w:p>
      <w:pPr>
        <w:jc w:val="both"/>
        <w:ind w:left="440" w:hanging="433"/>
        <w:spacing w:after="0" w:line="252" w:lineRule="auto"/>
        <w:tabs>
          <w:tab w:leader="none" w:pos="440" w:val="left"/>
        </w:tabs>
        <w:numPr>
          <w:ilvl w:val="0"/>
          <w:numId w:val="2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Upon hire, Management will recommend to the Management Development and Compensation Committee of the Board of Directors that you be awarded a special one-time grant of restricted stock units with a grant date fair value equal to two times your annual base salary, or $700,000. These units, which assume continuous employment through the fifth anniversary of your hire date, will be subject to one-third ratable vesting immediately following your third, fourth, and fifth years of employment.</w:t>
      </w:r>
    </w:p>
    <w:p>
      <w:pPr>
        <w:spacing w:after="0" w:line="194" w:lineRule="exact"/>
        <w:rPr>
          <w:rFonts w:ascii="MS PGothic" w:cs="MS PGothic" w:eastAsia="MS PGothic" w:hAnsi="MS PGothic"/>
          <w:sz w:val="21"/>
          <w:szCs w:val="21"/>
          <w:color w:val="auto"/>
        </w:rPr>
      </w:pPr>
    </w:p>
    <w:p>
      <w:pPr>
        <w:jc w:val="both"/>
        <w:ind w:left="440" w:hanging="433"/>
        <w:spacing w:after="0" w:line="259" w:lineRule="auto"/>
        <w:tabs>
          <w:tab w:leader="none" w:pos="440" w:val="left"/>
        </w:tabs>
        <w:numPr>
          <w:ilvl w:val="0"/>
          <w:numId w:val="2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Following 30 days of employment, the Company shall pay you a signing bonus of $150,000, less applicable taxes. This payment is an expression of the Company’s confidence in your ability with the expectation of continued future employment. However, if you voluntarily terminate employment with the Company, or are terminated for cause, within 24 months</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2710 Wycliff Road, Raleigh NC 27607-3033</w:t>
      </w:r>
    </w:p>
    <w:p>
      <w:pPr>
        <w:ind w:left="20"/>
        <w:spacing w:after="0" w:line="191" w:lineRule="auto"/>
        <w:tabs>
          <w:tab w:leader="none" w:pos="400" w:val="left"/>
          <w:tab w:leader="none" w:pos="1160" w:val="left"/>
          <w:tab w:leader="none" w:pos="2220" w:val="left"/>
          <w:tab w:leader="none" w:pos="2640" w:val="left"/>
          <w:tab w:leader="none" w:pos="3400" w:val="left"/>
        </w:tabs>
        <w:rPr>
          <w:sz w:val="20"/>
          <w:szCs w:val="20"/>
          <w:color w:val="auto"/>
        </w:rPr>
      </w:pPr>
      <w:r>
        <w:rPr>
          <w:rFonts w:ascii="Times New Roman" w:cs="Times New Roman" w:eastAsia="Times New Roman" w:hAnsi="Times New Roman"/>
          <w:sz w:val="20"/>
          <w:szCs w:val="20"/>
          <w:color w:val="007DC6"/>
        </w:rPr>
        <w:t>t.</w:t>
      </w:r>
      <w:r>
        <w:rPr>
          <w:rFonts w:ascii="Times New Roman" w:cs="Times New Roman" w:eastAsia="Times New Roman" w:hAnsi="Times New Roman"/>
          <w:sz w:val="20"/>
          <w:szCs w:val="20"/>
          <w:color w:val="auto"/>
        </w:rPr>
        <w:tab/>
        <w:t>(919)</w:t>
      </w:r>
      <w:r>
        <w:rPr>
          <w:sz w:val="20"/>
          <w:szCs w:val="20"/>
          <w:color w:val="auto"/>
        </w:rPr>
        <w:tab/>
      </w:r>
      <w:r>
        <w:rPr>
          <w:rFonts w:ascii="Times New Roman" w:cs="Times New Roman" w:eastAsia="Times New Roman" w:hAnsi="Times New Roman"/>
          <w:sz w:val="20"/>
          <w:szCs w:val="20"/>
          <w:color w:val="auto"/>
        </w:rPr>
        <w:t>510•4791</w:t>
      </w:r>
      <w:r>
        <w:rPr>
          <w:rFonts w:ascii="Times New Roman" w:cs="Times New Roman" w:eastAsia="Times New Roman" w:hAnsi="Times New Roman"/>
          <w:sz w:val="20"/>
          <w:szCs w:val="20"/>
          <w:color w:val="007DC6"/>
        </w:rPr>
        <w:tab/>
        <w:t>f.</w:t>
      </w:r>
      <w:r>
        <w:rPr>
          <w:rFonts w:ascii="Times New Roman" w:cs="Times New Roman" w:eastAsia="Times New Roman" w:hAnsi="Times New Roman"/>
          <w:sz w:val="20"/>
          <w:szCs w:val="20"/>
          <w:color w:val="auto"/>
        </w:rPr>
        <w:tab/>
        <w:t>(919)</w:t>
      </w:r>
      <w:r>
        <w:rPr>
          <w:sz w:val="20"/>
          <w:szCs w:val="20"/>
          <w:color w:val="auto"/>
        </w:rPr>
        <w:tab/>
      </w:r>
      <w:r>
        <w:rPr>
          <w:rFonts w:ascii="Times New Roman" w:cs="Times New Roman" w:eastAsia="Times New Roman" w:hAnsi="Times New Roman"/>
          <w:sz w:val="19"/>
          <w:szCs w:val="19"/>
          <w:color w:val="auto"/>
        </w:rPr>
        <w:t>510-4700</w:t>
      </w:r>
    </w:p>
    <w:p>
      <w:pPr>
        <w:spacing w:after="0"/>
        <w:rPr>
          <w:sz w:val="20"/>
          <w:szCs w:val="20"/>
          <w:color w:val="auto"/>
        </w:rPr>
      </w:pPr>
      <w:r>
        <w:rPr>
          <w:rFonts w:ascii="Times New Roman" w:cs="Times New Roman" w:eastAsia="Times New Roman" w:hAnsi="Times New Roman"/>
          <w:sz w:val="20"/>
          <w:szCs w:val="20"/>
          <w:color w:val="007DC6"/>
        </w:rPr>
        <w:t>www.martimnarietta.com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191135</wp:posOffset>
            </wp:positionV>
            <wp:extent cx="728980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173"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Mr. Robert J. Cardin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11, 2019</w:t>
      </w:r>
    </w:p>
    <w:p>
      <w:pPr>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from your hire date, you will be liable for repaying this one-time bonus within 30 days of the date of your termination.</w:t>
      </w:r>
    </w:p>
    <w:p>
      <w:pPr>
        <w:spacing w:after="0" w:line="242" w:lineRule="exact"/>
        <w:rPr>
          <w:sz w:val="20"/>
          <w:szCs w:val="20"/>
          <w:color w:val="auto"/>
        </w:rPr>
      </w:pPr>
    </w:p>
    <w:p>
      <w:pPr>
        <w:jc w:val="both"/>
        <w:ind w:left="440" w:hanging="433"/>
        <w:spacing w:after="0" w:line="249" w:lineRule="auto"/>
        <w:tabs>
          <w:tab w:leader="none" w:pos="440" w:val="left"/>
        </w:tabs>
        <w:numPr>
          <w:ilvl w:val="0"/>
          <w:numId w:val="2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You will participate in our Executive Incentive Plan (“EIP”), which is our annual cash bonus plan, at a target of 50% of your calendar year earnings starting in 2019. Awards under the EIP are paid in cash and are based on (i) the Company’s annual performance and (ii) your performance toward personal goals established each year. Awards under the EIP may range from 0% to a maximum of 200% of target. For informational purposes only, for the plan year 2017 that was paid in March 2018, employees who were similarly situated to your new position received bonuses that were at approximately 120% of target.</w:t>
      </w:r>
    </w:p>
    <w:p>
      <w:pPr>
        <w:spacing w:after="0" w:line="197" w:lineRule="exact"/>
        <w:rPr>
          <w:rFonts w:ascii="MS PGothic" w:cs="MS PGothic" w:eastAsia="MS PGothic" w:hAnsi="MS PGothic"/>
          <w:sz w:val="21"/>
          <w:szCs w:val="21"/>
          <w:color w:val="auto"/>
        </w:rPr>
      </w:pPr>
    </w:p>
    <w:p>
      <w:pPr>
        <w:jc w:val="both"/>
        <w:ind w:left="440" w:hanging="433"/>
        <w:spacing w:after="0" w:line="246" w:lineRule="auto"/>
        <w:tabs>
          <w:tab w:leader="none" w:pos="440" w:val="left"/>
        </w:tabs>
        <w:numPr>
          <w:ilvl w:val="0"/>
          <w:numId w:val="2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Starting in 2019, you will participate in our Long Term Incentive Plan (“LTIP”), under which awards are made in restricted stock units and performance share units. LTIP awards have a target value and grant amount as determined each year by the Management Development and Compensation Committee of the Board of Directors. Management will recommend to the Committee that your initial target value be 100% of your annual base salary. Two-thirds of the award will be granted in restricted stock units, which are subject to continued employment and vest ratably over three years. The remaining one-third will be issued in performance share units, which cliff vest in three years subject to the Company’s performance achievements and can range from 0-240% of the target amount for the performance share awards.</w:t>
      </w:r>
    </w:p>
    <w:p>
      <w:pPr>
        <w:spacing w:after="0" w:line="200" w:lineRule="exact"/>
        <w:rPr>
          <w:rFonts w:ascii="MS PGothic" w:cs="MS PGothic" w:eastAsia="MS PGothic" w:hAnsi="MS PGothic"/>
          <w:sz w:val="21"/>
          <w:szCs w:val="21"/>
          <w:color w:val="auto"/>
        </w:rPr>
      </w:pPr>
    </w:p>
    <w:p>
      <w:pPr>
        <w:jc w:val="both"/>
        <w:ind w:left="440" w:hanging="433"/>
        <w:spacing w:after="0" w:line="259" w:lineRule="auto"/>
        <w:tabs>
          <w:tab w:leader="none" w:pos="440" w:val="left"/>
        </w:tabs>
        <w:numPr>
          <w:ilvl w:val="0"/>
          <w:numId w:val="2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You will be able to participate in our health and welfare plans. All employees contribute toward the cost of benefit coverage according to the plan’s terms. Importantly, you will be eligible to participate in the medical and dental plans from your first day of employment.</w:t>
      </w:r>
    </w:p>
    <w:p>
      <w:pPr>
        <w:spacing w:after="0" w:line="184" w:lineRule="exact"/>
        <w:rPr>
          <w:rFonts w:ascii="MS PGothic" w:cs="MS PGothic" w:eastAsia="MS PGothic" w:hAnsi="MS PGothic"/>
          <w:sz w:val="21"/>
          <w:szCs w:val="21"/>
          <w:color w:val="auto"/>
        </w:rPr>
      </w:pPr>
    </w:p>
    <w:p>
      <w:pPr>
        <w:jc w:val="both"/>
        <w:ind w:left="440" w:hanging="433"/>
        <w:spacing w:after="0" w:line="259" w:lineRule="auto"/>
        <w:tabs>
          <w:tab w:leader="none" w:pos="440" w:val="left"/>
        </w:tabs>
        <w:numPr>
          <w:ilvl w:val="0"/>
          <w:numId w:val="2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You will be eligible to participate in our retirement plans, which are currently comprised of a defined benefit pension plan and a defined contribution plan. The defined contribution plan is voluntary and provides a matching contribution from the Company for participants.</w:t>
      </w:r>
    </w:p>
    <w:p>
      <w:pPr>
        <w:spacing w:after="0" w:line="184" w:lineRule="exact"/>
        <w:rPr>
          <w:rFonts w:ascii="MS PGothic" w:cs="MS PGothic" w:eastAsia="MS PGothic" w:hAnsi="MS PGothic"/>
          <w:sz w:val="21"/>
          <w:szCs w:val="21"/>
          <w:color w:val="auto"/>
        </w:rPr>
      </w:pPr>
    </w:p>
    <w:p>
      <w:pPr>
        <w:ind w:left="440" w:right="20" w:hanging="433"/>
        <w:spacing w:after="0" w:line="277" w:lineRule="auto"/>
        <w:tabs>
          <w:tab w:leader="none" w:pos="440" w:val="left"/>
        </w:tabs>
        <w:numPr>
          <w:ilvl w:val="0"/>
          <w:numId w:val="2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You will be eligible under the Martin Marietta vacation policy for four weeks of paid vacation on an annual basis, which accrues monthly.</w:t>
      </w:r>
    </w:p>
    <w:p>
      <w:pPr>
        <w:spacing w:after="0" w:line="167" w:lineRule="exact"/>
        <w:rPr>
          <w:rFonts w:ascii="MS PGothic" w:cs="MS PGothic" w:eastAsia="MS PGothic" w:hAnsi="MS PGothic"/>
          <w:sz w:val="21"/>
          <w:szCs w:val="21"/>
          <w:color w:val="auto"/>
        </w:rPr>
      </w:pPr>
    </w:p>
    <w:p>
      <w:pPr>
        <w:jc w:val="both"/>
        <w:ind w:left="440" w:hanging="433"/>
        <w:spacing w:after="0" w:line="259" w:lineRule="auto"/>
        <w:tabs>
          <w:tab w:leader="none" w:pos="440" w:val="left"/>
        </w:tabs>
        <w:numPr>
          <w:ilvl w:val="0"/>
          <w:numId w:val="2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You will be eligible under the Company’s relocation program for comprehensive reimbursement of moving costs, relocation travel, and temporary housing expense in Raleigh; specific details are included in the Company’s policy HR-7.4a. A summary of this policy is enclosed.</w:t>
      </w:r>
    </w:p>
    <w:p>
      <w:pPr>
        <w:spacing w:after="0" w:line="18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1"/>
          <w:szCs w:val="21"/>
          <w:color w:val="auto"/>
        </w:rPr>
        <w:t xml:space="preserve">Enclosed is a brochure describing our health and welfare plans and retirement plans available to salaried employees, as well as our </w:t>
      </w:r>
      <w:r>
        <w:rPr>
          <w:rFonts w:ascii="Times New Roman" w:cs="Times New Roman" w:eastAsia="Times New Roman" w:hAnsi="Times New Roman"/>
          <w:sz w:val="21"/>
          <w:szCs w:val="21"/>
          <w:i w:val="1"/>
          <w:iCs w:val="1"/>
          <w:color w:val="auto"/>
        </w:rPr>
        <w:t>Code of Ethical Business Conduct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469265</wp:posOffset>
            </wp:positionV>
            <wp:extent cx="728980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1"/>
          <w:szCs w:val="21"/>
          <w:color w:val="auto"/>
        </w:rPr>
        <w:t>Mr. Robert J. Cardin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11, 2019</w:t>
      </w:r>
    </w:p>
    <w:p>
      <w:pPr>
        <w:spacing w:after="0"/>
        <w:rPr>
          <w:sz w:val="20"/>
          <w:szCs w:val="20"/>
          <w:color w:val="auto"/>
        </w:rPr>
      </w:pPr>
      <w:r>
        <w:rPr>
          <w:rFonts w:ascii="Times New Roman" w:cs="Times New Roman" w:eastAsia="Times New Roman" w:hAnsi="Times New Roman"/>
          <w:sz w:val="21"/>
          <w:szCs w:val="21"/>
          <w:color w:val="auto"/>
        </w:rPr>
        <w:t>Page 3</w:t>
      </w:r>
    </w:p>
    <w:p>
      <w:pPr>
        <w:spacing w:after="0" w:line="200" w:lineRule="exact"/>
        <w:rPr>
          <w:sz w:val="20"/>
          <w:szCs w:val="20"/>
          <w:color w:val="auto"/>
        </w:rPr>
      </w:pP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There are two contingencies to this offer. First, you must successfully pass our pre-employment drug screening (to which all our employees are subject). Second, a background check must be concluded to the Company’s satisfaction. Finally, I would be remiss if I didn’t underscore this employment offer should in no way be considered an employment agreement between you and Martin Marietta. Either the Company or you may terminate employment at any time with or without cause.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Bob, I know you will want to review this offer thoroughly, but I look forward to your prompt response – and hope then to officially welcome you to our team. If you have any questions, please don’t hesitate to call me or Jim Nickolas and we’ll gladly address them. Otherwise, please sign where indicated below and keep one original for your files and please return the duplicate to me for our files in Raleigh.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 yours,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Donald A. McCunniff</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Donald A. McCunniff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Senior Vice President, Human Resources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Enclosures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accept this offer of employment as outlined in this letter.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_/s/</w:t>
            </w:r>
          </w:p>
        </w:tc>
        <w:tc>
          <w:tcPr>
            <w:tcW w:w="2160" w:type="dxa"/>
            <w:vAlign w:val="bottom"/>
          </w:tcPr>
          <w:p>
            <w:pPr>
              <w:ind w:left="1320"/>
              <w:spacing w:after="0"/>
              <w:rPr>
                <w:sz w:val="20"/>
                <w:szCs w:val="20"/>
                <w:color w:val="auto"/>
              </w:rPr>
            </w:pPr>
            <w:r>
              <w:rPr>
                <w:rFonts w:ascii="Times New Roman" w:cs="Times New Roman" w:eastAsia="Times New Roman" w:hAnsi="Times New Roman"/>
                <w:sz w:val="21"/>
                <w:szCs w:val="21"/>
                <w:color w:val="auto"/>
              </w:rPr>
              <w:t>Robert</w:t>
            </w:r>
          </w:p>
        </w:tc>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J.</w:t>
            </w:r>
          </w:p>
        </w:tc>
      </w:tr>
      <w:tr>
        <w:trPr>
          <w:trHeight w:val="222"/>
        </w:trPr>
        <w:tc>
          <w:tcPr>
            <w:tcW w:w="120" w:type="dxa"/>
            <w:vAlign w:val="bottom"/>
          </w:tcPr>
          <w:p>
            <w:pPr>
              <w:spacing w:after="0"/>
              <w:rPr>
                <w:sz w:val="19"/>
                <w:szCs w:val="19"/>
                <w:color w:val="auto"/>
              </w:rPr>
            </w:pPr>
          </w:p>
        </w:tc>
        <w:tc>
          <w:tcPr>
            <w:tcW w:w="4060" w:type="dxa"/>
            <w:vAlign w:val="bottom"/>
            <w:tcBorders>
              <w:top w:val="single" w:sz="8" w:color="auto"/>
            </w:tcBorders>
            <w:gridSpan w:val="2"/>
          </w:tcPr>
          <w:p>
            <w:pPr>
              <w:spacing w:after="0" w:line="222" w:lineRule="exact"/>
              <w:rPr>
                <w:sz w:val="20"/>
                <w:szCs w:val="20"/>
                <w:color w:val="auto"/>
              </w:rPr>
            </w:pPr>
            <w:r>
              <w:rPr>
                <w:rFonts w:ascii="Times New Roman" w:cs="Times New Roman" w:eastAsia="Times New Roman" w:hAnsi="Times New Roman"/>
                <w:sz w:val="21"/>
                <w:szCs w:val="21"/>
                <w:color w:val="auto"/>
              </w:rPr>
              <w:t>Cardin_____________________</w:t>
            </w:r>
          </w:p>
        </w:tc>
        <w:tc>
          <w:tcPr>
            <w:tcW w:w="2160" w:type="dxa"/>
            <w:vAlign w:val="bottom"/>
            <w:tcBorders>
              <w:top w:val="single" w:sz="8" w:color="auto"/>
            </w:tcBorders>
          </w:tcPr>
          <w:p>
            <w:pPr>
              <w:spacing w:after="0"/>
              <w:rPr>
                <w:sz w:val="19"/>
                <w:szCs w:val="19"/>
                <w:color w:val="auto"/>
              </w:rPr>
            </w:pPr>
          </w:p>
        </w:tc>
        <w:tc>
          <w:tcPr>
            <w:tcW w:w="5080" w:type="dxa"/>
            <w:vAlign w:val="bottom"/>
            <w:tcBorders>
              <w:top w:val="single" w:sz="8" w:color="auto"/>
            </w:tcBorders>
            <w:gridSpan w:val="3"/>
          </w:tcPr>
          <w:p>
            <w:pPr>
              <w:jc w:val="right"/>
              <w:ind w:right="613"/>
              <w:spacing w:after="0" w:line="222" w:lineRule="exact"/>
              <w:rPr>
                <w:sz w:val="20"/>
                <w:szCs w:val="20"/>
                <w:color w:val="auto"/>
              </w:rPr>
            </w:pPr>
            <w:r>
              <w:rPr>
                <w:rFonts w:ascii="Times New Roman" w:cs="Times New Roman" w:eastAsia="Times New Roman" w:hAnsi="Times New Roman"/>
                <w:sz w:val="21"/>
                <w:szCs w:val="21"/>
                <w:color w:val="auto"/>
              </w:rPr>
              <w:t>__1/11/19_________________</w:t>
            </w:r>
          </w:p>
        </w:tc>
      </w:tr>
      <w:tr>
        <w:trPr>
          <w:trHeight w:val="273"/>
        </w:trPr>
        <w:tc>
          <w:tcPr>
            <w:tcW w:w="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Robert</w:t>
            </w:r>
          </w:p>
        </w:tc>
        <w:tc>
          <w:tcPr>
            <w:tcW w:w="35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J. Cardin</w:t>
            </w:r>
          </w:p>
        </w:tc>
        <w:tc>
          <w:tcPr>
            <w:tcW w:w="2160" w:type="dxa"/>
            <w:vAlign w:val="bottom"/>
          </w:tcPr>
          <w:p>
            <w:pPr>
              <w:spacing w:after="0"/>
              <w:rPr>
                <w:sz w:val="23"/>
                <w:szCs w:val="23"/>
                <w:color w:val="auto"/>
              </w:rPr>
            </w:pPr>
          </w:p>
        </w:tc>
        <w:tc>
          <w:tcPr>
            <w:tcW w:w="18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Date</w:t>
            </w:r>
          </w:p>
        </w:tc>
        <w:tc>
          <w:tcPr>
            <w:tcW w:w="640" w:type="dxa"/>
            <w:vAlign w:val="bottom"/>
            <w:tcBorders>
              <w:top w:val="single" w:sz="8" w:color="auto"/>
            </w:tcBorders>
          </w:tcPr>
          <w:p>
            <w:pPr>
              <w:spacing w:after="0"/>
              <w:rPr>
                <w:sz w:val="23"/>
                <w:szCs w:val="23"/>
                <w:color w:val="auto"/>
              </w:rPr>
            </w:pPr>
          </w:p>
        </w:tc>
        <w:tc>
          <w:tcPr>
            <w:tcW w:w="2560" w:type="dxa"/>
            <w:vAlign w:val="bottom"/>
          </w:tcPr>
          <w:p>
            <w:pPr>
              <w:spacing w:after="0"/>
              <w:rPr>
                <w:sz w:val="23"/>
                <w:szCs w:val="23"/>
                <w:color w:val="auto"/>
              </w:rPr>
            </w:pPr>
          </w:p>
        </w:tc>
      </w:tr>
    </w:tbl>
    <w:p>
      <w:pPr>
        <w:sectPr>
          <w:pgSz w:w="11900" w:h="16838" w:orient="portrait"/>
          <w:cols w:equalWidth="0" w:num="1">
            <w:col w:w="11420"/>
          </w:cols>
          <w:pgMar w:left="240" w:top="112"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b w:val="1"/>
          <w:bCs w:val="1"/>
          <w:color w:val="auto"/>
        </w:rPr>
        <w:t>EXHIBIT 31.01</w:t>
      </w:r>
    </w:p>
    <w:p>
      <w:pPr>
        <w:spacing w:after="0" w:line="200" w:lineRule="exact"/>
        <w:rPr>
          <w:sz w:val="20"/>
          <w:szCs w:val="20"/>
          <w:color w:val="auto"/>
        </w:rPr>
      </w:pPr>
    </w:p>
    <w:p>
      <w:pPr>
        <w:spacing w:after="0" w:line="282" w:lineRule="exact"/>
        <w:rPr>
          <w:sz w:val="20"/>
          <w:szCs w:val="20"/>
          <w:color w:val="auto"/>
        </w:rPr>
      </w:pPr>
    </w:p>
    <w:p>
      <w:pPr>
        <w:jc w:val="center"/>
        <w:spacing w:after="0" w:line="270" w:lineRule="auto"/>
        <w:rPr>
          <w:sz w:val="20"/>
          <w:szCs w:val="20"/>
          <w:color w:val="auto"/>
        </w:rPr>
      </w:pPr>
      <w:r>
        <w:rPr>
          <w:rFonts w:ascii="Times New Roman" w:cs="Times New Roman" w:eastAsia="Times New Roman" w:hAnsi="Times New Roman"/>
          <w:sz w:val="20"/>
          <w:szCs w:val="20"/>
          <w:b w:val="1"/>
          <w:bCs w:val="1"/>
          <w:color w:val="auto"/>
        </w:rPr>
        <w:t>CERTIFICATION PURSUANT TO SECURITIES AND EXCHANGE ACT OF 1934 RULE 13a-14 AS ADOPTED PURSUANT TO SECTION 302 OF SARBANES-OXLEY ACT OF 2002</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 Howard Nye, certify that:</w:t>
      </w:r>
    </w:p>
    <w:p>
      <w:pPr>
        <w:spacing w:after="0" w:line="227" w:lineRule="exact"/>
        <w:rPr>
          <w:sz w:val="20"/>
          <w:szCs w:val="20"/>
          <w:color w:val="auto"/>
        </w:rPr>
      </w:pPr>
    </w:p>
    <w:p>
      <w:pPr>
        <w:ind w:left="1300" w:hanging="420"/>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Form 10-Q of Martin Marietta Materials, Inc.;</w:t>
      </w:r>
    </w:p>
    <w:p>
      <w:pPr>
        <w:spacing w:after="0" w:line="226" w:lineRule="exact"/>
        <w:rPr>
          <w:rFonts w:ascii="Times New Roman" w:cs="Times New Roman" w:eastAsia="Times New Roman" w:hAnsi="Times New Roman"/>
          <w:sz w:val="20"/>
          <w:szCs w:val="20"/>
          <w:color w:val="auto"/>
        </w:rPr>
      </w:pPr>
    </w:p>
    <w:p>
      <w:pPr>
        <w:jc w:val="both"/>
        <w:ind w:left="1300" w:hanging="420"/>
        <w:spacing w:after="0" w:line="252" w:lineRule="auto"/>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jc w:val="both"/>
        <w:ind w:left="1300" w:hanging="420"/>
        <w:spacing w:after="0" w:line="252" w:lineRule="auto"/>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jc w:val="both"/>
        <w:ind w:left="1300" w:hanging="420"/>
        <w:spacing w:after="0" w:line="252" w:lineRule="auto"/>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2180" w:hanging="427"/>
        <w:spacing w:after="0" w:line="247" w:lineRule="auto"/>
        <w:tabs>
          <w:tab w:leader="none" w:pos="218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Times New Roman" w:cs="Times New Roman" w:eastAsia="Times New Roman" w:hAnsi="Times New Roman"/>
          <w:sz w:val="20"/>
          <w:szCs w:val="20"/>
          <w:color w:val="auto"/>
        </w:rPr>
      </w:pPr>
    </w:p>
    <w:p>
      <w:pPr>
        <w:jc w:val="both"/>
        <w:ind w:left="2180" w:hanging="427"/>
        <w:spacing w:after="0" w:line="247" w:lineRule="auto"/>
        <w:tabs>
          <w:tab w:leader="none" w:pos="218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94" w:lineRule="exact"/>
        <w:rPr>
          <w:rFonts w:ascii="Times New Roman" w:cs="Times New Roman" w:eastAsia="Times New Roman" w:hAnsi="Times New Roman"/>
          <w:sz w:val="20"/>
          <w:szCs w:val="20"/>
          <w:color w:val="auto"/>
        </w:rPr>
      </w:pPr>
    </w:p>
    <w:p>
      <w:pPr>
        <w:jc w:val="both"/>
        <w:ind w:left="2180" w:hanging="427"/>
        <w:spacing w:after="0" w:line="252" w:lineRule="auto"/>
        <w:tabs>
          <w:tab w:leader="none" w:pos="218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2180" w:hanging="427"/>
        <w:spacing w:after="0" w:line="247" w:lineRule="auto"/>
        <w:tabs>
          <w:tab w:leader="none" w:pos="218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466090</wp:posOffset>
            </wp:positionV>
            <wp:extent cx="728980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58" w:name="page59"/>
    <w:bookmarkEnd w:id="58"/>
    <w:p>
      <w:pPr>
        <w:spacing w:after="0" w:line="33" w:lineRule="exact"/>
        <w:rPr>
          <w:sz w:val="20"/>
          <w:szCs w:val="20"/>
          <w:color w:val="auto"/>
        </w:rPr>
      </w:pPr>
    </w:p>
    <w:p>
      <w:pPr>
        <w:jc w:val="both"/>
        <w:ind w:left="1300" w:hanging="420"/>
        <w:spacing w:after="0" w:line="252" w:lineRule="auto"/>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jc w:val="both"/>
        <w:ind w:left="2180" w:hanging="427"/>
        <w:spacing w:after="0" w:line="252" w:lineRule="auto"/>
        <w:tabs>
          <w:tab w:leader="none" w:pos="218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2180" w:hanging="427"/>
        <w:spacing w:after="0" w:line="266" w:lineRule="auto"/>
        <w:tabs>
          <w:tab w:leader="none" w:pos="218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Date: July 31, 2019</w:t>
            </w:r>
          </w:p>
        </w:tc>
        <w:tc>
          <w:tcPr>
            <w:tcW w:w="7200" w:type="dxa"/>
            <w:vAlign w:val="bottom"/>
            <w:gridSpan w:val="2"/>
          </w:tcPr>
          <w:p>
            <w:pPr>
              <w:ind w:left="2640"/>
              <w:spacing w:after="0"/>
              <w:rPr>
                <w:sz w:val="20"/>
                <w:szCs w:val="20"/>
                <w:color w:val="auto"/>
              </w:rPr>
            </w:pPr>
            <w:r>
              <w:rPr>
                <w:rFonts w:ascii="Times New Roman" w:cs="Times New Roman" w:eastAsia="Times New Roman" w:hAnsi="Times New Roman"/>
                <w:sz w:val="20"/>
                <w:szCs w:val="20"/>
                <w:color w:val="auto"/>
              </w:rPr>
              <w:t>By:  /s/ C. Howard Nye</w:t>
            </w:r>
          </w:p>
        </w:tc>
      </w:tr>
      <w:tr>
        <w:trPr>
          <w:trHeight w:val="199"/>
        </w:trPr>
        <w:tc>
          <w:tcPr>
            <w:tcW w:w="42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0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C. Howard Nye</w:t>
            </w:r>
          </w:p>
        </w:tc>
      </w:tr>
      <w:tr>
        <w:trPr>
          <w:trHeight w:val="228"/>
        </w:trPr>
        <w:tc>
          <w:tcPr>
            <w:tcW w:w="42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1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Chairman, President and</w:t>
            </w:r>
          </w:p>
        </w:tc>
      </w:tr>
      <w:tr>
        <w:trPr>
          <w:trHeight w:val="257"/>
        </w:trPr>
        <w:tc>
          <w:tcPr>
            <w:tcW w:w="42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420"/>
          </w:cols>
          <w:pgMar w:left="240" w:top="1440"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31.02</w:t>
      </w:r>
    </w:p>
    <w:p>
      <w:pPr>
        <w:spacing w:after="0" w:line="200" w:lineRule="exact"/>
        <w:rPr>
          <w:sz w:val="20"/>
          <w:szCs w:val="20"/>
          <w:color w:val="auto"/>
        </w:rPr>
      </w:pPr>
    </w:p>
    <w:p>
      <w:pPr>
        <w:spacing w:after="0" w:line="282" w:lineRule="exact"/>
        <w:rPr>
          <w:sz w:val="20"/>
          <w:szCs w:val="20"/>
          <w:color w:val="auto"/>
        </w:rPr>
      </w:pPr>
    </w:p>
    <w:p>
      <w:pPr>
        <w:jc w:val="center"/>
        <w:spacing w:after="0" w:line="270" w:lineRule="auto"/>
        <w:rPr>
          <w:sz w:val="20"/>
          <w:szCs w:val="20"/>
          <w:color w:val="auto"/>
        </w:rPr>
      </w:pPr>
      <w:r>
        <w:rPr>
          <w:rFonts w:ascii="Times New Roman" w:cs="Times New Roman" w:eastAsia="Times New Roman" w:hAnsi="Times New Roman"/>
          <w:sz w:val="20"/>
          <w:szCs w:val="20"/>
          <w:b w:val="1"/>
          <w:bCs w:val="1"/>
          <w:color w:val="auto"/>
        </w:rPr>
        <w:t>CERTIFICATION PURSUANT TO SECURITIES AND EXCHANGE ACT OF 1934 RULE 13a-14 AS ADOPTED PURSUANT TO SECTION 302 OF SARBANES-OXLEY ACT OF 2002</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James A. J. Nickolas, certify that:</w:t>
      </w:r>
    </w:p>
    <w:p>
      <w:pPr>
        <w:spacing w:after="0" w:line="227" w:lineRule="exact"/>
        <w:rPr>
          <w:sz w:val="20"/>
          <w:szCs w:val="20"/>
          <w:color w:val="auto"/>
        </w:rPr>
      </w:pPr>
    </w:p>
    <w:p>
      <w:pPr>
        <w:ind w:left="1300" w:hanging="420"/>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Form 10-Q of Martin Marietta Materials, Inc.;</w:t>
      </w:r>
    </w:p>
    <w:p>
      <w:pPr>
        <w:spacing w:after="0" w:line="226" w:lineRule="exact"/>
        <w:rPr>
          <w:rFonts w:ascii="Times New Roman" w:cs="Times New Roman" w:eastAsia="Times New Roman" w:hAnsi="Times New Roman"/>
          <w:sz w:val="20"/>
          <w:szCs w:val="20"/>
          <w:color w:val="auto"/>
        </w:rPr>
      </w:pPr>
    </w:p>
    <w:p>
      <w:pPr>
        <w:jc w:val="both"/>
        <w:ind w:left="1300" w:hanging="420"/>
        <w:spacing w:after="0" w:line="252" w:lineRule="auto"/>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jc w:val="both"/>
        <w:ind w:left="1300" w:hanging="420"/>
        <w:spacing w:after="0" w:line="252" w:lineRule="auto"/>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jc w:val="both"/>
        <w:ind w:left="1300" w:hanging="420"/>
        <w:spacing w:after="0" w:line="252" w:lineRule="auto"/>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2180" w:hanging="427"/>
        <w:spacing w:after="0" w:line="247" w:lineRule="auto"/>
        <w:tabs>
          <w:tab w:leader="none" w:pos="21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Times New Roman" w:cs="Times New Roman" w:eastAsia="Times New Roman" w:hAnsi="Times New Roman"/>
          <w:sz w:val="20"/>
          <w:szCs w:val="20"/>
          <w:color w:val="auto"/>
        </w:rPr>
      </w:pPr>
    </w:p>
    <w:p>
      <w:pPr>
        <w:jc w:val="both"/>
        <w:ind w:left="2180" w:hanging="427"/>
        <w:spacing w:after="0" w:line="247" w:lineRule="auto"/>
        <w:tabs>
          <w:tab w:leader="none" w:pos="21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94" w:lineRule="exact"/>
        <w:rPr>
          <w:rFonts w:ascii="Times New Roman" w:cs="Times New Roman" w:eastAsia="Times New Roman" w:hAnsi="Times New Roman"/>
          <w:sz w:val="20"/>
          <w:szCs w:val="20"/>
          <w:color w:val="auto"/>
        </w:rPr>
      </w:pPr>
    </w:p>
    <w:p>
      <w:pPr>
        <w:jc w:val="both"/>
        <w:ind w:left="2180" w:hanging="427"/>
        <w:spacing w:after="0" w:line="252" w:lineRule="auto"/>
        <w:tabs>
          <w:tab w:leader="none" w:pos="21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2180" w:hanging="427"/>
        <w:spacing w:after="0" w:line="247" w:lineRule="auto"/>
        <w:tabs>
          <w:tab w:leader="none" w:pos="21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28980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60" w:name="page61"/>
    <w:bookmarkEnd w:id="60"/>
    <w:p>
      <w:pPr>
        <w:spacing w:after="0" w:line="33" w:lineRule="exact"/>
        <w:rPr>
          <w:sz w:val="20"/>
          <w:szCs w:val="20"/>
          <w:color w:val="auto"/>
        </w:rPr>
      </w:pPr>
    </w:p>
    <w:p>
      <w:pPr>
        <w:jc w:val="both"/>
        <w:ind w:left="1300" w:hanging="420"/>
        <w:spacing w:after="0" w:line="252" w:lineRule="auto"/>
        <w:tabs>
          <w:tab w:leader="none" w:pos="1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jc w:val="both"/>
        <w:ind w:left="2180" w:hanging="427"/>
        <w:spacing w:after="0" w:line="252" w:lineRule="auto"/>
        <w:tabs>
          <w:tab w:leader="none" w:pos="218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2180" w:hanging="427"/>
        <w:spacing w:after="0" w:line="266" w:lineRule="auto"/>
        <w:tabs>
          <w:tab w:leader="none" w:pos="218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Date: July 31, 2019</w:t>
            </w:r>
          </w:p>
        </w:tc>
        <w:tc>
          <w:tcPr>
            <w:tcW w:w="7220" w:type="dxa"/>
            <w:vAlign w:val="bottom"/>
            <w:gridSpan w:val="2"/>
          </w:tcPr>
          <w:p>
            <w:pPr>
              <w:ind w:left="2660"/>
              <w:spacing w:after="0"/>
              <w:rPr>
                <w:sz w:val="20"/>
                <w:szCs w:val="20"/>
                <w:color w:val="auto"/>
              </w:rPr>
            </w:pPr>
            <w:r>
              <w:rPr>
                <w:rFonts w:ascii="Times New Roman" w:cs="Times New Roman" w:eastAsia="Times New Roman" w:hAnsi="Times New Roman"/>
                <w:sz w:val="20"/>
                <w:szCs w:val="20"/>
                <w:color w:val="auto"/>
              </w:rPr>
              <w:t>By:  /s/ James A. J. Nickolas</w:t>
            </w:r>
          </w:p>
        </w:tc>
      </w:tr>
      <w:tr>
        <w:trPr>
          <w:trHeight w:val="199"/>
        </w:trPr>
        <w:tc>
          <w:tcPr>
            <w:tcW w:w="42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2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James A. J. Nickolas</w:t>
            </w:r>
          </w:p>
        </w:tc>
      </w:tr>
      <w:tr>
        <w:trPr>
          <w:trHeight w:val="228"/>
        </w:trPr>
        <w:tc>
          <w:tcPr>
            <w:tcW w:w="42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1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Sr. Vice President and</w:t>
            </w:r>
          </w:p>
        </w:tc>
      </w:tr>
      <w:tr>
        <w:trPr>
          <w:trHeight w:val="257"/>
        </w:trPr>
        <w:tc>
          <w:tcPr>
            <w:tcW w:w="42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ectPr>
          <w:pgSz w:w="11900" w:h="16838" w:orient="portrait"/>
          <w:cols w:equalWidth="0" w:num="1">
            <w:col w:w="11420"/>
          </w:cols>
          <w:pgMar w:left="240" w:top="1440"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b w:val="1"/>
          <w:bCs w:val="1"/>
          <w:color w:val="auto"/>
        </w:rPr>
        <w:t>EXHIBIT 32.01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Written Statement Pursuant to 18 U.S.C. 1350,</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 of the Sarbanes-Oxley Act of 2002</w:t>
      </w:r>
    </w:p>
    <w:p>
      <w:pPr>
        <w:spacing w:after="0" w:line="205" w:lineRule="exact"/>
        <w:rPr>
          <w:sz w:val="20"/>
          <w:szCs w:val="20"/>
          <w:color w:val="auto"/>
        </w:rPr>
      </w:pPr>
    </w:p>
    <w:p>
      <w:pPr>
        <w:jc w:val="both"/>
        <w:ind w:firstLine="878"/>
        <w:spacing w:after="0" w:line="252" w:lineRule="auto"/>
        <w:rPr>
          <w:sz w:val="20"/>
          <w:szCs w:val="20"/>
          <w:color w:val="auto"/>
        </w:rPr>
      </w:pPr>
      <w:r>
        <w:rPr>
          <w:rFonts w:ascii="Times New Roman" w:cs="Times New Roman" w:eastAsia="Times New Roman" w:hAnsi="Times New Roman"/>
          <w:sz w:val="20"/>
          <w:szCs w:val="20"/>
          <w:color w:val="auto"/>
        </w:rPr>
        <w:t>In connection with the Quarterly Report on Form 10-Q for the period ended June 30, 2019 (the “Report”) of Martin Marietta Materials, Inc. (the “Registrant”), as filed with the Securities and Exchange Commission on the date hereof, I, C. Howard Nye, the Chief Executive Officer of the Registrant, certify, to the best of my knowledge, that:</w:t>
      </w:r>
    </w:p>
    <w:p>
      <w:pPr>
        <w:spacing w:after="0" w:line="189" w:lineRule="exact"/>
        <w:rPr>
          <w:sz w:val="20"/>
          <w:szCs w:val="20"/>
          <w:color w:val="auto"/>
        </w:rPr>
      </w:pPr>
    </w:p>
    <w:p>
      <w:pPr>
        <w:ind w:left="1760" w:hanging="880"/>
        <w:spacing w:after="0" w:line="266" w:lineRule="auto"/>
        <w:tabs>
          <w:tab w:leader="none" w:pos="17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20"/>
          <w:szCs w:val="20"/>
          <w:color w:val="auto"/>
        </w:rPr>
      </w:pPr>
    </w:p>
    <w:p>
      <w:pPr>
        <w:ind w:left="1760" w:right="20" w:hanging="880"/>
        <w:spacing w:after="0" w:line="266" w:lineRule="auto"/>
        <w:tabs>
          <w:tab w:leader="none" w:pos="17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Registrant.</w:t>
      </w:r>
    </w:p>
    <w:p>
      <w:pPr>
        <w:spacing w:after="0" w:line="1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13335</wp:posOffset>
            </wp:positionV>
            <wp:extent cx="28987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C. Howard Nye</w:t>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Chairman, President and</w:t>
      </w:r>
    </w:p>
    <w:p>
      <w:pPr>
        <w:ind w:left="70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July 31, 2019</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4"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32.02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Written Statement Pursuant to 18 U.S.C. 1350,</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 of the Sarbanes-Oxley Act of 2002</w:t>
      </w:r>
    </w:p>
    <w:p>
      <w:pPr>
        <w:spacing w:after="0" w:line="205" w:lineRule="exact"/>
        <w:rPr>
          <w:sz w:val="20"/>
          <w:szCs w:val="20"/>
          <w:color w:val="auto"/>
        </w:rPr>
      </w:pPr>
    </w:p>
    <w:p>
      <w:pPr>
        <w:jc w:val="both"/>
        <w:ind w:firstLine="878"/>
        <w:spacing w:after="0" w:line="252" w:lineRule="auto"/>
        <w:rPr>
          <w:sz w:val="20"/>
          <w:szCs w:val="20"/>
          <w:color w:val="auto"/>
        </w:rPr>
      </w:pPr>
      <w:r>
        <w:rPr>
          <w:rFonts w:ascii="Times New Roman" w:cs="Times New Roman" w:eastAsia="Times New Roman" w:hAnsi="Times New Roman"/>
          <w:sz w:val="20"/>
          <w:szCs w:val="20"/>
          <w:color w:val="auto"/>
        </w:rPr>
        <w:t>In connection with the Quarterly Report on Form 10-Q for the period ended June 30, 2019 (the “Report”) of Martin Marietta Materials, Inc. (the “Registrant”), as filed with the Securities and Exchange Commission on the date hereof, I, James A. J. Nickolas, the Chief Financial Officer of the Registrant, certify, to the best of my knowledge, that:</w:t>
      </w:r>
    </w:p>
    <w:p>
      <w:pPr>
        <w:spacing w:after="0" w:line="189" w:lineRule="exact"/>
        <w:rPr>
          <w:sz w:val="20"/>
          <w:szCs w:val="20"/>
          <w:color w:val="auto"/>
        </w:rPr>
      </w:pPr>
    </w:p>
    <w:p>
      <w:pPr>
        <w:ind w:left="1760" w:hanging="880"/>
        <w:spacing w:after="0" w:line="266" w:lineRule="auto"/>
        <w:tabs>
          <w:tab w:leader="none" w:pos="17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20"/>
          <w:szCs w:val="20"/>
          <w:color w:val="auto"/>
        </w:rPr>
      </w:pPr>
    </w:p>
    <w:p>
      <w:pPr>
        <w:ind w:left="1760" w:right="20" w:hanging="880"/>
        <w:spacing w:after="0" w:line="266" w:lineRule="auto"/>
        <w:tabs>
          <w:tab w:leader="none" w:pos="17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Registrant.</w:t>
      </w:r>
    </w:p>
    <w:p>
      <w:pPr>
        <w:spacing w:after="0" w:line="1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13335</wp:posOffset>
            </wp:positionV>
            <wp:extent cx="28987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James A. J. Nickolas</w:t>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Sr. Vice President and</w:t>
      </w:r>
    </w:p>
    <w:p>
      <w:pPr>
        <w:ind w:left="70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July 31, 2019</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4"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b w:val="1"/>
          <w:bCs w:val="1"/>
          <w:color w:val="auto"/>
        </w:rPr>
        <w:t>EXHIBIT 95</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MINE SAFETY DISCLOSURES</w:t>
      </w:r>
    </w:p>
    <w:p>
      <w:pPr>
        <w:spacing w:after="0" w:line="2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Corporation presents the following items regarding certain mining safety and health matters for the three months ended June 30, 2019:</w:t>
      </w:r>
    </w:p>
    <w:p>
      <w:pPr>
        <w:spacing w:after="0" w:line="227" w:lineRule="exact"/>
        <w:rPr>
          <w:sz w:val="20"/>
          <w:szCs w:val="20"/>
          <w:color w:val="auto"/>
        </w:rPr>
      </w:pPr>
    </w:p>
    <w:p>
      <w:pPr>
        <w:jc w:val="both"/>
        <w:ind w:left="440" w:hanging="433"/>
        <w:spacing w:after="0" w:line="243" w:lineRule="auto"/>
        <w:tabs>
          <w:tab w:leader="none" w:pos="44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73" w:lineRule="exact"/>
        <w:rPr>
          <w:rFonts w:ascii="Times New Roman" w:cs="Times New Roman" w:eastAsia="Times New Roman" w:hAnsi="Times New Roman"/>
          <w:sz w:val="20"/>
          <w:szCs w:val="20"/>
          <w:b w:val="1"/>
          <w:bCs w:val="1"/>
          <w:color w:val="auto"/>
        </w:rPr>
      </w:pPr>
    </w:p>
    <w:p>
      <w:pPr>
        <w:jc w:val="both"/>
        <w:ind w:left="440" w:hanging="433"/>
        <w:spacing w:after="0" w:line="247" w:lineRule="auto"/>
        <w:tabs>
          <w:tab w:leader="none" w:pos="44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194" w:lineRule="exact"/>
        <w:rPr>
          <w:rFonts w:ascii="Times New Roman" w:cs="Times New Roman" w:eastAsia="Times New Roman" w:hAnsi="Times New Roman"/>
          <w:sz w:val="20"/>
          <w:szCs w:val="20"/>
          <w:b w:val="1"/>
          <w:bCs w:val="1"/>
          <w:color w:val="auto"/>
        </w:rPr>
      </w:pPr>
    </w:p>
    <w:p>
      <w:pPr>
        <w:jc w:val="both"/>
        <w:ind w:left="440" w:hanging="433"/>
        <w:spacing w:after="0" w:line="252" w:lineRule="auto"/>
        <w:tabs>
          <w:tab w:leader="none" w:pos="44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454025</wp:posOffset>
            </wp:positionV>
            <wp:extent cx="728980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4" w:name="page65"/>
    <w:bookmarkEnd w:id="64"/>
    <w:p>
      <w:pPr>
        <w:jc w:val="both"/>
        <w:ind w:left="433"/>
        <w:spacing w:after="0" w:line="252" w:lineRule="auto"/>
        <w:rPr>
          <w:sz w:val="20"/>
          <w:szCs w:val="20"/>
          <w:color w:val="auto"/>
        </w:rPr>
      </w:pPr>
      <w:r>
        <w:rPr>
          <w:rFonts w:ascii="Times New Roman" w:cs="Times New Roman" w:eastAsia="Times New Roman" w:hAnsi="Times New Roman"/>
          <w:sz w:val="20"/>
          <w:szCs w:val="20"/>
          <w:color w:val="auto"/>
        </w:rPr>
        <w:t>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188" w:lineRule="exact"/>
        <w:rPr>
          <w:sz w:val="20"/>
          <w:szCs w:val="20"/>
          <w:color w:val="auto"/>
        </w:rPr>
      </w:pPr>
    </w:p>
    <w:p>
      <w:pPr>
        <w:jc w:val="both"/>
        <w:ind w:left="433" w:hanging="433"/>
        <w:spacing w:after="0" w:line="264" w:lineRule="auto"/>
        <w:tabs>
          <w:tab w:leader="none" w:pos="433"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0" w:lineRule="exact"/>
        <w:rPr>
          <w:rFonts w:ascii="Times New Roman" w:cs="Times New Roman" w:eastAsia="Times New Roman" w:hAnsi="Times New Roman"/>
          <w:sz w:val="19"/>
          <w:szCs w:val="19"/>
          <w:b w:val="1"/>
          <w:bCs w:val="1"/>
          <w:color w:val="auto"/>
        </w:rPr>
      </w:pPr>
    </w:p>
    <w:p>
      <w:pPr>
        <w:jc w:val="both"/>
        <w:ind w:left="433" w:hanging="433"/>
        <w:spacing w:after="0" w:line="247" w:lineRule="auto"/>
        <w:tabs>
          <w:tab w:leader="none" w:pos="43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94" w:lineRule="exact"/>
        <w:rPr>
          <w:rFonts w:ascii="Times New Roman" w:cs="Times New Roman" w:eastAsia="Times New Roman" w:hAnsi="Times New Roman"/>
          <w:sz w:val="20"/>
          <w:szCs w:val="20"/>
          <w:b w:val="1"/>
          <w:bCs w:val="1"/>
          <w:color w:val="auto"/>
        </w:rPr>
      </w:pPr>
    </w:p>
    <w:p>
      <w:pPr>
        <w:jc w:val="both"/>
        <w:ind w:left="433" w:hanging="433"/>
        <w:spacing w:after="0" w:line="247" w:lineRule="auto"/>
        <w:tabs>
          <w:tab w:leader="none" w:pos="43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94" w:lineRule="exact"/>
        <w:rPr>
          <w:rFonts w:ascii="Times New Roman" w:cs="Times New Roman" w:eastAsia="Times New Roman" w:hAnsi="Times New Roman"/>
          <w:sz w:val="20"/>
          <w:szCs w:val="20"/>
          <w:b w:val="1"/>
          <w:bCs w:val="1"/>
          <w:color w:val="auto"/>
        </w:rPr>
      </w:pPr>
    </w:p>
    <w:p>
      <w:pPr>
        <w:jc w:val="both"/>
        <w:ind w:left="433" w:hanging="433"/>
        <w:spacing w:after="0" w:line="252" w:lineRule="auto"/>
        <w:tabs>
          <w:tab w:leader="none" w:pos="43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88" w:lineRule="exact"/>
        <w:rPr>
          <w:rFonts w:ascii="Times New Roman" w:cs="Times New Roman" w:eastAsia="Times New Roman" w:hAnsi="Times New Roman"/>
          <w:sz w:val="20"/>
          <w:szCs w:val="20"/>
          <w:b w:val="1"/>
          <w:bCs w:val="1"/>
          <w:color w:val="auto"/>
        </w:rPr>
      </w:pPr>
    </w:p>
    <w:p>
      <w:pPr>
        <w:jc w:val="both"/>
        <w:ind w:left="433" w:hanging="433"/>
        <w:spacing w:after="0" w:line="247" w:lineRule="auto"/>
        <w:tabs>
          <w:tab w:leader="none" w:pos="43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94" w:lineRule="exact"/>
        <w:rPr>
          <w:rFonts w:ascii="Times New Roman" w:cs="Times New Roman" w:eastAsia="Times New Roman" w:hAnsi="Times New Roman"/>
          <w:sz w:val="20"/>
          <w:szCs w:val="20"/>
          <w:b w:val="1"/>
          <w:bCs w:val="1"/>
          <w:color w:val="auto"/>
        </w:rPr>
      </w:pPr>
    </w:p>
    <w:p>
      <w:pPr>
        <w:ind w:left="433" w:hanging="433"/>
        <w:spacing w:after="0"/>
        <w:tabs>
          <w:tab w:leader="none" w:pos="43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Legal actions before the Federal Mine Safety and Health Review Commissions pending as of the last day of period.</w:t>
      </w:r>
    </w:p>
    <w:p>
      <w:pPr>
        <w:spacing w:after="0" w:line="226" w:lineRule="exact"/>
        <w:rPr>
          <w:rFonts w:ascii="Times New Roman" w:cs="Times New Roman" w:eastAsia="Times New Roman" w:hAnsi="Times New Roman"/>
          <w:sz w:val="20"/>
          <w:szCs w:val="20"/>
          <w:b w:val="1"/>
          <w:bCs w:val="1"/>
          <w:color w:val="auto"/>
        </w:rPr>
      </w:pPr>
    </w:p>
    <w:p>
      <w:pPr>
        <w:ind w:left="433" w:hanging="433"/>
        <w:spacing w:after="0"/>
        <w:tabs>
          <w:tab w:leader="none" w:pos="43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Legal actions before the Federal Mine Safety and Health Review Commissions initiated during period.</w:t>
      </w:r>
    </w:p>
    <w:p>
      <w:pPr>
        <w:spacing w:after="0" w:line="226" w:lineRule="exact"/>
        <w:rPr>
          <w:rFonts w:ascii="Times New Roman" w:cs="Times New Roman" w:eastAsia="Times New Roman" w:hAnsi="Times New Roman"/>
          <w:sz w:val="20"/>
          <w:szCs w:val="20"/>
          <w:b w:val="1"/>
          <w:bCs w:val="1"/>
          <w:color w:val="auto"/>
        </w:rPr>
      </w:pPr>
    </w:p>
    <w:p>
      <w:pPr>
        <w:ind w:left="433" w:hanging="433"/>
        <w:spacing w:after="0"/>
        <w:tabs>
          <w:tab w:leader="none" w:pos="43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Legal actions before the Federal Mine Safety and Health Review Commissions resolved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622935</wp:posOffset>
            </wp:positionV>
            <wp:extent cx="728980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13"/>
          </w:cols>
          <w:pgMar w:left="247" w:top="118" w:right="239" w:bottom="1440" w:gutter="0" w:footer="0" w:header="0"/>
        </w:sectPr>
      </w:pPr>
    </w:p>
    <w:bookmarkStart w:id="65" w:name="page66"/>
    <w:bookmarkEnd w:id="65"/>
    <w:p>
      <w:pPr>
        <w:jc w:val="both"/>
        <w:spacing w:after="0" w:line="242" w:lineRule="auto"/>
        <w:rPr>
          <w:sz w:val="20"/>
          <w:szCs w:val="20"/>
          <w:color w:val="auto"/>
        </w:rPr>
      </w:pPr>
      <w:r>
        <w:rPr>
          <w:rFonts w:ascii="Times New Roman" w:cs="Times New Roman" w:eastAsia="Times New Roman" w:hAnsi="Times New Roman"/>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June 30, 2019,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768350</wp:posOffset>
            </wp:positionV>
            <wp:extent cx="728980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7"/>
        </w:trPr>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2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Appendix 1</w:t>
            </w:r>
          </w:p>
        </w:tc>
      </w:tr>
      <w:tr>
        <w:trPr>
          <w:trHeight w:val="437"/>
        </w:trPr>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w w:val="98"/>
              </w:rPr>
              <w:t>Received Received</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20"/>
                <w:szCs w:val="20"/>
                <w:b w:val="1"/>
                <w:bCs w:val="1"/>
                <w:color w:val="auto"/>
                <w:w w:val="99"/>
              </w:rPr>
              <w:t>Notice of Notice of</w:t>
            </w:r>
          </w:p>
        </w:tc>
        <w:tc>
          <w:tcPr>
            <w:tcW w:w="6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Legal</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2280" w:type="dxa"/>
            <w:vAlign w:val="bottom"/>
            <w:gridSpan w:val="3"/>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Pattern Potential Actions</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6"/>
              </w:rPr>
              <w:t>Section</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102"/>
              <w:spacing w:after="0" w:line="229"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8"/>
              </w:rPr>
              <w:t>Number</w:t>
            </w:r>
          </w:p>
        </w:tc>
        <w:tc>
          <w:tcPr>
            <w:tcW w:w="7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of</w:t>
            </w:r>
          </w:p>
        </w:tc>
        <w:tc>
          <w:tcPr>
            <w:tcW w:w="1500" w:type="dxa"/>
            <w:vAlign w:val="bottom"/>
            <w:gridSpan w:val="2"/>
          </w:tcPr>
          <w:p>
            <w:pPr>
              <w:ind w:left="100"/>
              <w:spacing w:after="0" w:line="229" w:lineRule="exact"/>
              <w:rPr>
                <w:sz w:val="20"/>
                <w:szCs w:val="20"/>
                <w:color w:val="auto"/>
              </w:rPr>
            </w:pPr>
            <w:r>
              <w:rPr>
                <w:rFonts w:ascii="Times New Roman" w:cs="Times New Roman" w:eastAsia="Times New Roman" w:hAnsi="Times New Roman"/>
                <w:sz w:val="20"/>
                <w:szCs w:val="20"/>
                <w:b w:val="1"/>
                <w:bCs w:val="1"/>
                <w:color w:val="auto"/>
              </w:rPr>
              <w:t>to have Pending</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Legal</w:t>
            </w:r>
          </w:p>
        </w:tc>
        <w:tc>
          <w:tcPr>
            <w:tcW w:w="800" w:type="dxa"/>
            <w:vAlign w:val="bottom"/>
            <w:gridSpan w:val="2"/>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6"/>
              </w:rPr>
              <w:t>Legal</w:t>
            </w: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5"/>
              </w:rPr>
              <w:t>104(d)</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82"/>
              <w:spacing w:after="0" w:line="229" w:lineRule="exact"/>
              <w:rPr>
                <w:sz w:val="20"/>
                <w:szCs w:val="20"/>
                <w:color w:val="auto"/>
              </w:rPr>
            </w:pPr>
            <w:r>
              <w:rPr>
                <w:rFonts w:ascii="Times New Roman" w:cs="Times New Roman" w:eastAsia="Times New Roman" w:hAnsi="Times New Roman"/>
                <w:sz w:val="20"/>
                <w:szCs w:val="20"/>
                <w:b w:val="1"/>
                <w:bCs w:val="1"/>
                <w:color w:val="auto"/>
                <w:w w:val="99"/>
              </w:rPr>
              <w:t>Dollar</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5"/>
              </w:rPr>
              <w:t>of</w:t>
            </w:r>
          </w:p>
        </w:tc>
        <w:tc>
          <w:tcPr>
            <w:tcW w:w="160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Violation Pattern</w:t>
            </w:r>
          </w:p>
        </w:tc>
        <w:tc>
          <w:tcPr>
            <w:tcW w:w="6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as of</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9"/>
              </w:rPr>
              <w:t>Actions</w:t>
            </w:r>
          </w:p>
        </w:tc>
        <w:tc>
          <w:tcPr>
            <w:tcW w:w="800" w:type="dxa"/>
            <w:vAlign w:val="bottom"/>
            <w:gridSpan w:val="2"/>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6"/>
              </w:rPr>
              <w:t>Actions</w:t>
            </w: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0" w:type="dxa"/>
            <w:vAlign w:val="bottom"/>
            <w:gridSpan w:val="3"/>
          </w:tcPr>
          <w:p>
            <w:pPr>
              <w:ind w:left="80"/>
              <w:spacing w:after="0" w:line="229" w:lineRule="exact"/>
              <w:rPr>
                <w:sz w:val="20"/>
                <w:szCs w:val="20"/>
                <w:color w:val="auto"/>
              </w:rPr>
            </w:pPr>
            <w:r>
              <w:rPr>
                <w:rFonts w:ascii="Times New Roman" w:cs="Times New Roman" w:eastAsia="Times New Roman" w:hAnsi="Times New Roman"/>
                <w:sz w:val="20"/>
                <w:szCs w:val="20"/>
                <w:b w:val="1"/>
                <w:bCs w:val="1"/>
                <w:color w:val="auto"/>
                <w:w w:val="98"/>
              </w:rPr>
              <w:t>Section Section Citations</w:t>
            </w:r>
          </w:p>
        </w:tc>
        <w:tc>
          <w:tcPr>
            <w:tcW w:w="800" w:type="dxa"/>
            <w:vAlign w:val="bottom"/>
          </w:tcPr>
          <w:p>
            <w:pPr>
              <w:ind w:left="120"/>
              <w:spacing w:after="0" w:line="229" w:lineRule="exact"/>
              <w:rPr>
                <w:sz w:val="20"/>
                <w:szCs w:val="20"/>
                <w:color w:val="auto"/>
              </w:rPr>
            </w:pPr>
            <w:r>
              <w:rPr>
                <w:rFonts w:ascii="Times New Roman" w:cs="Times New Roman" w:eastAsia="Times New Roman" w:hAnsi="Times New Roman"/>
                <w:sz w:val="20"/>
                <w:szCs w:val="20"/>
                <w:b w:val="1"/>
                <w:bCs w:val="1"/>
                <w:color w:val="auto"/>
              </w:rPr>
              <w:t>Section</w:t>
            </w:r>
          </w:p>
        </w:tc>
        <w:tc>
          <w:tcPr>
            <w:tcW w:w="7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b w:val="1"/>
                <w:bCs w:val="1"/>
                <w:color w:val="auto"/>
              </w:rPr>
              <w:t>Section</w:t>
            </w:r>
          </w:p>
        </w:tc>
        <w:tc>
          <w:tcPr>
            <w:tcW w:w="180" w:type="dxa"/>
            <w:vAlign w:val="bottom"/>
          </w:tcPr>
          <w:p>
            <w:pPr>
              <w:spacing w:after="0"/>
              <w:rPr>
                <w:sz w:val="19"/>
                <w:szCs w:val="19"/>
                <w:color w:val="auto"/>
              </w:rPr>
            </w:pPr>
          </w:p>
        </w:tc>
        <w:tc>
          <w:tcPr>
            <w:tcW w:w="920" w:type="dxa"/>
            <w:vAlign w:val="bottom"/>
          </w:tcPr>
          <w:p>
            <w:pPr>
              <w:jc w:val="center"/>
              <w:ind w:right="102"/>
              <w:spacing w:after="0" w:line="229" w:lineRule="exact"/>
              <w:rPr>
                <w:sz w:val="20"/>
                <w:szCs w:val="20"/>
                <w:color w:val="auto"/>
              </w:rPr>
            </w:pPr>
            <w:r>
              <w:rPr>
                <w:rFonts w:ascii="Times New Roman" w:cs="Times New Roman" w:eastAsia="Times New Roman" w:hAnsi="Times New Roman"/>
                <w:sz w:val="20"/>
                <w:szCs w:val="20"/>
                <w:b w:val="1"/>
                <w:bCs w:val="1"/>
                <w:color w:val="auto"/>
                <w:w w:val="94"/>
              </w:rPr>
              <w:t>Value of</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6"/>
              </w:rPr>
              <w:t>Mining</w:t>
            </w:r>
          </w:p>
        </w:tc>
        <w:tc>
          <w:tcPr>
            <w:tcW w:w="7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9"/>
              </w:rPr>
              <w:t>Under</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7"/>
              </w:rPr>
              <w:t>under</w:t>
            </w:r>
          </w:p>
        </w:tc>
        <w:tc>
          <w:tcPr>
            <w:tcW w:w="6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5"/>
              </w:rPr>
              <w:t>Last</w:t>
            </w:r>
          </w:p>
        </w:tc>
        <w:tc>
          <w:tcPr>
            <w:tcW w:w="162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b w:val="1"/>
                <w:bCs w:val="1"/>
                <w:color w:val="auto"/>
                <w:w w:val="96"/>
              </w:rPr>
              <w:t>Instituted Resolved</w:t>
            </w: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20"/>
                <w:szCs w:val="20"/>
                <w:b w:val="1"/>
                <w:bCs w:val="1"/>
                <w:color w:val="auto"/>
              </w:rPr>
              <w:t>104 S&amp;S 104(b)</w:t>
            </w:r>
          </w:p>
        </w:tc>
        <w:tc>
          <w:tcPr>
            <w:tcW w:w="7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9"/>
              </w:rPr>
              <w:t>and</w:t>
            </w:r>
          </w:p>
        </w:tc>
        <w:tc>
          <w:tcPr>
            <w:tcW w:w="15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b w:val="1"/>
                <w:bCs w:val="1"/>
                <w:color w:val="auto"/>
              </w:rPr>
              <w:t>110(b)(2) 107(a)</w:t>
            </w:r>
          </w:p>
        </w:tc>
        <w:tc>
          <w:tcPr>
            <w:tcW w:w="180" w:type="dxa"/>
            <w:vAlign w:val="bottom"/>
          </w:tcPr>
          <w:p>
            <w:pPr>
              <w:spacing w:after="0"/>
              <w:rPr>
                <w:sz w:val="19"/>
                <w:szCs w:val="19"/>
                <w:color w:val="auto"/>
              </w:rPr>
            </w:pPr>
          </w:p>
        </w:tc>
        <w:tc>
          <w:tcPr>
            <w:tcW w:w="920" w:type="dxa"/>
            <w:vAlign w:val="bottom"/>
          </w:tcPr>
          <w:p>
            <w:pPr>
              <w:jc w:val="center"/>
              <w:ind w:right="102"/>
              <w:spacing w:after="0" w:line="229" w:lineRule="exact"/>
              <w:rPr>
                <w:sz w:val="20"/>
                <w:szCs w:val="20"/>
                <w:color w:val="auto"/>
              </w:rPr>
            </w:pPr>
            <w:r>
              <w:rPr>
                <w:rFonts w:ascii="Times New Roman" w:cs="Times New Roman" w:eastAsia="Times New Roman" w:hAnsi="Times New Roman"/>
                <w:sz w:val="20"/>
                <w:szCs w:val="20"/>
                <w:b w:val="1"/>
                <w:bCs w:val="1"/>
                <w:color w:val="auto"/>
                <w:w w:val="99"/>
              </w:rPr>
              <w:t>MSHA</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7"/>
              </w:rPr>
              <w:t>Related</w:t>
            </w:r>
          </w:p>
        </w:tc>
        <w:tc>
          <w:tcPr>
            <w:tcW w:w="7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9"/>
              </w:rPr>
              <w:t>Section</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9"/>
              </w:rPr>
              <w:t>Section</w:t>
            </w:r>
          </w:p>
        </w:tc>
        <w:tc>
          <w:tcPr>
            <w:tcW w:w="6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9"/>
              </w:rPr>
              <w:t>Day of</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8"/>
              </w:rPr>
              <w:t>During</w:t>
            </w:r>
          </w:p>
        </w:tc>
        <w:tc>
          <w:tcPr>
            <w:tcW w:w="800" w:type="dxa"/>
            <w:vAlign w:val="bottom"/>
            <w:gridSpan w:val="2"/>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8"/>
              </w:rPr>
              <w:t>During</w:t>
            </w:r>
          </w:p>
        </w:tc>
      </w:tr>
      <w:tr>
        <w:trPr>
          <w:trHeight w:val="228"/>
        </w:trPr>
        <w:tc>
          <w:tcPr>
            <w:tcW w:w="1240" w:type="dxa"/>
            <w:vAlign w:val="bottom"/>
          </w:tcPr>
          <w:p>
            <w:pPr>
              <w:spacing w:after="0"/>
              <w:rPr>
                <w:sz w:val="19"/>
                <w:szCs w:val="19"/>
                <w:color w:val="auto"/>
              </w:rPr>
            </w:pPr>
          </w:p>
        </w:tc>
        <w:tc>
          <w:tcPr>
            <w:tcW w:w="2180" w:type="dxa"/>
            <w:vAlign w:val="bottom"/>
            <w:gridSpan w:val="3"/>
          </w:tcPr>
          <w:p>
            <w:pPr>
              <w:ind w:left="80"/>
              <w:spacing w:after="0" w:line="229" w:lineRule="exact"/>
              <w:rPr>
                <w:sz w:val="20"/>
                <w:szCs w:val="20"/>
                <w:color w:val="auto"/>
              </w:rPr>
            </w:pPr>
            <w:r>
              <w:rPr>
                <w:rFonts w:ascii="Times New Roman" w:cs="Times New Roman" w:eastAsia="Times New Roman" w:hAnsi="Times New Roman"/>
                <w:sz w:val="20"/>
                <w:szCs w:val="20"/>
                <w:b w:val="1"/>
                <w:bCs w:val="1"/>
                <w:color w:val="auto"/>
                <w:w w:val="99"/>
              </w:rPr>
              <w:t>MSHA Citations Orders</w:t>
            </w:r>
          </w:p>
        </w:tc>
        <w:tc>
          <w:tcPr>
            <w:tcW w:w="7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8"/>
              </w:rPr>
              <w:t>Orders</w:t>
            </w:r>
          </w:p>
        </w:tc>
        <w:tc>
          <w:tcPr>
            <w:tcW w:w="15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b w:val="1"/>
                <w:bCs w:val="1"/>
                <w:color w:val="auto"/>
                <w:w w:val="95"/>
              </w:rPr>
              <w:t>Violations Orders</w:t>
            </w:r>
          </w:p>
        </w:tc>
        <w:tc>
          <w:tcPr>
            <w:tcW w:w="1920" w:type="dxa"/>
            <w:vAlign w:val="bottom"/>
            <w:gridSpan w:val="3"/>
          </w:tcPr>
          <w:p>
            <w:pPr>
              <w:ind w:left="40"/>
              <w:spacing w:after="0" w:line="229" w:lineRule="exact"/>
              <w:rPr>
                <w:sz w:val="20"/>
                <w:szCs w:val="20"/>
                <w:color w:val="auto"/>
              </w:rPr>
            </w:pPr>
            <w:r>
              <w:rPr>
                <w:rFonts w:ascii="Times New Roman" w:cs="Times New Roman" w:eastAsia="Times New Roman" w:hAnsi="Times New Roman"/>
                <w:sz w:val="20"/>
                <w:szCs w:val="20"/>
                <w:b w:val="1"/>
                <w:bCs w:val="1"/>
                <w:color w:val="auto"/>
                <w:w w:val="99"/>
              </w:rPr>
              <w:t>Assessment/ Fatalities</w:t>
            </w:r>
          </w:p>
        </w:tc>
        <w:tc>
          <w:tcPr>
            <w:tcW w:w="7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5"/>
              </w:rPr>
              <w:t>104(e)</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9"/>
              </w:rPr>
              <w:t>104(e)</w:t>
            </w:r>
          </w:p>
        </w:tc>
        <w:tc>
          <w:tcPr>
            <w:tcW w:w="6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8"/>
              </w:rPr>
              <w:t>Period</w:t>
            </w:r>
          </w:p>
        </w:tc>
        <w:tc>
          <w:tcPr>
            <w:tcW w:w="82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8"/>
              </w:rPr>
              <w:t>Period</w:t>
            </w:r>
          </w:p>
        </w:tc>
        <w:tc>
          <w:tcPr>
            <w:tcW w:w="800" w:type="dxa"/>
            <w:vAlign w:val="bottom"/>
            <w:gridSpan w:val="2"/>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8"/>
              </w:rPr>
              <w:t>Period</w:t>
            </w:r>
          </w:p>
        </w:tc>
      </w:tr>
      <w:tr>
        <w:trPr>
          <w:trHeight w:val="255"/>
        </w:trPr>
        <w:tc>
          <w:tcPr>
            <w:tcW w:w="124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740" w:type="dxa"/>
            <w:vAlign w:val="bottom"/>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ID</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$Proposed</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(yes/no)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(yes/no)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80" w:type="dxa"/>
            <w:vAlign w:val="bottom"/>
          </w:tcPr>
          <w:p>
            <w:pPr>
              <w:spacing w:after="0"/>
              <w:rPr>
                <w:sz w:val="22"/>
                <w:szCs w:val="22"/>
                <w:color w:val="auto"/>
              </w:rPr>
            </w:pPr>
          </w:p>
        </w:tc>
      </w:tr>
      <w:tr>
        <w:trPr>
          <w:trHeight w:val="242"/>
        </w:trPr>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Amelia Quarry 4407372</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19"/>
        </w:trPr>
        <w:tc>
          <w:tcPr>
            <w:tcW w:w="12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American</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1"/>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Stone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3100189</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Anderson</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Creek 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4402963</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19"/>
        </w:trPr>
        <w:tc>
          <w:tcPr>
            <w:tcW w:w="12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Arrowood</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1"/>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3100059</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Asheboro</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3100066</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42"/>
        </w:trPr>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Bakers Quarry 3100071</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Belgrade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3100064</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42"/>
        </w:trPr>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Benson Quarry 3101979</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Berkeley</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3800072</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19"/>
        </w:trPr>
        <w:tc>
          <w:tcPr>
            <w:tcW w:w="12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Bessemer City</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1"/>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3101105</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Black Ankle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3102220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Bonds Quarry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3101963</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Boonesboro</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1800024</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19"/>
        </w:trPr>
        <w:tc>
          <w:tcPr>
            <w:tcW w:w="12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Burlington</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1"/>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3100042</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Caldwell</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3101869</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Calhoun Sand</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3800716</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Castle Hayne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3100063</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Cayce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3800016</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Central Rock</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3100050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19"/>
        </w:trPr>
        <w:tc>
          <w:tcPr>
            <w:tcW w:w="12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Charlotte</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1"/>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3100057</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Churchville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1800012</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Clarks Quarry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3102009</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Cumberland</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3102237</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42"/>
        </w:trPr>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Denver Quarry 3101971</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1"/>
                <w:szCs w:val="21"/>
                <w:color w:val="auto"/>
              </w:rPr>
            </w:pPr>
          </w:p>
        </w:tc>
      </w:tr>
      <w:tr>
        <w:trPr>
          <w:trHeight w:val="219"/>
        </w:trPr>
        <w:tc>
          <w:tcPr>
            <w:tcW w:w="12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Doswell</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1"/>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 VA</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4400045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CFF0FC"/>
          </w:tcPr>
          <w:p>
            <w:pPr>
              <w:spacing w:after="0"/>
              <w:rPr>
                <w:sz w:val="21"/>
                <w:szCs w:val="21"/>
                <w:color w:val="auto"/>
              </w:rPr>
            </w:pPr>
          </w:p>
        </w:tc>
      </w:tr>
      <w:tr>
        <w:trPr>
          <w:trHeight w:val="219"/>
        </w:trPr>
        <w:tc>
          <w:tcPr>
            <w:tcW w:w="12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East Alamance</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7"/>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3102021</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tcPr>
          <w:p>
            <w:pPr>
              <w:spacing w:after="0"/>
              <w:rPr>
                <w:sz w:val="22"/>
                <w:szCs w:val="22"/>
                <w:color w:val="auto"/>
              </w:rPr>
            </w:pPr>
          </w:p>
        </w:tc>
      </w:tr>
      <w:tr>
        <w:trPr>
          <w:trHeight w:val="752"/>
        </w:trPr>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118" w:right="1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Appendix 1</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2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Edmund Sand</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3800662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Fountain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3100065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Franklin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3102130</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Frederick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1800013</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Fuquay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3102055</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Garner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3100072</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Georgetown II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3800525</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Hickory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3100043</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Hicone</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3102088</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Jamestown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3100051</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Kannapolis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3100070</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Kent Sand &amp; Gravel</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1800745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Kings Mountain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3100047</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Lemon Springs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3101104</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Loamy Sand Gravel</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3800721</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Maiden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3102125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Mallard Creek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3102006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Matthews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3102084</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Medford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1800035</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Midlothian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4403767</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Misc Greensboro District</w:t>
            </w:r>
          </w:p>
        </w:tc>
        <w:tc>
          <w:tcPr>
            <w:tcW w:w="98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20"/>
                <w:szCs w:val="20"/>
                <w:color w:val="auto"/>
              </w:rPr>
              <w:t>B8611</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North Columbia</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3800146</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North East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1800417</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Old Charleston Sand</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3800702</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142</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Onslow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3102120</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Pinesburg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1800021</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Pomona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3100052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Raleigh Durham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3101941</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Red Hill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4400072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2</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Reidsville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3100068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Rock Hill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3800026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Salem Stone</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3102038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Statesville Quarry</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3100055</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Texas Quarry</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1800009</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3</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3"/>
        </w:trPr>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Appendix 1</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2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Thomasville Quarry</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3101475</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Warfordsburg Quarry</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3600168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Wilmington Sand</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3101308</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121</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Wilson Quarry</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3102230</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Woodleaf Quarry</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3100069</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(45) North Indianapolis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SURFACE</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1200002</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Apple Grove S G</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3301676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Belmont Sand</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1201911</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8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rPr>
              <w:t>Bowling Green North</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1500065</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Bowling Green South</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Quarry</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1500025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Burning Springs Mine</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4608862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Carmel Sand</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1202124</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Cedarville Quarry</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3304072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Cloverdale Quarry</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1201744</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Cumberland Quarry</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1500037</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E Town Sand Gravel</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3304279</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Fairfield Quarry</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3301396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Franklin Gravel</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3302940</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Harlan Quarry</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1500071</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Hartford Quarry</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1500095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Kentucky Ave Mine</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1201762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506</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Kokomo Mine</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1202105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Kokomo Sand</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1202203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Kokomo Stone</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1200142</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Noblesville Sand</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1201994</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Noblesville Stone</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1202176</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121</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North Indianapolis Quarry</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1201993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121</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Petersburg, Ky Gravel</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1516895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Phillipsburg Quarry</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3300006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Shamrock SG</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3304011</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98"/>
              </w:rPr>
              <w:t>Spring Valley Cook Rd SG</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3304534</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Troy Gravel</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3301678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Waverly Sand</w:t>
            </w: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1202038</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9"/>
        </w:trPr>
        <w:tc>
          <w:tcPr>
            <w:tcW w:w="20" w:type="dxa"/>
            <w:vAlign w:val="bottom"/>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7"/>
        </w:trPr>
        <w:tc>
          <w:tcPr>
            <w:tcW w:w="2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Appendix 1</w:t>
            </w:r>
          </w:p>
        </w:tc>
      </w:tr>
      <w:tr>
        <w:trPr>
          <w:trHeight w:val="464"/>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Xenia Gravel</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3301393</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4"/>
                <w:szCs w:val="24"/>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Appling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901083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Auburn Al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100006</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Auburn, GA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900436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Augusta, GA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900065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Ball Ground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900955</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Calhoun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4003395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Chattanooga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4003159</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Cumming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900460</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Douglasville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900024</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Edgefield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3800738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Jefferson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901106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Junction City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901029</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Lithonia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900023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Maylene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100634</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Morgan County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901126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Newton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900899</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O'Neal Plant  Co 19</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103076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Paulding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901107</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Perry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801083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Red Oak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900069</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Ruby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900074</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Six Mile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901144</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St. Marys Sand Company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901199</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Tyrone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900306</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Vance Quarry  Co 19</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103022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Warrenton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0900580</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Alden Portable Plant #2</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1302033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Alden Portable Sand</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1302037</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Alden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1300228</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Ames Mine</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1300014</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484</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2</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Cedar Rapids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1300122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2</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Des Moines Portable</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1300150</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Dubois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2501046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759"/>
        </w:trPr>
        <w:tc>
          <w:tcPr>
            <w:tcW w:w="2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7"/>
        </w:trPr>
        <w:tc>
          <w:tcPr>
            <w:tcW w:w="1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Appendix 1</w:t>
            </w:r>
          </w:p>
        </w:tc>
      </w:tr>
      <w:tr>
        <w:trPr>
          <w:trHeight w:val="464"/>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Durham Mine</w:t>
            </w:r>
          </w:p>
        </w:tc>
        <w:tc>
          <w:tcPr>
            <w:tcW w:w="900" w:type="dxa"/>
            <w:vAlign w:val="bottom"/>
          </w:tcPr>
          <w:p>
            <w:pPr>
              <w:spacing w:after="0"/>
              <w:rPr>
                <w:sz w:val="24"/>
                <w:szCs w:val="2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1301225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4"/>
                <w:szCs w:val="24"/>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Earlham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1302123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Ferguson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1300124</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Fort Calhoun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2500006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363</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Fort Calhoun UG</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2501300</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Fort Dodge Mine</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1300032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Greenwood Quarry  New</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2300141</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98"/>
              </w:rPr>
              <w:t>Iowa Grading 2</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1302316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Linn County Sand</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1302208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Malcom Mine</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1300112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Marshalltown Sand</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1300718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Midwest Division OH</w:t>
            </w:r>
          </w:p>
        </w:tc>
        <w:tc>
          <w:tcPr>
            <w:tcW w:w="96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20"/>
                <w:szCs w:val="20"/>
                <w:color w:val="auto"/>
              </w:rPr>
              <w:t>A2354</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Moore Quarry</w:t>
            </w:r>
          </w:p>
        </w:tc>
        <w:tc>
          <w:tcPr>
            <w:tcW w:w="90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1302188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New Harvey Sand</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1301778</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North Valley Sand</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2501271</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Ottawa Quarry</w:t>
            </w:r>
          </w:p>
        </w:tc>
        <w:tc>
          <w:tcPr>
            <w:tcW w:w="900" w:type="dxa"/>
            <w:vAlign w:val="bottom"/>
            <w:shd w:val="clear" w:color="auto" w:fill="CFF0FC"/>
          </w:tcPr>
          <w:p>
            <w:pPr>
              <w:jc w:val="center"/>
              <w:ind w:right="302"/>
              <w:spacing w:after="0"/>
              <w:rPr>
                <w:sz w:val="20"/>
                <w:szCs w:val="20"/>
                <w:color w:val="auto"/>
              </w:rPr>
            </w:pPr>
            <w:r>
              <w:rPr>
                <w:rFonts w:ascii="Times New Roman" w:cs="Times New Roman" w:eastAsia="Times New Roman" w:hAnsi="Times New Roman"/>
                <w:sz w:val="20"/>
                <w:szCs w:val="20"/>
                <w:color w:val="auto"/>
              </w:rPr>
              <w:t>New</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1401590</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242</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Pacific Quarry</w:t>
            </w:r>
          </w:p>
        </w:tc>
        <w:tc>
          <w:tcPr>
            <w:tcW w:w="90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4500844</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363</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Parkville Mine</w:t>
            </w:r>
          </w:p>
        </w:tc>
        <w:tc>
          <w:tcPr>
            <w:tcW w:w="900" w:type="dxa"/>
            <w:vAlign w:val="bottom"/>
            <w:shd w:val="clear" w:color="auto" w:fill="CFF0FC"/>
          </w:tcPr>
          <w:p>
            <w:pPr>
              <w:jc w:val="center"/>
              <w:ind w:right="282"/>
              <w:spacing w:after="0"/>
              <w:rPr>
                <w:sz w:val="20"/>
                <w:szCs w:val="20"/>
                <w:color w:val="auto"/>
              </w:rPr>
            </w:pPr>
            <w:r>
              <w:rPr>
                <w:rFonts w:ascii="Times New Roman" w:cs="Times New Roman" w:eastAsia="Times New Roman" w:hAnsi="Times New Roman"/>
                <w:sz w:val="20"/>
                <w:szCs w:val="20"/>
                <w:color w:val="auto"/>
                <w:w w:val="95"/>
              </w:rPr>
              <w:t>New</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2301883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Pedersen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1302192</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Plant 854</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1302126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Portland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1302122</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Raccoon River Sand</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1302315</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Randolph Deep Mine</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2302308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363</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Reasnor Sand</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1300814</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Saylorville Sand</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1302290</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St Cloud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2100081</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Stamper Mine</w:t>
            </w:r>
          </w:p>
        </w:tc>
        <w:tc>
          <w:tcPr>
            <w:tcW w:w="90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2302232</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2</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685</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Sully Mine</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1300063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Sunflower Qy</w:t>
            </w:r>
          </w:p>
        </w:tc>
        <w:tc>
          <w:tcPr>
            <w:tcW w:w="90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auto"/>
                <w:w w:val="99"/>
              </w:rPr>
              <w:t>Co 61</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1401556</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121</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Weeping Water Mine</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2500998</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363</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West Center Sand</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2501231</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Yellow Medicine Quarry</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2100033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Beckmann Quarry</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4101335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Bedrock Sand Gravel</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4103283</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759"/>
        </w:trPr>
        <w:tc>
          <w:tcPr>
            <w:tcW w:w="1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7"/>
        </w:trPr>
        <w:tc>
          <w:tcPr>
            <w:tcW w:w="2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Appendix 1</w:t>
            </w:r>
          </w:p>
        </w:tc>
      </w:tr>
      <w:tr>
        <w:trPr>
          <w:trHeight w:val="464"/>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Bells Savoy SG</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4104019</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4"/>
                <w:szCs w:val="24"/>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Black Rock Quarry</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300011</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Black Spur Quarry</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4104159</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Blake Quarry</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1401584</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289</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Bridgeport Stone</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4100007</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Broken Bow SG</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3400460</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Chico Quarry</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4103360</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Davis Quarry</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3401299</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Garfield SG</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4103909</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Garwood Gravel</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4102886</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GMS  TXI</w:t>
            </w:r>
          </w:p>
        </w:tc>
        <w:tc>
          <w:tcPr>
            <w:tcW w:w="102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rPr>
              <w:t>C335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Hatton Quarry</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301614</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Helotes</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4103137</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Highway 211 Quarry</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4103829</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Hondo</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4104708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Hondo West</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4104090</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Hugo Quarry</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3400061</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Hunter Stone</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4105230</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Idabel Quarry</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3400507</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Jena Aggregates</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1601298</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Jones Mill Quarry</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301586</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121</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Koontz McCombs Pit</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4105048</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Medina Rock Rail</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4105170</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7"/>
              </w:rPr>
              <w:t>1,427</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Mill Creek Limestone</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3401859</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Mill Creek Quarry</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3401285</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Perryville Aggregates</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1601417</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Poteet Sand</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4101342</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Rio Medina</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4103594</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San Pedro Quarry</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4101337</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Sawyer Quarry</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3401634</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Smithson Valley Quarry</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4104108</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Snyder Quarry</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3401651</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South Texas Port #2</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4104204</w:t>
            </w:r>
          </w:p>
        </w:tc>
        <w:tc>
          <w:tcPr>
            <w:tcW w:w="5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Tin Top SG</w:t>
            </w: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4102852</w:t>
            </w:r>
          </w:p>
        </w:tc>
        <w:tc>
          <w:tcPr>
            <w:tcW w:w="5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121</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759"/>
        </w:trPr>
        <w:tc>
          <w:tcPr>
            <w:tcW w:w="2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7"/>
        </w:trPr>
        <w:tc>
          <w:tcPr>
            <w:tcW w:w="2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Appendix 1</w:t>
            </w:r>
          </w:p>
        </w:tc>
      </w:tr>
      <w:tr>
        <w:trPr>
          <w:trHeight w:val="464"/>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Washita Quarry</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3402049</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Webberville</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4104363</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Woodworth Aggregates</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1601070</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Cottonwood Sand Gravel</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504418</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Fountain Sand Gravel</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503821</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Granite Canyon Quarry</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4800018</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Greeley 35th Ready Mix</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503215</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Greeley 35th Sand Gravel</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504613</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Guernsey Quarry</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4800004</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Milford Quarry  Utah</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4202177</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20"/>
                <w:szCs w:val="20"/>
                <w:color w:val="auto"/>
              </w:rPr>
              <w:t>121</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Parkdale Quarry</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504635</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Parsons Sand Gravel</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504382</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PC Portable Plant 4</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4801565</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Penrose Sand and Gravel</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504509</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Portable Crushing</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503984</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Portable Plant 1</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504359</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Portable Plant 21</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504520</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Red Canyon Quarry</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504136</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Riverbend Sand Gravel</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504841</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19"/>
        </w:trPr>
        <w:tc>
          <w:tcPr>
            <w:tcW w:w="220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20"/>
                <w:szCs w:val="20"/>
                <w:color w:val="auto"/>
                <w:w w:val="99"/>
              </w:rPr>
              <w:t>Spanish Springs Quarry Co</w:t>
            </w:r>
          </w:p>
        </w:tc>
        <w:tc>
          <w:tcPr>
            <w:tcW w:w="8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51"/>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2600803</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1</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Spec Agg Quarry</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500860</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Taft Sand Gravel</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504526</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Taft Shop</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504735</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Hunter Cement</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4102820</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Midlothian Cement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4100071</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Geology and Exploration</w:t>
            </w:r>
          </w:p>
        </w:tc>
        <w:tc>
          <w:tcPr>
            <w:tcW w:w="8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B7127</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Salisbury Shop</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3101235</w:t>
            </w: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9"/>
              </w:rPr>
              <w:t>0</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r>
      <w:tr>
        <w:trPr>
          <w:trHeight w:val="24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Woodville  Stone</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20"/>
                <w:szCs w:val="20"/>
                <w:color w:val="auto"/>
              </w:rPr>
              <w:t>3300156</w:t>
            </w:r>
          </w:p>
        </w:tc>
        <w:tc>
          <w:tcPr>
            <w:tcW w:w="62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20"/>
                <w:szCs w:val="20"/>
                <w:color w:val="auto"/>
                <w:w w:val="99"/>
              </w:rPr>
              <w:t>1</w:t>
            </w:r>
          </w:p>
        </w:tc>
        <w:tc>
          <w:tcPr>
            <w:tcW w:w="6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20"/>
                <w:szCs w:val="20"/>
                <w:color w:val="auto"/>
                <w:w w:val="97"/>
              </w:rPr>
              <w:t>2,324</w:t>
            </w:r>
          </w:p>
        </w:tc>
        <w:tc>
          <w:tcPr>
            <w:tcW w:w="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9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20"/>
                <w:szCs w:val="20"/>
                <w:color w:val="auto"/>
              </w:rPr>
              <w:t>1</w:t>
            </w:r>
          </w:p>
        </w:tc>
      </w:tr>
      <w:tr>
        <w:trPr>
          <w:trHeight w:val="261"/>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880" w:type="dxa"/>
            <w:vAlign w:val="bottom"/>
          </w:tcPr>
          <w:p>
            <w:pPr>
              <w:spacing w:after="0"/>
              <w:rPr>
                <w:sz w:val="22"/>
                <w:szCs w:val="22"/>
                <w:color w:val="auto"/>
              </w:rPr>
            </w:pP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89"/>
              </w:rPr>
              <w:t>16</w:t>
            </w: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0</w:t>
            </w: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0</w:t>
            </w: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w w:val="97"/>
              </w:rPr>
              <w:t>8,882</w:t>
            </w: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rPr>
              <w:t>0</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13</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7</w:t>
            </w:r>
          </w:p>
        </w:tc>
      </w:tr>
    </w:tbl>
    <w:p>
      <w:pPr>
        <w:spacing w:after="0" w:line="172" w:lineRule="exact"/>
        <w:rPr>
          <w:sz w:val="20"/>
          <w:szCs w:val="20"/>
          <w:color w:val="auto"/>
        </w:rPr>
      </w:pPr>
    </w:p>
    <w:p>
      <w:pPr>
        <w:jc w:val="both"/>
        <w:ind w:firstLine="7"/>
        <w:spacing w:after="0" w:line="265" w:lineRule="auto"/>
        <w:tabs>
          <w:tab w:leader="none" w:pos="15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13 legal actions pending on June 30, 2019, seven were contests of citations or orders referenced in Subpart B of CFR Part 2700, which includes contests of citations and orders issued under Section 104 of the Mine Act and contests of imminent danger orders under Section 107 of the Mine Act and six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5"/>
    </w:lvl>
  </w:abstractNum>
  <w:abstractNum w:abstractNumId="5">
    <w:nsid w:val="3F2DBA31"/>
    <w:multiLevelType w:val="hybridMultilevel"/>
    <w:lvl w:ilvl="0">
      <w:lvlJc w:val="left"/>
      <w:lvlText w:val="%1."/>
      <w:numFmt w:val="decimal"/>
      <w:start w:val="6"/>
    </w:lvl>
  </w:abstractNum>
  <w:abstractNum w:abstractNumId="6">
    <w:nsid w:val="7C83E458"/>
    <w:multiLevelType w:val="hybridMultilevel"/>
    <w:lvl w:ilvl="0">
      <w:lvlJc w:val="left"/>
      <w:lvlText w:val="%1."/>
      <w:numFmt w:val="decimal"/>
      <w:start w:val="8"/>
    </w:lvl>
  </w:abstractNum>
  <w:abstractNum w:abstractNumId="7">
    <w:nsid w:val="257130A3"/>
    <w:multiLevelType w:val="hybridMultilevel"/>
    <w:lvl w:ilvl="0">
      <w:lvlJc w:val="left"/>
      <w:lvlText w:val="%1."/>
      <w:numFmt w:val="decimal"/>
      <w:start w:val="10"/>
    </w:lvl>
  </w:abstractNum>
  <w:abstractNum w:abstractNumId="8">
    <w:nsid w:val="62BBD95A"/>
    <w:multiLevelType w:val="hybridMultilevel"/>
    <w:lvl w:ilvl="0">
      <w:lvlJc w:val="left"/>
      <w:lvlText w:val="%1."/>
      <w:numFmt w:val="decimal"/>
      <w:start w:val="11"/>
    </w:lvl>
  </w:abstractNum>
  <w:abstractNum w:abstractNumId="9">
    <w:nsid w:val="436C6125"/>
    <w:multiLevelType w:val="hybridMultilevel"/>
    <w:lvl w:ilvl="0">
      <w:lvlJc w:val="left"/>
      <w:lvlText w:val="%1."/>
      <w:numFmt w:val="decimal"/>
      <w:start w:val="13"/>
    </w:lvl>
  </w:abstractNum>
  <w:abstractNum w:abstractNumId="10">
    <w:nsid w:val="628C895D"/>
    <w:multiLevelType w:val="hybridMultilevel"/>
    <w:lvl w:ilvl="0">
      <w:lvlJc w:val="left"/>
      <w:lvlText w:val="%1."/>
      <w:numFmt w:val="decimal"/>
      <w:start w:val="14"/>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95"/>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5"/>
    </w:lvl>
    <w:lvl w:ilvl="1">
      <w:lvlJc w:val="left"/>
      <w:lvlText w:val="%2."/>
      <w:numFmt w:val="lowerLetter"/>
      <w:start w:val="1"/>
    </w:lvl>
  </w:abstractNum>
  <w:abstractNum w:abstractNumId="24">
    <w:nsid w:val="2CA88611"/>
    <w:multiLevelType w:val="hybridMultilevel"/>
    <w:lvl w:ilvl="0">
      <w:lvlJc w:val="left"/>
      <w:lvlText w:val="%1."/>
      <w:numFmt w:val="decimal"/>
      <w:start w:val="1"/>
    </w:lvl>
    <w:lvl w:ilvl="1">
      <w:lvlJc w:val="left"/>
      <w:lvlText w:val="%2."/>
      <w:numFmt w:val="lowerLetter"/>
      <w:start w:val="1"/>
    </w:lvl>
  </w:abstractNum>
  <w:abstractNum w:abstractNumId="25">
    <w:nsid w:val="836C40E"/>
    <w:multiLevelType w:val="hybridMultilevel"/>
    <w:lvl w:ilvl="0">
      <w:lvlJc w:val="left"/>
      <w:lvlText w:val="%1."/>
      <w:numFmt w:val="decimal"/>
      <w:start w:val="5"/>
    </w:lvl>
    <w:lvl w:ilvl="1">
      <w:lvlJc w:val="left"/>
      <w:lvlText w:val="%2."/>
      <w:numFmt w:val="lowerLetter"/>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2019-12-28T09:57:33Z</dcterms:created>
  <dcterms:modified xsi:type="dcterms:W3CDTF">2019-12-28T09:57:33Z</dcterms:modified>
</cp:coreProperties>
</file>