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16"/>
          <w:szCs w:val="16"/>
          <w:b w:val="1"/>
          <w:bCs w:val="1"/>
          <w:color w:val="333333"/>
        </w:rPr>
        <w:t>SCHEDULE 14A</w:t>
      </w:r>
    </w:p>
    <w:p>
      <w:pPr>
        <w:spacing w:after="0" w:line="21"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333333"/>
        </w:rPr>
        <w:t>(Rule 14a-101)</w:t>
      </w:r>
    </w:p>
    <w:p>
      <w:pPr>
        <w:spacing w:after="0" w:line="313" w:lineRule="exact"/>
        <w:rPr>
          <w:sz w:val="24"/>
          <w:szCs w:val="24"/>
          <w:color w:val="auto"/>
        </w:rPr>
      </w:pPr>
    </w:p>
    <w:p>
      <w:pPr>
        <w:ind w:left="3584"/>
        <w:spacing w:after="0"/>
        <w:rPr>
          <w:sz w:val="20"/>
          <w:szCs w:val="20"/>
          <w:color w:val="auto"/>
        </w:rPr>
      </w:pPr>
      <w:r>
        <w:rPr>
          <w:rFonts w:ascii="Arial" w:cs="Arial" w:eastAsia="Arial" w:hAnsi="Arial"/>
          <w:sz w:val="16"/>
          <w:szCs w:val="16"/>
          <w:b w:val="1"/>
          <w:bCs w:val="1"/>
          <w:color w:val="333333"/>
        </w:rPr>
        <w:t>INFORMATION REQUIRED IN PROXY STATEMENT</w:t>
      </w:r>
    </w:p>
    <w:p>
      <w:pPr>
        <w:spacing w:after="0" w:line="32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333333"/>
        </w:rPr>
        <w:t>SCHEDULE 14A INFORMATION</w:t>
      </w:r>
    </w:p>
    <w:p>
      <w:pPr>
        <w:spacing w:after="0" w:line="21"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333333"/>
        </w:rPr>
        <w:t>Proxy Statement Pursuant to Section 14(a) of the Securities</w:t>
      </w:r>
    </w:p>
    <w:p>
      <w:pPr>
        <w:spacing w:after="0" w:line="5"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333333"/>
        </w:rPr>
        <w:t>Exchange Act of 1934 (Amendment No.   )</w:t>
      </w:r>
    </w:p>
    <w:p>
      <w:pPr>
        <w:spacing w:after="0" w:line="277"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333333"/>
        </w:rPr>
        <w:t xml:space="preserve">Filed by the Registrant  </w:t>
      </w:r>
      <w:r>
        <w:rPr>
          <w:rFonts w:ascii="MS PGothic" w:cs="MS PGothic" w:eastAsia="MS PGothic" w:hAnsi="MS PGothic"/>
          <w:sz w:val="16"/>
          <w:szCs w:val="16"/>
          <w:color w:val="333333"/>
        </w:rPr>
        <w:t>☒</w:t>
      </w:r>
      <w:r>
        <w:rPr>
          <w:rFonts w:ascii="Arial" w:cs="Arial" w:eastAsia="Arial" w:hAnsi="Arial"/>
          <w:sz w:val="16"/>
          <w:szCs w:val="16"/>
          <w:color w:val="333333"/>
        </w:rPr>
        <w:t xml:space="preserve">          </w:t>
      </w:r>
    </w:p>
    <w:p>
      <w:pPr>
        <w:spacing w:after="0" w:line="343"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333333"/>
        </w:rPr>
        <w:t xml:space="preserve">Filed by a Party other than the Registrant  </w:t>
      </w:r>
      <w:r>
        <w:rPr>
          <w:rFonts w:ascii="MS PGothic" w:cs="MS PGothic" w:eastAsia="MS PGothic" w:hAnsi="MS PGothic"/>
          <w:sz w:val="16"/>
          <w:szCs w:val="16"/>
          <w:color w:val="333333"/>
        </w:rPr>
        <w:t>☐</w:t>
      </w:r>
    </w:p>
    <w:p>
      <w:pPr>
        <w:spacing w:after="0" w:line="378" w:lineRule="exact"/>
        <w:rPr>
          <w:sz w:val="24"/>
          <w:szCs w:val="24"/>
          <w:color w:val="auto"/>
        </w:rPr>
      </w:pPr>
    </w:p>
    <w:p>
      <w:pPr>
        <w:ind w:left="4"/>
        <w:spacing w:after="0"/>
        <w:rPr>
          <w:sz w:val="20"/>
          <w:szCs w:val="20"/>
          <w:color w:val="auto"/>
        </w:rPr>
      </w:pPr>
      <w:r>
        <w:rPr>
          <w:rFonts w:ascii="Arial" w:cs="Arial" w:eastAsia="Arial" w:hAnsi="Arial"/>
          <w:sz w:val="16"/>
          <w:szCs w:val="16"/>
          <w:color w:val="333333"/>
        </w:rPr>
        <w:t>Check the appropriate box:</w:t>
      </w:r>
    </w:p>
    <w:p>
      <w:pPr>
        <w:spacing w:after="0" w:line="383" w:lineRule="exact"/>
        <w:rPr>
          <w:sz w:val="24"/>
          <w:szCs w:val="24"/>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333333"/>
        </w:rPr>
      </w:pPr>
      <w:r>
        <w:rPr>
          <w:rFonts w:ascii="Arial" w:cs="Arial" w:eastAsia="Arial" w:hAnsi="Arial"/>
          <w:sz w:val="16"/>
          <w:szCs w:val="16"/>
          <w:color w:val="333333"/>
        </w:rPr>
        <w:t>Preliminary Proxy Statement</w:t>
      </w:r>
    </w:p>
    <w:p>
      <w:pPr>
        <w:spacing w:after="0" w:line="234" w:lineRule="exact"/>
        <w:rPr>
          <w:rFonts w:ascii="MS PGothic" w:cs="MS PGothic" w:eastAsia="MS PGothic" w:hAnsi="MS PGothic"/>
          <w:sz w:val="16"/>
          <w:szCs w:val="16"/>
          <w:color w:val="333333"/>
        </w:rPr>
      </w:pPr>
    </w:p>
    <w:p>
      <w:pPr>
        <w:ind w:left="304" w:hanging="304"/>
        <w:spacing w:after="0"/>
        <w:tabs>
          <w:tab w:leader="none" w:pos="304" w:val="left"/>
        </w:tabs>
        <w:numPr>
          <w:ilvl w:val="0"/>
          <w:numId w:val="1"/>
        </w:numPr>
        <w:rPr>
          <w:rFonts w:ascii="MS PGothic" w:cs="MS PGothic" w:eastAsia="MS PGothic" w:hAnsi="MS PGothic"/>
          <w:sz w:val="16"/>
          <w:szCs w:val="16"/>
          <w:color w:val="333333"/>
        </w:rPr>
      </w:pPr>
      <w:r>
        <w:rPr>
          <w:rFonts w:ascii="Arial" w:cs="Arial" w:eastAsia="Arial" w:hAnsi="Arial"/>
          <w:sz w:val="16"/>
          <w:szCs w:val="16"/>
          <w:b w:val="1"/>
          <w:bCs w:val="1"/>
          <w:color w:val="333333"/>
        </w:rPr>
        <w:t>Confidential, for Use of the Commission Only (as permitted by Rule 14a-6(e)(2))</w:t>
      </w:r>
    </w:p>
    <w:p>
      <w:pPr>
        <w:spacing w:after="0" w:line="235" w:lineRule="exact"/>
        <w:rPr>
          <w:sz w:val="24"/>
          <w:szCs w:val="24"/>
          <w:color w:val="auto"/>
        </w:rPr>
      </w:pPr>
    </w:p>
    <w:p>
      <w:pPr>
        <w:ind w:left="304" w:hanging="304"/>
        <w:spacing w:after="0"/>
        <w:tabs>
          <w:tab w:leader="none" w:pos="304" w:val="left"/>
        </w:tabs>
        <w:numPr>
          <w:ilvl w:val="0"/>
          <w:numId w:val="2"/>
        </w:numPr>
        <w:rPr>
          <w:rFonts w:ascii="MS PGothic" w:cs="MS PGothic" w:eastAsia="MS PGothic" w:hAnsi="MS PGothic"/>
          <w:sz w:val="16"/>
          <w:szCs w:val="16"/>
          <w:color w:val="333333"/>
        </w:rPr>
      </w:pPr>
      <w:r>
        <w:rPr>
          <w:rFonts w:ascii="Arial" w:cs="Arial" w:eastAsia="Arial" w:hAnsi="Arial"/>
          <w:sz w:val="16"/>
          <w:szCs w:val="16"/>
          <w:color w:val="333333"/>
        </w:rPr>
        <w:t>Definitive Proxy Statement</w:t>
      </w:r>
    </w:p>
    <w:p>
      <w:pPr>
        <w:spacing w:after="0" w:line="235" w:lineRule="exact"/>
        <w:rPr>
          <w:sz w:val="24"/>
          <w:szCs w:val="24"/>
          <w:color w:val="auto"/>
        </w:rPr>
      </w:pPr>
    </w:p>
    <w:p>
      <w:pPr>
        <w:ind w:left="304" w:hanging="304"/>
        <w:spacing w:after="0"/>
        <w:tabs>
          <w:tab w:leader="none" w:pos="304" w:val="left"/>
        </w:tabs>
        <w:numPr>
          <w:ilvl w:val="0"/>
          <w:numId w:val="3"/>
        </w:numPr>
        <w:rPr>
          <w:rFonts w:ascii="MS PGothic" w:cs="MS PGothic" w:eastAsia="MS PGothic" w:hAnsi="MS PGothic"/>
          <w:sz w:val="16"/>
          <w:szCs w:val="16"/>
          <w:color w:val="333333"/>
        </w:rPr>
      </w:pPr>
      <w:r>
        <w:rPr>
          <w:rFonts w:ascii="Arial" w:cs="Arial" w:eastAsia="Arial" w:hAnsi="Arial"/>
          <w:sz w:val="16"/>
          <w:szCs w:val="16"/>
          <w:color w:val="333333"/>
        </w:rPr>
        <w:t>Definitive Additional Materials</w:t>
      </w:r>
    </w:p>
    <w:p>
      <w:pPr>
        <w:spacing w:after="0" w:line="234" w:lineRule="exact"/>
        <w:rPr>
          <w:rFonts w:ascii="MS PGothic" w:cs="MS PGothic" w:eastAsia="MS PGothic" w:hAnsi="MS PGothic"/>
          <w:sz w:val="16"/>
          <w:szCs w:val="16"/>
          <w:color w:val="333333"/>
        </w:rPr>
      </w:pPr>
    </w:p>
    <w:p>
      <w:pPr>
        <w:ind w:left="304" w:hanging="304"/>
        <w:spacing w:after="0"/>
        <w:tabs>
          <w:tab w:leader="none" w:pos="304" w:val="left"/>
        </w:tabs>
        <w:numPr>
          <w:ilvl w:val="0"/>
          <w:numId w:val="3"/>
        </w:numPr>
        <w:rPr>
          <w:rFonts w:ascii="MS PGothic" w:cs="MS PGothic" w:eastAsia="MS PGothic" w:hAnsi="MS PGothic"/>
          <w:sz w:val="16"/>
          <w:szCs w:val="16"/>
          <w:color w:val="333333"/>
        </w:rPr>
      </w:pPr>
      <w:r>
        <w:rPr>
          <w:rFonts w:ascii="Arial" w:cs="Arial" w:eastAsia="Arial" w:hAnsi="Arial"/>
          <w:sz w:val="16"/>
          <w:szCs w:val="16"/>
          <w:color w:val="333333"/>
        </w:rPr>
        <w:t>Soliciting Material under §240.14a-12</w:t>
      </w:r>
    </w:p>
    <w:p>
      <w:pPr>
        <w:spacing w:after="0" w:line="383"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333333"/>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ind w:left="3904"/>
        <w:spacing w:after="0"/>
        <w:rPr>
          <w:sz w:val="20"/>
          <w:szCs w:val="20"/>
          <w:color w:val="auto"/>
        </w:rPr>
      </w:pPr>
      <w:r>
        <w:rPr>
          <w:rFonts w:ascii="Arial" w:cs="Arial" w:eastAsia="Arial" w:hAnsi="Arial"/>
          <w:sz w:val="14"/>
          <w:szCs w:val="14"/>
          <w:b w:val="1"/>
          <w:bCs w:val="1"/>
          <w:color w:val="333333"/>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right"/>
        <w:ind w:right="2079"/>
        <w:spacing w:after="0"/>
        <w:rPr>
          <w:sz w:val="20"/>
          <w:szCs w:val="20"/>
          <w:color w:val="auto"/>
        </w:rPr>
      </w:pPr>
      <w:r>
        <w:rPr>
          <w:rFonts w:ascii="Arial" w:cs="Arial" w:eastAsia="Arial" w:hAnsi="Arial"/>
          <w:sz w:val="14"/>
          <w:szCs w:val="14"/>
          <w:b w:val="1"/>
          <w:bCs w:val="1"/>
          <w:color w:val="333333"/>
        </w:rPr>
        <w:t>(Name of Person(s) Filing Proxy Statement, if other than the Registrant)</w:t>
      </w:r>
    </w:p>
    <w:p>
      <w:pPr>
        <w:spacing w:after="0" w:line="388" w:lineRule="exact"/>
        <w:rPr>
          <w:sz w:val="24"/>
          <w:szCs w:val="24"/>
          <w:color w:val="auto"/>
        </w:rPr>
      </w:pPr>
    </w:p>
    <w:p>
      <w:pPr>
        <w:ind w:left="4"/>
        <w:spacing w:after="0"/>
        <w:rPr>
          <w:sz w:val="20"/>
          <w:szCs w:val="20"/>
          <w:color w:val="auto"/>
        </w:rPr>
      </w:pPr>
      <w:r>
        <w:rPr>
          <w:rFonts w:ascii="Arial" w:cs="Arial" w:eastAsia="Arial" w:hAnsi="Arial"/>
          <w:sz w:val="16"/>
          <w:szCs w:val="16"/>
          <w:color w:val="333333"/>
        </w:rPr>
        <w:t>Payment of Filing Fee (Check all boxes that apply):</w:t>
      </w:r>
    </w:p>
    <w:p>
      <w:pPr>
        <w:spacing w:after="0" w:line="140" w:lineRule="exact"/>
        <w:rPr>
          <w:sz w:val="24"/>
          <w:szCs w:val="24"/>
          <w:color w:val="auto"/>
        </w:rPr>
      </w:pPr>
    </w:p>
    <w:p>
      <w:pPr>
        <w:ind w:left="304" w:hanging="304"/>
        <w:spacing w:after="0"/>
        <w:tabs>
          <w:tab w:leader="none" w:pos="304" w:val="left"/>
        </w:tabs>
        <w:numPr>
          <w:ilvl w:val="0"/>
          <w:numId w:val="4"/>
        </w:numPr>
        <w:rPr>
          <w:rFonts w:ascii="MS PGothic" w:cs="MS PGothic" w:eastAsia="MS PGothic" w:hAnsi="MS PGothic"/>
          <w:sz w:val="16"/>
          <w:szCs w:val="16"/>
          <w:color w:val="333333"/>
        </w:rPr>
      </w:pPr>
      <w:r>
        <w:rPr>
          <w:rFonts w:ascii="Arial" w:cs="Arial" w:eastAsia="Arial" w:hAnsi="Arial"/>
          <w:sz w:val="16"/>
          <w:szCs w:val="16"/>
          <w:color w:val="333333"/>
        </w:rPr>
        <w:t>No fee required.</w:t>
      </w:r>
    </w:p>
    <w:p>
      <w:pPr>
        <w:spacing w:after="0" w:line="262" w:lineRule="exact"/>
        <w:rPr>
          <w:sz w:val="24"/>
          <w:szCs w:val="24"/>
          <w:color w:val="auto"/>
        </w:rPr>
      </w:pPr>
    </w:p>
    <w:p>
      <w:pPr>
        <w:ind w:left="304" w:hanging="304"/>
        <w:spacing w:after="0"/>
        <w:tabs>
          <w:tab w:leader="none" w:pos="304" w:val="left"/>
        </w:tabs>
        <w:numPr>
          <w:ilvl w:val="0"/>
          <w:numId w:val="5"/>
        </w:numPr>
        <w:rPr>
          <w:rFonts w:ascii="MS PGothic" w:cs="MS PGothic" w:eastAsia="MS PGothic" w:hAnsi="MS PGothic"/>
          <w:sz w:val="16"/>
          <w:szCs w:val="16"/>
          <w:color w:val="333333"/>
        </w:rPr>
      </w:pPr>
      <w:r>
        <w:rPr>
          <w:rFonts w:ascii="Arial" w:cs="Arial" w:eastAsia="Arial" w:hAnsi="Arial"/>
          <w:sz w:val="16"/>
          <w:szCs w:val="16"/>
          <w:color w:val="333333"/>
        </w:rPr>
        <w:t>Fee paid previously with preliminary materials.</w:t>
      </w:r>
    </w:p>
    <w:p>
      <w:pPr>
        <w:spacing w:after="0" w:line="261" w:lineRule="exact"/>
        <w:rPr>
          <w:rFonts w:ascii="MS PGothic" w:cs="MS PGothic" w:eastAsia="MS PGothic" w:hAnsi="MS PGothic"/>
          <w:sz w:val="16"/>
          <w:szCs w:val="16"/>
          <w:color w:val="333333"/>
        </w:rPr>
      </w:pPr>
    </w:p>
    <w:p>
      <w:pPr>
        <w:ind w:left="304" w:hanging="304"/>
        <w:spacing w:after="0"/>
        <w:tabs>
          <w:tab w:leader="none" w:pos="304" w:val="left"/>
        </w:tabs>
        <w:numPr>
          <w:ilvl w:val="0"/>
          <w:numId w:val="5"/>
        </w:numPr>
        <w:rPr>
          <w:rFonts w:ascii="MS PGothic" w:cs="MS PGothic" w:eastAsia="MS PGothic" w:hAnsi="MS PGothic"/>
          <w:sz w:val="16"/>
          <w:szCs w:val="16"/>
          <w:color w:val="333333"/>
        </w:rPr>
      </w:pPr>
      <w:r>
        <w:rPr>
          <w:rFonts w:ascii="Arial" w:cs="Arial" w:eastAsia="Arial" w:hAnsi="Arial"/>
          <w:sz w:val="16"/>
          <w:szCs w:val="16"/>
          <w:color w:val="333333"/>
        </w:rPr>
        <w:t>Fee computed on table in exhibit required by Item 25(b) per Exchange Act Rules 14a-(6)(i)(1) and 0-11</w:t>
      </w:r>
    </w:p>
    <w:p>
      <w:pPr>
        <w:sectPr>
          <w:pgSz w:w="11900" w:h="16838" w:orient="portrait"/>
          <w:cols w:equalWidth="0" w:num="1">
            <w:col w:w="10023"/>
          </w:cols>
          <w:pgMar w:left="436" w:top="233" w:right="1440" w:bottom="1440" w:gutter="0" w:footer="0" w:header="0"/>
        </w:sectPr>
      </w:pPr>
    </w:p>
    <w:bookmarkStart w:id="1" w:name="page2"/>
    <w:bookmarkEnd w:id="1"/>
    <w:p>
      <w:pPr>
        <w:spacing w:after="0"/>
        <w:tabs>
          <w:tab w:leader="none" w:pos="3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Dear Shareholders: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333333"/>
        </w:rPr>
        <w:t>It is my pleasure to invite you to attend Martin Marietta’s 2026 Annual Meeting of Shareholders on Thursday, May 14, 2026. This document provides the highlights of our key actions and important decisions in 2025, as well as information about our financial and other performance. Please review this Proxy Statement and the 2025 Annual Report for more information about these topics.</w:t>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World-Class Safety Achieved</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6"/>
          <w:szCs w:val="16"/>
          <w:color w:val="333333"/>
        </w:rPr>
        <w:t>I am proud to report that, once again, Martin Marietta achieved world-class safety results in 2025. We had a world-class lost time incident rate (LTIR) for the ninth consecutive year (0.17 in 2025) and a world-class total injury incident rate (TIIR) for the fifth consecutive year (0.69 in 2025). Moreover, our fidelity to our Guardian Angel culture resulted in 99.8% of our over 9,500 employees experiencing ZERO lost-time incidents and 99.3% experiencing ZERO reportable incidents. These results demonstrate our steadfast commitment to safety grounded in our Guardian Angel safety culture. We have designed a roadmap for continuous safety improvement to drive meaningful and lasting progress for Martin Marietta. Safety excellence is not only central to our commitment to the health and well-being of our employees and communities; it is a proven driver of strong performance, profitability and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Record Setting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-2509520</wp:posOffset>
            </wp:positionV>
            <wp:extent cx="7174865" cy="188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333333"/>
        </w:rPr>
        <w:t>In 2025, Martin Marietta continued to deliver exceptional financial results, driven by our disciplined commercial strategy and acquisition contributions. We reported $6.2 billion in revenues from continuing operations, grew aggregates gross profit by 16% to a record $1.7 billion and increased aggregates gross profit per ton by 12% to a record $8.45. We increased our quarterly dividend approximately 5% in August 2025 (the Company’s tenth consecutive year of increasing the dividend), and together with share repurchases, we returned $647 million to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SOAR 2025 Execution</w:t>
      </w:r>
    </w:p>
    <w:p>
      <w:pPr>
        <w:spacing w:after="0" w:line="12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33333"/>
        </w:rPr>
        <w:t>In 2025, we successfully completed the execution of our Strategic Operating Analysis and Review (SOAR) 2025 plan, a period defined by deliberate action, disciplined capital allocation and an unwavering focus on long-term value creation. The accomplishments throughout SOAR 2025 fundamentally reshaped our portfolio and positioned Martin Marietta as a stronger, more durable and resilient enterprise. Through the disciplined execution of our strategic plan and the unwavering commitment of our teams, we continued to solidify our position as North America’s premier, aggregates-led building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400685</wp:posOffset>
            </wp:positionV>
            <wp:extent cx="7029450" cy="338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0"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2">
            <w:col w:w="5280" w:space="340"/>
            <w:col w:w="5400"/>
          </w:cols>
          <w:pgMar w:left="440" w:top="144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5"/>
        </w:trPr>
        <w:tc>
          <w:tcPr>
            <w:tcW w:w="3300" w:type="dxa"/>
            <w:vAlign w:val="bottom"/>
            <w:vMerge w:val="restart"/>
            <w:shd w:val="clear" w:color="auto" w:fill="EAEAEA"/>
          </w:tcPr>
          <w:p>
            <w:pPr>
              <w:jc w:val="center"/>
              <w:spacing w:after="0"/>
              <w:rPr>
                <w:sz w:val="20"/>
                <w:szCs w:val="20"/>
                <w:color w:val="auto"/>
              </w:rPr>
            </w:pPr>
            <w:r>
              <w:rPr>
                <w:rFonts w:ascii="Arial" w:cs="Arial" w:eastAsia="Arial" w:hAnsi="Arial"/>
                <w:sz w:val="18"/>
                <w:szCs w:val="18"/>
                <w:b w:val="1"/>
                <w:bCs w:val="1"/>
                <w:color w:val="0086CC"/>
                <w:w w:val="99"/>
              </w:rPr>
              <w:t>REVENUES FROM CONTINUING</w:t>
            </w:r>
          </w:p>
        </w:tc>
        <w:tc>
          <w:tcPr>
            <w:tcW w:w="360" w:type="dxa"/>
            <w:vAlign w:val="bottom"/>
          </w:tcPr>
          <w:p>
            <w:pPr>
              <w:ind w:left="120"/>
              <w:spacing w:after="0"/>
              <w:rPr>
                <w:sz w:val="20"/>
                <w:szCs w:val="20"/>
                <w:color w:val="auto"/>
              </w:rPr>
            </w:pPr>
            <w:r>
              <w:rPr>
                <w:rFonts w:ascii="Arial" w:cs="Arial" w:eastAsia="Arial" w:hAnsi="Arial"/>
                <w:sz w:val="16"/>
                <w:szCs w:val="16"/>
                <w:color w:val="333333"/>
              </w:rPr>
              <w:t> </w:t>
            </w:r>
          </w:p>
        </w:tc>
        <w:tc>
          <w:tcPr>
            <w:tcW w:w="3520" w:type="dxa"/>
            <w:vAlign w:val="bottom"/>
            <w:vMerge w:val="restart"/>
            <w:shd w:val="clear" w:color="auto" w:fill="EAEAEA"/>
          </w:tcPr>
          <w:p>
            <w:pPr>
              <w:jc w:val="center"/>
              <w:spacing w:after="0"/>
              <w:rPr>
                <w:sz w:val="20"/>
                <w:szCs w:val="20"/>
                <w:color w:val="auto"/>
              </w:rPr>
            </w:pPr>
            <w:r>
              <w:rPr>
                <w:rFonts w:ascii="Arial" w:cs="Arial" w:eastAsia="Arial" w:hAnsi="Arial"/>
                <w:sz w:val="18"/>
                <w:szCs w:val="18"/>
                <w:b w:val="1"/>
                <w:bCs w:val="1"/>
                <w:color w:val="0086CC"/>
                <w:w w:val="99"/>
              </w:rPr>
              <w:t>NET EARNINGS FROM CONTINUING</w:t>
            </w:r>
          </w:p>
        </w:tc>
        <w:tc>
          <w:tcPr>
            <w:tcW w:w="320" w:type="dxa"/>
            <w:vAlign w:val="bottom"/>
          </w:tcPr>
          <w:p>
            <w:pPr>
              <w:ind w:left="100"/>
              <w:spacing w:after="0"/>
              <w:rPr>
                <w:sz w:val="20"/>
                <w:szCs w:val="20"/>
                <w:color w:val="auto"/>
              </w:rPr>
            </w:pPr>
            <w:r>
              <w:rPr>
                <w:rFonts w:ascii="Arial" w:cs="Arial" w:eastAsia="Arial" w:hAnsi="Arial"/>
                <w:sz w:val="16"/>
                <w:szCs w:val="16"/>
                <w:color w:val="333333"/>
              </w:rPr>
              <w:t> </w:t>
            </w:r>
          </w:p>
        </w:tc>
        <w:tc>
          <w:tcPr>
            <w:tcW w:w="3520" w:type="dxa"/>
            <w:vAlign w:val="bottom"/>
            <w:vMerge w:val="restart"/>
            <w:shd w:val="clear" w:color="auto" w:fill="EAEAEA"/>
          </w:tcPr>
          <w:p>
            <w:pPr>
              <w:jc w:val="center"/>
              <w:spacing w:after="0"/>
              <w:rPr>
                <w:sz w:val="20"/>
                <w:szCs w:val="20"/>
                <w:color w:val="auto"/>
              </w:rPr>
            </w:pPr>
            <w:r>
              <w:rPr>
                <w:rFonts w:ascii="Arial" w:cs="Arial" w:eastAsia="Arial" w:hAnsi="Arial"/>
                <w:sz w:val="18"/>
                <w:szCs w:val="18"/>
                <w:b w:val="1"/>
                <w:bCs w:val="1"/>
                <w:color w:val="0086CC"/>
                <w:w w:val="99"/>
              </w:rPr>
              <w:t>ADJUSTED EBITDA FROM</w:t>
            </w:r>
          </w:p>
        </w:tc>
        <w:tc>
          <w:tcPr>
            <w:tcW w:w="0" w:type="dxa"/>
            <w:vAlign w:val="bottom"/>
          </w:tcPr>
          <w:p>
            <w:pPr>
              <w:spacing w:after="0"/>
              <w:rPr>
                <w:sz w:val="1"/>
                <w:szCs w:val="1"/>
                <w:color w:val="auto"/>
              </w:rPr>
            </w:pPr>
          </w:p>
        </w:tc>
      </w:tr>
      <w:tr>
        <w:trPr>
          <w:trHeight w:val="71"/>
        </w:trPr>
        <w:tc>
          <w:tcPr>
            <w:tcW w:w="3300" w:type="dxa"/>
            <w:vAlign w:val="bottom"/>
            <w:vMerge w:val="continue"/>
            <w:shd w:val="clear" w:color="auto" w:fill="EAEAEA"/>
          </w:tcPr>
          <w:p>
            <w:pPr>
              <w:spacing w:after="0"/>
              <w:rPr>
                <w:sz w:val="6"/>
                <w:szCs w:val="6"/>
                <w:color w:val="auto"/>
              </w:rPr>
            </w:pPr>
          </w:p>
        </w:tc>
        <w:tc>
          <w:tcPr>
            <w:tcW w:w="360" w:type="dxa"/>
            <w:vAlign w:val="bottom"/>
          </w:tcPr>
          <w:p>
            <w:pPr>
              <w:spacing w:after="0"/>
              <w:rPr>
                <w:sz w:val="6"/>
                <w:szCs w:val="6"/>
                <w:color w:val="auto"/>
              </w:rPr>
            </w:pPr>
          </w:p>
        </w:tc>
        <w:tc>
          <w:tcPr>
            <w:tcW w:w="3520" w:type="dxa"/>
            <w:vAlign w:val="bottom"/>
            <w:vMerge w:val="continue"/>
            <w:shd w:val="clear" w:color="auto" w:fill="EAEAEA"/>
          </w:tcPr>
          <w:p>
            <w:pPr>
              <w:spacing w:after="0"/>
              <w:rPr>
                <w:sz w:val="6"/>
                <w:szCs w:val="6"/>
                <w:color w:val="auto"/>
              </w:rPr>
            </w:pPr>
          </w:p>
        </w:tc>
        <w:tc>
          <w:tcPr>
            <w:tcW w:w="320" w:type="dxa"/>
            <w:vAlign w:val="bottom"/>
          </w:tcPr>
          <w:p>
            <w:pPr>
              <w:spacing w:after="0"/>
              <w:rPr>
                <w:sz w:val="6"/>
                <w:szCs w:val="6"/>
                <w:color w:val="auto"/>
              </w:rPr>
            </w:pPr>
          </w:p>
        </w:tc>
        <w:tc>
          <w:tcPr>
            <w:tcW w:w="3520" w:type="dxa"/>
            <w:vAlign w:val="bottom"/>
            <w:vMerge w:val="continue"/>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0086CC"/>
                <w:w w:val="99"/>
              </w:rPr>
              <w:t>OPERATIONS</w:t>
            </w:r>
          </w:p>
        </w:tc>
        <w:tc>
          <w:tcPr>
            <w:tcW w:w="360" w:type="dxa"/>
            <w:vAlign w:val="bottom"/>
          </w:tcPr>
          <w:p>
            <w:pPr>
              <w:spacing w:after="0"/>
              <w:rPr>
                <w:sz w:val="17"/>
                <w:szCs w:val="17"/>
                <w:color w:val="auto"/>
              </w:rPr>
            </w:pPr>
          </w:p>
        </w:tc>
        <w:tc>
          <w:tcPr>
            <w:tcW w:w="352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0086CC"/>
                <w:w w:val="98"/>
              </w:rPr>
              <w:t>OPERATIONS ATTRIBUTABLE TO</w:t>
            </w:r>
          </w:p>
        </w:tc>
        <w:tc>
          <w:tcPr>
            <w:tcW w:w="320" w:type="dxa"/>
            <w:vAlign w:val="bottom"/>
          </w:tcPr>
          <w:p>
            <w:pPr>
              <w:spacing w:after="0"/>
              <w:rPr>
                <w:sz w:val="17"/>
                <w:szCs w:val="17"/>
                <w:color w:val="auto"/>
              </w:rPr>
            </w:pPr>
          </w:p>
        </w:tc>
        <w:tc>
          <w:tcPr>
            <w:tcW w:w="352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0086CC"/>
                <w:w w:val="99"/>
              </w:rPr>
              <w:t>CONTINUING OPERATIONS</w:t>
            </w:r>
          </w:p>
        </w:tc>
        <w:tc>
          <w:tcPr>
            <w:tcW w:w="0" w:type="dxa"/>
            <w:vAlign w:val="bottom"/>
          </w:tcPr>
          <w:p>
            <w:pPr>
              <w:spacing w:after="0"/>
              <w:rPr>
                <w:sz w:val="1"/>
                <w:szCs w:val="1"/>
                <w:color w:val="auto"/>
              </w:rPr>
            </w:pPr>
          </w:p>
        </w:tc>
      </w:tr>
      <w:tr>
        <w:trPr>
          <w:trHeight w:val="247"/>
        </w:trPr>
        <w:tc>
          <w:tcPr>
            <w:tcW w:w="3300" w:type="dxa"/>
            <w:vAlign w:val="bottom"/>
            <w:vMerge w:val="restart"/>
            <w:shd w:val="clear" w:color="auto" w:fill="EAEAEA"/>
          </w:tcPr>
          <w:p>
            <w:pPr>
              <w:jc w:val="center"/>
              <w:spacing w:after="0"/>
              <w:rPr>
                <w:sz w:val="20"/>
                <w:szCs w:val="20"/>
                <w:color w:val="auto"/>
              </w:rPr>
            </w:pPr>
            <w:r>
              <w:rPr>
                <w:rFonts w:ascii="Arial" w:cs="Arial" w:eastAsia="Arial" w:hAnsi="Arial"/>
                <w:sz w:val="63"/>
                <w:szCs w:val="63"/>
                <w:color w:val="4D5357"/>
              </w:rPr>
              <w:t>$6.2B</w:t>
            </w:r>
          </w:p>
        </w:tc>
        <w:tc>
          <w:tcPr>
            <w:tcW w:w="360" w:type="dxa"/>
            <w:vAlign w:val="bottom"/>
          </w:tcPr>
          <w:p>
            <w:pPr>
              <w:spacing w:after="0"/>
              <w:rPr>
                <w:sz w:val="21"/>
                <w:szCs w:val="21"/>
                <w:color w:val="auto"/>
              </w:rPr>
            </w:pPr>
          </w:p>
        </w:tc>
        <w:tc>
          <w:tcPr>
            <w:tcW w:w="3520" w:type="dxa"/>
            <w:vAlign w:val="bottom"/>
            <w:shd w:val="clear" w:color="auto" w:fill="EAEAEA"/>
          </w:tcPr>
          <w:p>
            <w:pPr>
              <w:jc w:val="center"/>
              <w:spacing w:after="0"/>
              <w:rPr>
                <w:sz w:val="20"/>
                <w:szCs w:val="20"/>
                <w:color w:val="auto"/>
              </w:rPr>
            </w:pPr>
            <w:r>
              <w:rPr>
                <w:rFonts w:ascii="Arial" w:cs="Arial" w:eastAsia="Arial" w:hAnsi="Arial"/>
                <w:sz w:val="18"/>
                <w:szCs w:val="18"/>
                <w:b w:val="1"/>
                <w:bCs w:val="1"/>
                <w:color w:val="0086CC"/>
                <w:w w:val="99"/>
              </w:rPr>
              <w:t>MARTIN MARIETTA</w:t>
            </w:r>
          </w:p>
        </w:tc>
        <w:tc>
          <w:tcPr>
            <w:tcW w:w="320" w:type="dxa"/>
            <w:vAlign w:val="bottom"/>
          </w:tcPr>
          <w:p>
            <w:pPr>
              <w:spacing w:after="0"/>
              <w:rPr>
                <w:sz w:val="21"/>
                <w:szCs w:val="21"/>
                <w:color w:val="auto"/>
              </w:rPr>
            </w:pPr>
          </w:p>
        </w:tc>
        <w:tc>
          <w:tcPr>
            <w:tcW w:w="3520" w:type="dxa"/>
            <w:vAlign w:val="bottom"/>
            <w:vMerge w:val="restart"/>
            <w:shd w:val="clear" w:color="auto" w:fill="EAEAEA"/>
          </w:tcPr>
          <w:p>
            <w:pPr>
              <w:jc w:val="center"/>
              <w:spacing w:after="0"/>
              <w:rPr>
                <w:sz w:val="20"/>
                <w:szCs w:val="20"/>
                <w:color w:val="auto"/>
              </w:rPr>
            </w:pPr>
            <w:r>
              <w:rPr>
                <w:rFonts w:ascii="Arial" w:cs="Arial" w:eastAsia="Arial" w:hAnsi="Arial"/>
                <w:sz w:val="63"/>
                <w:szCs w:val="63"/>
                <w:color w:val="4D5357"/>
              </w:rPr>
              <w:t>$2.1B*</w:t>
            </w:r>
          </w:p>
        </w:tc>
        <w:tc>
          <w:tcPr>
            <w:tcW w:w="0" w:type="dxa"/>
            <w:vAlign w:val="bottom"/>
          </w:tcPr>
          <w:p>
            <w:pPr>
              <w:spacing w:after="0"/>
              <w:rPr>
                <w:sz w:val="1"/>
                <w:szCs w:val="1"/>
                <w:color w:val="auto"/>
              </w:rPr>
            </w:pPr>
          </w:p>
        </w:tc>
      </w:tr>
      <w:tr>
        <w:trPr>
          <w:trHeight w:val="638"/>
        </w:trPr>
        <w:tc>
          <w:tcPr>
            <w:tcW w:w="3300" w:type="dxa"/>
            <w:vAlign w:val="bottom"/>
            <w:vMerge w:val="continue"/>
            <w:shd w:val="clear" w:color="auto" w:fill="EAEAEA"/>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vMerge w:val="restart"/>
            <w:shd w:val="clear" w:color="auto" w:fill="EAEAEA"/>
          </w:tcPr>
          <w:p>
            <w:pPr>
              <w:jc w:val="center"/>
              <w:spacing w:after="0"/>
              <w:rPr>
                <w:sz w:val="20"/>
                <w:szCs w:val="20"/>
                <w:color w:val="auto"/>
              </w:rPr>
            </w:pPr>
            <w:r>
              <w:rPr>
                <w:rFonts w:ascii="Arial" w:cs="Arial" w:eastAsia="Arial" w:hAnsi="Arial"/>
                <w:sz w:val="63"/>
                <w:szCs w:val="63"/>
                <w:color w:val="4D5357"/>
                <w:w w:val="99"/>
              </w:rPr>
              <w:t>$1.0B</w:t>
            </w:r>
          </w:p>
        </w:tc>
        <w:tc>
          <w:tcPr>
            <w:tcW w:w="320" w:type="dxa"/>
            <w:vAlign w:val="bottom"/>
          </w:tcPr>
          <w:p>
            <w:pPr>
              <w:spacing w:after="0"/>
              <w:rPr>
                <w:sz w:val="24"/>
                <w:szCs w:val="24"/>
                <w:color w:val="auto"/>
              </w:rPr>
            </w:pPr>
          </w:p>
        </w:tc>
        <w:tc>
          <w:tcPr>
            <w:tcW w:w="3520" w:type="dxa"/>
            <w:vAlign w:val="bottom"/>
            <w:vMerge w:val="continue"/>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300" w:type="dxa"/>
            <w:vAlign w:val="bottom"/>
            <w:shd w:val="clear" w:color="auto" w:fill="EAEAEA"/>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vMerge w:val="continue"/>
            <w:shd w:val="clear" w:color="auto" w:fill="EAEAEA"/>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4"/>
          </w:cols>
          <w:pgMar w:left="436" w:top="31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83" w:lineRule="exact"/>
        <w:rPr>
          <w:sz w:val="20"/>
          <w:szCs w:val="20"/>
          <w:color w:val="auto"/>
        </w:rPr>
      </w:pPr>
    </w:p>
    <w:p>
      <w:pPr>
        <w:ind w:left="4"/>
        <w:spacing w:after="0" w:line="254" w:lineRule="auto"/>
        <w:rPr>
          <w:sz w:val="20"/>
          <w:szCs w:val="20"/>
          <w:color w:val="auto"/>
        </w:rPr>
      </w:pPr>
      <w:r>
        <w:rPr>
          <w:rFonts w:ascii="Arial" w:cs="Arial" w:eastAsia="Arial" w:hAnsi="Arial"/>
          <w:sz w:val="16"/>
          <w:szCs w:val="16"/>
          <w:color w:val="333333"/>
        </w:rPr>
        <w:t>In doing so, we extended our long-track record of delivering above-market returns since the launch of SOAR in 2010. Our cumulative Total Shareholder Return (TSR) since the start of SOAR 2025 on January 1, 2021 is 126% as compared with the S&amp;P 500’s TSR of 96%. These significant accomplishments demonstrate that Martin Marietta has built an increasingly resilient, efficient and cash flow generative business.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Significant Portfolio Actions</w:t>
      </w:r>
    </w:p>
    <w:p>
      <w:pPr>
        <w:spacing w:after="0" w:line="123"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333333"/>
        </w:rPr>
        <w:t>In 2025, we continued to strengthen and streamline our portfolio through strategic actions. A key milestone was reaching a definitive agreement for an asset exchange with Quikrete Holdings, Inc. (QUIKRETE), which subsequently closed after year-end in February. Through this transaction, Martin Marietta received aggregates operations producing approximately 20 million tons annually in Virginia, Missouri, Kansas and Vancouver, British Columbia, as well as $450 million in cash. In exchange, QUIKRETE received our Midlothian cement plant, related cement terminals, Texas ready-mixed concrete assets, and certain nonoperating land. Through the tax-efficient exchange of cyclical cement and ready-mixed concrete assets for the largest aggregates acquisition in our Company’s history, we reaffirmed our disciplined approach to capital allocation and commitment to higher-value, strategically aligned assets. This portfolio-enhancing transaction established new growth platforms in key SOAR-target markets while further strengthening our differentiated Central Division footprint.</w:t>
      </w:r>
    </w:p>
    <w:p>
      <w:pPr>
        <w:spacing w:after="0" w:line="269" w:lineRule="exact"/>
        <w:rPr>
          <w:sz w:val="20"/>
          <w:szCs w:val="20"/>
          <w:color w:val="auto"/>
        </w:rPr>
      </w:pPr>
    </w:p>
    <w:p>
      <w:pPr>
        <w:ind w:left="4" w:right="20"/>
        <w:spacing w:after="0" w:line="256" w:lineRule="auto"/>
        <w:rPr>
          <w:sz w:val="20"/>
          <w:szCs w:val="20"/>
          <w:color w:val="auto"/>
        </w:rPr>
      </w:pPr>
      <w:r>
        <w:rPr>
          <w:rFonts w:ascii="Arial" w:cs="Arial" w:eastAsia="Arial" w:hAnsi="Arial"/>
          <w:sz w:val="16"/>
          <w:szCs w:val="16"/>
          <w:color w:val="333333"/>
        </w:rPr>
        <w:t>In December 2025, we expanded our presence in Minnesota with the acquisition of certain aggregates and FOB asphalt assets from CRH plc. This complementary bolt-on enhances the Company’s existing operations in the Twin Cities and St. Cloud markets while also adding approximately 40 million tons of aggregates reserves to our already long-lived assets.</w:t>
      </w:r>
    </w:p>
    <w:p>
      <w:pPr>
        <w:spacing w:after="0" w:line="72" w:lineRule="exact"/>
        <w:rPr>
          <w:sz w:val="20"/>
          <w:szCs w:val="20"/>
          <w:color w:val="auto"/>
        </w:rPr>
      </w:pPr>
    </w:p>
    <w:p>
      <w:pPr>
        <w:ind w:left="4" w:right="40"/>
        <w:spacing w:after="0" w:line="250" w:lineRule="auto"/>
        <w:rPr>
          <w:sz w:val="20"/>
          <w:szCs w:val="20"/>
          <w:color w:val="auto"/>
        </w:rPr>
      </w:pPr>
      <w:r>
        <w:rPr>
          <w:rFonts w:ascii="Arial" w:cs="Arial" w:eastAsia="Arial" w:hAnsi="Arial"/>
          <w:sz w:val="16"/>
          <w:szCs w:val="16"/>
          <w:color w:val="333333"/>
        </w:rPr>
        <w:t>In addition, we completed the acquisition of Premier Magnesia, LLC (Premier), a privately-owned producer of magnesia-based products with operations in Nevada, North Carolina, Indiana and Pennsylvania, enhancing the Company’s position as the leading producer of natural and synthetic magnesia-based products in the United States. This acquisition wholly aligns with our strategic plan to grow our highly complementary Specialties business, which possesses aggregates-like characteristics, compelling margins and core competencies closely tied to our traditional strengths in drilling, blasting, loading, hauling and crushing rock. Our active portfolio management continues to maximize the value of our business for our shareholders.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Governance and Board Refreshment</w:t>
      </w:r>
    </w:p>
    <w:p>
      <w:pPr>
        <w:spacing w:after="0" w:line="12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333333"/>
        </w:rPr>
        <w:t>Martin Marietta is committed to strong corporate governance and ensuring a diverse set of skills and backgrounds on the Board of Directors. We believe our balanced mix of Board members with different backgrounds and qualifications, including tenure, brings the right blend of independence and diversity that combines experience continuity through business cycles with fresh perspective. At the Company’s 2026 Annual Meeting of Shareholders, John J. Koraleski and Sue W. Cole will retire. Mr. Koraleski and Ms. Cole have been superb and insightful members of our Board; we are extremely grateful for their steady guidance and thoughtful leadership throughout their respective Board tenures. We wish them well in retirement. We are nominating Gayla J. Delly and Martin J. Lyons, Jr. to serve on our Board. Ms. Delly is the former President and Chief Executive Officer of Benchmark Electronics, Inc., a company that provides contract manufacturing, design, engineering, test and distribution services to manufacturers of computers, medical devices, telecommunications equipment and industrial control and test instruments. Mr. Lyons is Chairman, President and Chief Executive Officer, Ameren Corporation.</w:t>
      </w:r>
    </w:p>
    <w:p>
      <w:pPr>
        <w:spacing w:after="0" w:line="128"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Your Vote Matters</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6"/>
          <w:szCs w:val="16"/>
          <w:color w:val="333333"/>
        </w:rPr>
        <w:t>I urge you to promptly cast your vote. You may do so by either returning the enclosed Proxy Card or by the electronic or telephone options described in our Proxy Statement. On behalf of our Board of Directors, thank you for your investment in Martin Marietta. We look forward to continuing to deliver strong and responsible performance, innovation and growth to our customers, shareholders and other stakeholders.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33333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1191260"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C. HOWARD NYE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333333"/>
        </w:rPr>
        <w:t>Chair of the Board, President and Chief Executive Officer</w:t>
      </w:r>
    </w:p>
    <w:p>
      <w:pPr>
        <w:spacing w:after="0" w:line="1325" w:lineRule="exact"/>
        <w:rPr>
          <w:sz w:val="20"/>
          <w:szCs w:val="20"/>
          <w:color w:val="auto"/>
        </w:rPr>
      </w:pPr>
    </w:p>
    <w:p>
      <w:pPr>
        <w:sectPr>
          <w:pgSz w:w="11900" w:h="16838" w:orient="portrait"/>
          <w:cols w:equalWidth="0" w:num="2">
            <w:col w:w="5284" w:space="340"/>
            <w:col w:w="5400"/>
          </w:cols>
          <w:pgMar w:left="436" w:top="315" w:right="439" w:bottom="1440" w:gutter="0" w:footer="0" w:header="0"/>
          <w:type w:val="continuous"/>
        </w:sectPr>
      </w:pPr>
    </w:p>
    <w:p>
      <w:pPr>
        <w:spacing w:after="0" w:line="41" w:lineRule="exact"/>
        <w:rPr>
          <w:sz w:val="20"/>
          <w:szCs w:val="20"/>
          <w:color w:val="auto"/>
        </w:rPr>
      </w:pPr>
    </w:p>
    <w:p>
      <w:pPr>
        <w:ind w:left="224" w:right="280" w:hanging="224"/>
        <w:spacing w:after="0" w:line="266" w:lineRule="auto"/>
        <w:tabs>
          <w:tab w:leader="none" w:pos="224" w:val="left"/>
        </w:tabs>
        <w:numPr>
          <w:ilvl w:val="0"/>
          <w:numId w:val="6"/>
        </w:numPr>
        <w:rPr>
          <w:rFonts w:ascii="Arial" w:cs="Arial" w:eastAsia="Arial" w:hAnsi="Arial"/>
          <w:sz w:val="16"/>
          <w:szCs w:val="16"/>
          <w:color w:val="333333"/>
        </w:rPr>
      </w:pPr>
      <w:r>
        <w:rPr>
          <w:rFonts w:ascii="Arial" w:cs="Arial" w:eastAsia="Arial" w:hAnsi="Arial"/>
          <w:sz w:val="16"/>
          <w:szCs w:val="16"/>
          <w:color w:val="333333"/>
        </w:rPr>
        <w:t>Adjusted EBITDA from continuing operations is not a measure under generally accepted accounting principles in the United States (GAAP). Please see Appendix B for a reconciliation of non-GAAP measures to GAAP measures and other disclosures related to the presentation of non-GAAP measures.</w:t>
      </w:r>
    </w:p>
    <w:p>
      <w:pPr>
        <w:spacing w:after="0" w:line="34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ind w:left="4"/>
        <w:spacing w:after="0"/>
        <w:tabs>
          <w:tab w:leader="none" w:pos="4564" w:val="left"/>
          <w:tab w:leader="none" w:pos="10224"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b w:val="1"/>
          <w:bCs w:val="1"/>
          <w:color w:val="auto"/>
        </w:rPr>
        <w:t>2026 PROXY STATEMENT</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4"/>
          </w:cols>
          <w:pgMar w:left="436" w:top="315" w:right="4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0086CC"/>
        </w:rPr>
        <w:t>BOARD</w:t>
      </w:r>
    </w:p>
    <w:p>
      <w:pPr>
        <w:spacing w:after="0" w:line="21" w:lineRule="exact"/>
        <w:rPr>
          <w:sz w:val="20"/>
          <w:szCs w:val="20"/>
          <w:color w:val="auto"/>
        </w:rPr>
      </w:pPr>
    </w:p>
    <w:p>
      <w:pPr>
        <w:ind w:left="60"/>
        <w:spacing w:after="0"/>
        <w:tabs>
          <w:tab w:leader="none" w:pos="4480" w:val="left"/>
          <w:tab w:leader="none" w:pos="6580" w:val="left"/>
        </w:tabs>
        <w:rPr>
          <w:sz w:val="20"/>
          <w:szCs w:val="20"/>
          <w:color w:val="auto"/>
        </w:rPr>
      </w:pPr>
      <w:r>
        <w:rPr>
          <w:rFonts w:ascii="Arial" w:cs="Arial" w:eastAsia="Arial" w:hAnsi="Arial"/>
          <w:sz w:val="16"/>
          <w:szCs w:val="16"/>
          <w:b w:val="1"/>
          <w:bCs w:val="1"/>
          <w:color w:val="0086CC"/>
        </w:rPr>
        <w:t>ITEM OF BUSINESS</w:t>
      </w:r>
      <w:r>
        <w:rPr>
          <w:sz w:val="20"/>
          <w:szCs w:val="20"/>
          <w:color w:val="auto"/>
        </w:rPr>
        <w:tab/>
      </w:r>
      <w:r>
        <w:rPr>
          <w:rFonts w:ascii="Arial" w:cs="Arial" w:eastAsia="Arial" w:hAnsi="Arial"/>
          <w:sz w:val="16"/>
          <w:szCs w:val="16"/>
          <w:b w:val="1"/>
          <w:bCs w:val="1"/>
          <w:color w:val="0086CC"/>
        </w:rPr>
        <w:t>RECOMMENDATION</w:t>
      </w:r>
      <w:r>
        <w:rPr>
          <w:sz w:val="20"/>
          <w:szCs w:val="20"/>
          <w:color w:val="auto"/>
        </w:rPr>
        <w:tab/>
      </w:r>
      <w:r>
        <w:rPr>
          <w:rFonts w:ascii="Arial" w:cs="Arial" w:eastAsia="Arial" w:hAnsi="Arial"/>
          <w:sz w:val="15"/>
          <w:szCs w:val="15"/>
          <w:b w:val="1"/>
          <w:bCs w:val="1"/>
          <w:color w:val="0086CC"/>
        </w:rPr>
        <w:t>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0086CC"/>
        </w:rPr>
        <w:t>DATE &amp;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-188595</wp:posOffset>
            </wp:positionV>
            <wp:extent cx="2305685"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568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333333"/>
        </w:rPr>
        <w:t>       </w:t>
      </w:r>
    </w:p>
    <w:p>
      <w:pPr>
        <w:spacing w:after="0" w:line="258" w:lineRule="exact"/>
        <w:rPr>
          <w:sz w:val="20"/>
          <w:szCs w:val="20"/>
          <w:color w:val="auto"/>
        </w:rPr>
      </w:pPr>
    </w:p>
    <w:p>
      <w:pPr>
        <w:sectPr>
          <w:pgSz w:w="11900" w:h="16838" w:orient="portrait"/>
          <w:cols w:equalWidth="0" w:num="3">
            <w:col w:w="7780" w:space="720"/>
            <w:col w:w="1400" w:space="720"/>
            <w:col w:w="400"/>
          </w:cols>
          <w:pgMar w:left="440" w:top="1440" w:right="439" w:bottom="144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0" w:type="dxa"/>
            <w:vAlign w:val="bottom"/>
            <w:vMerge w:val="restart"/>
          </w:tcPr>
          <w:p>
            <w:pPr>
              <w:jc w:val="right"/>
              <w:ind w:right="120"/>
              <w:spacing w:after="0"/>
              <w:rPr>
                <w:sz w:val="20"/>
                <w:szCs w:val="20"/>
                <w:color w:val="auto"/>
              </w:rPr>
            </w:pPr>
            <w:r>
              <w:rPr>
                <w:rFonts w:ascii="Arial" w:cs="Arial" w:eastAsia="Arial" w:hAnsi="Arial"/>
                <w:sz w:val="36"/>
                <w:szCs w:val="36"/>
                <w:color w:val="4D5357"/>
              </w:rPr>
              <w:t>1</w:t>
            </w:r>
          </w:p>
        </w:tc>
        <w:tc>
          <w:tcPr>
            <w:tcW w:w="4660" w:type="dxa"/>
            <w:vAlign w:val="bottom"/>
          </w:tcPr>
          <w:p>
            <w:pPr>
              <w:ind w:left="300"/>
              <w:spacing w:after="0"/>
              <w:rPr>
                <w:sz w:val="20"/>
                <w:szCs w:val="20"/>
                <w:color w:val="auto"/>
              </w:rPr>
            </w:pPr>
            <w:r>
              <w:rPr>
                <w:rFonts w:ascii="Arial" w:cs="Arial" w:eastAsia="Arial" w:hAnsi="Arial"/>
                <w:sz w:val="16"/>
                <w:szCs w:val="16"/>
                <w:color w:val="4D5357"/>
              </w:rPr>
              <w:t>To elect the 10 directors identified in this</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00" w:type="dxa"/>
            <w:vAlign w:val="bottom"/>
            <w:vMerge w:val="continue"/>
          </w:tcPr>
          <w:p>
            <w:pPr>
              <w:spacing w:after="0"/>
              <w:rPr>
                <w:sz w:val="21"/>
                <w:szCs w:val="21"/>
                <w:color w:val="auto"/>
              </w:rPr>
            </w:pPr>
          </w:p>
        </w:tc>
        <w:tc>
          <w:tcPr>
            <w:tcW w:w="4660" w:type="dxa"/>
            <w:vAlign w:val="bottom"/>
          </w:tcPr>
          <w:p>
            <w:pPr>
              <w:ind w:left="300"/>
              <w:spacing w:after="0"/>
              <w:rPr>
                <w:sz w:val="20"/>
                <w:szCs w:val="20"/>
                <w:color w:val="auto"/>
              </w:rPr>
            </w:pPr>
            <w:r>
              <w:rPr>
                <w:rFonts w:ascii="Arial" w:cs="Arial" w:eastAsia="Arial" w:hAnsi="Arial"/>
                <w:sz w:val="16"/>
                <w:szCs w:val="16"/>
                <w:color w:val="4D5357"/>
              </w:rPr>
              <w:t>proxy statement</w:t>
            </w:r>
          </w:p>
        </w:tc>
        <w:tc>
          <w:tcPr>
            <w:tcW w:w="1780" w:type="dxa"/>
            <w:vAlign w:val="bottom"/>
          </w:tcPr>
          <w:p>
            <w:pPr>
              <w:jc w:val="right"/>
              <w:ind w:right="59"/>
              <w:spacing w:after="0"/>
              <w:rPr>
                <w:sz w:val="20"/>
                <w:szCs w:val="20"/>
                <w:color w:val="auto"/>
              </w:rPr>
            </w:pPr>
            <w:r>
              <w:rPr>
                <w:rFonts w:ascii="Arial" w:cs="Arial" w:eastAsia="Arial" w:hAnsi="Arial"/>
                <w:sz w:val="16"/>
                <w:szCs w:val="16"/>
                <w:color w:val="4D5357"/>
              </w:rPr>
              <w:t>24</w:t>
            </w:r>
          </w:p>
        </w:tc>
        <w:tc>
          <w:tcPr>
            <w:tcW w:w="0" w:type="dxa"/>
            <w:vAlign w:val="bottom"/>
          </w:tcPr>
          <w:p>
            <w:pPr>
              <w:spacing w:after="0"/>
              <w:rPr>
                <w:sz w:val="1"/>
                <w:szCs w:val="1"/>
                <w:color w:val="auto"/>
              </w:rPr>
            </w:pPr>
          </w:p>
        </w:tc>
      </w:tr>
      <w:tr>
        <w:trPr>
          <w:trHeight w:val="33"/>
        </w:trPr>
        <w:tc>
          <w:tcPr>
            <w:tcW w:w="600" w:type="dxa"/>
            <w:vAlign w:val="bottom"/>
            <w:tcBorders>
              <w:bottom w:val="single" w:sz="8" w:color="4D5357"/>
            </w:tcBorders>
          </w:tcPr>
          <w:p>
            <w:pPr>
              <w:spacing w:after="0"/>
              <w:rPr>
                <w:sz w:val="2"/>
                <w:szCs w:val="2"/>
                <w:color w:val="auto"/>
              </w:rPr>
            </w:pPr>
          </w:p>
        </w:tc>
        <w:tc>
          <w:tcPr>
            <w:tcW w:w="4660" w:type="dxa"/>
            <w:vAlign w:val="bottom"/>
            <w:tcBorders>
              <w:bottom w:val="single" w:sz="8" w:color="4D5357"/>
            </w:tcBorders>
          </w:tcPr>
          <w:p>
            <w:pPr>
              <w:spacing w:after="0"/>
              <w:rPr>
                <w:sz w:val="2"/>
                <w:szCs w:val="2"/>
                <w:color w:val="auto"/>
              </w:rPr>
            </w:pPr>
          </w:p>
        </w:tc>
        <w:tc>
          <w:tcPr>
            <w:tcW w:w="1780" w:type="dxa"/>
            <w:vAlign w:val="bottom"/>
            <w:tcBorders>
              <w:bottom w:val="single" w:sz="8" w:color="4D5357"/>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0" w:type="dxa"/>
            <w:vAlign w:val="bottom"/>
          </w:tcPr>
          <w:p>
            <w:pPr>
              <w:spacing w:after="0"/>
              <w:rPr>
                <w:sz w:val="11"/>
                <w:szCs w:val="11"/>
                <w:color w:val="auto"/>
              </w:rPr>
            </w:pPr>
          </w:p>
        </w:tc>
        <w:tc>
          <w:tcPr>
            <w:tcW w:w="4660" w:type="dxa"/>
            <w:vAlign w:val="bottom"/>
          </w:tcPr>
          <w:p>
            <w:pPr>
              <w:ind w:left="300"/>
              <w:spacing w:after="0" w:line="127" w:lineRule="exact"/>
              <w:rPr>
                <w:sz w:val="20"/>
                <w:szCs w:val="20"/>
                <w:color w:val="auto"/>
              </w:rPr>
            </w:pPr>
            <w:r>
              <w:rPr>
                <w:rFonts w:ascii="Arial" w:cs="Arial" w:eastAsia="Arial" w:hAnsi="Arial"/>
                <w:sz w:val="14"/>
                <w:szCs w:val="14"/>
                <w:color w:val="4D5357"/>
              </w:rPr>
              <w:t>To ratify the appointment of</w:t>
            </w: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4474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-306705</wp:posOffset>
            </wp:positionV>
            <wp:extent cx="18859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65" w:lineRule="auto"/>
        <w:rPr>
          <w:sz w:val="20"/>
          <w:szCs w:val="20"/>
          <w:color w:val="auto"/>
        </w:rPr>
      </w:pPr>
      <w:r>
        <w:rPr>
          <w:rFonts w:ascii="Arial" w:cs="Arial" w:eastAsia="Arial" w:hAnsi="Arial"/>
          <w:sz w:val="16"/>
          <w:szCs w:val="16"/>
          <w:color w:val="4D5357"/>
        </w:rPr>
        <w:t>Thursday, May 14, 2026 8:00 a.m. ET</w:t>
      </w:r>
    </w:p>
    <w:p>
      <w:pPr>
        <w:spacing w:after="0" w:line="306" w:lineRule="exact"/>
        <w:rPr>
          <w:sz w:val="20"/>
          <w:szCs w:val="20"/>
          <w:color w:val="auto"/>
        </w:rPr>
      </w:pPr>
    </w:p>
    <w:p>
      <w:pPr>
        <w:sectPr>
          <w:pgSz w:w="11900" w:h="16838" w:orient="portrait"/>
          <w:cols w:equalWidth="0" w:num="2">
            <w:col w:w="7780" w:space="720"/>
            <w:col w:w="2520"/>
          </w:cols>
          <w:pgMar w:left="440" w:top="1440" w:right="439" w:bottom="1440" w:gutter="0" w:footer="0" w:header="0"/>
          <w:type w:val="continuous"/>
        </w:sectPr>
      </w:pPr>
    </w:p>
    <w:tbl>
      <w:tblPr>
        <w:tblLayout w:type="fixed"/>
        <w:tblInd w:w="100" w:type="dxa"/>
        <w:tblCellMar>
          <w:top w:w="0" w:type="dxa"/>
          <w:left w:w="0" w:type="dxa"/>
          <w:bottom w:w="0" w:type="dxa"/>
          <w:right w:w="0" w:type="dxa"/>
        </w:tblCellMar>
      </w:tblPr>
      <w:tr>
        <w:trPr>
          <w:trHeight w:val="298"/>
        </w:trPr>
        <w:tc>
          <w:tcPr>
            <w:tcW w:w="500" w:type="dxa"/>
            <w:vAlign w:val="bottom"/>
            <w:vMerge w:val="restart"/>
          </w:tcPr>
          <w:p>
            <w:pPr>
              <w:jc w:val="right"/>
              <w:ind w:right="120"/>
              <w:spacing w:after="0"/>
              <w:rPr>
                <w:sz w:val="20"/>
                <w:szCs w:val="20"/>
                <w:color w:val="auto"/>
              </w:rPr>
            </w:pPr>
            <w:r>
              <w:rPr>
                <w:rFonts w:ascii="Arial" w:cs="Arial" w:eastAsia="Arial" w:hAnsi="Arial"/>
                <w:sz w:val="36"/>
                <w:szCs w:val="36"/>
                <w:color w:val="4D5357"/>
                <w:w w:val="89"/>
              </w:rPr>
              <w:t>2</w:t>
            </w:r>
          </w:p>
        </w:tc>
        <w:tc>
          <w:tcPr>
            <w:tcW w:w="4400" w:type="dxa"/>
            <w:vAlign w:val="bottom"/>
          </w:tcPr>
          <w:p>
            <w:pPr>
              <w:ind w:left="300"/>
              <w:spacing w:after="0"/>
              <w:rPr>
                <w:sz w:val="20"/>
                <w:szCs w:val="20"/>
                <w:color w:val="auto"/>
              </w:rPr>
            </w:pPr>
            <w:r>
              <w:rPr>
                <w:rFonts w:ascii="Arial" w:cs="Arial" w:eastAsia="Arial" w:hAnsi="Arial"/>
                <w:sz w:val="16"/>
                <w:szCs w:val="16"/>
                <w:color w:val="4D5357"/>
              </w:rPr>
              <w:t>PricewaterhouseCoopers LLP as</w:t>
            </w:r>
          </w:p>
        </w:tc>
        <w:tc>
          <w:tcPr>
            <w:tcW w:w="1900" w:type="dxa"/>
            <w:vAlign w:val="bottom"/>
          </w:tcPr>
          <w:p>
            <w:pPr>
              <w:jc w:val="right"/>
              <w:spacing w:after="0"/>
              <w:rPr>
                <w:sz w:val="20"/>
                <w:szCs w:val="20"/>
                <w:color w:val="auto"/>
              </w:rPr>
            </w:pPr>
            <w:r>
              <w:rPr>
                <w:rFonts w:ascii="Arial" w:cs="Arial" w:eastAsia="Arial" w:hAnsi="Arial"/>
                <w:sz w:val="16"/>
                <w:szCs w:val="16"/>
                <w:color w:val="4D5357"/>
              </w:rPr>
              <w:t>43</w:t>
            </w:r>
          </w:p>
        </w:tc>
        <w:tc>
          <w:tcPr>
            <w:tcW w:w="0" w:type="dxa"/>
            <w:vAlign w:val="bottom"/>
          </w:tcPr>
          <w:p>
            <w:pPr>
              <w:spacing w:after="0"/>
              <w:rPr>
                <w:sz w:val="1"/>
                <w:szCs w:val="1"/>
                <w:color w:val="auto"/>
              </w:rPr>
            </w:pPr>
          </w:p>
        </w:tc>
      </w:tr>
      <w:tr>
        <w:trPr>
          <w:trHeight w:val="163"/>
        </w:trPr>
        <w:tc>
          <w:tcPr>
            <w:tcW w:w="500" w:type="dxa"/>
            <w:vAlign w:val="bottom"/>
            <w:vMerge w:val="continue"/>
          </w:tcPr>
          <w:p>
            <w:pPr>
              <w:spacing w:after="0"/>
              <w:rPr>
                <w:sz w:val="14"/>
                <w:szCs w:val="14"/>
                <w:color w:val="auto"/>
              </w:rPr>
            </w:pPr>
          </w:p>
        </w:tc>
        <w:tc>
          <w:tcPr>
            <w:tcW w:w="4400" w:type="dxa"/>
            <w:vAlign w:val="bottom"/>
          </w:tcPr>
          <w:p>
            <w:pPr>
              <w:ind w:left="300"/>
              <w:spacing w:after="0" w:line="124" w:lineRule="exact"/>
              <w:rPr>
                <w:sz w:val="20"/>
                <w:szCs w:val="20"/>
                <w:color w:val="auto"/>
              </w:rPr>
            </w:pPr>
            <w:r>
              <w:rPr>
                <w:rFonts w:ascii="Arial" w:cs="Arial" w:eastAsia="Arial" w:hAnsi="Arial"/>
                <w:sz w:val="14"/>
                <w:szCs w:val="14"/>
                <w:color w:val="4D5357"/>
              </w:rPr>
              <w:t>independent auditors for 2026</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-247650</wp:posOffset>
            </wp:positionV>
            <wp:extent cx="18859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0086CC"/>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-188595</wp:posOffset>
            </wp:positionV>
            <wp:extent cx="2305685" cy="865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05685" cy="865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333333"/>
        </w:rPr>
        <w:t>       </w:t>
      </w:r>
    </w:p>
    <w:p>
      <w:pPr>
        <w:spacing w:after="0" w:line="297" w:lineRule="exact"/>
        <w:rPr>
          <w:sz w:val="20"/>
          <w:szCs w:val="20"/>
          <w:color w:val="auto"/>
        </w:rPr>
      </w:pPr>
    </w:p>
    <w:p>
      <w:pPr>
        <w:sectPr>
          <w:pgSz w:w="11900" w:h="16838" w:orient="portrait"/>
          <w:cols w:equalWidth="0" w:num="3">
            <w:col w:w="7780" w:space="720"/>
            <w:col w:w="1400" w:space="720"/>
            <w:col w:w="400"/>
          </w:cols>
          <w:pgMar w:left="440" w:top="1440" w:right="439" w:bottom="1440" w:gutter="0" w:footer="0" w:header="0"/>
          <w:type w:val="continuous"/>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 w:type="dxa"/>
            <w:vAlign w:val="bottom"/>
            <w:vMerge w:val="restart"/>
          </w:tcPr>
          <w:p>
            <w:pPr>
              <w:jc w:val="right"/>
              <w:ind w:right="141"/>
              <w:spacing w:after="0"/>
              <w:rPr>
                <w:sz w:val="20"/>
                <w:szCs w:val="20"/>
                <w:color w:val="auto"/>
              </w:rPr>
            </w:pPr>
            <w:r>
              <w:rPr>
                <w:rFonts w:ascii="Arial" w:cs="Arial" w:eastAsia="Arial" w:hAnsi="Arial"/>
                <w:sz w:val="36"/>
                <w:szCs w:val="36"/>
                <w:color w:val="4D5357"/>
              </w:rPr>
              <w:t>3</w:t>
            </w:r>
          </w:p>
        </w:tc>
        <w:tc>
          <w:tcPr>
            <w:tcW w:w="4620" w:type="dxa"/>
            <w:vAlign w:val="bottom"/>
          </w:tcPr>
          <w:p>
            <w:pPr>
              <w:ind w:left="300"/>
              <w:spacing w:after="0"/>
              <w:rPr>
                <w:sz w:val="20"/>
                <w:szCs w:val="20"/>
                <w:color w:val="auto"/>
              </w:rPr>
            </w:pPr>
            <w:r>
              <w:rPr>
                <w:rFonts w:ascii="Arial" w:cs="Arial" w:eastAsia="Arial" w:hAnsi="Arial"/>
                <w:sz w:val="16"/>
                <w:szCs w:val="16"/>
                <w:color w:val="4D5357"/>
              </w:rPr>
              <w:t>To vote on an advisory resolution to</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620" w:type="dxa"/>
            <w:vAlign w:val="bottom"/>
          </w:tcPr>
          <w:p>
            <w:pPr>
              <w:ind w:left="300"/>
              <w:spacing w:after="0"/>
              <w:rPr>
                <w:sz w:val="20"/>
                <w:szCs w:val="20"/>
                <w:color w:val="auto"/>
              </w:rPr>
            </w:pPr>
            <w:r>
              <w:rPr>
                <w:rFonts w:ascii="Arial" w:cs="Arial" w:eastAsia="Arial" w:hAnsi="Arial"/>
                <w:sz w:val="16"/>
                <w:szCs w:val="16"/>
                <w:color w:val="4D5357"/>
              </w:rPr>
              <w:t>approve the compensation of our</w:t>
            </w:r>
          </w:p>
        </w:tc>
        <w:tc>
          <w:tcPr>
            <w:tcW w:w="1820" w:type="dxa"/>
            <w:vAlign w:val="bottom"/>
          </w:tcPr>
          <w:p>
            <w:pPr>
              <w:jc w:val="right"/>
              <w:ind w:right="59"/>
              <w:spacing w:after="0"/>
              <w:rPr>
                <w:sz w:val="20"/>
                <w:szCs w:val="20"/>
                <w:color w:val="auto"/>
              </w:rPr>
            </w:pPr>
            <w:r>
              <w:rPr>
                <w:rFonts w:ascii="Arial" w:cs="Arial" w:eastAsia="Arial" w:hAnsi="Arial"/>
                <w:sz w:val="16"/>
                <w:szCs w:val="16"/>
                <w:color w:val="4D5357"/>
              </w:rPr>
              <w:t>93</w:t>
            </w:r>
          </w:p>
        </w:tc>
        <w:tc>
          <w:tcPr>
            <w:tcW w:w="0" w:type="dxa"/>
            <w:vAlign w:val="bottom"/>
          </w:tcPr>
          <w:p>
            <w:pPr>
              <w:spacing w:after="0"/>
              <w:rPr>
                <w:sz w:val="1"/>
                <w:szCs w:val="1"/>
                <w:color w:val="auto"/>
              </w:rPr>
            </w:pPr>
          </w:p>
        </w:tc>
      </w:tr>
      <w:tr>
        <w:trPr>
          <w:trHeight w:val="144"/>
        </w:trPr>
        <w:tc>
          <w:tcPr>
            <w:tcW w:w="600" w:type="dxa"/>
            <w:vAlign w:val="bottom"/>
            <w:vMerge w:val="continue"/>
          </w:tcPr>
          <w:p>
            <w:pPr>
              <w:spacing w:after="0"/>
              <w:rPr>
                <w:sz w:val="12"/>
                <w:szCs w:val="12"/>
                <w:color w:val="auto"/>
              </w:rPr>
            </w:pPr>
          </w:p>
        </w:tc>
        <w:tc>
          <w:tcPr>
            <w:tcW w:w="4620" w:type="dxa"/>
            <w:vAlign w:val="bottom"/>
            <w:vMerge w:val="restart"/>
          </w:tcPr>
          <w:p>
            <w:pPr>
              <w:ind w:left="300"/>
              <w:spacing w:after="0"/>
              <w:rPr>
                <w:sz w:val="20"/>
                <w:szCs w:val="20"/>
                <w:color w:val="auto"/>
              </w:rPr>
            </w:pPr>
            <w:r>
              <w:rPr>
                <w:rFonts w:ascii="Arial" w:cs="Arial" w:eastAsia="Arial" w:hAnsi="Arial"/>
                <w:sz w:val="16"/>
                <w:szCs w:val="16"/>
                <w:color w:val="4D5357"/>
              </w:rPr>
              <w:t>named executive officers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60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600" w:type="dxa"/>
            <w:vAlign w:val="bottom"/>
            <w:tcBorders>
              <w:bottom w:val="single" w:sz="8" w:color="4D5357"/>
            </w:tcBorders>
          </w:tcPr>
          <w:p>
            <w:pPr>
              <w:spacing w:after="0"/>
              <w:rPr>
                <w:sz w:val="4"/>
                <w:szCs w:val="4"/>
                <w:color w:val="auto"/>
              </w:rPr>
            </w:pPr>
          </w:p>
        </w:tc>
        <w:tc>
          <w:tcPr>
            <w:tcW w:w="4620" w:type="dxa"/>
            <w:vAlign w:val="bottom"/>
            <w:tcBorders>
              <w:bottom w:val="single" w:sz="8" w:color="4D5357"/>
            </w:tcBorders>
          </w:tcPr>
          <w:p>
            <w:pPr>
              <w:spacing w:after="0"/>
              <w:rPr>
                <w:sz w:val="4"/>
                <w:szCs w:val="4"/>
                <w:color w:val="auto"/>
              </w:rPr>
            </w:pPr>
          </w:p>
        </w:tc>
        <w:tc>
          <w:tcPr>
            <w:tcW w:w="1820" w:type="dxa"/>
            <w:vAlign w:val="bottom"/>
            <w:tcBorders>
              <w:bottom w:val="single" w:sz="8" w:color="4D5357"/>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00" w:type="dxa"/>
            <w:vAlign w:val="bottom"/>
          </w:tcPr>
          <w:p>
            <w:pPr>
              <w:jc w:val="right"/>
              <w:ind w:right="141"/>
              <w:spacing w:after="0" w:line="245" w:lineRule="exact"/>
              <w:rPr>
                <w:sz w:val="20"/>
                <w:szCs w:val="20"/>
                <w:color w:val="auto"/>
              </w:rPr>
            </w:pPr>
            <w:r>
              <w:rPr>
                <w:rFonts w:ascii="Arial" w:cs="Arial" w:eastAsia="Arial" w:hAnsi="Arial"/>
                <w:sz w:val="28"/>
                <w:szCs w:val="28"/>
                <w:color w:val="4D5357"/>
              </w:rPr>
              <w:t>4</w:t>
            </w:r>
          </w:p>
        </w:tc>
        <w:tc>
          <w:tcPr>
            <w:tcW w:w="4620" w:type="dxa"/>
            <w:vAlign w:val="bottom"/>
          </w:tcPr>
          <w:p>
            <w:pPr>
              <w:ind w:left="300"/>
              <w:spacing w:after="0"/>
              <w:rPr>
                <w:sz w:val="20"/>
                <w:szCs w:val="20"/>
                <w:color w:val="auto"/>
              </w:rPr>
            </w:pPr>
            <w:r>
              <w:rPr>
                <w:rFonts w:ascii="Arial" w:cs="Arial" w:eastAsia="Arial" w:hAnsi="Arial"/>
                <w:sz w:val="16"/>
                <w:szCs w:val="16"/>
                <w:color w:val="4D5357"/>
              </w:rPr>
              <w:t>To approve the Amended and Restated</w:t>
            </w: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-632460</wp:posOffset>
            </wp:positionV>
            <wp:extent cx="4474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-495300</wp:posOffset>
            </wp:positionV>
            <wp:extent cx="18859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-83820</wp:posOffset>
            </wp:positionV>
            <wp:extent cx="18859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00"/>
        <w:spacing w:after="0" w:line="237" w:lineRule="auto"/>
        <w:rPr>
          <w:sz w:val="20"/>
          <w:szCs w:val="20"/>
          <w:color w:val="auto"/>
        </w:rPr>
      </w:pPr>
      <w:r>
        <w:rPr>
          <w:rFonts w:ascii="Arial" w:cs="Arial" w:eastAsia="Arial" w:hAnsi="Arial"/>
          <w:sz w:val="16"/>
          <w:szCs w:val="16"/>
          <w:color w:val="4D5357"/>
        </w:rPr>
        <w:t>4123 Parklake Avenue Raleigh, NC 27612 (our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224155</wp:posOffset>
            </wp:positionV>
            <wp:extent cx="2305685" cy="746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05685" cy="746125"/>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7780" w:space="720"/>
            <w:col w:w="2520"/>
          </w:cols>
          <w:pgMar w:left="440" w:top="1440" w:right="439" w:bottom="1440" w:gutter="0" w:footer="0" w:header="0"/>
          <w:type w:val="continuous"/>
        </w:sectPr>
      </w:pPr>
    </w:p>
    <w:tbl>
      <w:tblPr>
        <w:tblLayout w:type="fixed"/>
        <w:tblInd w:w="90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r>
              <w:rPr>
                <w:rFonts w:ascii="Arial" w:cs="Arial" w:eastAsia="Arial" w:hAnsi="Arial"/>
                <w:sz w:val="16"/>
                <w:szCs w:val="16"/>
                <w:color w:val="4D5357"/>
              </w:rPr>
              <w:t>Stock-Based Award Plan</w:t>
            </w:r>
          </w:p>
        </w:tc>
        <w:tc>
          <w:tcPr>
            <w:tcW w:w="2200" w:type="dxa"/>
            <w:vAlign w:val="bottom"/>
          </w:tcPr>
          <w:p>
            <w:pPr>
              <w:jc w:val="right"/>
              <w:spacing w:after="0"/>
              <w:rPr>
                <w:sz w:val="20"/>
                <w:szCs w:val="20"/>
                <w:color w:val="auto"/>
              </w:rPr>
            </w:pPr>
            <w:r>
              <w:rPr>
                <w:rFonts w:ascii="Arial" w:cs="Arial" w:eastAsia="Arial" w:hAnsi="Arial"/>
                <w:sz w:val="16"/>
                <w:szCs w:val="16"/>
                <w:color w:val="4D5357"/>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4474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086CC"/>
        </w:rPr>
        <w:t>WHO CAN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333333"/>
        </w:rPr>
        <w:t>       </w:t>
      </w:r>
    </w:p>
    <w:p>
      <w:pPr>
        <w:spacing w:after="0" w:line="189" w:lineRule="exact"/>
        <w:rPr>
          <w:sz w:val="20"/>
          <w:szCs w:val="20"/>
          <w:color w:val="auto"/>
        </w:rPr>
      </w:pPr>
    </w:p>
    <w:p>
      <w:pPr>
        <w:sectPr>
          <w:pgSz w:w="11900" w:h="16838" w:orient="portrait"/>
          <w:cols w:equalWidth="0" w:num="3">
            <w:col w:w="7780" w:space="720"/>
            <w:col w:w="1420" w:space="700"/>
            <w:col w:w="400"/>
          </w:cols>
          <w:pgMar w:left="440" w:top="1440" w:right="439" w:bottom="1440" w:gutter="0" w:footer="0" w:header="0"/>
          <w:type w:val="continuous"/>
        </w:sectPr>
      </w:pPr>
    </w:p>
    <w:p>
      <w:pPr>
        <w:ind w:left="900"/>
        <w:spacing w:after="0"/>
        <w:rPr>
          <w:sz w:val="20"/>
          <w:szCs w:val="20"/>
          <w:color w:val="auto"/>
        </w:rPr>
      </w:pPr>
      <w:r>
        <w:rPr>
          <w:rFonts w:ascii="Arial" w:cs="Arial" w:eastAsia="Arial" w:hAnsi="Arial"/>
          <w:sz w:val="16"/>
          <w:szCs w:val="16"/>
          <w:color w:val="4D5357"/>
        </w:rPr>
        <w:t>Any other matters that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4474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Date of Availability:</w:t>
      </w:r>
    </w:p>
    <w:p>
      <w:pPr>
        <w:spacing w:after="0" w:line="12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333333"/>
        </w:rPr>
        <w:t>This Notice, Proxy Statement, the 2025 Annual Report, and the Proxy Card are being sent commencing on approximately April 15, 2026 to shareholders of record at the close of business on March 6, 2026.</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333333"/>
        </w:rPr>
        <w:t xml:space="preserve">Your vote is important. </w:t>
      </w:r>
      <w:r>
        <w:rPr>
          <w:rFonts w:ascii="Arial" w:cs="Arial" w:eastAsia="Arial" w:hAnsi="Arial"/>
          <w:sz w:val="16"/>
          <w:szCs w:val="16"/>
          <w:color w:val="333333"/>
        </w:rPr>
        <w:t>You may vote in person at the 2026 Annual Meeting of Shareholders</w:t>
      </w:r>
      <w:r>
        <w:rPr>
          <w:rFonts w:ascii="Arial" w:cs="Arial" w:eastAsia="Arial" w:hAnsi="Arial"/>
          <w:sz w:val="16"/>
          <w:szCs w:val="16"/>
          <w:b w:val="1"/>
          <w:bCs w:val="1"/>
          <w:color w:val="333333"/>
        </w:rPr>
        <w:t xml:space="preserve"> </w:t>
      </w:r>
      <w:r>
        <w:rPr>
          <w:rFonts w:ascii="Arial" w:cs="Arial" w:eastAsia="Arial" w:hAnsi="Arial"/>
          <w:sz w:val="16"/>
          <w:szCs w:val="16"/>
          <w:color w:val="333333"/>
        </w:rPr>
        <w:t>(Annual Meeting) or submit a proxy over the internet. If you have received a paper copy of the Proxy Card (or if you request a paper copy of the materials), you may submit a proxy by telephone or by mail.</w:t>
      </w:r>
    </w:p>
    <w:p>
      <w:pPr>
        <w:spacing w:after="0" w:line="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333333"/>
        </w:rPr>
        <w:t xml:space="preserve">Whether or not you expect to attend the meeting, we hope you will </w:t>
      </w:r>
      <w:r>
        <w:rPr>
          <w:rFonts w:ascii="Arial" w:cs="Arial" w:eastAsia="Arial" w:hAnsi="Arial"/>
          <w:sz w:val="16"/>
          <w:szCs w:val="16"/>
          <w:b w:val="1"/>
          <w:bCs w:val="1"/>
          <w:color w:val="333333"/>
        </w:rPr>
        <w:t>date and sign the enclosed</w:t>
      </w:r>
      <w:r>
        <w:rPr>
          <w:rFonts w:ascii="Arial" w:cs="Arial" w:eastAsia="Arial" w:hAnsi="Arial"/>
          <w:sz w:val="16"/>
          <w:szCs w:val="16"/>
          <w:color w:val="333333"/>
        </w:rPr>
        <w:t xml:space="preserve"> </w:t>
      </w:r>
      <w:r>
        <w:rPr>
          <w:rFonts w:ascii="Arial" w:cs="Arial" w:eastAsia="Arial" w:hAnsi="Arial"/>
          <w:sz w:val="16"/>
          <w:szCs w:val="16"/>
          <w:b w:val="1"/>
          <w:bCs w:val="1"/>
          <w:color w:val="333333"/>
        </w:rPr>
        <w:t xml:space="preserve">Proxy Card </w:t>
      </w:r>
      <w:r>
        <w:rPr>
          <w:rFonts w:ascii="Arial" w:cs="Arial" w:eastAsia="Arial" w:hAnsi="Arial"/>
          <w:sz w:val="16"/>
          <w:szCs w:val="16"/>
          <w:color w:val="333333"/>
        </w:rPr>
        <w:t>and mail it promptly in the enclosed stamped envelope. Submitting your proxy now</w:t>
      </w:r>
      <w:r>
        <w:rPr>
          <w:rFonts w:ascii="Arial" w:cs="Arial" w:eastAsia="Arial" w:hAnsi="Arial"/>
          <w:sz w:val="16"/>
          <w:szCs w:val="16"/>
          <w:b w:val="1"/>
          <w:bCs w:val="1"/>
          <w:color w:val="333333"/>
        </w:rPr>
        <w:t xml:space="preserve"> </w:t>
      </w:r>
      <w:r>
        <w:rPr>
          <w:rFonts w:ascii="Arial" w:cs="Arial" w:eastAsia="Arial" w:hAnsi="Arial"/>
          <w:sz w:val="16"/>
          <w:szCs w:val="16"/>
          <w:color w:val="333333"/>
        </w:rPr>
        <w:t>will not prevent you from voting your shares at the meeting, because your proxy is revocable at your option.</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333333"/>
        </w:rPr>
        <w:t>If you submit your proxy by telephone or over the internet, you do not need to return your Proxy Card by mail.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33333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110553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553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20" w:right="700"/>
        <w:spacing w:after="0" w:line="266" w:lineRule="auto"/>
        <w:rPr>
          <w:sz w:val="20"/>
          <w:szCs w:val="20"/>
          <w:color w:val="auto"/>
        </w:rPr>
      </w:pPr>
      <w:r>
        <w:rPr>
          <w:rFonts w:ascii="Arial" w:cs="Arial" w:eastAsia="Arial" w:hAnsi="Arial"/>
          <w:sz w:val="16"/>
          <w:szCs w:val="16"/>
          <w:color w:val="4D5357"/>
        </w:rPr>
        <w:t>Shareholders of record at the close of business on March 6, 2026</w:t>
      </w:r>
    </w:p>
    <w:p>
      <w:pPr>
        <w:spacing w:after="0" w:line="305"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How to Vote</w:t>
      </w:r>
    </w:p>
    <w:p>
      <w:pPr>
        <w:spacing w:after="0" w:line="12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333333"/>
        </w:rPr>
        <w:t>It is important that your shares be represented and voted at the Annual Meeting. We urge you to vote by using any of these methods.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INTERNET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333333"/>
        </w:rPr>
        <w:t>www.voteproxy.com</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TELEPHONE</w:t>
      </w:r>
    </w:p>
    <w:p>
      <w:pPr>
        <w:spacing w:after="0" w:line="1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333333"/>
        </w:rPr>
        <w:t>1-800-PROXIES (1-800-776-9437) in the United States or 1-201-299-4446 from outside the United States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MAIL</w:t>
      </w:r>
    </w:p>
    <w:p>
      <w:pPr>
        <w:spacing w:after="0" w:line="16" w:lineRule="exact"/>
        <w:rPr>
          <w:sz w:val="20"/>
          <w:szCs w:val="20"/>
          <w:color w:val="auto"/>
        </w:rPr>
      </w:pPr>
    </w:p>
    <w:p>
      <w:pPr>
        <w:ind w:right="660"/>
        <w:spacing w:after="0" w:line="265" w:lineRule="auto"/>
        <w:rPr>
          <w:sz w:val="20"/>
          <w:szCs w:val="20"/>
          <w:color w:val="auto"/>
        </w:rPr>
      </w:pPr>
      <w:r>
        <w:rPr>
          <w:rFonts w:ascii="Arial" w:cs="Arial" w:eastAsia="Arial" w:hAnsi="Arial"/>
          <w:sz w:val="16"/>
          <w:szCs w:val="16"/>
          <w:color w:val="333333"/>
        </w:rPr>
        <w:t>Sign, date and mail your proxy card in the envelope provided</w:t>
      </w:r>
    </w:p>
    <w:p>
      <w:pPr>
        <w:spacing w:after="0" w:line="59" w:lineRule="exact"/>
        <w:rPr>
          <w:sz w:val="20"/>
          <w:szCs w:val="20"/>
          <w:color w:val="auto"/>
        </w:rPr>
      </w:pPr>
    </w:p>
    <w:p>
      <w:pPr>
        <w:sectPr>
          <w:pgSz w:w="11900" w:h="16838" w:orient="portrait"/>
          <w:cols w:equalWidth="0" w:num="2">
            <w:col w:w="7020" w:space="360"/>
            <w:col w:w="3640"/>
          </w:cols>
          <w:pgMar w:left="440" w:top="1440" w:right="439" w:bottom="1440" w:gutter="0" w:footer="0" w:header="0"/>
          <w:type w:val="continuous"/>
        </w:sectPr>
      </w:pPr>
    </w:p>
    <w:p>
      <w:pPr>
        <w:ind w:left="7380"/>
        <w:spacing w:after="0"/>
        <w:rPr>
          <w:sz w:val="20"/>
          <w:szCs w:val="20"/>
          <w:color w:val="auto"/>
        </w:rPr>
      </w:pPr>
      <w:r>
        <w:rPr>
          <w:rFonts w:ascii="Arial" w:cs="Arial" w:eastAsia="Arial" w:hAnsi="Arial"/>
          <w:sz w:val="18"/>
          <w:szCs w:val="18"/>
          <w:b w:val="1"/>
          <w:bCs w:val="1"/>
          <w:color w:val="0086CC"/>
        </w:rPr>
        <w:t>IN PERSON</w:t>
      </w:r>
    </w:p>
    <w:p>
      <w:pPr>
        <w:spacing w:after="0" w:line="16"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333333"/>
        </w:rPr>
        <w:t>Attend the Annual Meeting and vote by ballot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George F. Schoen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Executive Vice President, General Counsel and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Martin Marietta Materials,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Raleigh,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998970" cy="484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84505"/>
                    </a:xfrm>
                    <a:prstGeom prst="rect">
                      <a:avLst/>
                    </a:prstGeom>
                    <a:noFill/>
                  </pic:spPr>
                </pic:pic>
              </a:graphicData>
            </a:graphic>
          </wp:anchor>
        </w:drawing>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86CC"/>
        </w:rPr>
        <w:t>IMPORTANT NOTICE</w:t>
      </w:r>
    </w:p>
    <w:p>
      <w:pPr>
        <w:spacing w:after="0" w:line="16" w:lineRule="exact"/>
        <w:rPr>
          <w:sz w:val="20"/>
          <w:szCs w:val="20"/>
          <w:color w:val="auto"/>
        </w:rPr>
      </w:pPr>
    </w:p>
    <w:p>
      <w:pPr>
        <w:ind w:left="220" w:right="680"/>
        <w:spacing w:after="0" w:line="265" w:lineRule="auto"/>
        <w:rPr>
          <w:sz w:val="20"/>
          <w:szCs w:val="20"/>
          <w:color w:val="auto"/>
        </w:rPr>
      </w:pPr>
      <w:r>
        <w:rPr>
          <w:rFonts w:ascii="Arial" w:cs="Arial" w:eastAsia="Arial" w:hAnsi="Arial"/>
          <w:sz w:val="16"/>
          <w:szCs w:val="16"/>
          <w:b w:val="1"/>
          <w:bCs w:val="1"/>
          <w:color w:val="333333"/>
        </w:rPr>
        <w:t xml:space="preserve">Regarding the Availability of Proxy Materials for the 2026 Annual Meeting of Shareholders: </w:t>
      </w:r>
      <w:r>
        <w:rPr>
          <w:rFonts w:ascii="Arial" w:cs="Arial" w:eastAsia="Arial" w:hAnsi="Arial"/>
          <w:sz w:val="16"/>
          <w:szCs w:val="16"/>
          <w:color w:val="333333"/>
        </w:rPr>
        <w:t>The Proxy Statement and Annual Report to</w:t>
      </w:r>
      <w:r>
        <w:rPr>
          <w:rFonts w:ascii="Arial" w:cs="Arial" w:eastAsia="Arial" w:hAnsi="Arial"/>
          <w:sz w:val="16"/>
          <w:szCs w:val="16"/>
          <w:b w:val="1"/>
          <w:bCs w:val="1"/>
          <w:color w:val="333333"/>
        </w:rPr>
        <w:t xml:space="preserve"> </w:t>
      </w:r>
      <w:r>
        <w:rPr>
          <w:rFonts w:ascii="Arial" w:cs="Arial" w:eastAsia="Arial" w:hAnsi="Arial"/>
          <w:sz w:val="16"/>
          <w:szCs w:val="16"/>
          <w:color w:val="333333"/>
        </w:rPr>
        <w:t>Shareholders are available for review on the Internet at https://ir.martinmarietta.com/reports-filings/annual-reports-and-proxies.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pacing w:after="0" w:line="1" w:lineRule="exact"/>
        <w:rPr>
          <w:sz w:val="20"/>
          <w:szCs w:val="20"/>
          <w:color w:val="auto"/>
        </w:rPr>
      </w:pPr>
    </w:p>
    <w:p>
      <w:pPr>
        <w:spacing w:after="0"/>
        <w:tabs>
          <w:tab w:leader="none" w:pos="10220"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0"/>
          </w:cols>
          <w:pgMar w:left="440" w:top="1440" w:right="4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67"/>
          <w:szCs w:val="67"/>
          <w:color w:val="0086CC"/>
        </w:rPr>
        <w:t>Table of Contents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Borders>
              <w:bottom w:val="single" w:sz="8" w:color="0000EE"/>
            </w:tcBorders>
            <w:gridSpan w:val="13"/>
          </w:tcPr>
          <w:p>
            <w:pPr>
              <w:spacing w:after="0"/>
              <w:rPr>
                <w:sz w:val="20"/>
                <w:szCs w:val="20"/>
                <w:color w:val="auto"/>
              </w:rPr>
            </w:pPr>
            <w:r>
              <w:rPr>
                <w:rFonts w:ascii="Arial" w:cs="Arial" w:eastAsia="Arial" w:hAnsi="Arial"/>
                <w:sz w:val="15"/>
                <w:szCs w:val="15"/>
                <w:b w:val="1"/>
                <w:bCs w:val="1"/>
                <w:color w:val="0000EE"/>
              </w:rPr>
              <w:t>Proxy Statement Highlights</w:t>
            </w:r>
          </w:p>
        </w:tc>
        <w:tc>
          <w:tcPr>
            <w:tcW w:w="2940" w:type="dxa"/>
            <w:vAlign w:val="bottom"/>
            <w:gridSpan w:val="31"/>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0086CC"/>
              </w:rPr>
              <w:t>1</w:t>
            </w:r>
          </w:p>
        </w:tc>
        <w:tc>
          <w:tcPr>
            <w:tcW w:w="0" w:type="dxa"/>
            <w:vAlign w:val="bottom"/>
          </w:tcPr>
          <w:p>
            <w:pPr>
              <w:spacing w:after="0"/>
              <w:rPr>
                <w:sz w:val="1"/>
                <w:szCs w:val="1"/>
                <w:color w:val="auto"/>
              </w:rPr>
            </w:pPr>
          </w:p>
        </w:tc>
      </w:tr>
      <w:tr>
        <w:trPr>
          <w:trHeight w:val="210"/>
        </w:trPr>
        <w:tc>
          <w:tcPr>
            <w:tcW w:w="16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b w:val="1"/>
                <w:bCs w:val="1"/>
                <w:color w:val="0000EE"/>
              </w:rPr>
              <w:t>The Board of Directors</w:t>
            </w:r>
          </w:p>
        </w:tc>
        <w:tc>
          <w:tcPr>
            <w:tcW w:w="3280" w:type="dxa"/>
            <w:vAlign w:val="bottom"/>
            <w:gridSpan w:val="38"/>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0086CC"/>
              </w:rPr>
              <w:t>13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Board Effectiveness and Refreshment</w:t>
            </w: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16"/>
          </w:tcPr>
          <w:p>
            <w:pPr>
              <w:spacing w:after="0" w:line="169" w:lineRule="exact"/>
              <w:rPr>
                <w:sz w:val="20"/>
                <w:szCs w:val="20"/>
                <w:color w:val="auto"/>
              </w:rPr>
            </w:pPr>
            <w:r>
              <w:rPr>
                <w:rFonts w:ascii="Arial" w:cs="Arial" w:eastAsia="Arial" w:hAnsi="Arial"/>
                <w:sz w:val="15"/>
                <w:szCs w:val="15"/>
                <w:b w:val="1"/>
                <w:bCs w:val="1"/>
                <w:color w:val="0000EE"/>
              </w:rPr>
              <w:t>Board Qualifications and Tenure</w:t>
            </w:r>
          </w:p>
        </w:tc>
        <w:tc>
          <w:tcPr>
            <w:tcW w:w="400" w:type="dxa"/>
            <w:vAlign w:val="bottom"/>
            <w:tcBorders>
              <w:top w:val="single" w:sz="8" w:color="0000EE"/>
            </w:tcBorders>
            <w:gridSpan w:val="7"/>
          </w:tcPr>
          <w:p>
            <w:pPr>
              <w:spacing w:after="0"/>
              <w:rPr>
                <w:sz w:val="14"/>
                <w:szCs w:val="14"/>
                <w:color w:val="auto"/>
              </w:rPr>
            </w:pPr>
          </w:p>
        </w:tc>
        <w:tc>
          <w:tcPr>
            <w:tcW w:w="2040" w:type="dxa"/>
            <w:vAlign w:val="bottom"/>
            <w:gridSpan w:val="19"/>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Board Refreshment Elements</w:t>
            </w: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5"/>
                <w:szCs w:val="15"/>
                <w:b w:val="1"/>
                <w:bCs w:val="1"/>
                <w:color w:val="0000EE"/>
              </w:rPr>
              <w:t>Tenure Guidelines</w:t>
            </w:r>
          </w:p>
        </w:tc>
        <w:tc>
          <w:tcPr>
            <w:tcW w:w="2620" w:type="dxa"/>
            <w:vAlign w:val="bottom"/>
            <w:gridSpan w:val="28"/>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Board, Committee and Individual Director Evaluations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tcBorders>
              <w:top w:val="single" w:sz="8" w:color="0000EE"/>
            </w:tcBorders>
            <w:gridSpan w:val="35"/>
          </w:tcPr>
          <w:p>
            <w:pPr>
              <w:spacing w:after="0" w:line="169" w:lineRule="exact"/>
              <w:rPr>
                <w:sz w:val="20"/>
                <w:szCs w:val="20"/>
                <w:color w:val="auto"/>
              </w:rPr>
            </w:pPr>
            <w:r>
              <w:rPr>
                <w:rFonts w:ascii="Arial" w:cs="Arial" w:eastAsia="Arial" w:hAnsi="Arial"/>
                <w:sz w:val="15"/>
                <w:szCs w:val="15"/>
                <w:b w:val="1"/>
                <w:bCs w:val="1"/>
                <w:color w:val="0000EE"/>
              </w:rPr>
              <w:t>Board Committees</w:t>
            </w:r>
          </w:p>
        </w:tc>
        <w:tc>
          <w:tcPr>
            <w:tcW w:w="880" w:type="dxa"/>
            <w:vAlign w:val="bottom"/>
            <w:gridSpan w:val="7"/>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0" w:type="dxa"/>
            <w:vAlign w:val="bottom"/>
            <w:gridSpan w:val="42"/>
          </w:tcPr>
          <w:p>
            <w:pPr>
              <w:spacing w:after="0"/>
              <w:rPr>
                <w:sz w:val="20"/>
                <w:szCs w:val="20"/>
                <w:color w:val="auto"/>
              </w:rPr>
            </w:pPr>
            <w:r>
              <w:rPr>
                <w:rFonts w:ascii="Arial" w:cs="Arial" w:eastAsia="Arial" w:hAnsi="Arial"/>
                <w:sz w:val="15"/>
                <w:szCs w:val="15"/>
                <w:b w:val="1"/>
                <w:bCs w:val="1"/>
                <w:color w:val="0000EE"/>
              </w:rPr>
              <w:t>Board Refreshment Timeline</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40" w:type="dxa"/>
            <w:vAlign w:val="bottom"/>
            <w:gridSpan w:val="44"/>
            <w:shd w:val="clear" w:color="auto" w:fill="EAEAEA"/>
          </w:tcPr>
          <w:p>
            <w:pPr>
              <w:ind w:left="100"/>
              <w:spacing w:after="0"/>
              <w:rPr>
                <w:sz w:val="20"/>
                <w:szCs w:val="20"/>
                <w:color w:val="auto"/>
              </w:rPr>
            </w:pPr>
            <w:r>
              <w:rPr>
                <w:rFonts w:ascii="Arial" w:cs="Arial" w:eastAsia="Arial" w:hAnsi="Arial"/>
                <w:sz w:val="15"/>
                <w:szCs w:val="15"/>
                <w:b w:val="1"/>
                <w:bCs w:val="1"/>
                <w:color w:val="0000EE"/>
              </w:rPr>
              <w:t>PROPOSAL 1: Election of Directors</w:t>
            </w:r>
          </w:p>
        </w:tc>
        <w:tc>
          <w:tcPr>
            <w:tcW w:w="340" w:type="dxa"/>
            <w:vAlign w:val="bottom"/>
            <w:shd w:val="clear" w:color="auto" w:fill="EAEAEA"/>
          </w:tcPr>
          <w:p>
            <w:pPr>
              <w:jc w:val="right"/>
              <w:spacing w:after="0"/>
              <w:rPr>
                <w:sz w:val="20"/>
                <w:szCs w:val="20"/>
                <w:color w:val="auto"/>
              </w:rPr>
            </w:pPr>
            <w:r>
              <w:rPr>
                <w:rFonts w:ascii="Arial" w:cs="Arial" w:eastAsia="Arial" w:hAnsi="Arial"/>
                <w:sz w:val="15"/>
                <w:szCs w:val="15"/>
                <w:b w:val="1"/>
                <w:bCs w:val="1"/>
                <w:color w:val="0086CC"/>
              </w:rPr>
              <w:t>24</w:t>
            </w:r>
          </w:p>
        </w:tc>
        <w:tc>
          <w:tcPr>
            <w:tcW w:w="0" w:type="dxa"/>
            <w:vAlign w:val="bottom"/>
          </w:tcPr>
          <w:p>
            <w:pPr>
              <w:spacing w:after="0"/>
              <w:rPr>
                <w:sz w:val="1"/>
                <w:szCs w:val="1"/>
                <w:color w:val="auto"/>
              </w:rPr>
            </w:pPr>
          </w:p>
        </w:tc>
      </w:tr>
      <w:tr>
        <w:trPr>
          <w:trHeight w:val="61"/>
        </w:trPr>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900" w:type="dxa"/>
            <w:vAlign w:val="bottom"/>
            <w:tcBorders>
              <w:top w:val="single" w:sz="8" w:color="0000EE"/>
              <w:bottom w:val="single" w:sz="8" w:color="0086CC"/>
            </w:tcBorders>
            <w:shd w:val="clear" w:color="auto" w:fill="EAEAEA"/>
          </w:tcPr>
          <w:p>
            <w:pPr>
              <w:spacing w:after="0"/>
              <w:rPr>
                <w:sz w:val="5"/>
                <w:szCs w:val="5"/>
                <w:color w:val="auto"/>
              </w:rPr>
            </w:pPr>
          </w:p>
        </w:tc>
        <w:tc>
          <w:tcPr>
            <w:tcW w:w="36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right w:val="single" w:sz="8" w:color="EAEAEA"/>
            </w:tcBorders>
            <w:shd w:val="clear" w:color="auto" w:fill="EAEAEA"/>
          </w:tcPr>
          <w:p>
            <w:pPr>
              <w:spacing w:after="0"/>
              <w:rPr>
                <w:sz w:val="5"/>
                <w:szCs w:val="5"/>
                <w:color w:val="auto"/>
              </w:rPr>
            </w:pPr>
          </w:p>
        </w:tc>
        <w:tc>
          <w:tcPr>
            <w:tcW w:w="200" w:type="dxa"/>
            <w:vAlign w:val="bottom"/>
            <w:tcBorders>
              <w:top w:val="single" w:sz="8" w:color="0000EE"/>
              <w:left w:val="single" w:sz="8" w:color="EAEAEA"/>
              <w:bottom w:val="single" w:sz="8" w:color="0086CC"/>
            </w:tcBorders>
            <w:shd w:val="clear" w:color="auto" w:fill="EAEAEA"/>
          </w:tcPr>
          <w:p>
            <w:pPr>
              <w:spacing w:after="0"/>
              <w:rPr>
                <w:sz w:val="5"/>
                <w:szCs w:val="5"/>
                <w:color w:val="auto"/>
              </w:rPr>
            </w:pPr>
          </w:p>
        </w:tc>
        <w:tc>
          <w:tcPr>
            <w:tcW w:w="10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right w:val="single" w:sz="8" w:color="EAEAEA"/>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8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22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80" w:type="dxa"/>
            <w:vAlign w:val="bottom"/>
            <w:tcBorders>
              <w:top w:val="single" w:sz="8" w:color="0000EE"/>
              <w:left w:val="single" w:sz="8" w:color="EAEAEA"/>
              <w:bottom w:val="single" w:sz="8" w:color="0086CC"/>
              <w:right w:val="single" w:sz="8" w:color="EAEAEA"/>
            </w:tcBorders>
            <w:shd w:val="clear" w:color="auto" w:fill="EAEAEA"/>
          </w:tcPr>
          <w:p>
            <w:pPr>
              <w:spacing w:after="0"/>
              <w:rPr>
                <w:sz w:val="5"/>
                <w:szCs w:val="5"/>
                <w:color w:val="auto"/>
              </w:rPr>
            </w:pPr>
          </w:p>
        </w:tc>
        <w:tc>
          <w:tcPr>
            <w:tcW w:w="14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12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38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120" w:type="dxa"/>
            <w:vAlign w:val="bottom"/>
            <w:tcBorders>
              <w:top w:val="single" w:sz="8" w:color="EAEAEA"/>
              <w:bottom w:val="single" w:sz="8" w:color="0086CC"/>
            </w:tcBorders>
            <w:shd w:val="clear" w:color="auto" w:fill="EAEAEA"/>
          </w:tcPr>
          <w:p>
            <w:pPr>
              <w:spacing w:after="0"/>
              <w:rPr>
                <w:sz w:val="5"/>
                <w:szCs w:val="5"/>
                <w:color w:val="auto"/>
              </w:rPr>
            </w:pPr>
          </w:p>
        </w:tc>
        <w:tc>
          <w:tcPr>
            <w:tcW w:w="140" w:type="dxa"/>
            <w:vAlign w:val="bottom"/>
            <w:tcBorders>
              <w:top w:val="single" w:sz="8" w:color="EAEAEA"/>
              <w:bottom w:val="single" w:sz="8" w:color="0086CC"/>
            </w:tcBorders>
            <w:shd w:val="clear" w:color="auto" w:fill="EAEAEA"/>
          </w:tcPr>
          <w:p>
            <w:pPr>
              <w:spacing w:after="0"/>
              <w:rPr>
                <w:sz w:val="5"/>
                <w:szCs w:val="5"/>
                <w:color w:val="auto"/>
              </w:rPr>
            </w:pPr>
          </w:p>
        </w:tc>
        <w:tc>
          <w:tcPr>
            <w:tcW w:w="16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180" w:type="dxa"/>
            <w:vAlign w:val="bottom"/>
            <w:tcBorders>
              <w:top w:val="single" w:sz="8" w:color="EAEAEA"/>
              <w:bottom w:val="single" w:sz="8" w:color="0086CC"/>
            </w:tcBorders>
            <w:shd w:val="clear" w:color="auto" w:fill="EAEAEA"/>
          </w:tcPr>
          <w:p>
            <w:pPr>
              <w:spacing w:after="0"/>
              <w:rPr>
                <w:sz w:val="5"/>
                <w:szCs w:val="5"/>
                <w:color w:val="auto"/>
              </w:rPr>
            </w:pPr>
          </w:p>
        </w:tc>
        <w:tc>
          <w:tcPr>
            <w:tcW w:w="180" w:type="dxa"/>
            <w:vAlign w:val="bottom"/>
            <w:tcBorders>
              <w:top w:val="single" w:sz="8" w:color="EAEAEA"/>
              <w:bottom w:val="single" w:sz="8" w:color="0086CC"/>
            </w:tcBorders>
            <w:shd w:val="clear" w:color="auto" w:fill="EAEAEA"/>
          </w:tcPr>
          <w:p>
            <w:pPr>
              <w:spacing w:after="0"/>
              <w:rPr>
                <w:sz w:val="5"/>
                <w:szCs w:val="5"/>
                <w:color w:val="auto"/>
              </w:rPr>
            </w:pPr>
          </w:p>
        </w:tc>
        <w:tc>
          <w:tcPr>
            <w:tcW w:w="24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120" w:type="dxa"/>
            <w:vAlign w:val="bottom"/>
            <w:tcBorders>
              <w:top w:val="single" w:sz="8" w:color="EAEAEA"/>
              <w:bottom w:val="single" w:sz="8" w:color="0086CC"/>
            </w:tcBorders>
            <w:shd w:val="clear" w:color="auto" w:fill="EAEAEA"/>
          </w:tcPr>
          <w:p>
            <w:pPr>
              <w:spacing w:after="0"/>
              <w:rPr>
                <w:sz w:val="5"/>
                <w:szCs w:val="5"/>
                <w:color w:val="auto"/>
              </w:rPr>
            </w:pPr>
          </w:p>
        </w:tc>
        <w:tc>
          <w:tcPr>
            <w:tcW w:w="340" w:type="dxa"/>
            <w:vAlign w:val="bottom"/>
            <w:tcBorders>
              <w:top w:val="single" w:sz="8" w:color="EAEAEA"/>
              <w:bottom w:val="single" w:sz="8" w:color="0086CC"/>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Borders>
              <w:bottom w:val="single" w:sz="8" w:color="0000EE"/>
            </w:tcBorders>
            <w:gridSpan w:val="7"/>
          </w:tcPr>
          <w:p>
            <w:pPr>
              <w:spacing w:after="0" w:line="156" w:lineRule="exact"/>
              <w:rPr>
                <w:sz w:val="20"/>
                <w:szCs w:val="20"/>
                <w:color w:val="auto"/>
              </w:rPr>
            </w:pPr>
            <w:r>
              <w:rPr>
                <w:rFonts w:ascii="Arial" w:cs="Arial" w:eastAsia="Arial" w:hAnsi="Arial"/>
                <w:sz w:val="15"/>
                <w:szCs w:val="15"/>
                <w:b w:val="1"/>
                <w:bCs w:val="1"/>
                <w:color w:val="0000EE"/>
              </w:rPr>
              <w:t>Director Compensation</w:t>
            </w:r>
          </w:p>
        </w:tc>
        <w:tc>
          <w:tcPr>
            <w:tcW w:w="3100" w:type="dxa"/>
            <w:vAlign w:val="bottom"/>
            <w:gridSpan w:val="35"/>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34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Director Compensation Table</w:t>
            </w: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35</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0000EE"/>
            </w:tcBorders>
            <w:gridSpan w:val="19"/>
          </w:tcPr>
          <w:p>
            <w:pPr>
              <w:spacing w:after="0"/>
              <w:rPr>
                <w:sz w:val="20"/>
                <w:szCs w:val="20"/>
                <w:color w:val="auto"/>
              </w:rPr>
            </w:pPr>
            <w:r>
              <w:rPr>
                <w:rFonts w:ascii="Arial" w:cs="Arial" w:eastAsia="Arial" w:hAnsi="Arial"/>
                <w:sz w:val="15"/>
                <w:szCs w:val="15"/>
                <w:b w:val="1"/>
                <w:bCs w:val="1"/>
                <w:color w:val="0000EE"/>
              </w:rPr>
              <w:t>Beneficial Owners and Management</w:t>
            </w:r>
          </w:p>
        </w:tc>
        <w:tc>
          <w:tcPr>
            <w:tcW w:w="2320" w:type="dxa"/>
            <w:vAlign w:val="bottom"/>
            <w:gridSpan w:val="25"/>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0086CC"/>
              </w:rPr>
              <w:t>36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5"/>
                <w:szCs w:val="15"/>
                <w:b w:val="1"/>
                <w:bCs w:val="1"/>
                <w:color w:val="0000EE"/>
              </w:rPr>
              <w:t>Stock Ownership</w:t>
            </w:r>
          </w:p>
        </w:tc>
        <w:tc>
          <w:tcPr>
            <w:tcW w:w="3540" w:type="dxa"/>
            <w:vAlign w:val="bottom"/>
            <w:gridSpan w:val="40"/>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36</w:t>
            </w:r>
          </w:p>
        </w:tc>
        <w:tc>
          <w:tcPr>
            <w:tcW w:w="0" w:type="dxa"/>
            <w:vAlign w:val="bottom"/>
          </w:tcPr>
          <w:p>
            <w:pPr>
              <w:spacing w:after="0"/>
              <w:rPr>
                <w:sz w:val="1"/>
                <w:szCs w:val="1"/>
                <w:color w:val="auto"/>
              </w:rPr>
            </w:pPr>
          </w:p>
        </w:tc>
      </w:tr>
      <w:tr>
        <w:trPr>
          <w:trHeight w:val="209"/>
        </w:trPr>
        <w:tc>
          <w:tcPr>
            <w:tcW w:w="4940" w:type="dxa"/>
            <w:vAlign w:val="bottom"/>
            <w:gridSpan w:val="44"/>
          </w:tcPr>
          <w:p>
            <w:pPr>
              <w:spacing w:after="0"/>
              <w:rPr>
                <w:sz w:val="20"/>
                <w:szCs w:val="20"/>
                <w:color w:val="auto"/>
              </w:rPr>
            </w:pPr>
            <w:r>
              <w:rPr>
                <w:rFonts w:ascii="Arial" w:cs="Arial" w:eastAsia="Arial" w:hAnsi="Arial"/>
                <w:sz w:val="15"/>
                <w:szCs w:val="15"/>
                <w:b w:val="1"/>
                <w:bCs w:val="1"/>
                <w:color w:val="0000EE"/>
              </w:rPr>
              <w:t>Corporate Governance Matters</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0086CC"/>
              </w:rPr>
              <w:t>38</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38</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Corporate Governance Philosophy</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39</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Corporate Governance Board Practices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5"/>
                <w:szCs w:val="15"/>
                <w:b w:val="1"/>
                <w:bCs w:val="1"/>
                <w:color w:val="0000EE"/>
              </w:rPr>
              <w:t>Reasons for Combined Chair and CEO</w:t>
            </w:r>
          </w:p>
        </w:tc>
        <w:tc>
          <w:tcPr>
            <w:tcW w:w="1940" w:type="dxa"/>
            <w:vAlign w:val="bottom"/>
            <w:gridSpan w:val="16"/>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40</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40" w:type="dxa"/>
            <w:vAlign w:val="bottom"/>
            <w:gridSpan w:val="44"/>
            <w:shd w:val="clear" w:color="auto" w:fill="EAEAEA"/>
          </w:tcPr>
          <w:p>
            <w:pPr>
              <w:ind w:left="100"/>
              <w:spacing w:after="0"/>
              <w:rPr>
                <w:sz w:val="20"/>
                <w:szCs w:val="20"/>
                <w:color w:val="auto"/>
              </w:rPr>
            </w:pPr>
            <w:r>
              <w:rPr>
                <w:rFonts w:ascii="Arial" w:cs="Arial" w:eastAsia="Arial" w:hAnsi="Arial"/>
                <w:sz w:val="15"/>
                <w:szCs w:val="15"/>
                <w:b w:val="1"/>
                <w:bCs w:val="1"/>
                <w:color w:val="0000EE"/>
              </w:rPr>
              <w:t>PROPOSAL 2: Independent Auditors</w:t>
            </w:r>
          </w:p>
        </w:tc>
        <w:tc>
          <w:tcPr>
            <w:tcW w:w="340" w:type="dxa"/>
            <w:vAlign w:val="bottom"/>
            <w:shd w:val="clear" w:color="auto" w:fill="EAEAEA"/>
          </w:tcPr>
          <w:p>
            <w:pPr>
              <w:jc w:val="right"/>
              <w:spacing w:after="0"/>
              <w:rPr>
                <w:sz w:val="20"/>
                <w:szCs w:val="20"/>
                <w:color w:val="auto"/>
              </w:rPr>
            </w:pPr>
            <w:r>
              <w:rPr>
                <w:rFonts w:ascii="Arial" w:cs="Arial" w:eastAsia="Arial" w:hAnsi="Arial"/>
                <w:sz w:val="15"/>
                <w:szCs w:val="15"/>
                <w:b w:val="1"/>
                <w:bCs w:val="1"/>
                <w:color w:val="0086CC"/>
              </w:rPr>
              <w:t>43</w:t>
            </w:r>
          </w:p>
        </w:tc>
        <w:tc>
          <w:tcPr>
            <w:tcW w:w="0" w:type="dxa"/>
            <w:vAlign w:val="bottom"/>
          </w:tcPr>
          <w:p>
            <w:pPr>
              <w:spacing w:after="0"/>
              <w:rPr>
                <w:sz w:val="1"/>
                <w:szCs w:val="1"/>
                <w:color w:val="auto"/>
              </w:rPr>
            </w:pPr>
          </w:p>
        </w:tc>
      </w:tr>
      <w:tr>
        <w:trPr>
          <w:trHeight w:val="61"/>
        </w:trPr>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900" w:type="dxa"/>
            <w:vAlign w:val="bottom"/>
            <w:tcBorders>
              <w:top w:val="single" w:sz="8" w:color="0000EE"/>
              <w:bottom w:val="single" w:sz="8" w:color="0086CC"/>
            </w:tcBorders>
            <w:shd w:val="clear" w:color="auto" w:fill="EAEAEA"/>
          </w:tcPr>
          <w:p>
            <w:pPr>
              <w:spacing w:after="0"/>
              <w:rPr>
                <w:sz w:val="5"/>
                <w:szCs w:val="5"/>
                <w:color w:val="auto"/>
              </w:rPr>
            </w:pPr>
          </w:p>
        </w:tc>
        <w:tc>
          <w:tcPr>
            <w:tcW w:w="36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right w:val="single" w:sz="8" w:color="EAEAEA"/>
            </w:tcBorders>
            <w:shd w:val="clear" w:color="auto" w:fill="EAEAEA"/>
          </w:tcPr>
          <w:p>
            <w:pPr>
              <w:spacing w:after="0"/>
              <w:rPr>
                <w:sz w:val="5"/>
                <w:szCs w:val="5"/>
                <w:color w:val="auto"/>
              </w:rPr>
            </w:pPr>
          </w:p>
        </w:tc>
        <w:tc>
          <w:tcPr>
            <w:tcW w:w="200" w:type="dxa"/>
            <w:vAlign w:val="bottom"/>
            <w:tcBorders>
              <w:top w:val="single" w:sz="8" w:color="0000EE"/>
              <w:left w:val="single" w:sz="8" w:color="EAEAEA"/>
              <w:bottom w:val="single" w:sz="8" w:color="0086CC"/>
            </w:tcBorders>
            <w:shd w:val="clear" w:color="auto" w:fill="EAEAEA"/>
          </w:tcPr>
          <w:p>
            <w:pPr>
              <w:spacing w:after="0"/>
              <w:rPr>
                <w:sz w:val="5"/>
                <w:szCs w:val="5"/>
                <w:color w:val="auto"/>
              </w:rPr>
            </w:pPr>
          </w:p>
        </w:tc>
        <w:tc>
          <w:tcPr>
            <w:tcW w:w="10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right w:val="single" w:sz="8" w:color="EAEAEA"/>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8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22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80" w:type="dxa"/>
            <w:vAlign w:val="bottom"/>
            <w:tcBorders>
              <w:top w:val="single" w:sz="8" w:color="0000EE"/>
              <w:left w:val="single" w:sz="8" w:color="EAEAEA"/>
              <w:bottom w:val="single" w:sz="8" w:color="0086CC"/>
              <w:right w:val="single" w:sz="8" w:color="EAEAEA"/>
            </w:tcBorders>
            <w:shd w:val="clear" w:color="auto" w:fill="EAEAEA"/>
          </w:tcPr>
          <w:p>
            <w:pPr>
              <w:spacing w:after="0"/>
              <w:rPr>
                <w:sz w:val="5"/>
                <w:szCs w:val="5"/>
                <w:color w:val="auto"/>
              </w:rPr>
            </w:pPr>
          </w:p>
        </w:tc>
        <w:tc>
          <w:tcPr>
            <w:tcW w:w="14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12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38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120" w:type="dxa"/>
            <w:vAlign w:val="bottom"/>
            <w:tcBorders>
              <w:top w:val="single" w:sz="8" w:color="EAEAEA"/>
              <w:bottom w:val="single" w:sz="8" w:color="0086CC"/>
            </w:tcBorders>
            <w:shd w:val="clear" w:color="auto" w:fill="EAEAEA"/>
          </w:tcPr>
          <w:p>
            <w:pPr>
              <w:spacing w:after="0"/>
              <w:rPr>
                <w:sz w:val="5"/>
                <w:szCs w:val="5"/>
                <w:color w:val="auto"/>
              </w:rPr>
            </w:pPr>
          </w:p>
        </w:tc>
        <w:tc>
          <w:tcPr>
            <w:tcW w:w="140" w:type="dxa"/>
            <w:vAlign w:val="bottom"/>
            <w:tcBorders>
              <w:top w:val="single" w:sz="8" w:color="EAEAEA"/>
              <w:bottom w:val="single" w:sz="8" w:color="0086CC"/>
            </w:tcBorders>
            <w:shd w:val="clear" w:color="auto" w:fill="EAEAEA"/>
          </w:tcPr>
          <w:p>
            <w:pPr>
              <w:spacing w:after="0"/>
              <w:rPr>
                <w:sz w:val="5"/>
                <w:szCs w:val="5"/>
                <w:color w:val="auto"/>
              </w:rPr>
            </w:pPr>
          </w:p>
        </w:tc>
        <w:tc>
          <w:tcPr>
            <w:tcW w:w="16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180" w:type="dxa"/>
            <w:vAlign w:val="bottom"/>
            <w:tcBorders>
              <w:top w:val="single" w:sz="8" w:color="EAEAEA"/>
              <w:bottom w:val="single" w:sz="8" w:color="0086CC"/>
            </w:tcBorders>
            <w:shd w:val="clear" w:color="auto" w:fill="EAEAEA"/>
          </w:tcPr>
          <w:p>
            <w:pPr>
              <w:spacing w:after="0"/>
              <w:rPr>
                <w:sz w:val="5"/>
                <w:szCs w:val="5"/>
                <w:color w:val="auto"/>
              </w:rPr>
            </w:pPr>
          </w:p>
        </w:tc>
        <w:tc>
          <w:tcPr>
            <w:tcW w:w="180" w:type="dxa"/>
            <w:vAlign w:val="bottom"/>
            <w:tcBorders>
              <w:top w:val="single" w:sz="8" w:color="EAEAEA"/>
              <w:bottom w:val="single" w:sz="8" w:color="0086CC"/>
            </w:tcBorders>
            <w:shd w:val="clear" w:color="auto" w:fill="EAEAEA"/>
          </w:tcPr>
          <w:p>
            <w:pPr>
              <w:spacing w:after="0"/>
              <w:rPr>
                <w:sz w:val="5"/>
                <w:szCs w:val="5"/>
                <w:color w:val="auto"/>
              </w:rPr>
            </w:pPr>
          </w:p>
        </w:tc>
        <w:tc>
          <w:tcPr>
            <w:tcW w:w="24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120" w:type="dxa"/>
            <w:vAlign w:val="bottom"/>
            <w:tcBorders>
              <w:top w:val="single" w:sz="8" w:color="EAEAEA"/>
              <w:bottom w:val="single" w:sz="8" w:color="0086CC"/>
            </w:tcBorders>
            <w:shd w:val="clear" w:color="auto" w:fill="EAEAEA"/>
          </w:tcPr>
          <w:p>
            <w:pPr>
              <w:spacing w:after="0"/>
              <w:rPr>
                <w:sz w:val="5"/>
                <w:szCs w:val="5"/>
                <w:color w:val="auto"/>
              </w:rPr>
            </w:pPr>
          </w:p>
        </w:tc>
        <w:tc>
          <w:tcPr>
            <w:tcW w:w="340" w:type="dxa"/>
            <w:vAlign w:val="bottom"/>
            <w:tcBorders>
              <w:top w:val="single" w:sz="8" w:color="EAEAEA"/>
              <w:bottom w:val="single" w:sz="8" w:color="0086CC"/>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bottom w:val="single" w:sz="8" w:color="0000EE"/>
            </w:tcBorders>
            <w:gridSpan w:val="3"/>
          </w:tcPr>
          <w:p>
            <w:pPr>
              <w:spacing w:after="0" w:line="156" w:lineRule="exact"/>
              <w:rPr>
                <w:sz w:val="20"/>
                <w:szCs w:val="20"/>
                <w:color w:val="auto"/>
              </w:rPr>
            </w:pPr>
            <w:r>
              <w:rPr>
                <w:rFonts w:ascii="Arial" w:cs="Arial" w:eastAsia="Arial" w:hAnsi="Arial"/>
                <w:sz w:val="15"/>
                <w:szCs w:val="15"/>
                <w:b w:val="1"/>
                <w:bCs w:val="1"/>
                <w:color w:val="0000EE"/>
              </w:rPr>
              <w:t>Summary of Fees</w:t>
            </w:r>
          </w:p>
        </w:tc>
        <w:tc>
          <w:tcPr>
            <w:tcW w:w="3480" w:type="dxa"/>
            <w:vAlign w:val="bottom"/>
            <w:gridSpan w:val="39"/>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43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Pre-Approval Policies and Procedures</w:t>
            </w: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9"/>
          </w:tcPr>
          <w:p>
            <w:pPr>
              <w:spacing w:after="0" w:line="169" w:lineRule="exact"/>
              <w:rPr>
                <w:sz w:val="20"/>
                <w:szCs w:val="20"/>
                <w:color w:val="auto"/>
              </w:rPr>
            </w:pPr>
            <w:r>
              <w:rPr>
                <w:rFonts w:ascii="Arial" w:cs="Arial" w:eastAsia="Arial" w:hAnsi="Arial"/>
                <w:sz w:val="15"/>
                <w:szCs w:val="15"/>
                <w:b w:val="1"/>
                <w:bCs w:val="1"/>
                <w:color w:val="0000EE"/>
              </w:rPr>
              <w:t>Audit Committee Review</w:t>
            </w:r>
          </w:p>
        </w:tc>
        <w:tc>
          <w:tcPr>
            <w:tcW w:w="980" w:type="dxa"/>
            <w:vAlign w:val="bottom"/>
            <w:tcBorders>
              <w:top w:val="single" w:sz="8" w:color="0000EE"/>
            </w:tcBorders>
            <w:gridSpan w:val="15"/>
          </w:tcPr>
          <w:p>
            <w:pPr>
              <w:spacing w:after="0"/>
              <w:rPr>
                <w:sz w:val="14"/>
                <w:szCs w:val="14"/>
                <w:color w:val="auto"/>
              </w:rPr>
            </w:pPr>
          </w:p>
        </w:tc>
        <w:tc>
          <w:tcPr>
            <w:tcW w:w="2020" w:type="dxa"/>
            <w:vAlign w:val="bottom"/>
            <w:gridSpan w:val="18"/>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44</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b w:val="1"/>
                <w:bCs w:val="1"/>
                <w:color w:val="0000EE"/>
              </w:rPr>
              <w:t>Audit Committee Report</w:t>
            </w:r>
          </w:p>
        </w:tc>
        <w:tc>
          <w:tcPr>
            <w:tcW w:w="3180" w:type="dxa"/>
            <w:vAlign w:val="bottom"/>
            <w:gridSpan w:val="37"/>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0086CC"/>
              </w:rPr>
              <w:t>45</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0000EE"/>
            </w:tcBorders>
            <w:gridSpan w:val="42"/>
          </w:tcPr>
          <w:p>
            <w:pPr>
              <w:spacing w:after="0"/>
              <w:rPr>
                <w:sz w:val="20"/>
                <w:szCs w:val="20"/>
                <w:color w:val="auto"/>
              </w:rPr>
            </w:pPr>
            <w:r>
              <w:rPr>
                <w:rFonts w:ascii="Arial" w:cs="Arial" w:eastAsia="Arial" w:hAnsi="Arial"/>
                <w:sz w:val="15"/>
                <w:szCs w:val="15"/>
                <w:b w:val="1"/>
                <w:bCs w:val="1"/>
                <w:color w:val="0000EE"/>
              </w:rPr>
              <w:t>Management Development and Compensation Committee Report</w:t>
            </w:r>
          </w:p>
        </w:tc>
        <w:tc>
          <w:tcPr>
            <w:tcW w:w="20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0086CC"/>
              </w:rPr>
              <w:t>46</w:t>
            </w:r>
          </w:p>
        </w:tc>
        <w:tc>
          <w:tcPr>
            <w:tcW w:w="0" w:type="dxa"/>
            <w:vAlign w:val="bottom"/>
          </w:tcPr>
          <w:p>
            <w:pPr>
              <w:spacing w:after="0"/>
              <w:rPr>
                <w:sz w:val="1"/>
                <w:szCs w:val="1"/>
                <w:color w:val="auto"/>
              </w:rPr>
            </w:pPr>
          </w:p>
        </w:tc>
      </w:tr>
      <w:tr>
        <w:trPr>
          <w:trHeight w:val="209"/>
        </w:trPr>
        <w:tc>
          <w:tcPr>
            <w:tcW w:w="4940" w:type="dxa"/>
            <w:vAlign w:val="bottom"/>
            <w:gridSpan w:val="44"/>
          </w:tcPr>
          <w:p>
            <w:pPr>
              <w:spacing w:after="0"/>
              <w:rPr>
                <w:sz w:val="20"/>
                <w:szCs w:val="20"/>
                <w:color w:val="auto"/>
              </w:rPr>
            </w:pPr>
            <w:r>
              <w:rPr>
                <w:rFonts w:ascii="Arial" w:cs="Arial" w:eastAsia="Arial" w:hAnsi="Arial"/>
                <w:sz w:val="15"/>
                <w:szCs w:val="15"/>
                <w:b w:val="1"/>
                <w:bCs w:val="1"/>
                <w:color w:val="0000EE"/>
              </w:rPr>
              <w:t>Compensation Committee Interlocks and Insider Participation in</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0086CC"/>
              </w:rPr>
              <w:t>47</w:t>
            </w:r>
          </w:p>
        </w:tc>
        <w:tc>
          <w:tcPr>
            <w:tcW w:w="0" w:type="dxa"/>
            <w:vAlign w:val="bottom"/>
          </w:tcPr>
          <w:p>
            <w:pPr>
              <w:spacing w:after="0"/>
              <w:rPr>
                <w:sz w:val="1"/>
                <w:szCs w:val="1"/>
                <w:color w:val="auto"/>
              </w:rPr>
            </w:pPr>
          </w:p>
        </w:tc>
      </w:tr>
      <w:tr>
        <w:trPr>
          <w:trHeight w:val="142"/>
        </w:trPr>
        <w:tc>
          <w:tcPr>
            <w:tcW w:w="4660" w:type="dxa"/>
            <w:vAlign w:val="bottom"/>
            <w:tcBorders>
              <w:top w:val="single" w:sz="8" w:color="0000EE"/>
            </w:tcBorders>
            <w:gridSpan w:val="40"/>
          </w:tcPr>
          <w:p>
            <w:pPr>
              <w:spacing w:after="0" w:line="142" w:lineRule="exact"/>
              <w:rPr>
                <w:sz w:val="20"/>
                <w:szCs w:val="20"/>
                <w:color w:val="auto"/>
              </w:rPr>
            </w:pPr>
            <w:r>
              <w:rPr>
                <w:rFonts w:ascii="Arial" w:cs="Arial" w:eastAsia="Arial" w:hAnsi="Arial"/>
                <w:sz w:val="15"/>
                <w:szCs w:val="15"/>
                <w:b w:val="1"/>
                <w:bCs w:val="1"/>
                <w:color w:val="0000EE"/>
              </w:rPr>
              <w:t>Compensation Decisions</w:t>
            </w: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44"/>
          </w:tcPr>
          <w:p>
            <w:pPr>
              <w:spacing w:after="0"/>
              <w:rPr>
                <w:sz w:val="20"/>
                <w:szCs w:val="20"/>
                <w:color w:val="auto"/>
              </w:rPr>
            </w:pPr>
            <w:r>
              <w:rPr>
                <w:rFonts w:ascii="Arial" w:cs="Arial" w:eastAsia="Arial" w:hAnsi="Arial"/>
                <w:sz w:val="15"/>
                <w:szCs w:val="15"/>
                <w:b w:val="1"/>
                <w:bCs w:val="1"/>
                <w:color w:val="0000EE"/>
              </w:rPr>
              <w:t>Compensation Discussion and Analysis</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0086CC"/>
              </w:rPr>
              <w:t>48</w:t>
            </w:r>
          </w:p>
        </w:tc>
        <w:tc>
          <w:tcPr>
            <w:tcW w:w="0" w:type="dxa"/>
            <w:vAlign w:val="bottom"/>
          </w:tcPr>
          <w:p>
            <w:pPr>
              <w:spacing w:after="0"/>
              <w:rPr>
                <w:sz w:val="1"/>
                <w:szCs w:val="1"/>
                <w:color w:val="auto"/>
              </w:rPr>
            </w:pPr>
          </w:p>
        </w:tc>
      </w:tr>
      <w:tr>
        <w:trPr>
          <w:trHeight w:val="169"/>
        </w:trPr>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90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5"/>
                <w:szCs w:val="15"/>
                <w:b w:val="1"/>
                <w:bCs w:val="1"/>
                <w:color w:val="0000EE"/>
              </w:rPr>
              <w:t>Introduction</w:t>
            </w:r>
          </w:p>
        </w:tc>
        <w:tc>
          <w:tcPr>
            <w:tcW w:w="1860" w:type="dxa"/>
            <w:vAlign w:val="bottom"/>
            <w:tcBorders>
              <w:top w:val="single" w:sz="8" w:color="0000EE"/>
            </w:tcBorders>
            <w:gridSpan w:val="22"/>
          </w:tcPr>
          <w:p>
            <w:pPr>
              <w:spacing w:after="0"/>
              <w:rPr>
                <w:sz w:val="14"/>
                <w:szCs w:val="14"/>
                <w:color w:val="auto"/>
              </w:rPr>
            </w:pPr>
          </w:p>
        </w:tc>
        <w:tc>
          <w:tcPr>
            <w:tcW w:w="2040" w:type="dxa"/>
            <w:vAlign w:val="bottom"/>
            <w:gridSpan w:val="19"/>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40" w:type="dxa"/>
            <w:vAlign w:val="bottom"/>
            <w:tcBorders>
              <w:bottom w:val="single" w:sz="8" w:color="0000EE"/>
            </w:tcBorders>
            <w:gridSpan w:val="31"/>
          </w:tcPr>
          <w:p>
            <w:pPr>
              <w:spacing w:after="0" w:line="169" w:lineRule="exact"/>
              <w:rPr>
                <w:sz w:val="20"/>
                <w:szCs w:val="20"/>
                <w:color w:val="auto"/>
              </w:rPr>
            </w:pPr>
            <w:r>
              <w:rPr>
                <w:rFonts w:ascii="Arial" w:cs="Arial" w:eastAsia="Arial" w:hAnsi="Arial"/>
                <w:sz w:val="15"/>
                <w:szCs w:val="15"/>
                <w:b w:val="1"/>
                <w:bCs w:val="1"/>
                <w:color w:val="0000EE"/>
              </w:rPr>
              <w:t>Summary of our Compensation Considerations</w:t>
            </w:r>
          </w:p>
        </w:tc>
        <w:tc>
          <w:tcPr>
            <w:tcW w:w="1360" w:type="dxa"/>
            <w:vAlign w:val="bottom"/>
            <w:gridSpan w:val="11"/>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49</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Responsiveness to Shareholders: Shareholder Engagement and</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60" w:type="dxa"/>
            <w:vAlign w:val="bottom"/>
            <w:tcBorders>
              <w:top w:val="single" w:sz="8" w:color="0000EE"/>
              <w:bottom w:val="single" w:sz="8" w:color="0000EE"/>
            </w:tcBorders>
            <w:gridSpan w:val="32"/>
          </w:tcPr>
          <w:p>
            <w:pPr>
              <w:spacing w:after="0" w:line="142" w:lineRule="exact"/>
              <w:rPr>
                <w:sz w:val="20"/>
                <w:szCs w:val="20"/>
                <w:color w:val="auto"/>
              </w:rPr>
            </w:pPr>
            <w:r>
              <w:rPr>
                <w:rFonts w:ascii="Arial" w:cs="Arial" w:eastAsia="Arial" w:hAnsi="Arial"/>
                <w:sz w:val="15"/>
                <w:szCs w:val="15"/>
                <w:b w:val="1"/>
                <w:bCs w:val="1"/>
                <w:color w:val="0000EE"/>
              </w:rPr>
              <w:t>Feedback on Executive Compensation Programs</w:t>
            </w:r>
          </w:p>
        </w:tc>
        <w:tc>
          <w:tcPr>
            <w:tcW w:w="1120" w:type="dxa"/>
            <w:vAlign w:val="bottom"/>
            <w:tcBorders>
              <w:top w:val="single" w:sz="8" w:color="0000EE"/>
            </w:tcBorders>
            <w:gridSpan w:val="9"/>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Borders>
              <w:bottom w:val="single" w:sz="8" w:color="0000EE"/>
            </w:tcBorders>
            <w:gridSpan w:val="6"/>
          </w:tcPr>
          <w:p>
            <w:pPr>
              <w:spacing w:after="0" w:line="169" w:lineRule="exact"/>
              <w:rPr>
                <w:sz w:val="20"/>
                <w:szCs w:val="20"/>
                <w:color w:val="auto"/>
              </w:rPr>
            </w:pPr>
            <w:r>
              <w:rPr>
                <w:rFonts w:ascii="Arial" w:cs="Arial" w:eastAsia="Arial" w:hAnsi="Arial"/>
                <w:sz w:val="15"/>
                <w:szCs w:val="15"/>
                <w:b w:val="1"/>
                <w:bCs w:val="1"/>
                <w:color w:val="0000EE"/>
              </w:rPr>
              <w:t>Our 2025 Performance</w:t>
            </w:r>
          </w:p>
        </w:tc>
        <w:tc>
          <w:tcPr>
            <w:tcW w:w="3120" w:type="dxa"/>
            <w:vAlign w:val="bottom"/>
            <w:gridSpan w:val="36"/>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50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tcBorders>
              <w:bottom w:val="single" w:sz="8" w:color="0000EE"/>
            </w:tcBorders>
            <w:gridSpan w:val="37"/>
          </w:tcPr>
          <w:p>
            <w:pPr>
              <w:spacing w:after="0" w:line="169" w:lineRule="exact"/>
              <w:rPr>
                <w:sz w:val="20"/>
                <w:szCs w:val="20"/>
                <w:color w:val="auto"/>
              </w:rPr>
            </w:pPr>
            <w:r>
              <w:rPr>
                <w:rFonts w:ascii="Arial" w:cs="Arial" w:eastAsia="Arial" w:hAnsi="Arial"/>
                <w:sz w:val="15"/>
                <w:szCs w:val="15"/>
                <w:b w:val="1"/>
                <w:bCs w:val="1"/>
                <w:color w:val="0000EE"/>
              </w:rPr>
              <w:t>Sustainability, Safety and the Well-Being of our Employees</w:t>
            </w:r>
          </w:p>
        </w:tc>
        <w:tc>
          <w:tcPr>
            <w:tcW w:w="520" w:type="dxa"/>
            <w:vAlign w:val="bottom"/>
            <w:gridSpan w:val="5"/>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51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Compensation Decisions Yielding Alignment with Performance</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55</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580" w:type="dxa"/>
            <w:vAlign w:val="bottom"/>
            <w:tcBorders>
              <w:top w:val="single" w:sz="8" w:color="0000EE"/>
            </w:tcBorders>
            <w:gridSpan w:val="39"/>
          </w:tcPr>
          <w:p>
            <w:pPr>
              <w:spacing w:after="0" w:line="142" w:lineRule="exact"/>
              <w:rPr>
                <w:sz w:val="20"/>
                <w:szCs w:val="20"/>
                <w:color w:val="auto"/>
              </w:rPr>
            </w:pPr>
            <w:r>
              <w:rPr>
                <w:rFonts w:ascii="Arial" w:cs="Arial" w:eastAsia="Arial" w:hAnsi="Arial"/>
                <w:sz w:val="15"/>
                <w:szCs w:val="15"/>
                <w:b w:val="1"/>
                <w:bCs w:val="1"/>
                <w:color w:val="0000EE"/>
              </w:rPr>
              <w:t>and Enhancing our Corporate Resilience</w:t>
            </w:r>
          </w:p>
        </w:tc>
        <w:tc>
          <w:tcPr>
            <w:tcW w:w="220" w:type="dxa"/>
            <w:vAlign w:val="bottom"/>
            <w:gridSpan w:val="3"/>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57</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Pay Decisions and Compensation Governance Practices</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Borders>
              <w:top w:val="single" w:sz="8" w:color="0000EE"/>
              <w:bottom w:val="single" w:sz="8" w:color="0000EE"/>
            </w:tcBorders>
            <w:gridSpan w:val="22"/>
          </w:tcPr>
          <w:p>
            <w:pPr>
              <w:spacing w:after="0" w:line="169" w:lineRule="exact"/>
              <w:rPr>
                <w:sz w:val="20"/>
                <w:szCs w:val="20"/>
                <w:color w:val="auto"/>
              </w:rPr>
            </w:pPr>
            <w:r>
              <w:rPr>
                <w:rFonts w:ascii="Arial" w:cs="Arial" w:eastAsia="Arial" w:hAnsi="Arial"/>
                <w:sz w:val="15"/>
                <w:szCs w:val="15"/>
                <w:b w:val="1"/>
                <w:bCs w:val="1"/>
                <w:color w:val="0000EE"/>
              </w:rPr>
              <w:t>Determination of CEO Compensation</w:t>
            </w:r>
          </w:p>
        </w:tc>
        <w:tc>
          <w:tcPr>
            <w:tcW w:w="1400" w:type="dxa"/>
            <w:vAlign w:val="bottom"/>
            <w:tcBorders>
              <w:top w:val="single" w:sz="8" w:color="0000EE"/>
            </w:tcBorders>
            <w:gridSpan w:val="14"/>
          </w:tcPr>
          <w:p>
            <w:pPr>
              <w:spacing w:after="0"/>
              <w:rPr>
                <w:sz w:val="14"/>
                <w:szCs w:val="14"/>
                <w:color w:val="auto"/>
              </w:rPr>
            </w:pPr>
          </w:p>
        </w:tc>
        <w:tc>
          <w:tcPr>
            <w:tcW w:w="700" w:type="dxa"/>
            <w:vAlign w:val="bottom"/>
            <w:gridSpan w:val="6"/>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58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2025 Chair, President and CEO Compensation</w:t>
            </w: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59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2025 Named Executive Officers’ Compensation – Our</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59</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60" w:type="dxa"/>
            <w:vAlign w:val="bottom"/>
            <w:tcBorders>
              <w:top w:val="single" w:sz="8" w:color="0000EE"/>
            </w:tcBorders>
            <w:gridSpan w:val="34"/>
          </w:tcPr>
          <w:p>
            <w:pPr>
              <w:spacing w:after="0" w:line="142" w:lineRule="exact"/>
              <w:rPr>
                <w:sz w:val="20"/>
                <w:szCs w:val="20"/>
                <w:color w:val="auto"/>
              </w:rPr>
            </w:pPr>
            <w:r>
              <w:rPr>
                <w:rFonts w:ascii="Arial" w:cs="Arial" w:eastAsia="Arial" w:hAnsi="Arial"/>
                <w:sz w:val="15"/>
                <w:szCs w:val="15"/>
                <w:b w:val="1"/>
                <w:bCs w:val="1"/>
                <w:color w:val="0000EE"/>
              </w:rPr>
              <w:t>Compensation Strategy</w:t>
            </w:r>
          </w:p>
        </w:tc>
        <w:tc>
          <w:tcPr>
            <w:tcW w:w="940" w:type="dxa"/>
            <w:vAlign w:val="bottom"/>
            <w:gridSpan w:val="8"/>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61</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Considerations Regarding 2025 Compensation</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5"/>
                <w:szCs w:val="15"/>
                <w:b w:val="1"/>
                <w:bCs w:val="1"/>
                <w:color w:val="0000EE"/>
              </w:rPr>
              <w:t>2025 Base Salary</w:t>
            </w:r>
          </w:p>
        </w:tc>
        <w:tc>
          <w:tcPr>
            <w:tcW w:w="2140" w:type="dxa"/>
            <w:vAlign w:val="bottom"/>
            <w:tcBorders>
              <w:top w:val="single" w:sz="8" w:color="0000EE"/>
            </w:tcBorders>
            <w:gridSpan w:val="27"/>
          </w:tcPr>
          <w:p>
            <w:pPr>
              <w:spacing w:after="0"/>
              <w:rPr>
                <w:sz w:val="14"/>
                <w:szCs w:val="14"/>
                <w:color w:val="auto"/>
              </w:rPr>
            </w:pPr>
          </w:p>
        </w:tc>
        <w:tc>
          <w:tcPr>
            <w:tcW w:w="1400" w:type="dxa"/>
            <w:vAlign w:val="bottom"/>
            <w:gridSpan w:val="13"/>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61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20" w:type="dxa"/>
            <w:vAlign w:val="bottom"/>
            <w:tcBorders>
              <w:bottom w:val="single" w:sz="8" w:color="0000EE"/>
            </w:tcBorders>
            <w:gridSpan w:val="30"/>
          </w:tcPr>
          <w:p>
            <w:pPr>
              <w:spacing w:after="0" w:line="169" w:lineRule="exact"/>
              <w:rPr>
                <w:sz w:val="20"/>
                <w:szCs w:val="20"/>
                <w:color w:val="auto"/>
              </w:rPr>
            </w:pPr>
            <w:r>
              <w:rPr>
                <w:rFonts w:ascii="Arial" w:cs="Arial" w:eastAsia="Arial" w:hAnsi="Arial"/>
                <w:sz w:val="15"/>
                <w:szCs w:val="15"/>
                <w:b w:val="1"/>
                <w:bCs w:val="1"/>
                <w:color w:val="0000EE"/>
              </w:rPr>
              <w:t>2025 Annual Cash Incentive Goals and Results</w:t>
            </w:r>
          </w:p>
        </w:tc>
        <w:tc>
          <w:tcPr>
            <w:tcW w:w="1380" w:type="dxa"/>
            <w:vAlign w:val="bottom"/>
            <w:gridSpan w:val="12"/>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62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tcBorders>
              <w:bottom w:val="single" w:sz="8" w:color="0000EE"/>
            </w:tcBorders>
            <w:gridSpan w:val="19"/>
          </w:tcPr>
          <w:p>
            <w:pPr>
              <w:spacing w:after="0" w:line="169" w:lineRule="exact"/>
              <w:rPr>
                <w:sz w:val="20"/>
                <w:szCs w:val="20"/>
                <w:color w:val="auto"/>
              </w:rPr>
            </w:pPr>
            <w:r>
              <w:rPr>
                <w:rFonts w:ascii="Arial" w:cs="Arial" w:eastAsia="Arial" w:hAnsi="Arial"/>
                <w:sz w:val="15"/>
                <w:szCs w:val="15"/>
                <w:b w:val="1"/>
                <w:bCs w:val="1"/>
                <w:color w:val="0000EE"/>
              </w:rPr>
              <w:t>2025 Actual Incentive Cash Earned</w:t>
            </w:r>
          </w:p>
        </w:tc>
        <w:tc>
          <w:tcPr>
            <w:tcW w:w="2260" w:type="dxa"/>
            <w:vAlign w:val="bottom"/>
            <w:gridSpan w:val="23"/>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62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Annual Incentive Feature: Incentive Stock Plan</w:t>
            </w: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66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gridSpan w:val="14"/>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66</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2025 Long-Term Incentive Compensation Overview</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15"/>
          </w:tcPr>
          <w:p>
            <w:pPr>
              <w:spacing w:after="0" w:line="169" w:lineRule="exact"/>
              <w:rPr>
                <w:sz w:val="20"/>
                <w:szCs w:val="20"/>
                <w:color w:val="auto"/>
              </w:rPr>
            </w:pPr>
            <w:r>
              <w:rPr>
                <w:rFonts w:ascii="Arial" w:cs="Arial" w:eastAsia="Arial" w:hAnsi="Arial"/>
                <w:sz w:val="15"/>
                <w:szCs w:val="15"/>
                <w:b w:val="1"/>
                <w:bCs w:val="1"/>
                <w:color w:val="0000EE"/>
              </w:rPr>
              <w:t>PSU Awards (55% of LTI Award)</w:t>
            </w:r>
          </w:p>
        </w:tc>
        <w:tc>
          <w:tcPr>
            <w:tcW w:w="1380" w:type="dxa"/>
            <w:vAlign w:val="bottom"/>
            <w:tcBorders>
              <w:top w:val="single" w:sz="8" w:color="0000EE"/>
            </w:tcBorders>
            <w:gridSpan w:val="18"/>
          </w:tcPr>
          <w:p>
            <w:pPr>
              <w:spacing w:after="0"/>
              <w:rPr>
                <w:sz w:val="14"/>
                <w:szCs w:val="14"/>
                <w:color w:val="auto"/>
              </w:rPr>
            </w:pPr>
          </w:p>
        </w:tc>
        <w:tc>
          <w:tcPr>
            <w:tcW w:w="1100" w:type="dxa"/>
            <w:vAlign w:val="bottom"/>
            <w:gridSpan w:val="9"/>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67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Selection of Relative TSR</w:t>
            </w: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68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7"/>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68</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0" w:type="dxa"/>
            <w:vAlign w:val="bottom"/>
            <w:gridSpan w:val="42"/>
          </w:tcPr>
          <w:p>
            <w:pPr>
              <w:spacing w:after="0" w:line="169" w:lineRule="exact"/>
              <w:rPr>
                <w:sz w:val="20"/>
                <w:szCs w:val="20"/>
                <w:color w:val="auto"/>
              </w:rPr>
            </w:pPr>
            <w:r>
              <w:rPr>
                <w:rFonts w:ascii="Arial" w:cs="Arial" w:eastAsia="Arial" w:hAnsi="Arial"/>
                <w:sz w:val="15"/>
                <w:szCs w:val="15"/>
                <w:b w:val="1"/>
                <w:bCs w:val="1"/>
                <w:color w:val="0000EE"/>
              </w:rPr>
              <w:t>RSU Awards (45% of LTI Award)</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5"/>
                <w:szCs w:val="15"/>
                <w:b w:val="1"/>
                <w:bCs w:val="1"/>
                <w:color w:val="0000EE"/>
              </w:rPr>
              <w:t>2025-2027 Performance Goals</w:t>
            </w:r>
          </w:p>
        </w:tc>
        <w:tc>
          <w:tcPr>
            <w:tcW w:w="2480" w:type="dxa"/>
            <w:vAlign w:val="bottom"/>
            <w:gridSpan w:val="27"/>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68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rPr>
                <w:sz w:val="20"/>
                <w:szCs w:val="20"/>
                <w:color w:val="auto"/>
              </w:rPr>
            </w:pPr>
            <w:r>
              <w:rPr>
                <w:rFonts w:ascii="Arial" w:cs="Arial" w:eastAsia="Arial" w:hAnsi="Arial"/>
                <w:sz w:val="15"/>
                <w:szCs w:val="15"/>
                <w:b w:val="1"/>
                <w:bCs w:val="1"/>
                <w:color w:val="0000EE"/>
              </w:rPr>
              <w:t>2025 Performance Goals and Metrics</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69</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EE"/>
              <w:bottom w:val="single" w:sz="8" w:color="0000EE"/>
            </w:tcBorders>
            <w:gridSpan w:val="14"/>
          </w:tcPr>
          <w:p>
            <w:pPr>
              <w:spacing w:after="0" w:line="169" w:lineRule="exact"/>
              <w:rPr>
                <w:sz w:val="20"/>
                <w:szCs w:val="20"/>
                <w:color w:val="auto"/>
              </w:rPr>
            </w:pPr>
            <w:r>
              <w:rPr>
                <w:rFonts w:ascii="Arial" w:cs="Arial" w:eastAsia="Arial" w:hAnsi="Arial"/>
                <w:sz w:val="15"/>
                <w:szCs w:val="15"/>
                <w:b w:val="1"/>
                <w:bCs w:val="1"/>
                <w:color w:val="0000EE"/>
              </w:rPr>
              <w:t>2023-2025 PSU Award Payouts</w:t>
            </w:r>
          </w:p>
        </w:tc>
        <w:tc>
          <w:tcPr>
            <w:tcW w:w="420" w:type="dxa"/>
            <w:vAlign w:val="bottom"/>
            <w:tcBorders>
              <w:top w:val="single" w:sz="8" w:color="0000EE"/>
            </w:tcBorders>
            <w:gridSpan w:val="7"/>
          </w:tcPr>
          <w:p>
            <w:pPr>
              <w:spacing w:after="0"/>
              <w:rPr>
                <w:sz w:val="14"/>
                <w:szCs w:val="14"/>
                <w:color w:val="auto"/>
              </w:rPr>
            </w:pPr>
          </w:p>
        </w:tc>
        <w:tc>
          <w:tcPr>
            <w:tcW w:w="2160" w:type="dxa"/>
            <w:vAlign w:val="bottom"/>
            <w:gridSpan w:val="18"/>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69</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tcBorders>
              <w:bottom w:val="single" w:sz="8" w:color="0000EE"/>
            </w:tcBorders>
            <w:gridSpan w:val="24"/>
          </w:tcPr>
          <w:p>
            <w:pPr>
              <w:spacing w:after="0" w:line="169" w:lineRule="exact"/>
              <w:rPr>
                <w:sz w:val="20"/>
                <w:szCs w:val="20"/>
                <w:color w:val="auto"/>
              </w:rPr>
            </w:pPr>
            <w:r>
              <w:rPr>
                <w:rFonts w:ascii="Arial" w:cs="Arial" w:eastAsia="Arial" w:hAnsi="Arial"/>
                <w:sz w:val="15"/>
                <w:szCs w:val="15"/>
                <w:b w:val="1"/>
                <w:bCs w:val="1"/>
                <w:color w:val="0000EE"/>
              </w:rPr>
              <w:t>Ongoing Corporate Governance Policies</w:t>
            </w:r>
          </w:p>
        </w:tc>
        <w:tc>
          <w:tcPr>
            <w:tcW w:w="1880" w:type="dxa"/>
            <w:vAlign w:val="bottom"/>
            <w:gridSpan w:val="15"/>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Compensation Decision Process</w:t>
            </w: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70</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tcBorders>
              <w:bottom w:val="single" w:sz="8" w:color="0000EE"/>
            </w:tcBorders>
            <w:gridSpan w:val="31"/>
          </w:tcPr>
          <w:p>
            <w:pPr>
              <w:spacing w:after="0" w:line="169" w:lineRule="exact"/>
              <w:rPr>
                <w:sz w:val="20"/>
                <w:szCs w:val="20"/>
                <w:color w:val="auto"/>
              </w:rPr>
            </w:pPr>
            <w:r>
              <w:rPr>
                <w:rFonts w:ascii="Arial" w:cs="Arial" w:eastAsia="Arial" w:hAnsi="Arial"/>
                <w:sz w:val="15"/>
                <w:szCs w:val="15"/>
                <w:b w:val="1"/>
                <w:bCs w:val="1"/>
                <w:color w:val="0000EE"/>
              </w:rPr>
              <w:t>Role of the Independent Compensation Consultant</w:t>
            </w:r>
          </w:p>
        </w:tc>
        <w:tc>
          <w:tcPr>
            <w:tcW w:w="1140" w:type="dxa"/>
            <w:vAlign w:val="bottom"/>
            <w:gridSpan w:val="8"/>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Role of Peer Companies and Competitive Market Data</w:t>
            </w: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0000EE"/>
            </w:tcBorders>
            <w:gridSpan w:val="33"/>
          </w:tcPr>
          <w:p>
            <w:pPr>
              <w:spacing w:after="0" w:line="169" w:lineRule="exact"/>
              <w:rPr>
                <w:sz w:val="20"/>
                <w:szCs w:val="20"/>
                <w:color w:val="auto"/>
              </w:rPr>
            </w:pPr>
            <w:r>
              <w:rPr>
                <w:rFonts w:ascii="Arial" w:cs="Arial" w:eastAsia="Arial" w:hAnsi="Arial"/>
                <w:sz w:val="15"/>
                <w:szCs w:val="15"/>
                <w:b w:val="1"/>
                <w:bCs w:val="1"/>
                <w:color w:val="0000EE"/>
              </w:rPr>
              <w:t>Other Compensation Program Features</w:t>
            </w:r>
          </w:p>
        </w:tc>
        <w:tc>
          <w:tcPr>
            <w:tcW w:w="940" w:type="dxa"/>
            <w:vAlign w:val="bottom"/>
            <w:gridSpan w:val="6"/>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73</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Compensation Program Risk Assessment</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5"/>
                <w:szCs w:val="15"/>
                <w:b w:val="1"/>
                <w:bCs w:val="1"/>
                <w:color w:val="0000EE"/>
              </w:rPr>
              <w:t>Stock-Based Awards Generally</w:t>
            </w:r>
          </w:p>
        </w:tc>
        <w:tc>
          <w:tcPr>
            <w:tcW w:w="1800" w:type="dxa"/>
            <w:vAlign w:val="bottom"/>
            <w:gridSpan w:val="14"/>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73</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bottom w:val="single" w:sz="8" w:color="0000EE"/>
            </w:tcBorders>
            <w:gridSpan w:val="15"/>
          </w:tcPr>
          <w:p>
            <w:pPr>
              <w:spacing w:after="0" w:line="169" w:lineRule="exact"/>
              <w:rPr>
                <w:sz w:val="20"/>
                <w:szCs w:val="20"/>
                <w:color w:val="auto"/>
              </w:rPr>
            </w:pPr>
            <w:r>
              <w:rPr>
                <w:rFonts w:ascii="Arial" w:cs="Arial" w:eastAsia="Arial" w:hAnsi="Arial"/>
                <w:sz w:val="15"/>
                <w:szCs w:val="15"/>
                <w:b w:val="1"/>
                <w:bCs w:val="1"/>
                <w:color w:val="0000EE"/>
              </w:rPr>
              <w:t>Stock Ownership Requirements</w:t>
            </w:r>
          </w:p>
        </w:tc>
        <w:tc>
          <w:tcPr>
            <w:tcW w:w="2520" w:type="dxa"/>
            <w:vAlign w:val="bottom"/>
            <w:gridSpan w:val="24"/>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bottom w:val="single" w:sz="8" w:color="0000EE"/>
            </w:tcBorders>
            <w:gridSpan w:val="18"/>
          </w:tcPr>
          <w:p>
            <w:pPr>
              <w:spacing w:after="0" w:line="169" w:lineRule="exact"/>
              <w:rPr>
                <w:sz w:val="20"/>
                <w:szCs w:val="20"/>
                <w:color w:val="auto"/>
              </w:rPr>
            </w:pPr>
            <w:r>
              <w:rPr>
                <w:rFonts w:ascii="Arial" w:cs="Arial" w:eastAsia="Arial" w:hAnsi="Arial"/>
                <w:sz w:val="15"/>
                <w:szCs w:val="15"/>
                <w:b w:val="1"/>
                <w:bCs w:val="1"/>
                <w:color w:val="0000EE"/>
              </w:rPr>
              <w:t>Anti-Hedging and Pledging Policy</w:t>
            </w:r>
          </w:p>
        </w:tc>
        <w:tc>
          <w:tcPr>
            <w:tcW w:w="2380" w:type="dxa"/>
            <w:vAlign w:val="bottom"/>
            <w:gridSpan w:val="21"/>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Clawback Policy</w:t>
            </w: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75</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Our Use of Independent Compensation Consultants</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top w:val="single" w:sz="8" w:color="0000EE"/>
            </w:tcBorders>
            <w:gridSpan w:val="32"/>
          </w:tcPr>
          <w:p>
            <w:pPr>
              <w:spacing w:after="0" w:line="169" w:lineRule="exact"/>
              <w:rPr>
                <w:sz w:val="20"/>
                <w:szCs w:val="20"/>
                <w:color w:val="auto"/>
              </w:rPr>
            </w:pPr>
            <w:r>
              <w:rPr>
                <w:rFonts w:ascii="Arial" w:cs="Arial" w:eastAsia="Arial" w:hAnsi="Arial"/>
                <w:sz w:val="15"/>
                <w:szCs w:val="15"/>
                <w:b w:val="1"/>
                <w:bCs w:val="1"/>
                <w:color w:val="0000EE"/>
              </w:rPr>
              <w:t>Practice Regarding Timing of Equity Grants</w:t>
            </w:r>
          </w:p>
        </w:tc>
        <w:tc>
          <w:tcPr>
            <w:tcW w:w="1080" w:type="dxa"/>
            <w:vAlign w:val="bottom"/>
            <w:gridSpan w:val="7"/>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5"/>
                <w:szCs w:val="15"/>
                <w:b w:val="1"/>
                <w:bCs w:val="1"/>
                <w:color w:val="0000EE"/>
              </w:rPr>
              <w:t>Perquisites</w:t>
            </w:r>
          </w:p>
        </w:tc>
        <w:tc>
          <w:tcPr>
            <w:tcW w:w="1680" w:type="dxa"/>
            <w:vAlign w:val="bottom"/>
            <w:gridSpan w:val="13"/>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76</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0000EE"/>
            </w:tcBorders>
            <w:gridSpan w:val="14"/>
          </w:tcPr>
          <w:p>
            <w:pPr>
              <w:spacing w:after="0" w:line="169" w:lineRule="exact"/>
              <w:rPr>
                <w:sz w:val="20"/>
                <w:szCs w:val="20"/>
                <w:color w:val="auto"/>
              </w:rPr>
            </w:pPr>
            <w:r>
              <w:rPr>
                <w:rFonts w:ascii="Arial" w:cs="Arial" w:eastAsia="Arial" w:hAnsi="Arial"/>
                <w:sz w:val="15"/>
                <w:szCs w:val="15"/>
                <w:b w:val="1"/>
                <w:bCs w:val="1"/>
                <w:color w:val="0000EE"/>
              </w:rPr>
              <w:t>Retirement and Other Benefits</w:t>
            </w:r>
          </w:p>
        </w:tc>
        <w:tc>
          <w:tcPr>
            <w:tcW w:w="2580" w:type="dxa"/>
            <w:vAlign w:val="bottom"/>
            <w:gridSpan w:val="25"/>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Potential Payments upon Termination or Change of Control</w:t>
            </w: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EE"/>
            </w:tcBorders>
            <w:gridSpan w:val="34"/>
          </w:tcPr>
          <w:p>
            <w:pPr>
              <w:spacing w:after="0" w:line="169" w:lineRule="exact"/>
              <w:rPr>
                <w:sz w:val="20"/>
                <w:szCs w:val="20"/>
                <w:color w:val="auto"/>
              </w:rPr>
            </w:pPr>
            <w:r>
              <w:rPr>
                <w:rFonts w:ascii="Arial" w:cs="Arial" w:eastAsia="Arial" w:hAnsi="Arial"/>
                <w:sz w:val="15"/>
                <w:szCs w:val="15"/>
                <w:b w:val="1"/>
                <w:bCs w:val="1"/>
                <w:color w:val="0000EE"/>
              </w:rPr>
              <w:t>Tax and Accounting Implications</w:t>
            </w:r>
          </w:p>
        </w:tc>
        <w:tc>
          <w:tcPr>
            <w:tcW w:w="540" w:type="dxa"/>
            <w:vAlign w:val="bottom"/>
            <w:gridSpan w:val="5"/>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b w:val="1"/>
                <w:bCs w:val="1"/>
                <w:color w:val="0000EE"/>
              </w:rPr>
              <w:t>Executive Compensation</w:t>
            </w:r>
          </w:p>
        </w:tc>
        <w:tc>
          <w:tcPr>
            <w:tcW w:w="3160" w:type="dxa"/>
            <w:vAlign w:val="bottom"/>
            <w:gridSpan w:val="3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0086CC"/>
              </w:rPr>
              <w:t>77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bottom w:val="single" w:sz="8" w:color="0000EE"/>
            </w:tcBorders>
            <w:gridSpan w:val="17"/>
          </w:tcPr>
          <w:p>
            <w:pPr>
              <w:spacing w:after="0" w:line="169" w:lineRule="exact"/>
              <w:rPr>
                <w:sz w:val="20"/>
                <w:szCs w:val="20"/>
                <w:color w:val="auto"/>
              </w:rPr>
            </w:pPr>
            <w:r>
              <w:rPr>
                <w:rFonts w:ascii="Arial" w:cs="Arial" w:eastAsia="Arial" w:hAnsi="Arial"/>
                <w:sz w:val="15"/>
                <w:szCs w:val="15"/>
                <w:b w:val="1"/>
                <w:bCs w:val="1"/>
                <w:color w:val="0000EE"/>
              </w:rPr>
              <w:t>Executive Officer Compensation</w:t>
            </w:r>
          </w:p>
        </w:tc>
        <w:tc>
          <w:tcPr>
            <w:tcW w:w="2460" w:type="dxa"/>
            <w:vAlign w:val="bottom"/>
            <w:gridSpan w:val="22"/>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0000EE"/>
            </w:tcBorders>
            <w:gridSpan w:val="14"/>
          </w:tcPr>
          <w:p>
            <w:pPr>
              <w:spacing w:after="0" w:line="169" w:lineRule="exact"/>
              <w:rPr>
                <w:sz w:val="20"/>
                <w:szCs w:val="20"/>
                <w:color w:val="auto"/>
              </w:rPr>
            </w:pPr>
            <w:r>
              <w:rPr>
                <w:rFonts w:ascii="Arial" w:cs="Arial" w:eastAsia="Arial" w:hAnsi="Arial"/>
                <w:sz w:val="15"/>
                <w:szCs w:val="15"/>
                <w:b w:val="1"/>
                <w:bCs w:val="1"/>
                <w:color w:val="0000EE"/>
              </w:rPr>
              <w:t>Summary Compensation Table</w:t>
            </w:r>
          </w:p>
        </w:tc>
        <w:tc>
          <w:tcPr>
            <w:tcW w:w="2580" w:type="dxa"/>
            <w:vAlign w:val="bottom"/>
            <w:gridSpan w:val="25"/>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bottom w:val="single" w:sz="8" w:color="0000EE"/>
            </w:tcBorders>
            <w:gridSpan w:val="12"/>
          </w:tcPr>
          <w:p>
            <w:pPr>
              <w:spacing w:after="0" w:line="169" w:lineRule="exact"/>
              <w:rPr>
                <w:sz w:val="20"/>
                <w:szCs w:val="20"/>
                <w:color w:val="auto"/>
              </w:rPr>
            </w:pPr>
            <w:r>
              <w:rPr>
                <w:rFonts w:ascii="Arial" w:cs="Arial" w:eastAsia="Arial" w:hAnsi="Arial"/>
                <w:sz w:val="15"/>
                <w:szCs w:val="15"/>
                <w:b w:val="1"/>
                <w:bCs w:val="1"/>
                <w:color w:val="0000EE"/>
              </w:rPr>
              <w:t>Grants of Plan-Based Awards</w:t>
            </w:r>
          </w:p>
        </w:tc>
        <w:tc>
          <w:tcPr>
            <w:tcW w:w="2680" w:type="dxa"/>
            <w:vAlign w:val="bottom"/>
            <w:gridSpan w:val="27"/>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78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Outstanding Equity Awards at Fiscal Year-End</w:t>
            </w: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80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5"/>
                <w:szCs w:val="15"/>
                <w:b w:val="1"/>
                <w:bCs w:val="1"/>
                <w:color w:val="0000EE"/>
              </w:rPr>
              <w:t>Option Exercises and Stock Vested</w:t>
            </w:r>
          </w:p>
        </w:tc>
        <w:tc>
          <w:tcPr>
            <w:tcW w:w="1480" w:type="dxa"/>
            <w:vAlign w:val="bottom"/>
            <w:gridSpan w:val="12"/>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81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Borders>
              <w:top w:val="single" w:sz="8" w:color="0000EE"/>
              <w:bottom w:val="single" w:sz="8" w:color="0000EE"/>
            </w:tcBorders>
            <w:gridSpan w:val="13"/>
          </w:tcPr>
          <w:p>
            <w:pPr>
              <w:spacing w:after="0" w:line="169" w:lineRule="exact"/>
              <w:rPr>
                <w:sz w:val="20"/>
                <w:szCs w:val="20"/>
                <w:color w:val="auto"/>
              </w:rPr>
            </w:pPr>
            <w:r>
              <w:rPr>
                <w:rFonts w:ascii="Arial" w:cs="Arial" w:eastAsia="Arial" w:hAnsi="Arial"/>
                <w:sz w:val="15"/>
                <w:szCs w:val="15"/>
                <w:b w:val="1"/>
                <w:bCs w:val="1"/>
                <w:color w:val="0000EE"/>
              </w:rPr>
              <w:t>Retirement and Other Benefits</w:t>
            </w:r>
          </w:p>
        </w:tc>
        <w:tc>
          <w:tcPr>
            <w:tcW w:w="340" w:type="dxa"/>
            <w:vAlign w:val="bottom"/>
            <w:tcBorders>
              <w:top w:val="single" w:sz="8" w:color="0000EE"/>
            </w:tcBorders>
            <w:gridSpan w:val="7"/>
          </w:tcPr>
          <w:p>
            <w:pPr>
              <w:spacing w:after="0"/>
              <w:rPr>
                <w:sz w:val="14"/>
                <w:szCs w:val="14"/>
                <w:color w:val="auto"/>
              </w:rPr>
            </w:pPr>
          </w:p>
        </w:tc>
        <w:tc>
          <w:tcPr>
            <w:tcW w:w="2280" w:type="dxa"/>
            <w:vAlign w:val="bottom"/>
            <w:gridSpan w:val="19"/>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81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Pension Benefits</w:t>
            </w: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83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84</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Potential Payments Upon Termination or Change of Control</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42"/>
          </w:tcPr>
          <w:p>
            <w:pPr>
              <w:spacing w:after="0"/>
              <w:rPr>
                <w:sz w:val="20"/>
                <w:szCs w:val="20"/>
                <w:color w:val="auto"/>
              </w:rPr>
            </w:pPr>
            <w:r>
              <w:rPr>
                <w:rFonts w:ascii="Arial" w:cs="Arial" w:eastAsia="Arial" w:hAnsi="Arial"/>
                <w:sz w:val="15"/>
                <w:szCs w:val="15"/>
                <w:b w:val="1"/>
                <w:bCs w:val="1"/>
                <w:color w:val="0000EE"/>
              </w:rPr>
              <w:t>Required Pay Disclosures</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0086CC"/>
              </w:rPr>
              <w:t>88</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88</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bottom w:val="single" w:sz="8" w:color="0000EE"/>
            </w:tcBorders>
            <w:gridSpan w:val="10"/>
          </w:tcPr>
          <w:p>
            <w:pPr>
              <w:spacing w:after="0" w:line="169" w:lineRule="exact"/>
              <w:rPr>
                <w:sz w:val="20"/>
                <w:szCs w:val="20"/>
                <w:color w:val="auto"/>
              </w:rPr>
            </w:pPr>
            <w:r>
              <w:rPr>
                <w:rFonts w:ascii="Arial" w:cs="Arial" w:eastAsia="Arial" w:hAnsi="Arial"/>
                <w:sz w:val="15"/>
                <w:szCs w:val="15"/>
                <w:b w:val="1"/>
                <w:bCs w:val="1"/>
                <w:color w:val="0000EE"/>
              </w:rPr>
              <w:t>CEO Pay Ratio Disclosure</w:t>
            </w:r>
          </w:p>
        </w:tc>
        <w:tc>
          <w:tcPr>
            <w:tcW w:w="2940" w:type="dxa"/>
            <w:vAlign w:val="bottom"/>
            <w:gridSpan w:val="29"/>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Pay Versus Performance</w:t>
            </w: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89</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AEAEA"/>
          </w:tcPr>
          <w:p>
            <w:pPr>
              <w:spacing w:after="0"/>
              <w:rPr>
                <w:sz w:val="18"/>
                <w:szCs w:val="18"/>
                <w:color w:val="auto"/>
              </w:rPr>
            </w:pPr>
          </w:p>
        </w:tc>
        <w:tc>
          <w:tcPr>
            <w:tcW w:w="4880" w:type="dxa"/>
            <w:vAlign w:val="bottom"/>
            <w:gridSpan w:val="41"/>
            <w:shd w:val="clear" w:color="auto" w:fill="EAEAEA"/>
          </w:tcPr>
          <w:p>
            <w:pPr>
              <w:spacing w:after="0"/>
              <w:rPr>
                <w:sz w:val="20"/>
                <w:szCs w:val="20"/>
                <w:color w:val="auto"/>
              </w:rPr>
            </w:pPr>
            <w:r>
              <w:rPr>
                <w:rFonts w:ascii="Arial" w:cs="Arial" w:eastAsia="Arial" w:hAnsi="Arial"/>
                <w:sz w:val="15"/>
                <w:szCs w:val="15"/>
                <w:b w:val="1"/>
                <w:bCs w:val="1"/>
                <w:color w:val="0000EE"/>
              </w:rPr>
              <w:t>PROPOSAL 3: Advisory Vote on the Compensation</w:t>
            </w:r>
          </w:p>
        </w:tc>
        <w:tc>
          <w:tcPr>
            <w:tcW w:w="420" w:type="dxa"/>
            <w:vAlign w:val="bottom"/>
            <w:vMerge w:val="restart"/>
            <w:shd w:val="clear" w:color="auto" w:fill="EAEAEA"/>
          </w:tcPr>
          <w:p>
            <w:pPr>
              <w:jc w:val="right"/>
              <w:spacing w:after="0"/>
              <w:rPr>
                <w:sz w:val="20"/>
                <w:szCs w:val="20"/>
                <w:color w:val="auto"/>
              </w:rPr>
            </w:pPr>
            <w:r>
              <w:rPr>
                <w:rFonts w:ascii="Arial" w:cs="Arial" w:eastAsia="Arial" w:hAnsi="Arial"/>
                <w:sz w:val="15"/>
                <w:szCs w:val="15"/>
                <w:b w:val="1"/>
                <w:bCs w:val="1"/>
                <w:color w:val="0086CC"/>
              </w:rPr>
              <w:t>93</w:t>
            </w:r>
          </w:p>
        </w:tc>
        <w:tc>
          <w:tcPr>
            <w:tcW w:w="0" w:type="dxa"/>
            <w:vAlign w:val="bottom"/>
          </w:tcPr>
          <w:p>
            <w:pPr>
              <w:spacing w:after="0"/>
              <w:rPr>
                <w:sz w:val="1"/>
                <w:szCs w:val="1"/>
                <w:color w:val="auto"/>
              </w:rPr>
            </w:pPr>
          </w:p>
        </w:tc>
      </w:tr>
      <w:tr>
        <w:trPr>
          <w:trHeight w:val="142"/>
        </w:trPr>
        <w:tc>
          <w:tcPr>
            <w:tcW w:w="100" w:type="dxa"/>
            <w:vAlign w:val="bottom"/>
            <w:tcBorders>
              <w:top w:val="single" w:sz="8" w:color="EAEAEA"/>
            </w:tcBorders>
            <w:shd w:val="clear" w:color="auto" w:fill="EAEAEA"/>
          </w:tcPr>
          <w:p>
            <w:pPr>
              <w:spacing w:after="0"/>
              <w:rPr>
                <w:sz w:val="12"/>
                <w:szCs w:val="12"/>
                <w:color w:val="auto"/>
              </w:rPr>
            </w:pPr>
          </w:p>
        </w:tc>
        <w:tc>
          <w:tcPr>
            <w:tcW w:w="20" w:type="dxa"/>
            <w:vAlign w:val="bottom"/>
            <w:tcBorders>
              <w:top w:val="single" w:sz="8" w:color="EAEAEA"/>
            </w:tcBorders>
            <w:shd w:val="clear" w:color="auto" w:fill="EAEAEA"/>
          </w:tcPr>
          <w:p>
            <w:pPr>
              <w:spacing w:after="0"/>
              <w:rPr>
                <w:sz w:val="12"/>
                <w:szCs w:val="12"/>
                <w:color w:val="auto"/>
              </w:rPr>
            </w:pPr>
          </w:p>
        </w:tc>
        <w:tc>
          <w:tcPr>
            <w:tcW w:w="3680" w:type="dxa"/>
            <w:vAlign w:val="bottom"/>
            <w:tcBorders>
              <w:top w:val="single" w:sz="8" w:color="0000EE"/>
            </w:tcBorders>
            <w:gridSpan w:val="31"/>
            <w:shd w:val="clear" w:color="auto" w:fill="EAEAEA"/>
          </w:tcPr>
          <w:p>
            <w:pPr>
              <w:spacing w:after="0" w:line="142" w:lineRule="exact"/>
              <w:rPr>
                <w:sz w:val="20"/>
                <w:szCs w:val="20"/>
                <w:color w:val="auto"/>
              </w:rPr>
            </w:pPr>
            <w:r>
              <w:rPr>
                <w:rFonts w:ascii="Arial" w:cs="Arial" w:eastAsia="Arial" w:hAnsi="Arial"/>
                <w:sz w:val="15"/>
                <w:szCs w:val="15"/>
                <w:b w:val="1"/>
                <w:bCs w:val="1"/>
                <w:color w:val="0000EE"/>
              </w:rPr>
              <w:t>of Our Named Executive Officers</w:t>
            </w:r>
          </w:p>
        </w:tc>
        <w:tc>
          <w:tcPr>
            <w:tcW w:w="660" w:type="dxa"/>
            <w:vAlign w:val="bottom"/>
            <w:tcBorders>
              <w:top w:val="single" w:sz="8" w:color="EAEAEA"/>
            </w:tcBorders>
            <w:gridSpan w:val="5"/>
            <w:shd w:val="clear" w:color="auto" w:fill="EAEAEA"/>
          </w:tcPr>
          <w:p>
            <w:pPr>
              <w:spacing w:after="0"/>
              <w:rPr>
                <w:sz w:val="12"/>
                <w:szCs w:val="12"/>
                <w:color w:val="auto"/>
              </w:rPr>
            </w:pPr>
          </w:p>
        </w:tc>
        <w:tc>
          <w:tcPr>
            <w:tcW w:w="100" w:type="dxa"/>
            <w:vAlign w:val="bottom"/>
            <w:tcBorders>
              <w:top w:val="single" w:sz="8" w:color="EAEAEA"/>
              <w:left w:val="single" w:sz="8" w:color="EAEAEA"/>
            </w:tcBorders>
            <w:shd w:val="clear" w:color="auto" w:fill="EAEAEA"/>
          </w:tcPr>
          <w:p>
            <w:pPr>
              <w:spacing w:after="0"/>
              <w:rPr>
                <w:sz w:val="12"/>
                <w:szCs w:val="12"/>
                <w:color w:val="auto"/>
              </w:rPr>
            </w:pPr>
          </w:p>
        </w:tc>
        <w:tc>
          <w:tcPr>
            <w:tcW w:w="60" w:type="dxa"/>
            <w:vAlign w:val="bottom"/>
            <w:tcBorders>
              <w:top w:val="single" w:sz="8" w:color="EAEAEA"/>
            </w:tcBorders>
            <w:shd w:val="clear" w:color="auto" w:fill="EAEAEA"/>
          </w:tcPr>
          <w:p>
            <w:pPr>
              <w:spacing w:after="0"/>
              <w:rPr>
                <w:sz w:val="12"/>
                <w:szCs w:val="12"/>
                <w:color w:val="auto"/>
              </w:rPr>
            </w:pPr>
          </w:p>
        </w:tc>
        <w:tc>
          <w:tcPr>
            <w:tcW w:w="20" w:type="dxa"/>
            <w:vAlign w:val="bottom"/>
            <w:tcBorders>
              <w:top w:val="single" w:sz="8" w:color="EAEAEA"/>
            </w:tcBorders>
            <w:shd w:val="clear" w:color="auto" w:fill="EAEAEA"/>
          </w:tcPr>
          <w:p>
            <w:pPr>
              <w:spacing w:after="0"/>
              <w:rPr>
                <w:sz w:val="12"/>
                <w:szCs w:val="12"/>
                <w:color w:val="auto"/>
              </w:rPr>
            </w:pPr>
          </w:p>
        </w:tc>
        <w:tc>
          <w:tcPr>
            <w:tcW w:w="340" w:type="dxa"/>
            <w:vAlign w:val="bottom"/>
            <w:tcBorders>
              <w:top w:val="single" w:sz="8" w:color="EAEAEA"/>
            </w:tcBorders>
            <w:shd w:val="clear" w:color="auto" w:fill="EAEAEA"/>
          </w:tcPr>
          <w:p>
            <w:pPr>
              <w:spacing w:after="0"/>
              <w:rPr>
                <w:sz w:val="12"/>
                <w:szCs w:val="12"/>
                <w:color w:val="auto"/>
              </w:rPr>
            </w:pPr>
          </w:p>
        </w:tc>
        <w:tc>
          <w:tcPr>
            <w:tcW w:w="420" w:type="dxa"/>
            <w:vAlign w:val="bottom"/>
            <w:tcBorders>
              <w:top w:val="single" w:sz="8" w:color="EAEAEA"/>
            </w:tcBorders>
            <w:vMerge w:val="continue"/>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260" w:type="dxa"/>
            <w:vAlign w:val="bottom"/>
            <w:tcBorders>
              <w:top w:val="single" w:sz="8" w:color="0000EE"/>
              <w:bottom w:val="single" w:sz="8" w:color="0086CC"/>
            </w:tcBorders>
            <w:shd w:val="clear" w:color="auto" w:fill="EAEAEA"/>
          </w:tcPr>
          <w:p>
            <w:pPr>
              <w:spacing w:after="0"/>
              <w:rPr>
                <w:sz w:val="5"/>
                <w:szCs w:val="5"/>
                <w:color w:val="auto"/>
              </w:rPr>
            </w:pPr>
          </w:p>
        </w:tc>
        <w:tc>
          <w:tcPr>
            <w:tcW w:w="280" w:type="dxa"/>
            <w:vAlign w:val="bottom"/>
            <w:tcBorders>
              <w:top w:val="single" w:sz="8" w:color="0000EE"/>
              <w:bottom w:val="single" w:sz="8" w:color="0086CC"/>
            </w:tcBorders>
            <w:shd w:val="clear" w:color="auto" w:fill="EAEAEA"/>
          </w:tcPr>
          <w:p>
            <w:pPr>
              <w:spacing w:after="0"/>
              <w:rPr>
                <w:sz w:val="5"/>
                <w:szCs w:val="5"/>
                <w:color w:val="auto"/>
              </w:rPr>
            </w:pPr>
          </w:p>
        </w:tc>
        <w:tc>
          <w:tcPr>
            <w:tcW w:w="280" w:type="dxa"/>
            <w:vAlign w:val="bottom"/>
            <w:tcBorders>
              <w:top w:val="single" w:sz="8" w:color="0000EE"/>
              <w:bottom w:val="single" w:sz="8" w:color="0086CC"/>
            </w:tcBorders>
            <w:shd w:val="clear" w:color="auto" w:fill="EAEAEA"/>
          </w:tcPr>
          <w:p>
            <w:pPr>
              <w:spacing w:after="0"/>
              <w:rPr>
                <w:sz w:val="5"/>
                <w:szCs w:val="5"/>
                <w:color w:val="auto"/>
              </w:rPr>
            </w:pPr>
          </w:p>
        </w:tc>
        <w:tc>
          <w:tcPr>
            <w:tcW w:w="38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tcBorders>
            <w:shd w:val="clear" w:color="auto" w:fill="EAEAEA"/>
          </w:tcPr>
          <w:p>
            <w:pPr>
              <w:spacing w:after="0"/>
              <w:rPr>
                <w:sz w:val="5"/>
                <w:szCs w:val="5"/>
                <w:color w:val="auto"/>
              </w:rPr>
            </w:pPr>
          </w:p>
        </w:tc>
        <w:tc>
          <w:tcPr>
            <w:tcW w:w="38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tcBorders>
            <w:shd w:val="clear" w:color="auto" w:fill="EAEAEA"/>
          </w:tcPr>
          <w:p>
            <w:pPr>
              <w:spacing w:after="0"/>
              <w:rPr>
                <w:sz w:val="5"/>
                <w:szCs w:val="5"/>
                <w:color w:val="auto"/>
              </w:rPr>
            </w:pPr>
          </w:p>
        </w:tc>
        <w:tc>
          <w:tcPr>
            <w:tcW w:w="100" w:type="dxa"/>
            <w:vAlign w:val="bottom"/>
            <w:tcBorders>
              <w:top w:val="single" w:sz="8" w:color="0000EE"/>
              <w:bottom w:val="single" w:sz="8" w:color="0086CC"/>
            </w:tcBorders>
            <w:shd w:val="clear" w:color="auto" w:fill="EAEAEA"/>
          </w:tcPr>
          <w:p>
            <w:pPr>
              <w:spacing w:after="0"/>
              <w:rPr>
                <w:sz w:val="5"/>
                <w:szCs w:val="5"/>
                <w:color w:val="auto"/>
              </w:rPr>
            </w:pPr>
          </w:p>
        </w:tc>
        <w:tc>
          <w:tcPr>
            <w:tcW w:w="100" w:type="dxa"/>
            <w:vAlign w:val="bottom"/>
            <w:tcBorders>
              <w:top w:val="single" w:sz="8" w:color="0000EE"/>
              <w:bottom w:val="single" w:sz="8" w:color="0086CC"/>
            </w:tcBorders>
            <w:shd w:val="clear" w:color="auto" w:fill="EAEAEA"/>
          </w:tcPr>
          <w:p>
            <w:pPr>
              <w:spacing w:after="0"/>
              <w:rPr>
                <w:sz w:val="5"/>
                <w:szCs w:val="5"/>
                <w:color w:val="auto"/>
              </w:rPr>
            </w:pPr>
          </w:p>
        </w:tc>
        <w:tc>
          <w:tcPr>
            <w:tcW w:w="16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right w:val="single" w:sz="8" w:color="EAEAEA"/>
            </w:tcBorders>
            <w:shd w:val="clear" w:color="auto" w:fill="EAEAEA"/>
          </w:tcPr>
          <w:p>
            <w:pPr>
              <w:spacing w:after="0"/>
              <w:rPr>
                <w:sz w:val="5"/>
                <w:szCs w:val="5"/>
                <w:color w:val="auto"/>
              </w:rPr>
            </w:pPr>
          </w:p>
        </w:tc>
        <w:tc>
          <w:tcPr>
            <w:tcW w:w="60" w:type="dxa"/>
            <w:vAlign w:val="bottom"/>
            <w:tcBorders>
              <w:top w:val="single" w:sz="8" w:color="0000EE"/>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right w:val="single" w:sz="8" w:color="EAEAEA"/>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EAEAEA"/>
              <w:bottom w:val="single" w:sz="8" w:color="0086CC"/>
            </w:tcBorders>
            <w:shd w:val="clear" w:color="auto" w:fill="EAEAEA"/>
          </w:tcPr>
          <w:p>
            <w:pPr>
              <w:spacing w:after="0"/>
              <w:rPr>
                <w:sz w:val="5"/>
                <w:szCs w:val="5"/>
                <w:color w:val="auto"/>
              </w:rPr>
            </w:pPr>
          </w:p>
        </w:tc>
        <w:tc>
          <w:tcPr>
            <w:tcW w:w="12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160" w:type="dxa"/>
            <w:vAlign w:val="bottom"/>
            <w:tcBorders>
              <w:top w:val="single" w:sz="8" w:color="EAEAEA"/>
              <w:bottom w:val="single" w:sz="8" w:color="0086CC"/>
              <w:right w:val="single" w:sz="8" w:color="EAEAEA"/>
            </w:tcBorders>
            <w:shd w:val="clear" w:color="auto" w:fill="EAEAEA"/>
          </w:tcPr>
          <w:p>
            <w:pPr>
              <w:spacing w:after="0"/>
              <w:rPr>
                <w:sz w:val="5"/>
                <w:szCs w:val="5"/>
                <w:color w:val="auto"/>
              </w:rPr>
            </w:pPr>
          </w:p>
        </w:tc>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120" w:type="dxa"/>
            <w:vAlign w:val="bottom"/>
            <w:tcBorders>
              <w:top w:val="single" w:sz="8" w:color="EAEAEA"/>
              <w:bottom w:val="single" w:sz="8" w:color="0086CC"/>
            </w:tcBorders>
            <w:shd w:val="clear" w:color="auto" w:fill="EAEAEA"/>
          </w:tcPr>
          <w:p>
            <w:pPr>
              <w:spacing w:after="0"/>
              <w:rPr>
                <w:sz w:val="5"/>
                <w:szCs w:val="5"/>
                <w:color w:val="auto"/>
              </w:rPr>
            </w:pPr>
          </w:p>
        </w:tc>
        <w:tc>
          <w:tcPr>
            <w:tcW w:w="200" w:type="dxa"/>
            <w:vAlign w:val="bottom"/>
            <w:tcBorders>
              <w:top w:val="single" w:sz="8" w:color="EAEAEA"/>
              <w:bottom w:val="single" w:sz="8" w:color="0086CC"/>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18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140" w:type="dxa"/>
            <w:vAlign w:val="bottom"/>
            <w:tcBorders>
              <w:top w:val="single" w:sz="8" w:color="EAEAEA"/>
              <w:bottom w:val="single" w:sz="8" w:color="0086CC"/>
            </w:tcBorders>
            <w:shd w:val="clear" w:color="auto" w:fill="EAEAEA"/>
          </w:tcPr>
          <w:p>
            <w:pPr>
              <w:spacing w:after="0"/>
              <w:rPr>
                <w:sz w:val="5"/>
                <w:szCs w:val="5"/>
                <w:color w:val="auto"/>
              </w:rPr>
            </w:pPr>
          </w:p>
        </w:tc>
        <w:tc>
          <w:tcPr>
            <w:tcW w:w="40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100" w:type="dxa"/>
            <w:vAlign w:val="bottom"/>
            <w:tcBorders>
              <w:top w:val="single" w:sz="8" w:color="EAEAEA"/>
              <w:left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340" w:type="dxa"/>
            <w:vAlign w:val="bottom"/>
            <w:tcBorders>
              <w:top w:val="single" w:sz="8" w:color="EAEAEA"/>
              <w:bottom w:val="single" w:sz="8" w:color="0086CC"/>
            </w:tcBorders>
            <w:shd w:val="clear" w:color="auto" w:fill="EAEAEA"/>
          </w:tcPr>
          <w:p>
            <w:pPr>
              <w:spacing w:after="0"/>
              <w:rPr>
                <w:sz w:val="5"/>
                <w:szCs w:val="5"/>
                <w:color w:val="auto"/>
              </w:rPr>
            </w:pPr>
          </w:p>
        </w:tc>
        <w:tc>
          <w:tcPr>
            <w:tcW w:w="420" w:type="dxa"/>
            <w:vAlign w:val="bottom"/>
            <w:tcBorders>
              <w:top w:val="single" w:sz="8" w:color="EAEAEA"/>
              <w:bottom w:val="single" w:sz="8" w:color="0086CC"/>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EAEAEA"/>
          </w:tcPr>
          <w:p>
            <w:pPr>
              <w:spacing w:after="0"/>
              <w:rPr>
                <w:sz w:val="17"/>
                <w:szCs w:val="17"/>
                <w:color w:val="auto"/>
              </w:rPr>
            </w:pPr>
          </w:p>
        </w:tc>
        <w:tc>
          <w:tcPr>
            <w:tcW w:w="4880" w:type="dxa"/>
            <w:vAlign w:val="bottom"/>
            <w:gridSpan w:val="41"/>
            <w:shd w:val="clear" w:color="auto" w:fill="EAEAEA"/>
          </w:tcPr>
          <w:p>
            <w:pPr>
              <w:spacing w:after="0"/>
              <w:rPr>
                <w:sz w:val="20"/>
                <w:szCs w:val="20"/>
                <w:color w:val="auto"/>
              </w:rPr>
            </w:pPr>
            <w:r>
              <w:rPr>
                <w:rFonts w:ascii="Arial" w:cs="Arial" w:eastAsia="Arial" w:hAnsi="Arial"/>
                <w:sz w:val="15"/>
                <w:szCs w:val="15"/>
                <w:b w:val="1"/>
                <w:bCs w:val="1"/>
                <w:color w:val="0000EE"/>
              </w:rPr>
              <w:t>PROPOSAL 4: Approval of the Amended and Restated Stock-</w:t>
            </w:r>
          </w:p>
        </w:tc>
        <w:tc>
          <w:tcPr>
            <w:tcW w:w="420" w:type="dxa"/>
            <w:vAlign w:val="bottom"/>
            <w:vMerge w:val="restart"/>
            <w:shd w:val="clear" w:color="auto" w:fill="EAEAEA"/>
          </w:tcPr>
          <w:p>
            <w:pPr>
              <w:jc w:val="right"/>
              <w:spacing w:after="0"/>
              <w:rPr>
                <w:sz w:val="20"/>
                <w:szCs w:val="20"/>
                <w:color w:val="auto"/>
              </w:rPr>
            </w:pPr>
            <w:r>
              <w:rPr>
                <w:rFonts w:ascii="Arial" w:cs="Arial" w:eastAsia="Arial" w:hAnsi="Arial"/>
                <w:sz w:val="15"/>
                <w:szCs w:val="15"/>
                <w:b w:val="1"/>
                <w:bCs w:val="1"/>
                <w:color w:val="0086CC"/>
              </w:rPr>
              <w:t>94</w:t>
            </w:r>
          </w:p>
        </w:tc>
        <w:tc>
          <w:tcPr>
            <w:tcW w:w="0" w:type="dxa"/>
            <w:vAlign w:val="bottom"/>
          </w:tcPr>
          <w:p>
            <w:pPr>
              <w:spacing w:after="0"/>
              <w:rPr>
                <w:sz w:val="1"/>
                <w:szCs w:val="1"/>
                <w:color w:val="auto"/>
              </w:rPr>
            </w:pPr>
          </w:p>
        </w:tc>
      </w:tr>
      <w:tr>
        <w:trPr>
          <w:trHeight w:val="142"/>
        </w:trPr>
        <w:tc>
          <w:tcPr>
            <w:tcW w:w="100" w:type="dxa"/>
            <w:vAlign w:val="bottom"/>
            <w:tcBorders>
              <w:top w:val="single" w:sz="8" w:color="EAEAEA"/>
            </w:tcBorders>
            <w:shd w:val="clear" w:color="auto" w:fill="EAEAEA"/>
          </w:tcPr>
          <w:p>
            <w:pPr>
              <w:spacing w:after="0"/>
              <w:rPr>
                <w:sz w:val="12"/>
                <w:szCs w:val="12"/>
                <w:color w:val="auto"/>
              </w:rPr>
            </w:pPr>
          </w:p>
        </w:tc>
        <w:tc>
          <w:tcPr>
            <w:tcW w:w="4460" w:type="dxa"/>
            <w:vAlign w:val="bottom"/>
            <w:tcBorders>
              <w:top w:val="single" w:sz="8" w:color="0000EE"/>
            </w:tcBorders>
            <w:gridSpan w:val="38"/>
            <w:shd w:val="clear" w:color="auto" w:fill="EAEAEA"/>
          </w:tcPr>
          <w:p>
            <w:pPr>
              <w:spacing w:after="0" w:line="142" w:lineRule="exact"/>
              <w:rPr>
                <w:sz w:val="20"/>
                <w:szCs w:val="20"/>
                <w:color w:val="auto"/>
              </w:rPr>
            </w:pPr>
            <w:r>
              <w:rPr>
                <w:rFonts w:ascii="Arial" w:cs="Arial" w:eastAsia="Arial" w:hAnsi="Arial"/>
                <w:sz w:val="15"/>
                <w:szCs w:val="15"/>
                <w:b w:val="1"/>
                <w:bCs w:val="1"/>
                <w:color w:val="0000EE"/>
              </w:rPr>
              <w:t>Based Award Plan</w:t>
            </w:r>
          </w:p>
        </w:tc>
        <w:tc>
          <w:tcPr>
            <w:tcW w:w="60" w:type="dxa"/>
            <w:vAlign w:val="bottom"/>
            <w:tcBorders>
              <w:top w:val="single" w:sz="8" w:color="EAEAEA"/>
            </w:tcBorders>
            <w:shd w:val="clear" w:color="auto" w:fill="EAEAEA"/>
          </w:tcPr>
          <w:p>
            <w:pPr>
              <w:spacing w:after="0"/>
              <w:rPr>
                <w:sz w:val="12"/>
                <w:szCs w:val="12"/>
                <w:color w:val="auto"/>
              </w:rPr>
            </w:pPr>
          </w:p>
        </w:tc>
        <w:tc>
          <w:tcPr>
            <w:tcW w:w="20" w:type="dxa"/>
            <w:vAlign w:val="bottom"/>
            <w:tcBorders>
              <w:top w:val="single" w:sz="8" w:color="EAEAEA"/>
            </w:tcBorders>
            <w:shd w:val="clear" w:color="auto" w:fill="EAEAEA"/>
          </w:tcPr>
          <w:p>
            <w:pPr>
              <w:spacing w:after="0"/>
              <w:rPr>
                <w:sz w:val="12"/>
                <w:szCs w:val="12"/>
                <w:color w:val="auto"/>
              </w:rPr>
            </w:pPr>
          </w:p>
        </w:tc>
        <w:tc>
          <w:tcPr>
            <w:tcW w:w="340" w:type="dxa"/>
            <w:vAlign w:val="bottom"/>
            <w:tcBorders>
              <w:top w:val="single" w:sz="8" w:color="EAEAEA"/>
            </w:tcBorders>
            <w:shd w:val="clear" w:color="auto" w:fill="EAEAEA"/>
          </w:tcPr>
          <w:p>
            <w:pPr>
              <w:spacing w:after="0"/>
              <w:rPr>
                <w:sz w:val="12"/>
                <w:szCs w:val="12"/>
                <w:color w:val="auto"/>
              </w:rPr>
            </w:pPr>
          </w:p>
        </w:tc>
        <w:tc>
          <w:tcPr>
            <w:tcW w:w="420" w:type="dxa"/>
            <w:vAlign w:val="bottom"/>
            <w:tcBorders>
              <w:top w:val="single" w:sz="8" w:color="EAEAEA"/>
            </w:tcBorders>
            <w:vMerge w:val="continue"/>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0000EE"/>
              <w:bottom w:val="single" w:sz="8" w:color="0086CC"/>
            </w:tcBorders>
            <w:shd w:val="clear" w:color="auto" w:fill="EAEAEA"/>
          </w:tcPr>
          <w:p>
            <w:pPr>
              <w:spacing w:after="0"/>
              <w:rPr>
                <w:sz w:val="5"/>
                <w:szCs w:val="5"/>
                <w:color w:val="auto"/>
              </w:rPr>
            </w:pPr>
          </w:p>
        </w:tc>
        <w:tc>
          <w:tcPr>
            <w:tcW w:w="260" w:type="dxa"/>
            <w:vAlign w:val="bottom"/>
            <w:tcBorders>
              <w:top w:val="single" w:sz="8" w:color="0000EE"/>
              <w:bottom w:val="single" w:sz="8" w:color="0086CC"/>
            </w:tcBorders>
            <w:shd w:val="clear" w:color="auto" w:fill="EAEAEA"/>
          </w:tcPr>
          <w:p>
            <w:pPr>
              <w:spacing w:after="0"/>
              <w:rPr>
                <w:sz w:val="5"/>
                <w:szCs w:val="5"/>
                <w:color w:val="auto"/>
              </w:rPr>
            </w:pPr>
          </w:p>
        </w:tc>
        <w:tc>
          <w:tcPr>
            <w:tcW w:w="280" w:type="dxa"/>
            <w:vAlign w:val="bottom"/>
            <w:tcBorders>
              <w:top w:val="single" w:sz="8" w:color="0000EE"/>
              <w:bottom w:val="single" w:sz="8" w:color="0086CC"/>
            </w:tcBorders>
            <w:shd w:val="clear" w:color="auto" w:fill="EAEAEA"/>
          </w:tcPr>
          <w:p>
            <w:pPr>
              <w:spacing w:after="0"/>
              <w:rPr>
                <w:sz w:val="5"/>
                <w:szCs w:val="5"/>
                <w:color w:val="auto"/>
              </w:rPr>
            </w:pPr>
          </w:p>
        </w:tc>
        <w:tc>
          <w:tcPr>
            <w:tcW w:w="280" w:type="dxa"/>
            <w:vAlign w:val="bottom"/>
            <w:tcBorders>
              <w:top w:val="single" w:sz="8" w:color="0000EE"/>
              <w:bottom w:val="single" w:sz="8" w:color="0086CC"/>
            </w:tcBorders>
            <w:shd w:val="clear" w:color="auto" w:fill="EAEAEA"/>
          </w:tcPr>
          <w:p>
            <w:pPr>
              <w:spacing w:after="0"/>
              <w:rPr>
                <w:sz w:val="5"/>
                <w:szCs w:val="5"/>
                <w:color w:val="auto"/>
              </w:rPr>
            </w:pPr>
          </w:p>
        </w:tc>
        <w:tc>
          <w:tcPr>
            <w:tcW w:w="380" w:type="dxa"/>
            <w:vAlign w:val="bottom"/>
            <w:tcBorders>
              <w:top w:val="single" w:sz="8" w:color="0000EE"/>
              <w:bottom w:val="single" w:sz="8" w:color="0086CC"/>
            </w:tcBorders>
            <w:shd w:val="clear" w:color="auto" w:fill="EAEAEA"/>
          </w:tcPr>
          <w:p>
            <w:pPr>
              <w:spacing w:after="0"/>
              <w:rPr>
                <w:sz w:val="5"/>
                <w:szCs w:val="5"/>
                <w:color w:val="auto"/>
              </w:rPr>
            </w:pPr>
          </w:p>
        </w:tc>
        <w:tc>
          <w:tcPr>
            <w:tcW w:w="40" w:type="dxa"/>
            <w:vAlign w:val="bottom"/>
            <w:tcBorders>
              <w:top w:val="single" w:sz="8" w:color="0000EE"/>
              <w:bottom w:val="single" w:sz="8" w:color="0086CC"/>
            </w:tcBorders>
            <w:shd w:val="clear" w:color="auto" w:fill="EAEAEA"/>
          </w:tcPr>
          <w:p>
            <w:pPr>
              <w:spacing w:after="0"/>
              <w:rPr>
                <w:sz w:val="5"/>
                <w:szCs w:val="5"/>
                <w:color w:val="auto"/>
              </w:rPr>
            </w:pPr>
          </w:p>
        </w:tc>
        <w:tc>
          <w:tcPr>
            <w:tcW w:w="60" w:type="dxa"/>
            <w:vAlign w:val="bottom"/>
            <w:tcBorders>
              <w:top w:val="single" w:sz="8" w:color="0000EE"/>
              <w:bottom w:val="single" w:sz="8" w:color="0086CC"/>
            </w:tcBorders>
            <w:shd w:val="clear" w:color="auto" w:fill="EAEAEA"/>
          </w:tcPr>
          <w:p>
            <w:pPr>
              <w:spacing w:after="0"/>
              <w:rPr>
                <w:sz w:val="5"/>
                <w:szCs w:val="5"/>
                <w:color w:val="auto"/>
              </w:rPr>
            </w:pPr>
          </w:p>
        </w:tc>
        <w:tc>
          <w:tcPr>
            <w:tcW w:w="38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16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EAEAEA"/>
              <w:bottom w:val="single" w:sz="8" w:color="0086CC"/>
              <w:right w:val="single" w:sz="8" w:color="EAEAEA"/>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EAEAEA"/>
              <w:bottom w:val="single" w:sz="8" w:color="0086CC"/>
              <w:right w:val="single" w:sz="8" w:color="EAEAEA"/>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EAEAEA"/>
              <w:bottom w:val="single" w:sz="8" w:color="0086CC"/>
            </w:tcBorders>
            <w:shd w:val="clear" w:color="auto" w:fill="EAEAEA"/>
          </w:tcPr>
          <w:p>
            <w:pPr>
              <w:spacing w:after="0"/>
              <w:rPr>
                <w:sz w:val="5"/>
                <w:szCs w:val="5"/>
                <w:color w:val="auto"/>
              </w:rPr>
            </w:pPr>
          </w:p>
        </w:tc>
        <w:tc>
          <w:tcPr>
            <w:tcW w:w="12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160" w:type="dxa"/>
            <w:vAlign w:val="bottom"/>
            <w:tcBorders>
              <w:top w:val="single" w:sz="8" w:color="EAEAEA"/>
              <w:bottom w:val="single" w:sz="8" w:color="0086CC"/>
              <w:right w:val="single" w:sz="8" w:color="EAEAEA"/>
            </w:tcBorders>
            <w:shd w:val="clear" w:color="auto" w:fill="EAEAEA"/>
          </w:tcPr>
          <w:p>
            <w:pPr>
              <w:spacing w:after="0"/>
              <w:rPr>
                <w:sz w:val="5"/>
                <w:szCs w:val="5"/>
                <w:color w:val="auto"/>
              </w:rPr>
            </w:pPr>
          </w:p>
        </w:tc>
        <w:tc>
          <w:tcPr>
            <w:tcW w:w="100" w:type="dxa"/>
            <w:vAlign w:val="bottom"/>
            <w:tcBorders>
              <w:top w:val="single" w:sz="8" w:color="EAEAEA"/>
              <w:bottom w:val="single" w:sz="8" w:color="0086CC"/>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120" w:type="dxa"/>
            <w:vAlign w:val="bottom"/>
            <w:tcBorders>
              <w:top w:val="single" w:sz="8" w:color="EAEAEA"/>
              <w:bottom w:val="single" w:sz="8" w:color="0086CC"/>
            </w:tcBorders>
            <w:shd w:val="clear" w:color="auto" w:fill="EAEAEA"/>
          </w:tcPr>
          <w:p>
            <w:pPr>
              <w:spacing w:after="0"/>
              <w:rPr>
                <w:sz w:val="5"/>
                <w:szCs w:val="5"/>
                <w:color w:val="auto"/>
              </w:rPr>
            </w:pPr>
          </w:p>
        </w:tc>
        <w:tc>
          <w:tcPr>
            <w:tcW w:w="200" w:type="dxa"/>
            <w:vAlign w:val="bottom"/>
            <w:tcBorders>
              <w:top w:val="single" w:sz="8" w:color="EAEAEA"/>
              <w:bottom w:val="single" w:sz="8" w:color="0086CC"/>
            </w:tcBorders>
            <w:shd w:val="clear" w:color="auto" w:fill="EAEAEA"/>
          </w:tcPr>
          <w:p>
            <w:pPr>
              <w:spacing w:after="0"/>
              <w:rPr>
                <w:sz w:val="5"/>
                <w:szCs w:val="5"/>
                <w:color w:val="auto"/>
              </w:rPr>
            </w:pPr>
          </w:p>
        </w:tc>
        <w:tc>
          <w:tcPr>
            <w:tcW w:w="80" w:type="dxa"/>
            <w:vAlign w:val="bottom"/>
            <w:tcBorders>
              <w:top w:val="single" w:sz="8" w:color="EAEAEA"/>
              <w:bottom w:val="single" w:sz="8" w:color="0086CC"/>
            </w:tcBorders>
            <w:shd w:val="clear" w:color="auto" w:fill="EAEAEA"/>
          </w:tcPr>
          <w:p>
            <w:pPr>
              <w:spacing w:after="0"/>
              <w:rPr>
                <w:sz w:val="5"/>
                <w:szCs w:val="5"/>
                <w:color w:val="auto"/>
              </w:rPr>
            </w:pPr>
          </w:p>
        </w:tc>
        <w:tc>
          <w:tcPr>
            <w:tcW w:w="18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EAEAEA"/>
              <w:bottom w:val="single" w:sz="8" w:color="0086CC"/>
            </w:tcBorders>
            <w:shd w:val="clear" w:color="auto" w:fill="EAEAEA"/>
          </w:tcPr>
          <w:p>
            <w:pPr>
              <w:spacing w:after="0"/>
              <w:rPr>
                <w:sz w:val="5"/>
                <w:szCs w:val="5"/>
                <w:color w:val="auto"/>
              </w:rPr>
            </w:pPr>
          </w:p>
        </w:tc>
        <w:tc>
          <w:tcPr>
            <w:tcW w:w="40" w:type="dxa"/>
            <w:vAlign w:val="bottom"/>
            <w:tcBorders>
              <w:top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140" w:type="dxa"/>
            <w:vAlign w:val="bottom"/>
            <w:tcBorders>
              <w:top w:val="single" w:sz="8" w:color="EAEAEA"/>
              <w:bottom w:val="single" w:sz="8" w:color="0086CC"/>
            </w:tcBorders>
            <w:shd w:val="clear" w:color="auto" w:fill="EAEAEA"/>
          </w:tcPr>
          <w:p>
            <w:pPr>
              <w:spacing w:after="0"/>
              <w:rPr>
                <w:sz w:val="5"/>
                <w:szCs w:val="5"/>
                <w:color w:val="auto"/>
              </w:rPr>
            </w:pPr>
          </w:p>
        </w:tc>
        <w:tc>
          <w:tcPr>
            <w:tcW w:w="40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100" w:type="dxa"/>
            <w:vAlign w:val="bottom"/>
            <w:tcBorders>
              <w:top w:val="single" w:sz="8" w:color="EAEAEA"/>
              <w:left w:val="single" w:sz="8" w:color="EAEAEA"/>
              <w:bottom w:val="single" w:sz="8" w:color="0086CC"/>
            </w:tcBorders>
            <w:shd w:val="clear" w:color="auto" w:fill="EAEAEA"/>
          </w:tcPr>
          <w:p>
            <w:pPr>
              <w:spacing w:after="0"/>
              <w:rPr>
                <w:sz w:val="5"/>
                <w:szCs w:val="5"/>
                <w:color w:val="auto"/>
              </w:rPr>
            </w:pPr>
          </w:p>
        </w:tc>
        <w:tc>
          <w:tcPr>
            <w:tcW w:w="60" w:type="dxa"/>
            <w:vAlign w:val="bottom"/>
            <w:tcBorders>
              <w:top w:val="single" w:sz="8" w:color="EAEAEA"/>
              <w:bottom w:val="single" w:sz="8" w:color="0086CC"/>
            </w:tcBorders>
            <w:shd w:val="clear" w:color="auto" w:fill="EAEAEA"/>
          </w:tcPr>
          <w:p>
            <w:pPr>
              <w:spacing w:after="0"/>
              <w:rPr>
                <w:sz w:val="5"/>
                <w:szCs w:val="5"/>
                <w:color w:val="auto"/>
              </w:rPr>
            </w:pPr>
          </w:p>
        </w:tc>
        <w:tc>
          <w:tcPr>
            <w:tcW w:w="20" w:type="dxa"/>
            <w:vAlign w:val="bottom"/>
            <w:tcBorders>
              <w:top w:val="single" w:sz="8" w:color="EAEAEA"/>
              <w:bottom w:val="single" w:sz="8" w:color="0086CC"/>
            </w:tcBorders>
            <w:shd w:val="clear" w:color="auto" w:fill="EAEAEA"/>
          </w:tcPr>
          <w:p>
            <w:pPr>
              <w:spacing w:after="0"/>
              <w:rPr>
                <w:sz w:val="5"/>
                <w:szCs w:val="5"/>
                <w:color w:val="auto"/>
              </w:rPr>
            </w:pPr>
          </w:p>
        </w:tc>
        <w:tc>
          <w:tcPr>
            <w:tcW w:w="340" w:type="dxa"/>
            <w:vAlign w:val="bottom"/>
            <w:tcBorders>
              <w:top w:val="single" w:sz="8" w:color="EAEAEA"/>
              <w:bottom w:val="single" w:sz="8" w:color="0086CC"/>
            </w:tcBorders>
            <w:shd w:val="clear" w:color="auto" w:fill="EAEAEA"/>
          </w:tcPr>
          <w:p>
            <w:pPr>
              <w:spacing w:after="0"/>
              <w:rPr>
                <w:sz w:val="5"/>
                <w:szCs w:val="5"/>
                <w:color w:val="auto"/>
              </w:rPr>
            </w:pPr>
          </w:p>
        </w:tc>
        <w:tc>
          <w:tcPr>
            <w:tcW w:w="420" w:type="dxa"/>
            <w:vAlign w:val="bottom"/>
            <w:tcBorders>
              <w:top w:val="single" w:sz="8" w:color="EAEAEA"/>
              <w:bottom w:val="single" w:sz="8" w:color="0086CC"/>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980" w:type="dxa"/>
            <w:vAlign w:val="bottom"/>
            <w:gridSpan w:val="42"/>
          </w:tcPr>
          <w:p>
            <w:pPr>
              <w:spacing w:after="0"/>
              <w:rPr>
                <w:sz w:val="20"/>
                <w:szCs w:val="20"/>
                <w:color w:val="auto"/>
              </w:rPr>
            </w:pPr>
            <w:r>
              <w:rPr>
                <w:rFonts w:ascii="Arial" w:cs="Arial" w:eastAsia="Arial" w:hAnsi="Arial"/>
                <w:sz w:val="15"/>
                <w:szCs w:val="15"/>
                <w:b w:val="1"/>
                <w:bCs w:val="1"/>
                <w:color w:val="0000EE"/>
              </w:rPr>
              <w:t>Securities Authorized for Issuance Under Equity Compensation</w:t>
            </w: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0086CC"/>
              </w:rPr>
              <w:t>101</w:t>
            </w:r>
          </w:p>
        </w:tc>
        <w:tc>
          <w:tcPr>
            <w:tcW w:w="0" w:type="dxa"/>
            <w:vAlign w:val="bottom"/>
          </w:tcPr>
          <w:p>
            <w:pPr>
              <w:spacing w:after="0"/>
              <w:rPr>
                <w:sz w:val="1"/>
                <w:szCs w:val="1"/>
                <w:color w:val="auto"/>
              </w:rPr>
            </w:pPr>
          </w:p>
        </w:tc>
      </w:tr>
      <w:tr>
        <w:trPr>
          <w:trHeight w:val="142"/>
        </w:trPr>
        <w:tc>
          <w:tcPr>
            <w:tcW w:w="4620" w:type="dxa"/>
            <w:vAlign w:val="bottom"/>
            <w:tcBorders>
              <w:top w:val="single" w:sz="8" w:color="0000EE"/>
            </w:tcBorders>
            <w:gridSpan w:val="40"/>
          </w:tcPr>
          <w:p>
            <w:pPr>
              <w:spacing w:after="0" w:line="142" w:lineRule="exact"/>
              <w:rPr>
                <w:sz w:val="20"/>
                <w:szCs w:val="20"/>
                <w:color w:val="auto"/>
              </w:rPr>
            </w:pPr>
            <w:r>
              <w:rPr>
                <w:rFonts w:ascii="Arial" w:cs="Arial" w:eastAsia="Arial" w:hAnsi="Arial"/>
                <w:sz w:val="15"/>
                <w:szCs w:val="15"/>
                <w:b w:val="1"/>
                <w:bCs w:val="1"/>
                <w:color w:val="0000EE"/>
              </w:rPr>
              <w:t>Plans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101</w:t>
            </w: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Equity Compensation Plan Information</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Borders>
              <w:top w:val="single" w:sz="8" w:color="0000EE"/>
              <w:bottom w:val="single" w:sz="8" w:color="0000EE"/>
            </w:tcBorders>
            <w:gridSpan w:val="19"/>
          </w:tcPr>
          <w:p>
            <w:pPr>
              <w:spacing w:after="0" w:line="169" w:lineRule="exact"/>
              <w:rPr>
                <w:sz w:val="20"/>
                <w:szCs w:val="20"/>
                <w:color w:val="auto"/>
              </w:rPr>
            </w:pPr>
            <w:r>
              <w:rPr>
                <w:rFonts w:ascii="Arial" w:cs="Arial" w:eastAsia="Arial" w:hAnsi="Arial"/>
                <w:sz w:val="15"/>
                <w:szCs w:val="15"/>
                <w:b w:val="1"/>
                <w:bCs w:val="1"/>
                <w:color w:val="0000EE"/>
              </w:rPr>
              <w:t>Description of the TXI Legacy Plan</w:t>
            </w:r>
          </w:p>
        </w:tc>
        <w:tc>
          <w:tcPr>
            <w:tcW w:w="340" w:type="dxa"/>
            <w:vAlign w:val="bottom"/>
            <w:tcBorders>
              <w:top w:val="single" w:sz="8" w:color="0000EE"/>
            </w:tcBorders>
            <w:gridSpan w:val="4"/>
          </w:tcPr>
          <w:p>
            <w:pPr>
              <w:spacing w:after="0"/>
              <w:rPr>
                <w:sz w:val="14"/>
                <w:szCs w:val="14"/>
                <w:color w:val="auto"/>
              </w:rPr>
            </w:pPr>
          </w:p>
        </w:tc>
        <w:tc>
          <w:tcPr>
            <w:tcW w:w="1980" w:type="dxa"/>
            <w:vAlign w:val="bottom"/>
            <w:gridSpan w:val="16"/>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101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39"/>
          </w:tcPr>
          <w:p>
            <w:pPr>
              <w:spacing w:after="0" w:line="169" w:lineRule="exact"/>
              <w:rPr>
                <w:sz w:val="20"/>
                <w:szCs w:val="20"/>
                <w:color w:val="auto"/>
              </w:rPr>
            </w:pPr>
            <w:r>
              <w:rPr>
                <w:rFonts w:ascii="Arial" w:cs="Arial" w:eastAsia="Arial" w:hAnsi="Arial"/>
                <w:sz w:val="15"/>
                <w:szCs w:val="15"/>
                <w:b w:val="1"/>
                <w:bCs w:val="1"/>
                <w:color w:val="0000EE"/>
              </w:rPr>
              <w:t>Description of the Deferred Compensation Plan</w:t>
            </w: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102</w:t>
            </w:r>
          </w:p>
        </w:tc>
        <w:tc>
          <w:tcPr>
            <w:tcW w:w="0" w:type="dxa"/>
            <w:vAlign w:val="bottom"/>
          </w:tcPr>
          <w:p>
            <w:pPr>
              <w:spacing w:after="0"/>
              <w:rPr>
                <w:sz w:val="1"/>
                <w:szCs w:val="1"/>
                <w:color w:val="auto"/>
              </w:rPr>
            </w:pPr>
          </w:p>
        </w:tc>
      </w:tr>
      <w:tr>
        <w:trPr>
          <w:trHeight w:val="20"/>
        </w:trPr>
        <w:tc>
          <w:tcPr>
            <w:tcW w:w="140" w:type="dxa"/>
            <w:vAlign w:val="bottom"/>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42"/>
          </w:tcPr>
          <w:p>
            <w:pPr>
              <w:spacing w:after="0"/>
              <w:rPr>
                <w:sz w:val="20"/>
                <w:szCs w:val="20"/>
                <w:color w:val="auto"/>
              </w:rPr>
            </w:pPr>
            <w:r>
              <w:rPr>
                <w:rFonts w:ascii="Arial" w:cs="Arial" w:eastAsia="Arial" w:hAnsi="Arial"/>
                <w:sz w:val="15"/>
                <w:szCs w:val="15"/>
                <w:b w:val="1"/>
                <w:bCs w:val="1"/>
                <w:color w:val="0000EE"/>
              </w:rPr>
              <w:t>Annual Meeting and Voting Information</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0086CC"/>
              </w:rPr>
              <w:t>103</w:t>
            </w:r>
          </w:p>
        </w:tc>
        <w:tc>
          <w:tcPr>
            <w:tcW w:w="0" w:type="dxa"/>
            <w:vAlign w:val="bottom"/>
          </w:tcPr>
          <w:p>
            <w:pPr>
              <w:spacing w:after="0"/>
              <w:rPr>
                <w:sz w:val="1"/>
                <w:szCs w:val="1"/>
                <w:color w:val="auto"/>
              </w:rPr>
            </w:pPr>
          </w:p>
        </w:tc>
      </w:tr>
      <w:tr>
        <w:trPr>
          <w:trHeight w:val="169"/>
        </w:trPr>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0" w:type="dxa"/>
            <w:vAlign w:val="bottom"/>
            <w:tcBorders>
              <w:top w:val="single" w:sz="8" w:color="0000EE"/>
              <w:bottom w:val="single" w:sz="8" w:color="0000EE"/>
            </w:tcBorders>
            <w:gridSpan w:val="11"/>
          </w:tcPr>
          <w:p>
            <w:pPr>
              <w:spacing w:after="0" w:line="169" w:lineRule="exact"/>
              <w:rPr>
                <w:sz w:val="20"/>
                <w:szCs w:val="20"/>
                <w:color w:val="auto"/>
              </w:rPr>
            </w:pPr>
            <w:r>
              <w:rPr>
                <w:rFonts w:ascii="Arial" w:cs="Arial" w:eastAsia="Arial" w:hAnsi="Arial"/>
                <w:sz w:val="15"/>
                <w:szCs w:val="15"/>
                <w:b w:val="1"/>
                <w:bCs w:val="1"/>
                <w:color w:val="0000EE"/>
              </w:rPr>
              <w:t>Incorporation by Reference</w:t>
            </w:r>
          </w:p>
        </w:tc>
        <w:tc>
          <w:tcPr>
            <w:tcW w:w="700" w:type="dxa"/>
            <w:vAlign w:val="bottom"/>
            <w:tcBorders>
              <w:top w:val="single" w:sz="8" w:color="0000EE"/>
            </w:tcBorders>
            <w:gridSpan w:val="11"/>
          </w:tcPr>
          <w:p>
            <w:pPr>
              <w:spacing w:after="0"/>
              <w:rPr>
                <w:sz w:val="14"/>
                <w:szCs w:val="14"/>
                <w:color w:val="auto"/>
              </w:rPr>
            </w:pPr>
          </w:p>
        </w:tc>
        <w:tc>
          <w:tcPr>
            <w:tcW w:w="2140" w:type="dxa"/>
            <w:vAlign w:val="bottom"/>
            <w:gridSpan w:val="17"/>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106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bottom w:val="single" w:sz="8" w:color="0000EE"/>
            </w:tcBorders>
            <w:gridSpan w:val="29"/>
          </w:tcPr>
          <w:p>
            <w:pPr>
              <w:spacing w:after="0" w:line="169" w:lineRule="exact"/>
              <w:rPr>
                <w:sz w:val="20"/>
                <w:szCs w:val="20"/>
                <w:color w:val="auto"/>
              </w:rPr>
            </w:pPr>
            <w:r>
              <w:rPr>
                <w:rFonts w:ascii="Arial" w:cs="Arial" w:eastAsia="Arial" w:hAnsi="Arial"/>
                <w:sz w:val="15"/>
                <w:szCs w:val="15"/>
                <w:b w:val="1"/>
                <w:bCs w:val="1"/>
                <w:color w:val="0000EE"/>
              </w:rPr>
              <w:t>Shareholders’ Proposals for 2027 Annual Meeting</w:t>
            </w:r>
          </w:p>
        </w:tc>
        <w:tc>
          <w:tcPr>
            <w:tcW w:w="1220" w:type="dxa"/>
            <w:vAlign w:val="bottom"/>
            <w:gridSpan w:val="10"/>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106</w:t>
            </w:r>
          </w:p>
        </w:tc>
        <w:tc>
          <w:tcPr>
            <w:tcW w:w="0" w:type="dxa"/>
            <w:vAlign w:val="bottom"/>
          </w:tcPr>
          <w:p>
            <w:pPr>
              <w:spacing w:after="0"/>
              <w:rPr>
                <w:sz w:val="1"/>
                <w:szCs w:val="1"/>
                <w:color w:val="auto"/>
              </w:rPr>
            </w:pPr>
          </w:p>
        </w:tc>
      </w:tr>
      <w:tr>
        <w:trPr>
          <w:trHeight w:val="210"/>
        </w:trPr>
        <w:tc>
          <w:tcPr>
            <w:tcW w:w="4980" w:type="dxa"/>
            <w:vAlign w:val="bottom"/>
            <w:gridSpan w:val="42"/>
          </w:tcPr>
          <w:p>
            <w:pPr>
              <w:spacing w:after="0"/>
              <w:rPr>
                <w:sz w:val="20"/>
                <w:szCs w:val="20"/>
                <w:color w:val="auto"/>
              </w:rPr>
            </w:pPr>
            <w:r>
              <w:rPr>
                <w:rFonts w:ascii="Arial" w:cs="Arial" w:eastAsia="Arial" w:hAnsi="Arial"/>
                <w:sz w:val="15"/>
                <w:szCs w:val="15"/>
                <w:b w:val="1"/>
                <w:bCs w:val="1"/>
                <w:color w:val="0000EE"/>
              </w:rPr>
              <w:t>Appendix A: Martin Marietta Guidelines for Potential New Board</w:t>
            </w:r>
          </w:p>
        </w:tc>
        <w:tc>
          <w:tcPr>
            <w:tcW w:w="420" w:type="dxa"/>
            <w:vAlign w:val="bottom"/>
            <w:vMerge w:val="restart"/>
          </w:tcPr>
          <w:p>
            <w:pPr>
              <w:jc w:val="right"/>
              <w:spacing w:after="0"/>
              <w:rPr>
                <w:sz w:val="20"/>
                <w:szCs w:val="20"/>
                <w:color w:val="auto"/>
              </w:rPr>
            </w:pPr>
            <w:r>
              <w:rPr>
                <w:rFonts w:ascii="Arial" w:cs="Arial" w:eastAsia="Arial" w:hAnsi="Arial"/>
                <w:sz w:val="15"/>
                <w:szCs w:val="15"/>
                <w:b w:val="1"/>
                <w:bCs w:val="1"/>
                <w:color w:val="0086CC"/>
              </w:rPr>
              <w:t>A-1</w:t>
            </w:r>
          </w:p>
        </w:tc>
        <w:tc>
          <w:tcPr>
            <w:tcW w:w="0" w:type="dxa"/>
            <w:vAlign w:val="bottom"/>
          </w:tcPr>
          <w:p>
            <w:pPr>
              <w:spacing w:after="0"/>
              <w:rPr>
                <w:sz w:val="1"/>
                <w:szCs w:val="1"/>
                <w:color w:val="auto"/>
              </w:rPr>
            </w:pPr>
          </w:p>
        </w:tc>
      </w:tr>
      <w:tr>
        <w:trPr>
          <w:trHeight w:val="142"/>
        </w:trPr>
        <w:tc>
          <w:tcPr>
            <w:tcW w:w="680" w:type="dxa"/>
            <w:vAlign w:val="bottom"/>
            <w:tcBorders>
              <w:top w:val="single" w:sz="8" w:color="0000EE"/>
              <w:bottom w:val="single" w:sz="8" w:color="0000EE"/>
            </w:tcBorders>
            <w:gridSpan w:val="5"/>
          </w:tcPr>
          <w:p>
            <w:pPr>
              <w:spacing w:after="0" w:line="142" w:lineRule="exact"/>
              <w:rPr>
                <w:sz w:val="20"/>
                <w:szCs w:val="20"/>
                <w:color w:val="auto"/>
              </w:rPr>
            </w:pPr>
            <w:r>
              <w:rPr>
                <w:rFonts w:ascii="Arial" w:cs="Arial" w:eastAsia="Arial" w:hAnsi="Arial"/>
                <w:sz w:val="15"/>
                <w:szCs w:val="15"/>
                <w:b w:val="1"/>
                <w:bCs w:val="1"/>
                <w:color w:val="0000EE"/>
              </w:rPr>
              <w:t>Members</w:t>
            </w:r>
          </w:p>
        </w:tc>
        <w:tc>
          <w:tcPr>
            <w:tcW w:w="3960" w:type="dxa"/>
            <w:vAlign w:val="bottom"/>
            <w:tcBorders>
              <w:top w:val="single" w:sz="8" w:color="0000EE"/>
            </w:tcBorders>
            <w:gridSpan w:val="36"/>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80" w:type="dxa"/>
            <w:vAlign w:val="bottom"/>
            <w:gridSpan w:val="42"/>
          </w:tcPr>
          <w:p>
            <w:pPr>
              <w:spacing w:after="0"/>
              <w:rPr>
                <w:sz w:val="20"/>
                <w:szCs w:val="20"/>
                <w:color w:val="auto"/>
              </w:rPr>
            </w:pPr>
            <w:r>
              <w:rPr>
                <w:rFonts w:ascii="Arial" w:cs="Arial" w:eastAsia="Arial" w:hAnsi="Arial"/>
                <w:sz w:val="15"/>
                <w:szCs w:val="15"/>
                <w:b w:val="1"/>
                <w:bCs w:val="1"/>
                <w:color w:val="0000EE"/>
              </w:rPr>
              <w:t>Appendix B: Non-GAAP Measures</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0086CC"/>
              </w:rPr>
              <w:t>B-1</w:t>
            </w:r>
          </w:p>
        </w:tc>
        <w:tc>
          <w:tcPr>
            <w:tcW w:w="0" w:type="dxa"/>
            <w:vAlign w:val="bottom"/>
          </w:tcPr>
          <w:p>
            <w:pPr>
              <w:spacing w:after="0"/>
              <w:rPr>
                <w:sz w:val="1"/>
                <w:szCs w:val="1"/>
                <w:color w:val="auto"/>
              </w:rPr>
            </w:pPr>
          </w:p>
        </w:tc>
      </w:tr>
      <w:tr>
        <w:trPr>
          <w:trHeight w:val="20"/>
        </w:trPr>
        <w:tc>
          <w:tcPr>
            <w:tcW w:w="2480" w:type="dxa"/>
            <w:vAlign w:val="bottom"/>
            <w:gridSpan w:val="19"/>
            <w:shd w:val="clear" w:color="auto" w:fill="0000EE"/>
          </w:tcPr>
          <w:p>
            <w:pPr>
              <w:spacing w:after="0" w:line="20" w:lineRule="exact"/>
              <w:rPr>
                <w:sz w:val="1"/>
                <w:szCs w:val="1"/>
                <w:color w:val="auto"/>
              </w:rPr>
            </w:pPr>
          </w:p>
        </w:tc>
        <w:tc>
          <w:tcPr>
            <w:tcW w:w="1980" w:type="dxa"/>
            <w:vAlign w:val="bottom"/>
            <w:gridSpan w:val="1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42"/>
          </w:tcPr>
          <w:p>
            <w:pPr>
              <w:spacing w:after="0"/>
              <w:rPr>
                <w:sz w:val="20"/>
                <w:szCs w:val="20"/>
                <w:color w:val="auto"/>
              </w:rPr>
            </w:pPr>
            <w:r>
              <w:rPr>
                <w:rFonts w:ascii="Arial" w:cs="Arial" w:eastAsia="Arial" w:hAnsi="Arial"/>
                <w:sz w:val="15"/>
                <w:szCs w:val="15"/>
                <w:b w:val="1"/>
                <w:bCs w:val="1"/>
                <w:color w:val="0000EE"/>
              </w:rPr>
              <w:t>Appendix C: Amended and Restated Stock-Based Award Plan</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0086CC"/>
              </w:rPr>
              <w:t>C-1</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-6591300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063" w:lineRule="exact"/>
        <w:rPr>
          <w:sz w:val="20"/>
          <w:szCs w:val="20"/>
          <w:color w:val="auto"/>
        </w:rPr>
      </w:pPr>
    </w:p>
    <w:p>
      <w:pPr>
        <w:sectPr>
          <w:pgSz w:w="11900" w:h="16838" w:orient="portrait"/>
          <w:cols w:equalWidth="0" w:num="2">
            <w:col w:w="5320" w:space="300"/>
            <w:col w:w="5400"/>
          </w:cols>
          <w:pgMar w:left="440" w:top="263" w:right="439"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pacing w:after="0" w:line="1" w:lineRule="exact"/>
        <w:rPr>
          <w:sz w:val="20"/>
          <w:szCs w:val="20"/>
          <w:color w:val="auto"/>
        </w:rPr>
      </w:pPr>
    </w:p>
    <w:p>
      <w:pPr>
        <w:spacing w:after="0"/>
        <w:tabs>
          <w:tab w:leader="none" w:pos="10220"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0"/>
          </w:cols>
          <w:pgMar w:left="440" w:top="263" w:right="4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Shareholders Benefit from Martin Marietta’s Strong 2025 Performance</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333333"/>
        </w:rPr>
        <w:t>This summary provides highlights of selected information about Martin Marietta Materials, Inc. (the Company, Martin Marietta, we or us) from this Proxy Statement. The Board of Directors is providing the Notice of 2026 Annual Meeting of Shareholders, this Proxy Statement, the 2025 Annual Report and Proxy Card (the Proxy Materials) in connection with the Company’s solicitation of proxies for the 2026 Annual Meeting (the Annual Meeting) to be held on May 14, 2026, and at any adjournment or postponement thereof. This Proxy Statement is being first mailed to shareholders on April 15, 2026.</w:t>
      </w:r>
    </w:p>
    <w:p>
      <w:pPr>
        <w:spacing w:after="0" w:line="7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333333"/>
        </w:rPr>
        <w:t>This proxy summary highlights information contained elsewhere in our Proxy Statement. The summary does not contain all the information that you should consider, and we encourage you to read the entire Proxy Statement before voting.</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2025 Safety &amp; Financial Highlights</w:t>
      </w:r>
      <w:r>
        <w:rPr>
          <w:rFonts w:ascii="Arial" w:cs="Arial" w:eastAsia="Arial" w:hAnsi="Arial"/>
          <w:sz w:val="48"/>
          <w:szCs w:val="4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3128645" cy="4243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28645" cy="4243705"/>
                    </a:xfrm>
                    <a:prstGeom prst="rect">
                      <a:avLst/>
                    </a:prstGeom>
                    <a:noFill/>
                  </pic:spPr>
                </pic:pic>
              </a:graphicData>
            </a:graphic>
          </wp:anchor>
        </w:drawing>
      </w:r>
    </w:p>
    <w:p>
      <w:pPr>
        <w:spacing w:after="0" w:line="54" w:lineRule="exact"/>
        <w:rPr>
          <w:sz w:val="20"/>
          <w:szCs w:val="20"/>
          <w:color w:val="auto"/>
        </w:rPr>
      </w:pPr>
    </w:p>
    <w:p>
      <w:pPr>
        <w:ind w:left="6860" w:right="220" w:hanging="139"/>
        <w:spacing w:after="0" w:line="276" w:lineRule="auto"/>
        <w:tabs>
          <w:tab w:leader="none" w:pos="6840" w:val="left"/>
        </w:tabs>
        <w:rPr>
          <w:sz w:val="20"/>
          <w:szCs w:val="20"/>
          <w:color w:val="auto"/>
        </w:rPr>
      </w:pPr>
      <w:r>
        <w:rPr>
          <w:rFonts w:ascii="Arial" w:cs="Arial" w:eastAsia="Arial" w:hAnsi="Arial"/>
          <w:sz w:val="16"/>
          <w:szCs w:val="16"/>
          <w:color w:val="333333"/>
        </w:rPr>
        <w:t>•</w:t>
        <w:tab/>
        <w:t xml:space="preserve">Achieved world-class total injury incident rate (TIIR) for the </w:t>
      </w:r>
      <w:r>
        <w:rPr>
          <w:rFonts w:ascii="Arial" w:cs="Arial" w:eastAsia="Arial" w:hAnsi="Arial"/>
          <w:sz w:val="16"/>
          <w:szCs w:val="16"/>
          <w:b w:val="1"/>
          <w:bCs w:val="1"/>
          <w:color w:val="333333"/>
        </w:rPr>
        <w:t>5th consecutive year</w:t>
      </w:r>
    </w:p>
    <w:p>
      <w:pPr>
        <w:spacing w:after="0" w:line="6" w:lineRule="exact"/>
        <w:rPr>
          <w:sz w:val="20"/>
          <w:szCs w:val="20"/>
          <w:color w:val="auto"/>
        </w:rPr>
      </w:pPr>
    </w:p>
    <w:p>
      <w:pPr>
        <w:ind w:left="6860" w:right="320" w:hanging="139"/>
        <w:spacing w:after="0" w:line="266" w:lineRule="auto"/>
        <w:tabs>
          <w:tab w:leader="none" w:pos="6840" w:val="left"/>
        </w:tabs>
        <w:rPr>
          <w:sz w:val="20"/>
          <w:szCs w:val="20"/>
          <w:color w:val="auto"/>
        </w:rPr>
      </w:pPr>
      <w:r>
        <w:rPr>
          <w:rFonts w:ascii="Arial" w:cs="Arial" w:eastAsia="Arial" w:hAnsi="Arial"/>
          <w:sz w:val="16"/>
          <w:szCs w:val="16"/>
          <w:color w:val="333333"/>
        </w:rPr>
        <w:t>•</w:t>
        <w:tab/>
        <w:t xml:space="preserve">Southwest, West and Specialties Divisions </w:t>
      </w:r>
      <w:r>
        <w:rPr>
          <w:rFonts w:ascii="Arial" w:cs="Arial" w:eastAsia="Arial" w:hAnsi="Arial"/>
          <w:sz w:val="16"/>
          <w:szCs w:val="16"/>
          <w:b w:val="1"/>
          <w:bCs w:val="1"/>
          <w:color w:val="333333"/>
        </w:rPr>
        <w:t xml:space="preserve">outperformed world-class TIIR </w:t>
      </w:r>
      <w:r>
        <w:rPr>
          <w:rFonts w:ascii="Arial" w:cs="Arial" w:eastAsia="Arial" w:hAnsi="Arial"/>
          <w:sz w:val="16"/>
          <w:szCs w:val="16"/>
          <w:color w:val="333333"/>
        </w:rPr>
        <w:t>with metrics of 0.41,</w:t>
      </w:r>
      <w:r>
        <w:rPr>
          <w:rFonts w:ascii="Arial" w:cs="Arial" w:eastAsia="Arial" w:hAnsi="Arial"/>
          <w:sz w:val="16"/>
          <w:szCs w:val="16"/>
          <w:b w:val="1"/>
          <w:bCs w:val="1"/>
          <w:color w:val="333333"/>
        </w:rPr>
        <w:t xml:space="preserve"> </w:t>
      </w:r>
      <w:r>
        <w:rPr>
          <w:rFonts w:ascii="Arial" w:cs="Arial" w:eastAsia="Arial" w:hAnsi="Arial"/>
          <w:sz w:val="16"/>
          <w:szCs w:val="16"/>
          <w:color w:val="333333"/>
        </w:rPr>
        <w:t>0.65 and 0.81, respectively</w:t>
      </w:r>
    </w:p>
    <w:p>
      <w:pPr>
        <w:spacing w:after="0" w:line="23" w:lineRule="exact"/>
        <w:rPr>
          <w:sz w:val="20"/>
          <w:szCs w:val="20"/>
          <w:color w:val="auto"/>
        </w:rPr>
      </w:pPr>
    </w:p>
    <w:p>
      <w:pPr>
        <w:ind w:left="6720" w:right="60"/>
        <w:spacing w:after="0" w:line="334" w:lineRule="auto"/>
        <w:rPr>
          <w:sz w:val="20"/>
          <w:szCs w:val="20"/>
          <w:color w:val="auto"/>
        </w:rPr>
      </w:pPr>
      <w:r>
        <w:rPr>
          <w:rFonts w:ascii="Arial" w:cs="Arial" w:eastAsia="Arial" w:hAnsi="Arial"/>
          <w:sz w:val="16"/>
          <w:szCs w:val="16"/>
          <w:color w:val="333333"/>
        </w:rPr>
        <w:t xml:space="preserve">• Achieved </w:t>
      </w:r>
      <w:r>
        <w:rPr>
          <w:rFonts w:ascii="Arial" w:cs="Arial" w:eastAsia="Arial" w:hAnsi="Arial"/>
          <w:sz w:val="16"/>
          <w:szCs w:val="16"/>
          <w:b w:val="1"/>
          <w:bCs w:val="1"/>
          <w:color w:val="333333"/>
        </w:rPr>
        <w:t>world-class LTIR</w:t>
      </w:r>
      <w:r>
        <w:rPr>
          <w:rFonts w:ascii="Arial" w:cs="Arial" w:eastAsia="Arial" w:hAnsi="Arial"/>
          <w:sz w:val="16"/>
          <w:szCs w:val="16"/>
          <w:color w:val="333333"/>
        </w:rPr>
        <w:t xml:space="preserve"> for the 9th consecutive year • </w:t>
      </w:r>
      <w:r>
        <w:rPr>
          <w:rFonts w:ascii="Arial" w:cs="Arial" w:eastAsia="Arial" w:hAnsi="Arial"/>
          <w:sz w:val="16"/>
          <w:szCs w:val="16"/>
          <w:b w:val="1"/>
          <w:bCs w:val="1"/>
          <w:color w:val="333333"/>
        </w:rPr>
        <w:t>99.8%</w:t>
      </w:r>
      <w:r>
        <w:rPr>
          <w:rFonts w:ascii="Arial" w:cs="Arial" w:eastAsia="Arial" w:hAnsi="Arial"/>
          <w:sz w:val="16"/>
          <w:szCs w:val="16"/>
          <w:color w:val="333333"/>
        </w:rPr>
        <w:t xml:space="preserve"> of employees experienced zero lost-time incidents</w:t>
      </w:r>
    </w:p>
    <w:p>
      <w:pPr>
        <w:spacing w:after="0" w:line="1" w:lineRule="exact"/>
        <w:rPr>
          <w:sz w:val="20"/>
          <w:szCs w:val="20"/>
          <w:color w:val="auto"/>
        </w:rPr>
      </w:pPr>
    </w:p>
    <w:p>
      <w:pPr>
        <w:ind w:left="6860" w:right="260" w:hanging="139"/>
        <w:spacing w:after="0" w:line="290" w:lineRule="auto"/>
        <w:tabs>
          <w:tab w:leader="none" w:pos="6840" w:val="left"/>
        </w:tabs>
        <w:rPr>
          <w:sz w:val="20"/>
          <w:szCs w:val="20"/>
          <w:color w:val="auto"/>
        </w:rPr>
      </w:pPr>
      <w:r>
        <w:rPr>
          <w:rFonts w:ascii="Arial" w:cs="Arial" w:eastAsia="Arial" w:hAnsi="Arial"/>
          <w:sz w:val="16"/>
          <w:szCs w:val="16"/>
          <w:color w:val="333333"/>
        </w:rPr>
        <w:t>•</w:t>
        <w:tab/>
        <w:t xml:space="preserve">Grew aggregates gross profit by 16% to a </w:t>
      </w:r>
      <w:r>
        <w:rPr>
          <w:rFonts w:ascii="Arial" w:cs="Arial" w:eastAsia="Arial" w:hAnsi="Arial"/>
          <w:sz w:val="16"/>
          <w:szCs w:val="16"/>
          <w:b w:val="1"/>
          <w:bCs w:val="1"/>
          <w:color w:val="333333"/>
        </w:rPr>
        <w:t>record</w:t>
      </w:r>
      <w:r>
        <w:rPr>
          <w:rFonts w:ascii="Arial" w:cs="Arial" w:eastAsia="Arial" w:hAnsi="Arial"/>
          <w:sz w:val="16"/>
          <w:szCs w:val="16"/>
          <w:color w:val="333333"/>
        </w:rPr>
        <w:t xml:space="preserve"> $1.7 billion, or 12% to a </w:t>
      </w:r>
      <w:r>
        <w:rPr>
          <w:rFonts w:ascii="Arial" w:cs="Arial" w:eastAsia="Arial" w:hAnsi="Arial"/>
          <w:sz w:val="16"/>
          <w:szCs w:val="16"/>
          <w:b w:val="1"/>
          <w:bCs w:val="1"/>
          <w:color w:val="333333"/>
        </w:rPr>
        <w:t>record</w:t>
      </w:r>
      <w:r>
        <w:rPr>
          <w:rFonts w:ascii="Arial" w:cs="Arial" w:eastAsia="Arial" w:hAnsi="Arial"/>
          <w:sz w:val="16"/>
          <w:szCs w:val="16"/>
          <w:color w:val="333333"/>
        </w:rPr>
        <w:t xml:space="preserve"> $8.45 on a per ton basis</w:t>
      </w:r>
    </w:p>
    <w:p>
      <w:pPr>
        <w:spacing w:after="0" w:line="1" w:lineRule="exact"/>
        <w:rPr>
          <w:sz w:val="20"/>
          <w:szCs w:val="20"/>
          <w:color w:val="auto"/>
        </w:rPr>
      </w:pPr>
    </w:p>
    <w:p>
      <w:pPr>
        <w:ind w:left="6860" w:right="180" w:hanging="139"/>
        <w:spacing w:after="0" w:line="286" w:lineRule="auto"/>
        <w:tabs>
          <w:tab w:leader="none" w:pos="6840" w:val="left"/>
        </w:tabs>
        <w:rPr>
          <w:sz w:val="20"/>
          <w:szCs w:val="20"/>
          <w:color w:val="auto"/>
        </w:rPr>
      </w:pPr>
      <w:r>
        <w:rPr>
          <w:rFonts w:ascii="Arial" w:cs="Arial" w:eastAsia="Arial" w:hAnsi="Arial"/>
          <w:sz w:val="16"/>
          <w:szCs w:val="16"/>
          <w:color w:val="333333"/>
        </w:rPr>
        <w:t>•</w:t>
        <w:tab/>
        <w:t>Expanded adjusted EBITDA from continuing operations margin by 229 basis points</w:t>
      </w:r>
    </w:p>
    <w:p>
      <w:pPr>
        <w:spacing w:after="0" w:line="7" w:lineRule="exact"/>
        <w:rPr>
          <w:sz w:val="20"/>
          <w:szCs w:val="20"/>
          <w:color w:val="auto"/>
        </w:rPr>
      </w:pPr>
    </w:p>
    <w:p>
      <w:pPr>
        <w:ind w:left="6860" w:right="400" w:hanging="139"/>
        <w:spacing w:after="0" w:line="286" w:lineRule="auto"/>
        <w:tabs>
          <w:tab w:leader="none" w:pos="6840" w:val="left"/>
        </w:tabs>
        <w:rPr>
          <w:sz w:val="20"/>
          <w:szCs w:val="20"/>
          <w:color w:val="auto"/>
        </w:rPr>
      </w:pPr>
      <w:r>
        <w:rPr>
          <w:rFonts w:ascii="Arial" w:cs="Arial" w:eastAsia="Arial" w:hAnsi="Arial"/>
          <w:sz w:val="16"/>
          <w:szCs w:val="16"/>
          <w:color w:val="333333"/>
        </w:rPr>
        <w:t>•</w:t>
        <w:tab/>
        <w:t xml:space="preserve">Generated </w:t>
      </w:r>
      <w:r>
        <w:rPr>
          <w:rFonts w:ascii="Arial" w:cs="Arial" w:eastAsia="Arial" w:hAnsi="Arial"/>
          <w:sz w:val="16"/>
          <w:szCs w:val="16"/>
          <w:b w:val="1"/>
          <w:bCs w:val="1"/>
          <w:color w:val="333333"/>
        </w:rPr>
        <w:t>record</w:t>
      </w:r>
      <w:r>
        <w:rPr>
          <w:rFonts w:ascii="Arial" w:cs="Arial" w:eastAsia="Arial" w:hAnsi="Arial"/>
          <w:sz w:val="16"/>
          <w:szCs w:val="16"/>
          <w:color w:val="333333"/>
        </w:rPr>
        <w:t xml:space="preserve"> cash flow from operations of $1.8 billion</w:t>
      </w:r>
    </w:p>
    <w:p>
      <w:pPr>
        <w:spacing w:after="0" w:line="7" w:lineRule="exact"/>
        <w:rPr>
          <w:sz w:val="20"/>
          <w:szCs w:val="20"/>
          <w:color w:val="auto"/>
        </w:rPr>
      </w:pPr>
    </w:p>
    <w:p>
      <w:pPr>
        <w:ind w:left="6860" w:right="700" w:hanging="139"/>
        <w:spacing w:after="0" w:line="286" w:lineRule="auto"/>
        <w:tabs>
          <w:tab w:leader="none" w:pos="6840" w:val="left"/>
        </w:tabs>
        <w:rPr>
          <w:sz w:val="20"/>
          <w:szCs w:val="20"/>
          <w:color w:val="auto"/>
        </w:rPr>
      </w:pPr>
      <w:r>
        <w:rPr>
          <w:rFonts w:ascii="Arial" w:cs="Arial" w:eastAsia="Arial" w:hAnsi="Arial"/>
          <w:sz w:val="16"/>
          <w:szCs w:val="16"/>
          <w:color w:val="333333"/>
        </w:rPr>
        <w:t>•</w:t>
        <w:tab/>
        <w:t>Advanced $6.3B of portfolio-enhancing strategic transactions</w:t>
      </w:r>
    </w:p>
    <w:p>
      <w:pPr>
        <w:spacing w:after="0" w:line="7" w:lineRule="exact"/>
        <w:rPr>
          <w:sz w:val="20"/>
          <w:szCs w:val="20"/>
          <w:color w:val="auto"/>
        </w:rPr>
      </w:pPr>
    </w:p>
    <w:p>
      <w:pPr>
        <w:ind w:left="6860" w:right="40" w:hanging="139"/>
        <w:spacing w:after="0" w:line="286" w:lineRule="auto"/>
        <w:tabs>
          <w:tab w:leader="none" w:pos="6840" w:val="left"/>
        </w:tabs>
        <w:rPr>
          <w:sz w:val="20"/>
          <w:szCs w:val="20"/>
          <w:color w:val="auto"/>
        </w:rPr>
      </w:pPr>
      <w:r>
        <w:rPr>
          <w:rFonts w:ascii="Arial" w:cs="Arial" w:eastAsia="Arial" w:hAnsi="Arial"/>
          <w:sz w:val="16"/>
          <w:szCs w:val="16"/>
          <w:color w:val="333333"/>
        </w:rPr>
        <w:t>•</w:t>
        <w:tab/>
        <w:t>Delivered total shareholder return of 21% as compared to the S&amp;P 500’s 18%</w:t>
      </w:r>
    </w:p>
    <w:p>
      <w:pPr>
        <w:spacing w:after="0" w:line="314" w:lineRule="exact"/>
        <w:rPr>
          <w:sz w:val="20"/>
          <w:szCs w:val="20"/>
          <w:color w:val="auto"/>
        </w:rPr>
      </w:pPr>
    </w:p>
    <w:p>
      <w:pPr>
        <w:ind w:left="6840" w:right="200" w:hanging="125"/>
        <w:spacing w:after="0" w:line="243" w:lineRule="auto"/>
        <w:rPr>
          <w:sz w:val="20"/>
          <w:szCs w:val="20"/>
          <w:color w:val="auto"/>
        </w:rPr>
      </w:pPr>
      <w:r>
        <w:rPr>
          <w:rFonts w:ascii="Arial" w:cs="Arial" w:eastAsia="Arial" w:hAnsi="Arial"/>
          <w:sz w:val="13"/>
          <w:szCs w:val="13"/>
          <w:color w:val="333333"/>
        </w:rPr>
        <w:t>1  All percentage increases and decreases in chart are comparisons to full year results for the year ended December 31, 2024.</w:t>
      </w:r>
    </w:p>
    <w:p>
      <w:pPr>
        <w:spacing w:after="0" w:line="35" w:lineRule="exact"/>
        <w:rPr>
          <w:sz w:val="20"/>
          <w:szCs w:val="20"/>
          <w:color w:val="auto"/>
        </w:rPr>
      </w:pPr>
    </w:p>
    <w:p>
      <w:pPr>
        <w:jc w:val="both"/>
        <w:ind w:left="6840" w:right="280" w:hanging="125"/>
        <w:spacing w:after="0" w:line="233" w:lineRule="auto"/>
        <w:rPr>
          <w:sz w:val="20"/>
          <w:szCs w:val="20"/>
          <w:color w:val="auto"/>
        </w:rPr>
      </w:pPr>
      <w:r>
        <w:rPr>
          <w:rFonts w:ascii="Arial" w:cs="Arial" w:eastAsia="Arial" w:hAnsi="Arial"/>
          <w:sz w:val="13"/>
          <w:szCs w:val="13"/>
          <w:color w:val="333333"/>
        </w:rPr>
        <w:t>2  Please see Appendix B for additional information regarding impacts to 2025 and 2024 net earnings from continuing operations attributable to Martin Marietta.</w:t>
      </w:r>
    </w:p>
    <w:p>
      <w:pPr>
        <w:spacing w:after="0" w:line="37" w:lineRule="exact"/>
        <w:rPr>
          <w:sz w:val="20"/>
          <w:szCs w:val="20"/>
          <w:color w:val="auto"/>
        </w:rPr>
      </w:pPr>
    </w:p>
    <w:p>
      <w:pPr>
        <w:ind w:left="6840" w:right="40" w:hanging="125"/>
        <w:spacing w:after="0" w:line="226" w:lineRule="auto"/>
        <w:rPr>
          <w:sz w:val="20"/>
          <w:szCs w:val="20"/>
          <w:color w:val="auto"/>
        </w:rPr>
      </w:pPr>
      <w:r>
        <w:rPr>
          <w:rFonts w:ascii="Arial" w:cs="Arial" w:eastAsia="Arial" w:hAnsi="Arial"/>
          <w:sz w:val="13"/>
          <w:szCs w:val="13"/>
          <w:color w:val="333333"/>
        </w:rPr>
        <w:t>3  Adjusted EBITDA from continuing operations, Adjusted EBITDA margin for continuing operations and Consolidated Net Debt-to-Consolidated Adjusted EBITDA are non-GAAP measures. Please see Appendix B for a reconciliation of non-GAAP measures to GAAP measures and other disclosures related to the presentation of non-GAAP measures.</w:t>
      </w:r>
    </w:p>
    <w:p>
      <w:pPr>
        <w:spacing w:after="0" w:line="39" w:lineRule="exact"/>
        <w:rPr>
          <w:sz w:val="20"/>
          <w:szCs w:val="20"/>
          <w:color w:val="auto"/>
        </w:rPr>
      </w:pPr>
    </w:p>
    <w:p>
      <w:pPr>
        <w:ind w:left="6840" w:right="140" w:hanging="125"/>
        <w:spacing w:after="0" w:line="243" w:lineRule="auto"/>
        <w:rPr>
          <w:sz w:val="20"/>
          <w:szCs w:val="20"/>
          <w:color w:val="auto"/>
        </w:rPr>
      </w:pPr>
      <w:r>
        <w:rPr>
          <w:rFonts w:ascii="Arial" w:cs="Arial" w:eastAsia="Arial" w:hAnsi="Arial"/>
          <w:sz w:val="13"/>
          <w:szCs w:val="13"/>
          <w:color w:val="333333"/>
        </w:rPr>
        <w:t>4  Net Margin is defined as the ratio between Net Earnings from Continuing Operations Attributable to Martin Marietta and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2760"/>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1 </w:t>
      </w:r>
      <w:r>
        <w:rPr>
          <w:rFonts w:ascii="Arial" w:cs="Arial" w:eastAsia="Arial" w:hAnsi="Arial"/>
          <w:sz w:val="16"/>
          <w:szCs w:val="16"/>
          <w:color w:val="333333"/>
        </w:rPr>
        <w:t xml:space="preserve">               </w:t>
      </w:r>
    </w:p>
    <w:p>
      <w:pPr>
        <w:sectPr>
          <w:pgSz w:w="11900" w:h="16838" w:orient="portrait"/>
          <w:cols w:equalWidth="0" w:num="3">
            <w:col w:w="3860" w:space="720"/>
            <w:col w:w="4740" w:space="720"/>
            <w:col w:w="980"/>
          </w:cols>
          <w:pgMar w:left="440" w:top="1440" w:right="439" w:bottom="1440" w:gutter="0" w:footer="0" w:header="0"/>
          <w:type w:val="continuous"/>
        </w:sectPr>
      </w:pPr>
    </w:p>
    <w:bookmarkStart w:id="7" w:name="page8"/>
    <w:bookmarkEnd w:id="7"/>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1242695" cy="47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2695" cy="471805"/>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Proposals to be Voted 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860" w:type="dxa"/>
            <w:vAlign w:val="bottom"/>
            <w:tcBorders>
              <w:bottom w:val="single" w:sz="8" w:color="0086CC"/>
            </w:tcBorders>
            <w:shd w:val="clear" w:color="auto" w:fill="0086CC"/>
          </w:tcPr>
          <w:p>
            <w:pPr>
              <w:jc w:val="center"/>
              <w:spacing w:after="0"/>
              <w:rPr>
                <w:sz w:val="20"/>
                <w:szCs w:val="20"/>
                <w:color w:val="auto"/>
              </w:rPr>
            </w:pPr>
            <w:r>
              <w:rPr>
                <w:rFonts w:ascii="Arial" w:cs="Arial" w:eastAsia="Arial" w:hAnsi="Arial"/>
                <w:sz w:val="18"/>
                <w:szCs w:val="18"/>
                <w:b w:val="1"/>
                <w:bCs w:val="1"/>
                <w:color w:val="FFFFFF"/>
                <w:w w:val="99"/>
              </w:rPr>
              <w:t>PROPOSAL 1</w:t>
            </w:r>
          </w:p>
        </w:tc>
        <w:tc>
          <w:tcPr>
            <w:tcW w:w="2880" w:type="dxa"/>
            <w:vAlign w:val="bottom"/>
            <w:tcBorders>
              <w:bottom w:val="single" w:sz="8" w:color="0086CC"/>
            </w:tcBorders>
            <w:shd w:val="clear" w:color="auto" w:fill="0086CC"/>
          </w:tcPr>
          <w:p>
            <w:pPr>
              <w:jc w:val="center"/>
              <w:spacing w:after="0"/>
              <w:rPr>
                <w:sz w:val="20"/>
                <w:szCs w:val="20"/>
                <w:color w:val="auto"/>
              </w:rPr>
            </w:pPr>
            <w:r>
              <w:rPr>
                <w:rFonts w:ascii="Arial" w:cs="Arial" w:eastAsia="Arial" w:hAnsi="Arial"/>
                <w:sz w:val="18"/>
                <w:szCs w:val="18"/>
                <w:b w:val="1"/>
                <w:bCs w:val="1"/>
                <w:color w:val="FFFFFF"/>
                <w:w w:val="99"/>
              </w:rPr>
              <w:t>PROPOSAL 2</w:t>
            </w:r>
          </w:p>
        </w:tc>
        <w:tc>
          <w:tcPr>
            <w:tcW w:w="2700" w:type="dxa"/>
            <w:vAlign w:val="bottom"/>
            <w:tcBorders>
              <w:bottom w:val="single" w:sz="8" w:color="0086CC"/>
            </w:tcBorders>
            <w:shd w:val="clear" w:color="auto" w:fill="0086CC"/>
          </w:tcPr>
          <w:p>
            <w:pPr>
              <w:jc w:val="center"/>
              <w:spacing w:after="0"/>
              <w:rPr>
                <w:sz w:val="20"/>
                <w:szCs w:val="20"/>
                <w:color w:val="auto"/>
              </w:rPr>
            </w:pPr>
            <w:r>
              <w:rPr>
                <w:rFonts w:ascii="Arial" w:cs="Arial" w:eastAsia="Arial" w:hAnsi="Arial"/>
                <w:sz w:val="18"/>
                <w:szCs w:val="18"/>
                <w:b w:val="1"/>
                <w:bCs w:val="1"/>
                <w:color w:val="FFFFFF"/>
                <w:w w:val="99"/>
              </w:rPr>
              <w:t>PROPOSAL 3</w:t>
            </w:r>
          </w:p>
        </w:tc>
        <w:tc>
          <w:tcPr>
            <w:tcW w:w="2580" w:type="dxa"/>
            <w:vAlign w:val="bottom"/>
            <w:tcBorders>
              <w:bottom w:val="single" w:sz="8" w:color="0086CC"/>
            </w:tcBorders>
            <w:shd w:val="clear" w:color="auto" w:fill="0086CC"/>
          </w:tcPr>
          <w:p>
            <w:pPr>
              <w:jc w:val="center"/>
              <w:spacing w:after="0"/>
              <w:rPr>
                <w:sz w:val="20"/>
                <w:szCs w:val="20"/>
                <w:color w:val="auto"/>
              </w:rPr>
            </w:pPr>
            <w:r>
              <w:rPr>
                <w:rFonts w:ascii="Arial" w:cs="Arial" w:eastAsia="Arial" w:hAnsi="Arial"/>
                <w:sz w:val="18"/>
                <w:szCs w:val="18"/>
                <w:b w:val="1"/>
                <w:bCs w:val="1"/>
                <w:color w:val="FFFFFF"/>
                <w:w w:val="99"/>
              </w:rPr>
              <w:t>PROPOSAL 4</w:t>
            </w:r>
          </w:p>
        </w:tc>
        <w:tc>
          <w:tcPr>
            <w:tcW w:w="0" w:type="dxa"/>
            <w:vAlign w:val="bottom"/>
          </w:tcPr>
          <w:p>
            <w:pPr>
              <w:spacing w:after="0"/>
              <w:rPr>
                <w:sz w:val="1"/>
                <w:szCs w:val="1"/>
                <w:color w:val="auto"/>
              </w:rPr>
            </w:pPr>
          </w:p>
        </w:tc>
      </w:tr>
      <w:tr>
        <w:trPr>
          <w:trHeight w:val="122"/>
        </w:trPr>
        <w:tc>
          <w:tcPr>
            <w:tcW w:w="2860" w:type="dxa"/>
            <w:vAlign w:val="bottom"/>
            <w:shd w:val="clear" w:color="auto" w:fill="EAEAEA"/>
          </w:tcPr>
          <w:p>
            <w:pPr>
              <w:spacing w:after="0" w:line="122" w:lineRule="exact"/>
              <w:rPr>
                <w:sz w:val="20"/>
                <w:szCs w:val="20"/>
                <w:color w:val="auto"/>
              </w:rPr>
            </w:pPr>
            <w:r>
              <w:rPr>
                <w:rFonts w:ascii="Arial" w:cs="Arial" w:eastAsia="Arial" w:hAnsi="Arial"/>
                <w:sz w:val="11"/>
                <w:szCs w:val="11"/>
                <w:color w:val="333333"/>
              </w:rPr>
              <w:t> </w:t>
            </w:r>
          </w:p>
        </w:tc>
        <w:tc>
          <w:tcPr>
            <w:tcW w:w="2880" w:type="dxa"/>
            <w:vAlign w:val="bottom"/>
            <w:vMerge w:val="restart"/>
            <w:shd w:val="clear" w:color="auto" w:fill="EAEAEA"/>
          </w:tcPr>
          <w:p>
            <w:pPr>
              <w:jc w:val="center"/>
              <w:spacing w:after="0"/>
              <w:rPr>
                <w:sz w:val="20"/>
                <w:szCs w:val="20"/>
                <w:color w:val="auto"/>
              </w:rPr>
            </w:pPr>
            <w:r>
              <w:rPr>
                <w:rFonts w:ascii="Arial" w:cs="Arial" w:eastAsia="Arial" w:hAnsi="Arial"/>
                <w:sz w:val="27"/>
                <w:szCs w:val="27"/>
                <w:b w:val="1"/>
                <w:bCs w:val="1"/>
                <w:color w:val="0086CC"/>
                <w:w w:val="99"/>
              </w:rPr>
              <w:t>Ratification of</w:t>
            </w:r>
          </w:p>
        </w:tc>
        <w:tc>
          <w:tcPr>
            <w:tcW w:w="2700" w:type="dxa"/>
            <w:vAlign w:val="bottom"/>
            <w:vMerge w:val="restart"/>
            <w:shd w:val="clear" w:color="auto" w:fill="EAEAEA"/>
          </w:tcPr>
          <w:p>
            <w:pPr>
              <w:jc w:val="center"/>
              <w:spacing w:after="0"/>
              <w:rPr>
                <w:sz w:val="20"/>
                <w:szCs w:val="20"/>
                <w:color w:val="auto"/>
              </w:rPr>
            </w:pPr>
            <w:r>
              <w:rPr>
                <w:rFonts w:ascii="Arial" w:cs="Arial" w:eastAsia="Arial" w:hAnsi="Arial"/>
                <w:sz w:val="27"/>
                <w:szCs w:val="27"/>
                <w:b w:val="1"/>
                <w:bCs w:val="1"/>
                <w:color w:val="0086CC"/>
                <w:w w:val="99"/>
              </w:rPr>
              <w:t>Advisory Vote to</w:t>
            </w:r>
          </w:p>
        </w:tc>
        <w:tc>
          <w:tcPr>
            <w:tcW w:w="2580" w:type="dxa"/>
            <w:vAlign w:val="bottom"/>
            <w:vMerge w:val="restart"/>
            <w:shd w:val="clear" w:color="auto" w:fill="EAEAEA"/>
          </w:tcPr>
          <w:p>
            <w:pPr>
              <w:jc w:val="center"/>
              <w:spacing w:after="0"/>
              <w:rPr>
                <w:sz w:val="20"/>
                <w:szCs w:val="20"/>
                <w:color w:val="auto"/>
              </w:rPr>
            </w:pPr>
            <w:r>
              <w:rPr>
                <w:rFonts w:ascii="Arial" w:cs="Arial" w:eastAsia="Arial" w:hAnsi="Arial"/>
                <w:sz w:val="27"/>
                <w:szCs w:val="27"/>
                <w:b w:val="1"/>
                <w:bCs w:val="1"/>
                <w:color w:val="0086CC"/>
              </w:rPr>
              <w:t>Approve</w:t>
            </w:r>
          </w:p>
        </w:tc>
        <w:tc>
          <w:tcPr>
            <w:tcW w:w="0" w:type="dxa"/>
            <w:vAlign w:val="bottom"/>
          </w:tcPr>
          <w:p>
            <w:pPr>
              <w:spacing w:after="0"/>
              <w:rPr>
                <w:sz w:val="1"/>
                <w:szCs w:val="1"/>
                <w:color w:val="auto"/>
              </w:rPr>
            </w:pPr>
          </w:p>
        </w:tc>
      </w:tr>
      <w:tr>
        <w:trPr>
          <w:trHeight w:val="281"/>
        </w:trPr>
        <w:tc>
          <w:tcPr>
            <w:tcW w:w="2860" w:type="dxa"/>
            <w:vAlign w:val="bottom"/>
          </w:tcPr>
          <w:p>
            <w:pPr>
              <w:jc w:val="center"/>
              <w:spacing w:after="0" w:line="281" w:lineRule="exact"/>
              <w:rPr>
                <w:sz w:val="20"/>
                <w:szCs w:val="20"/>
                <w:color w:val="auto"/>
              </w:rPr>
            </w:pPr>
            <w:r>
              <w:rPr>
                <w:rFonts w:ascii="Arial" w:cs="Arial" w:eastAsia="Arial" w:hAnsi="Arial"/>
                <w:sz w:val="27"/>
                <w:szCs w:val="27"/>
                <w:b w:val="1"/>
                <w:bCs w:val="1"/>
                <w:color w:val="0086CC"/>
                <w:w w:val="99"/>
              </w:rPr>
              <w:t>Election of</w:t>
            </w:r>
          </w:p>
        </w:tc>
        <w:tc>
          <w:tcPr>
            <w:tcW w:w="2880" w:type="dxa"/>
            <w:vAlign w:val="bottom"/>
            <w:vMerge w:val="continue"/>
            <w:shd w:val="clear" w:color="auto" w:fill="EAEAEA"/>
          </w:tcPr>
          <w:p>
            <w:pPr>
              <w:spacing w:after="0"/>
              <w:rPr>
                <w:sz w:val="24"/>
                <w:szCs w:val="24"/>
                <w:color w:val="auto"/>
              </w:rPr>
            </w:pPr>
          </w:p>
        </w:tc>
        <w:tc>
          <w:tcPr>
            <w:tcW w:w="2700" w:type="dxa"/>
            <w:vAlign w:val="bottom"/>
            <w:vMerge w:val="continue"/>
            <w:shd w:val="clear" w:color="auto" w:fill="EAEAEA"/>
          </w:tcPr>
          <w:p>
            <w:pPr>
              <w:spacing w:after="0"/>
              <w:rPr>
                <w:sz w:val="24"/>
                <w:szCs w:val="24"/>
                <w:color w:val="auto"/>
              </w:rPr>
            </w:pPr>
          </w:p>
        </w:tc>
        <w:tc>
          <w:tcPr>
            <w:tcW w:w="2580" w:type="dxa"/>
            <w:vAlign w:val="bottom"/>
            <w:vMerge w:val="continue"/>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jc w:val="center"/>
              <w:spacing w:after="0"/>
              <w:rPr>
                <w:sz w:val="20"/>
                <w:szCs w:val="20"/>
                <w:color w:val="auto"/>
              </w:rPr>
            </w:pPr>
            <w:r>
              <w:rPr>
                <w:rFonts w:ascii="Arial" w:cs="Arial" w:eastAsia="Arial" w:hAnsi="Arial"/>
                <w:sz w:val="27"/>
                <w:szCs w:val="27"/>
                <w:b w:val="1"/>
                <w:bCs w:val="1"/>
                <w:color w:val="0086CC"/>
                <w:w w:val="99"/>
              </w:rPr>
              <w:t>10 Directors</w:t>
            </w:r>
          </w:p>
        </w:tc>
        <w:tc>
          <w:tcPr>
            <w:tcW w:w="2880" w:type="dxa"/>
            <w:vAlign w:val="bottom"/>
            <w:shd w:val="clear" w:color="auto" w:fill="EAEAEA"/>
          </w:tcPr>
          <w:p>
            <w:pPr>
              <w:jc w:val="center"/>
              <w:spacing w:after="0"/>
              <w:rPr>
                <w:sz w:val="20"/>
                <w:szCs w:val="20"/>
                <w:color w:val="auto"/>
              </w:rPr>
            </w:pPr>
            <w:r>
              <w:rPr>
                <w:rFonts w:ascii="Arial" w:cs="Arial" w:eastAsia="Arial" w:hAnsi="Arial"/>
                <w:sz w:val="27"/>
                <w:szCs w:val="27"/>
                <w:b w:val="1"/>
                <w:bCs w:val="1"/>
                <w:color w:val="0086CC"/>
                <w:w w:val="99"/>
              </w:rPr>
              <w:t>Independent</w:t>
            </w:r>
          </w:p>
        </w:tc>
        <w:tc>
          <w:tcPr>
            <w:tcW w:w="2700" w:type="dxa"/>
            <w:vAlign w:val="bottom"/>
            <w:shd w:val="clear" w:color="auto" w:fill="EAEAEA"/>
          </w:tcPr>
          <w:p>
            <w:pPr>
              <w:jc w:val="center"/>
              <w:spacing w:after="0"/>
              <w:rPr>
                <w:sz w:val="20"/>
                <w:szCs w:val="20"/>
                <w:color w:val="auto"/>
              </w:rPr>
            </w:pPr>
            <w:r>
              <w:rPr>
                <w:rFonts w:ascii="Arial" w:cs="Arial" w:eastAsia="Arial" w:hAnsi="Arial"/>
                <w:sz w:val="27"/>
                <w:szCs w:val="27"/>
                <w:b w:val="1"/>
                <w:bCs w:val="1"/>
                <w:color w:val="0086CC"/>
              </w:rPr>
              <w:t>Approve the</w:t>
            </w:r>
          </w:p>
        </w:tc>
        <w:tc>
          <w:tcPr>
            <w:tcW w:w="2580" w:type="dxa"/>
            <w:vAlign w:val="bottom"/>
            <w:shd w:val="clear" w:color="auto" w:fill="EAEAEA"/>
          </w:tcPr>
          <w:p>
            <w:pPr>
              <w:jc w:val="center"/>
              <w:spacing w:after="0"/>
              <w:rPr>
                <w:sz w:val="20"/>
                <w:szCs w:val="20"/>
                <w:color w:val="auto"/>
              </w:rPr>
            </w:pPr>
            <w:r>
              <w:rPr>
                <w:rFonts w:ascii="Arial" w:cs="Arial" w:eastAsia="Arial" w:hAnsi="Arial"/>
                <w:sz w:val="27"/>
                <w:szCs w:val="27"/>
                <w:b w:val="1"/>
                <w:bCs w:val="1"/>
                <w:color w:val="0086CC"/>
                <w:w w:val="99"/>
              </w:rPr>
              <w:t>the Amended</w:t>
            </w:r>
          </w:p>
        </w:tc>
        <w:tc>
          <w:tcPr>
            <w:tcW w:w="0" w:type="dxa"/>
            <w:vAlign w:val="bottom"/>
          </w:tcPr>
          <w:p>
            <w:pPr>
              <w:spacing w:after="0"/>
              <w:rPr>
                <w:sz w:val="1"/>
                <w:szCs w:val="1"/>
                <w:color w:val="auto"/>
              </w:rPr>
            </w:pPr>
          </w:p>
        </w:tc>
      </w:tr>
      <w:tr>
        <w:trPr>
          <w:trHeight w:val="31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rPr>
              <w:t>The Board</w:t>
            </w:r>
          </w:p>
        </w:tc>
        <w:tc>
          <w:tcPr>
            <w:tcW w:w="2880" w:type="dxa"/>
            <w:vAlign w:val="bottom"/>
            <w:shd w:val="clear" w:color="auto" w:fill="EAEAEA"/>
          </w:tcPr>
          <w:p>
            <w:pPr>
              <w:jc w:val="center"/>
              <w:spacing w:after="0"/>
              <w:rPr>
                <w:sz w:val="20"/>
                <w:szCs w:val="20"/>
                <w:color w:val="auto"/>
              </w:rPr>
            </w:pPr>
            <w:r>
              <w:rPr>
                <w:rFonts w:ascii="Arial" w:cs="Arial" w:eastAsia="Arial" w:hAnsi="Arial"/>
                <w:sz w:val="27"/>
                <w:szCs w:val="27"/>
                <w:b w:val="1"/>
                <w:bCs w:val="1"/>
                <w:color w:val="0086CC"/>
              </w:rPr>
              <w:t>Auditors</w:t>
            </w:r>
          </w:p>
        </w:tc>
        <w:tc>
          <w:tcPr>
            <w:tcW w:w="2700" w:type="dxa"/>
            <w:vAlign w:val="bottom"/>
            <w:shd w:val="clear" w:color="auto" w:fill="EAEAEA"/>
          </w:tcPr>
          <w:p>
            <w:pPr>
              <w:jc w:val="center"/>
              <w:spacing w:after="0"/>
              <w:rPr>
                <w:sz w:val="20"/>
                <w:szCs w:val="20"/>
                <w:color w:val="auto"/>
              </w:rPr>
            </w:pPr>
            <w:r>
              <w:rPr>
                <w:rFonts w:ascii="Arial" w:cs="Arial" w:eastAsia="Arial" w:hAnsi="Arial"/>
                <w:sz w:val="27"/>
                <w:szCs w:val="27"/>
                <w:b w:val="1"/>
                <w:bCs w:val="1"/>
                <w:color w:val="0086CC"/>
              </w:rPr>
              <w:t>Compensation of</w:t>
            </w:r>
          </w:p>
        </w:tc>
        <w:tc>
          <w:tcPr>
            <w:tcW w:w="2580" w:type="dxa"/>
            <w:vAlign w:val="bottom"/>
            <w:shd w:val="clear" w:color="auto" w:fill="EAEAEA"/>
          </w:tcPr>
          <w:p>
            <w:pPr>
              <w:jc w:val="center"/>
              <w:spacing w:after="0"/>
              <w:rPr>
                <w:sz w:val="20"/>
                <w:szCs w:val="20"/>
                <w:color w:val="auto"/>
              </w:rPr>
            </w:pPr>
            <w:r>
              <w:rPr>
                <w:rFonts w:ascii="Arial" w:cs="Arial" w:eastAsia="Arial" w:hAnsi="Arial"/>
                <w:sz w:val="27"/>
                <w:szCs w:val="27"/>
                <w:b w:val="1"/>
                <w:bCs w:val="1"/>
                <w:color w:val="0086CC"/>
              </w:rPr>
              <w:t>and Restated</w:t>
            </w:r>
          </w:p>
        </w:tc>
        <w:tc>
          <w:tcPr>
            <w:tcW w:w="0" w:type="dxa"/>
            <w:vAlign w:val="bottom"/>
          </w:tcPr>
          <w:p>
            <w:pPr>
              <w:spacing w:after="0"/>
              <w:rPr>
                <w:sz w:val="1"/>
                <w:szCs w:val="1"/>
                <w:color w:val="auto"/>
              </w:rPr>
            </w:pPr>
          </w:p>
        </w:tc>
      </w:tr>
      <w:tr>
        <w:trPr>
          <w:trHeight w:val="270"/>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rPr>
              <w:t>recommends a vote</w:t>
            </w:r>
          </w:p>
        </w:tc>
        <w:tc>
          <w:tcPr>
            <w:tcW w:w="2880" w:type="dxa"/>
            <w:vAlign w:val="bottom"/>
            <w:shd w:val="clear" w:color="auto" w:fill="EAEAEA"/>
          </w:tcPr>
          <w:p>
            <w:pPr>
              <w:jc w:val="center"/>
              <w:spacing w:after="0" w:line="270" w:lineRule="exact"/>
              <w:rPr>
                <w:sz w:val="20"/>
                <w:szCs w:val="20"/>
                <w:color w:val="auto"/>
              </w:rPr>
            </w:pPr>
            <w:r>
              <w:rPr>
                <w:rFonts w:ascii="Arial" w:cs="Arial" w:eastAsia="Arial" w:hAnsi="Arial"/>
                <w:sz w:val="27"/>
                <w:szCs w:val="27"/>
                <w:b w:val="1"/>
                <w:bCs w:val="1"/>
                <w:color w:val="0086CC"/>
              </w:rPr>
              <w:t>for 2026</w:t>
            </w:r>
          </w:p>
        </w:tc>
        <w:tc>
          <w:tcPr>
            <w:tcW w:w="2700" w:type="dxa"/>
            <w:vAlign w:val="bottom"/>
            <w:shd w:val="clear" w:color="auto" w:fill="EAEAEA"/>
          </w:tcPr>
          <w:p>
            <w:pPr>
              <w:jc w:val="center"/>
              <w:spacing w:after="0" w:line="270" w:lineRule="exact"/>
              <w:rPr>
                <w:sz w:val="20"/>
                <w:szCs w:val="20"/>
                <w:color w:val="auto"/>
              </w:rPr>
            </w:pPr>
            <w:r>
              <w:rPr>
                <w:rFonts w:ascii="Arial" w:cs="Arial" w:eastAsia="Arial" w:hAnsi="Arial"/>
                <w:sz w:val="27"/>
                <w:szCs w:val="27"/>
                <w:b w:val="1"/>
                <w:bCs w:val="1"/>
                <w:color w:val="0086CC"/>
              </w:rPr>
              <w:t>our NEOs</w:t>
            </w:r>
          </w:p>
        </w:tc>
        <w:tc>
          <w:tcPr>
            <w:tcW w:w="2580" w:type="dxa"/>
            <w:vAlign w:val="bottom"/>
            <w:shd w:val="clear" w:color="auto" w:fill="EAEAEA"/>
          </w:tcPr>
          <w:p>
            <w:pPr>
              <w:jc w:val="center"/>
              <w:spacing w:after="0" w:line="270" w:lineRule="exact"/>
              <w:rPr>
                <w:sz w:val="20"/>
                <w:szCs w:val="20"/>
                <w:color w:val="auto"/>
              </w:rPr>
            </w:pPr>
            <w:r>
              <w:rPr>
                <w:rFonts w:ascii="Arial" w:cs="Arial" w:eastAsia="Arial" w:hAnsi="Arial"/>
                <w:sz w:val="27"/>
                <w:szCs w:val="27"/>
                <w:b w:val="1"/>
                <w:bCs w:val="1"/>
                <w:color w:val="0086CC"/>
                <w:w w:val="99"/>
              </w:rPr>
              <w:t>Stock-Based</w:t>
            </w:r>
          </w:p>
        </w:tc>
        <w:tc>
          <w:tcPr>
            <w:tcW w:w="0" w:type="dxa"/>
            <w:vAlign w:val="bottom"/>
          </w:tcPr>
          <w:p>
            <w:pPr>
              <w:spacing w:after="0"/>
              <w:rPr>
                <w:sz w:val="1"/>
                <w:szCs w:val="1"/>
                <w:color w:val="auto"/>
              </w:rPr>
            </w:pPr>
          </w:p>
        </w:tc>
      </w:tr>
      <w:tr>
        <w:trPr>
          <w:trHeight w:val="157"/>
        </w:trPr>
        <w:tc>
          <w:tcPr>
            <w:tcW w:w="2860" w:type="dxa"/>
            <w:vAlign w:val="bottom"/>
          </w:tcPr>
          <w:p>
            <w:pPr>
              <w:jc w:val="center"/>
              <w:spacing w:after="0" w:line="157" w:lineRule="exact"/>
              <w:rPr>
                <w:sz w:val="20"/>
                <w:szCs w:val="20"/>
                <w:color w:val="auto"/>
              </w:rPr>
            </w:pPr>
            <w:r>
              <w:rPr>
                <w:rFonts w:ascii="Arial" w:cs="Arial" w:eastAsia="Arial" w:hAnsi="Arial"/>
                <w:sz w:val="18"/>
                <w:szCs w:val="18"/>
                <w:b w:val="1"/>
                <w:bCs w:val="1"/>
                <w:color w:val="0086CC"/>
                <w:w w:val="99"/>
              </w:rPr>
              <w:t xml:space="preserve">FOR </w:t>
            </w:r>
            <w:r>
              <w:rPr>
                <w:rFonts w:ascii="Arial" w:cs="Arial" w:eastAsia="Arial" w:hAnsi="Arial"/>
                <w:sz w:val="18"/>
                <w:szCs w:val="18"/>
                <w:b w:val="1"/>
                <w:bCs w:val="1"/>
                <w:color w:val="000000"/>
                <w:w w:val="99"/>
              </w:rPr>
              <w:t>each of the</w:t>
            </w:r>
          </w:p>
        </w:tc>
        <w:tc>
          <w:tcPr>
            <w:tcW w:w="2880" w:type="dxa"/>
            <w:vAlign w:val="bottom"/>
            <w:shd w:val="clear" w:color="auto" w:fill="EAEAEA"/>
          </w:tcPr>
          <w:p>
            <w:pPr>
              <w:spacing w:after="0"/>
              <w:rPr>
                <w:sz w:val="13"/>
                <w:szCs w:val="13"/>
                <w:color w:val="auto"/>
              </w:rPr>
            </w:pPr>
          </w:p>
        </w:tc>
        <w:tc>
          <w:tcPr>
            <w:tcW w:w="2700" w:type="dxa"/>
            <w:vAlign w:val="bottom"/>
            <w:shd w:val="clear" w:color="auto" w:fill="EAEAEA"/>
          </w:tcPr>
          <w:p>
            <w:pPr>
              <w:spacing w:after="0"/>
              <w:rPr>
                <w:sz w:val="13"/>
                <w:szCs w:val="13"/>
                <w:color w:val="auto"/>
              </w:rPr>
            </w:pPr>
          </w:p>
        </w:tc>
        <w:tc>
          <w:tcPr>
            <w:tcW w:w="2580" w:type="dxa"/>
            <w:vAlign w:val="bottom"/>
            <w:vMerge w:val="restart"/>
            <w:shd w:val="clear" w:color="auto" w:fill="EAEAEA"/>
          </w:tcPr>
          <w:p>
            <w:pPr>
              <w:jc w:val="center"/>
              <w:spacing w:after="0"/>
              <w:rPr>
                <w:sz w:val="20"/>
                <w:szCs w:val="20"/>
                <w:color w:val="auto"/>
              </w:rPr>
            </w:pPr>
            <w:r>
              <w:rPr>
                <w:rFonts w:ascii="Arial" w:cs="Arial" w:eastAsia="Arial" w:hAnsi="Arial"/>
                <w:sz w:val="27"/>
                <w:szCs w:val="27"/>
                <w:b w:val="1"/>
                <w:bCs w:val="1"/>
                <w:color w:val="0086CC"/>
                <w:w w:val="99"/>
              </w:rPr>
              <w:t>Award Plan</w:t>
            </w:r>
          </w:p>
        </w:tc>
        <w:tc>
          <w:tcPr>
            <w:tcW w:w="0" w:type="dxa"/>
            <w:vAlign w:val="bottom"/>
          </w:tcPr>
          <w:p>
            <w:pPr>
              <w:spacing w:after="0"/>
              <w:rPr>
                <w:sz w:val="1"/>
                <w:szCs w:val="1"/>
                <w:color w:val="auto"/>
              </w:rPr>
            </w:pPr>
          </w:p>
        </w:tc>
      </w:tr>
      <w:tr>
        <w:trPr>
          <w:trHeight w:val="216"/>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8"/>
              </w:rPr>
              <w:t>Directors</w:t>
            </w:r>
          </w:p>
        </w:tc>
        <w:tc>
          <w:tcPr>
            <w:tcW w:w="2880" w:type="dxa"/>
            <w:vAlign w:val="bottom"/>
            <w:shd w:val="clear" w:color="auto" w:fill="EAEAEA"/>
          </w:tcPr>
          <w:p>
            <w:pPr>
              <w:jc w:val="center"/>
              <w:spacing w:after="0"/>
              <w:rPr>
                <w:sz w:val="20"/>
                <w:szCs w:val="20"/>
                <w:color w:val="auto"/>
              </w:rPr>
            </w:pPr>
            <w:r>
              <w:rPr>
                <w:rFonts w:ascii="Arial" w:cs="Arial" w:eastAsia="Arial" w:hAnsi="Arial"/>
                <w:sz w:val="18"/>
                <w:szCs w:val="18"/>
                <w:b w:val="1"/>
                <w:bCs w:val="1"/>
                <w:color w:val="auto"/>
                <w:w w:val="98"/>
              </w:rPr>
              <w:t>The Board</w:t>
            </w:r>
          </w:p>
        </w:tc>
        <w:tc>
          <w:tcPr>
            <w:tcW w:w="2700" w:type="dxa"/>
            <w:vAlign w:val="bottom"/>
            <w:shd w:val="clear" w:color="auto" w:fill="EAEAEA"/>
          </w:tcPr>
          <w:p>
            <w:pPr>
              <w:jc w:val="center"/>
              <w:spacing w:after="0"/>
              <w:rPr>
                <w:sz w:val="20"/>
                <w:szCs w:val="20"/>
                <w:color w:val="auto"/>
              </w:rPr>
            </w:pPr>
            <w:r>
              <w:rPr>
                <w:rFonts w:ascii="Arial" w:cs="Arial" w:eastAsia="Arial" w:hAnsi="Arial"/>
                <w:sz w:val="18"/>
                <w:szCs w:val="18"/>
                <w:b w:val="1"/>
                <w:bCs w:val="1"/>
                <w:color w:val="auto"/>
                <w:w w:val="99"/>
              </w:rPr>
              <w:t>The Board recommends</w:t>
            </w:r>
          </w:p>
        </w:tc>
        <w:tc>
          <w:tcPr>
            <w:tcW w:w="258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88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auto"/>
                <w:w w:val="99"/>
              </w:rPr>
              <w:t>recommends a vote</w:t>
            </w:r>
          </w:p>
        </w:tc>
        <w:tc>
          <w:tcPr>
            <w:tcW w:w="270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auto"/>
              </w:rPr>
              <w:t xml:space="preserve">a vote </w:t>
            </w:r>
            <w:r>
              <w:rPr>
                <w:rFonts w:ascii="Arial" w:cs="Arial" w:eastAsia="Arial" w:hAnsi="Arial"/>
                <w:sz w:val="18"/>
                <w:szCs w:val="18"/>
                <w:b w:val="1"/>
                <w:bCs w:val="1"/>
                <w:color w:val="0086CC"/>
              </w:rPr>
              <w:t>FOR</w:t>
            </w:r>
            <w:r>
              <w:rPr>
                <w:rFonts w:ascii="Arial" w:cs="Arial" w:eastAsia="Arial" w:hAnsi="Arial"/>
                <w:sz w:val="18"/>
                <w:szCs w:val="18"/>
                <w:b w:val="1"/>
                <w:bCs w:val="1"/>
                <w:color w:val="auto"/>
              </w:rPr>
              <w:t xml:space="preserve"> our</w:t>
            </w:r>
          </w:p>
        </w:tc>
        <w:tc>
          <w:tcPr>
            <w:tcW w:w="2580" w:type="dxa"/>
            <w:vAlign w:val="bottom"/>
            <w:vMerge w:val="restart"/>
            <w:shd w:val="clear" w:color="auto" w:fill="EAEAEA"/>
          </w:tcPr>
          <w:p>
            <w:pPr>
              <w:jc w:val="center"/>
              <w:spacing w:after="0"/>
              <w:rPr>
                <w:sz w:val="20"/>
                <w:szCs w:val="20"/>
                <w:color w:val="auto"/>
              </w:rPr>
            </w:pPr>
            <w:r>
              <w:rPr>
                <w:rFonts w:ascii="Arial" w:cs="Arial" w:eastAsia="Arial" w:hAnsi="Arial"/>
                <w:sz w:val="18"/>
                <w:szCs w:val="18"/>
                <w:b w:val="1"/>
                <w:bCs w:val="1"/>
                <w:color w:val="auto"/>
                <w:w w:val="99"/>
              </w:rPr>
              <w:t>The Board recommends</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880" w:type="dxa"/>
            <w:vAlign w:val="bottom"/>
            <w:vMerge w:val="restart"/>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0086CC"/>
                <w:w w:val="99"/>
              </w:rPr>
              <w:t xml:space="preserve">FOR </w:t>
            </w:r>
            <w:r>
              <w:rPr>
                <w:rFonts w:ascii="Arial" w:cs="Arial" w:eastAsia="Arial" w:hAnsi="Arial"/>
                <w:sz w:val="18"/>
                <w:szCs w:val="18"/>
                <w:b w:val="1"/>
                <w:bCs w:val="1"/>
                <w:color w:val="000000"/>
                <w:w w:val="99"/>
              </w:rPr>
              <w:t>ratification of</w:t>
            </w:r>
          </w:p>
        </w:tc>
        <w:tc>
          <w:tcPr>
            <w:tcW w:w="2700" w:type="dxa"/>
            <w:vAlign w:val="bottom"/>
            <w:vMerge w:val="restart"/>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auto"/>
                <w:w w:val="99"/>
              </w:rPr>
              <w:t>Say-On-Pay proposal</w:t>
            </w:r>
          </w:p>
        </w:tc>
        <w:tc>
          <w:tcPr>
            <w:tcW w:w="25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60" w:type="dxa"/>
            <w:vAlign w:val="bottom"/>
          </w:tcPr>
          <w:p>
            <w:pPr>
              <w:spacing w:after="0"/>
              <w:rPr>
                <w:sz w:val="8"/>
                <w:szCs w:val="8"/>
                <w:color w:val="auto"/>
              </w:rPr>
            </w:pPr>
          </w:p>
        </w:tc>
        <w:tc>
          <w:tcPr>
            <w:tcW w:w="2880" w:type="dxa"/>
            <w:vAlign w:val="bottom"/>
            <w:vMerge w:val="continue"/>
            <w:shd w:val="clear" w:color="auto" w:fill="EAEAEA"/>
          </w:tcPr>
          <w:p>
            <w:pPr>
              <w:spacing w:after="0"/>
              <w:rPr>
                <w:sz w:val="8"/>
                <w:szCs w:val="8"/>
                <w:color w:val="auto"/>
              </w:rPr>
            </w:pPr>
          </w:p>
        </w:tc>
        <w:tc>
          <w:tcPr>
            <w:tcW w:w="2700" w:type="dxa"/>
            <w:vAlign w:val="bottom"/>
            <w:vMerge w:val="continue"/>
            <w:shd w:val="clear" w:color="auto" w:fill="EAEAEA"/>
          </w:tcPr>
          <w:p>
            <w:pPr>
              <w:spacing w:after="0"/>
              <w:rPr>
                <w:sz w:val="8"/>
                <w:szCs w:val="8"/>
                <w:color w:val="auto"/>
              </w:rPr>
            </w:pPr>
          </w:p>
        </w:tc>
        <w:tc>
          <w:tcPr>
            <w:tcW w:w="2580" w:type="dxa"/>
            <w:vAlign w:val="bottom"/>
            <w:vMerge w:val="restart"/>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auto"/>
                <w:w w:val="99"/>
              </w:rPr>
              <w:t xml:space="preserve">a vote </w:t>
            </w:r>
            <w:r>
              <w:rPr>
                <w:rFonts w:ascii="Arial" w:cs="Arial" w:eastAsia="Arial" w:hAnsi="Arial"/>
                <w:sz w:val="18"/>
                <w:szCs w:val="18"/>
                <w:b w:val="1"/>
                <w:bCs w:val="1"/>
                <w:color w:val="0086CC"/>
                <w:w w:val="99"/>
              </w:rPr>
              <w:t>FOR</w:t>
            </w:r>
            <w:r>
              <w:rPr>
                <w:rFonts w:ascii="Arial" w:cs="Arial" w:eastAsia="Arial" w:hAnsi="Arial"/>
                <w:sz w:val="18"/>
                <w:szCs w:val="18"/>
                <w:b w:val="1"/>
                <w:bCs w:val="1"/>
                <w:color w:val="auto"/>
                <w:w w:val="99"/>
              </w:rPr>
              <w:t xml:space="preserve"> approval</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880" w:type="dxa"/>
            <w:vAlign w:val="bottom"/>
            <w:vMerge w:val="restart"/>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auto"/>
                <w:w w:val="99"/>
              </w:rPr>
              <w:t>PricewaterhouseCoopers for</w:t>
            </w:r>
          </w:p>
        </w:tc>
        <w:tc>
          <w:tcPr>
            <w:tcW w:w="2700" w:type="dxa"/>
            <w:vAlign w:val="bottom"/>
            <w:shd w:val="clear" w:color="auto" w:fill="EAEAEA"/>
          </w:tcPr>
          <w:p>
            <w:pPr>
              <w:spacing w:after="0"/>
              <w:rPr>
                <w:sz w:val="9"/>
                <w:szCs w:val="9"/>
                <w:color w:val="auto"/>
              </w:rPr>
            </w:pPr>
          </w:p>
        </w:tc>
        <w:tc>
          <w:tcPr>
            <w:tcW w:w="25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860" w:type="dxa"/>
            <w:vAlign w:val="bottom"/>
          </w:tcPr>
          <w:p>
            <w:pPr>
              <w:spacing w:after="0"/>
              <w:rPr>
                <w:sz w:val="8"/>
                <w:szCs w:val="8"/>
                <w:color w:val="auto"/>
              </w:rPr>
            </w:pPr>
          </w:p>
        </w:tc>
        <w:tc>
          <w:tcPr>
            <w:tcW w:w="2880" w:type="dxa"/>
            <w:vAlign w:val="bottom"/>
            <w:vMerge w:val="continue"/>
            <w:shd w:val="clear" w:color="auto" w:fill="EAEAEA"/>
          </w:tcPr>
          <w:p>
            <w:pPr>
              <w:spacing w:after="0"/>
              <w:rPr>
                <w:sz w:val="8"/>
                <w:szCs w:val="8"/>
                <w:color w:val="auto"/>
              </w:rPr>
            </w:pPr>
          </w:p>
        </w:tc>
        <w:tc>
          <w:tcPr>
            <w:tcW w:w="2700" w:type="dxa"/>
            <w:vAlign w:val="bottom"/>
            <w:shd w:val="clear" w:color="auto" w:fill="EAEAEA"/>
          </w:tcPr>
          <w:p>
            <w:pPr>
              <w:spacing w:after="0"/>
              <w:rPr>
                <w:sz w:val="8"/>
                <w:szCs w:val="8"/>
                <w:color w:val="auto"/>
              </w:rPr>
            </w:pPr>
          </w:p>
        </w:tc>
        <w:tc>
          <w:tcPr>
            <w:tcW w:w="2580" w:type="dxa"/>
            <w:vAlign w:val="bottom"/>
            <w:vMerge w:val="restart"/>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auto"/>
              </w:rPr>
              <w:t>of the Amended and</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880" w:type="dxa"/>
            <w:vAlign w:val="bottom"/>
            <w:vMerge w:val="restart"/>
            <w:shd w:val="clear" w:color="auto" w:fill="EAEAEA"/>
          </w:tcPr>
          <w:p>
            <w:pPr>
              <w:jc w:val="center"/>
              <w:spacing w:after="0"/>
              <w:rPr>
                <w:sz w:val="20"/>
                <w:szCs w:val="20"/>
                <w:color w:val="auto"/>
              </w:rPr>
            </w:pPr>
            <w:r>
              <w:rPr>
                <w:rFonts w:ascii="Arial" w:cs="Arial" w:eastAsia="Arial" w:hAnsi="Arial"/>
                <w:sz w:val="18"/>
                <w:szCs w:val="18"/>
                <w:b w:val="1"/>
                <w:bCs w:val="1"/>
                <w:color w:val="auto"/>
                <w:w w:val="99"/>
              </w:rPr>
              <w:t>2026</w:t>
            </w:r>
          </w:p>
        </w:tc>
        <w:tc>
          <w:tcPr>
            <w:tcW w:w="2700" w:type="dxa"/>
            <w:vAlign w:val="bottom"/>
            <w:shd w:val="clear" w:color="auto" w:fill="EAEAEA"/>
          </w:tcPr>
          <w:p>
            <w:pPr>
              <w:spacing w:after="0"/>
              <w:rPr>
                <w:sz w:val="9"/>
                <w:szCs w:val="9"/>
                <w:color w:val="auto"/>
              </w:rPr>
            </w:pPr>
          </w:p>
        </w:tc>
        <w:tc>
          <w:tcPr>
            <w:tcW w:w="25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2880" w:type="dxa"/>
            <w:vAlign w:val="bottom"/>
            <w:vMerge w:val="continue"/>
            <w:shd w:val="clear" w:color="auto" w:fill="EAEAEA"/>
          </w:tcPr>
          <w:p>
            <w:pPr>
              <w:spacing w:after="0"/>
              <w:rPr>
                <w:sz w:val="12"/>
                <w:szCs w:val="12"/>
                <w:color w:val="auto"/>
              </w:rPr>
            </w:pPr>
          </w:p>
        </w:tc>
        <w:tc>
          <w:tcPr>
            <w:tcW w:w="2700" w:type="dxa"/>
            <w:vAlign w:val="bottom"/>
            <w:shd w:val="clear" w:color="auto" w:fill="EAEAEA"/>
          </w:tcPr>
          <w:p>
            <w:pPr>
              <w:spacing w:after="0"/>
              <w:rPr>
                <w:sz w:val="12"/>
                <w:szCs w:val="12"/>
                <w:color w:val="auto"/>
              </w:rPr>
            </w:pPr>
          </w:p>
        </w:tc>
        <w:tc>
          <w:tcPr>
            <w:tcW w:w="2580" w:type="dxa"/>
            <w:vAlign w:val="bottom"/>
            <w:vMerge w:val="restart"/>
            <w:shd w:val="clear" w:color="auto" w:fill="EAEAEA"/>
          </w:tcPr>
          <w:p>
            <w:pPr>
              <w:jc w:val="center"/>
              <w:spacing w:after="0" w:line="202" w:lineRule="exact"/>
              <w:rPr>
                <w:sz w:val="20"/>
                <w:szCs w:val="20"/>
                <w:color w:val="auto"/>
              </w:rPr>
            </w:pPr>
            <w:r>
              <w:rPr>
                <w:rFonts w:ascii="Arial" w:cs="Arial" w:eastAsia="Arial" w:hAnsi="Arial"/>
                <w:sz w:val="18"/>
                <w:szCs w:val="18"/>
                <w:b w:val="1"/>
                <w:bCs w:val="1"/>
                <w:color w:val="auto"/>
                <w:w w:val="99"/>
              </w:rPr>
              <w:t>Restated Stock-Based</w:t>
            </w:r>
          </w:p>
        </w:tc>
        <w:tc>
          <w:tcPr>
            <w:tcW w:w="0" w:type="dxa"/>
            <w:vAlign w:val="bottom"/>
          </w:tcPr>
          <w:p>
            <w:pPr>
              <w:spacing w:after="0"/>
              <w:rPr>
                <w:sz w:val="1"/>
                <w:szCs w:val="1"/>
                <w:color w:val="auto"/>
              </w:rPr>
            </w:pPr>
          </w:p>
        </w:tc>
      </w:tr>
      <w:tr>
        <w:trPr>
          <w:trHeight w:val="64"/>
        </w:trPr>
        <w:tc>
          <w:tcPr>
            <w:tcW w:w="2860" w:type="dxa"/>
            <w:vAlign w:val="bottom"/>
          </w:tcPr>
          <w:p>
            <w:pPr>
              <w:spacing w:after="0"/>
              <w:rPr>
                <w:sz w:val="5"/>
                <w:szCs w:val="5"/>
                <w:color w:val="auto"/>
              </w:rPr>
            </w:pPr>
          </w:p>
        </w:tc>
        <w:tc>
          <w:tcPr>
            <w:tcW w:w="2880" w:type="dxa"/>
            <w:vAlign w:val="bottom"/>
            <w:shd w:val="clear" w:color="auto" w:fill="EAEAEA"/>
          </w:tcPr>
          <w:p>
            <w:pPr>
              <w:spacing w:after="0"/>
              <w:rPr>
                <w:sz w:val="5"/>
                <w:szCs w:val="5"/>
                <w:color w:val="auto"/>
              </w:rPr>
            </w:pPr>
          </w:p>
        </w:tc>
        <w:tc>
          <w:tcPr>
            <w:tcW w:w="2700" w:type="dxa"/>
            <w:vAlign w:val="bottom"/>
            <w:shd w:val="clear" w:color="auto" w:fill="EAEAEA"/>
          </w:tcPr>
          <w:p>
            <w:pPr>
              <w:spacing w:after="0"/>
              <w:rPr>
                <w:sz w:val="5"/>
                <w:szCs w:val="5"/>
                <w:color w:val="auto"/>
              </w:rPr>
            </w:pPr>
          </w:p>
        </w:tc>
        <w:tc>
          <w:tcPr>
            <w:tcW w:w="2580" w:type="dxa"/>
            <w:vAlign w:val="bottom"/>
            <w:vMerge w:val="continue"/>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860" w:type="dxa"/>
            <w:vAlign w:val="bottom"/>
          </w:tcPr>
          <w:p>
            <w:pPr>
              <w:spacing w:after="0"/>
              <w:rPr>
                <w:sz w:val="21"/>
                <w:szCs w:val="21"/>
                <w:color w:val="auto"/>
              </w:rPr>
            </w:pPr>
          </w:p>
        </w:tc>
        <w:tc>
          <w:tcPr>
            <w:tcW w:w="2880" w:type="dxa"/>
            <w:vAlign w:val="bottom"/>
            <w:shd w:val="clear" w:color="auto" w:fill="EAEAEA"/>
          </w:tcPr>
          <w:p>
            <w:pPr>
              <w:spacing w:after="0"/>
              <w:rPr>
                <w:sz w:val="21"/>
                <w:szCs w:val="21"/>
                <w:color w:val="auto"/>
              </w:rPr>
            </w:pPr>
          </w:p>
        </w:tc>
        <w:tc>
          <w:tcPr>
            <w:tcW w:w="2700" w:type="dxa"/>
            <w:vAlign w:val="bottom"/>
            <w:shd w:val="clear" w:color="auto" w:fill="EAEAEA"/>
          </w:tcPr>
          <w:p>
            <w:pPr>
              <w:spacing w:after="0"/>
              <w:rPr>
                <w:sz w:val="21"/>
                <w:szCs w:val="21"/>
                <w:color w:val="auto"/>
              </w:rPr>
            </w:pPr>
          </w:p>
        </w:tc>
        <w:tc>
          <w:tcPr>
            <w:tcW w:w="2580" w:type="dxa"/>
            <w:vAlign w:val="bottom"/>
            <w:shd w:val="clear" w:color="auto" w:fill="EAEAEA"/>
          </w:tcPr>
          <w:p>
            <w:pPr>
              <w:jc w:val="center"/>
              <w:spacing w:after="0"/>
              <w:rPr>
                <w:sz w:val="20"/>
                <w:szCs w:val="20"/>
                <w:color w:val="auto"/>
              </w:rPr>
            </w:pPr>
            <w:r>
              <w:rPr>
                <w:rFonts w:ascii="Arial" w:cs="Arial" w:eastAsia="Arial" w:hAnsi="Arial"/>
                <w:sz w:val="18"/>
                <w:szCs w:val="18"/>
                <w:b w:val="1"/>
                <w:bCs w:val="1"/>
                <w:color w:val="auto"/>
                <w:w w:val="99"/>
              </w:rPr>
              <w:t>Award Plan</w:t>
            </w: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2880" w:type="dxa"/>
            <w:vAlign w:val="bottom"/>
            <w:shd w:val="clear" w:color="auto" w:fill="EAEAEA"/>
          </w:tcPr>
          <w:p>
            <w:pPr>
              <w:spacing w:after="0"/>
              <w:rPr>
                <w:sz w:val="9"/>
                <w:szCs w:val="9"/>
                <w:color w:val="auto"/>
              </w:rPr>
            </w:pPr>
          </w:p>
        </w:tc>
        <w:tc>
          <w:tcPr>
            <w:tcW w:w="2700" w:type="dxa"/>
            <w:vAlign w:val="bottom"/>
            <w:shd w:val="clear" w:color="auto" w:fill="EAEAEA"/>
          </w:tcPr>
          <w:p>
            <w:pPr>
              <w:spacing w:after="0"/>
              <w:rPr>
                <w:sz w:val="9"/>
                <w:szCs w:val="9"/>
                <w:color w:val="auto"/>
              </w:rPr>
            </w:pPr>
          </w:p>
        </w:tc>
        <w:tc>
          <w:tcPr>
            <w:tcW w:w="258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-1868170</wp:posOffset>
            </wp:positionV>
            <wp:extent cx="6995160" cy="3162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800" w:type="dxa"/>
        <w:tblCellMar>
          <w:top w:w="0" w:type="dxa"/>
          <w:left w:w="0" w:type="dxa"/>
          <w:bottom w:w="0" w:type="dxa"/>
          <w:right w:w="0" w:type="dxa"/>
        </w:tblCellMar>
      </w:tblPr>
      <w:tr>
        <w:trPr>
          <w:trHeight w:val="189"/>
        </w:trPr>
        <w:tc>
          <w:tcPr>
            <w:tcW w:w="2060" w:type="dxa"/>
            <w:vAlign w:val="bottom"/>
          </w:tcPr>
          <w:p>
            <w:pPr>
              <w:jc w:val="center"/>
              <w:ind w:right="719"/>
              <w:spacing w:after="0"/>
              <w:rPr>
                <w:sz w:val="20"/>
                <w:szCs w:val="20"/>
                <w:color w:val="auto"/>
              </w:rPr>
            </w:pPr>
            <w:r>
              <w:rPr>
                <w:rFonts w:ascii="Arial" w:cs="Arial" w:eastAsia="Arial" w:hAnsi="Arial"/>
                <w:sz w:val="16"/>
                <w:szCs w:val="16"/>
                <w:color w:val="333333"/>
              </w:rPr>
              <w:t>(See page 24 for</w:t>
            </w:r>
          </w:p>
        </w:tc>
        <w:tc>
          <w:tcPr>
            <w:tcW w:w="2820" w:type="dxa"/>
            <w:vAlign w:val="bottom"/>
          </w:tcPr>
          <w:p>
            <w:pPr>
              <w:jc w:val="center"/>
              <w:spacing w:after="0"/>
              <w:rPr>
                <w:sz w:val="20"/>
                <w:szCs w:val="20"/>
                <w:color w:val="auto"/>
              </w:rPr>
            </w:pPr>
            <w:r>
              <w:rPr>
                <w:rFonts w:ascii="Arial" w:cs="Arial" w:eastAsia="Arial" w:hAnsi="Arial"/>
                <w:sz w:val="16"/>
                <w:szCs w:val="16"/>
                <w:color w:val="333333"/>
              </w:rPr>
              <w:t>(See page 43 for</w:t>
            </w:r>
          </w:p>
        </w:tc>
        <w:tc>
          <w:tcPr>
            <w:tcW w:w="2720" w:type="dxa"/>
            <w:vAlign w:val="bottom"/>
          </w:tcPr>
          <w:p>
            <w:pPr>
              <w:jc w:val="center"/>
              <w:spacing w:after="0"/>
              <w:rPr>
                <w:sz w:val="20"/>
                <w:szCs w:val="20"/>
                <w:color w:val="auto"/>
              </w:rPr>
            </w:pPr>
            <w:r>
              <w:rPr>
                <w:rFonts w:ascii="Arial" w:cs="Arial" w:eastAsia="Arial" w:hAnsi="Arial"/>
                <w:sz w:val="16"/>
                <w:szCs w:val="16"/>
                <w:color w:val="333333"/>
              </w:rPr>
              <w:t>(See page 93 for</w:t>
            </w:r>
          </w:p>
        </w:tc>
        <w:tc>
          <w:tcPr>
            <w:tcW w:w="1980" w:type="dxa"/>
            <w:vAlign w:val="bottom"/>
          </w:tcPr>
          <w:p>
            <w:pPr>
              <w:jc w:val="center"/>
              <w:ind w:left="639"/>
              <w:spacing w:after="0"/>
              <w:rPr>
                <w:sz w:val="20"/>
                <w:szCs w:val="20"/>
                <w:color w:val="auto"/>
              </w:rPr>
            </w:pPr>
            <w:r>
              <w:rPr>
                <w:rFonts w:ascii="Arial" w:cs="Arial" w:eastAsia="Arial" w:hAnsi="Arial"/>
                <w:sz w:val="16"/>
                <w:szCs w:val="16"/>
                <w:color w:val="333333"/>
              </w:rPr>
              <w:t>(See page 94 for</w:t>
            </w:r>
          </w:p>
        </w:tc>
      </w:tr>
      <w:tr>
        <w:trPr>
          <w:trHeight w:val="215"/>
        </w:trPr>
        <w:tc>
          <w:tcPr>
            <w:tcW w:w="2060" w:type="dxa"/>
            <w:vAlign w:val="bottom"/>
          </w:tcPr>
          <w:p>
            <w:pPr>
              <w:jc w:val="center"/>
              <w:ind w:right="719"/>
              <w:spacing w:after="0"/>
              <w:rPr>
                <w:sz w:val="20"/>
                <w:szCs w:val="20"/>
                <w:color w:val="auto"/>
              </w:rPr>
            </w:pPr>
            <w:r>
              <w:rPr>
                <w:rFonts w:ascii="Arial" w:cs="Arial" w:eastAsia="Arial" w:hAnsi="Arial"/>
                <w:sz w:val="16"/>
                <w:szCs w:val="16"/>
                <w:color w:val="333333"/>
              </w:rPr>
              <w:t>more information)</w:t>
            </w:r>
          </w:p>
        </w:tc>
        <w:tc>
          <w:tcPr>
            <w:tcW w:w="2820" w:type="dxa"/>
            <w:vAlign w:val="bottom"/>
          </w:tcPr>
          <w:p>
            <w:pPr>
              <w:jc w:val="center"/>
              <w:spacing w:after="0"/>
              <w:rPr>
                <w:sz w:val="20"/>
                <w:szCs w:val="20"/>
                <w:color w:val="auto"/>
              </w:rPr>
            </w:pPr>
            <w:r>
              <w:rPr>
                <w:rFonts w:ascii="Arial" w:cs="Arial" w:eastAsia="Arial" w:hAnsi="Arial"/>
                <w:sz w:val="16"/>
                <w:szCs w:val="16"/>
                <w:color w:val="333333"/>
              </w:rPr>
              <w:t>more information)</w:t>
            </w:r>
          </w:p>
        </w:tc>
        <w:tc>
          <w:tcPr>
            <w:tcW w:w="2720" w:type="dxa"/>
            <w:vAlign w:val="bottom"/>
          </w:tcPr>
          <w:p>
            <w:pPr>
              <w:jc w:val="center"/>
              <w:spacing w:after="0"/>
              <w:rPr>
                <w:sz w:val="20"/>
                <w:szCs w:val="20"/>
                <w:color w:val="auto"/>
              </w:rPr>
            </w:pPr>
            <w:r>
              <w:rPr>
                <w:rFonts w:ascii="Arial" w:cs="Arial" w:eastAsia="Arial" w:hAnsi="Arial"/>
                <w:sz w:val="16"/>
                <w:szCs w:val="16"/>
                <w:color w:val="333333"/>
              </w:rPr>
              <w:t>more information)</w:t>
            </w:r>
          </w:p>
        </w:tc>
        <w:tc>
          <w:tcPr>
            <w:tcW w:w="1980" w:type="dxa"/>
            <w:vAlign w:val="bottom"/>
          </w:tcPr>
          <w:p>
            <w:pPr>
              <w:jc w:val="center"/>
              <w:ind w:left="639"/>
              <w:spacing w:after="0"/>
              <w:rPr>
                <w:sz w:val="20"/>
                <w:szCs w:val="20"/>
                <w:color w:val="auto"/>
              </w:rPr>
            </w:pPr>
            <w:r>
              <w:rPr>
                <w:rFonts w:ascii="Arial" w:cs="Arial" w:eastAsia="Arial" w:hAnsi="Arial"/>
                <w:sz w:val="16"/>
                <w:szCs w:val="16"/>
                <w:color w:val="333333"/>
              </w:rPr>
              <w:t>more information)</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333333"/>
        </w:rPr>
        <w:t> </w:t>
      </w:r>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Measuring our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World-Class Safety</w:t>
      </w:r>
    </w:p>
    <w:p>
      <w:pPr>
        <w:spacing w:after="0" w:line="123"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333333"/>
        </w:rPr>
        <w:t>We are committed to our Guardian Angel safety culture where Zero is Possible, and achieved a world-class lost-time incident rate (LTIR) for the ninth consecutive year (0.17 in 2025). With a Companywide Total Injury Incident Rate (TIIR) of 0.69, we exceeded the world-class rate of 0.90 for the fifth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029450" cy="3471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89" w:right="439" w:bottom="899"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0" w:space="120"/>
            <w:col w:w="8620" w:space="720"/>
            <w:col w:w="780"/>
          </w:cols>
          <w:pgMar w:left="440" w:top="589" w:right="439" w:bottom="899" w:gutter="0" w:footer="0" w:header="0"/>
          <w:type w:val="continuous"/>
        </w:sectPr>
      </w:pPr>
    </w:p>
    <w:bookmarkStart w:id="8" w:name="page9"/>
    <w:bookmarkEnd w:id="8"/>
    <w:p>
      <w:pPr>
        <w:ind w:left="91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200025</wp:posOffset>
            </wp:positionV>
            <wp:extent cx="1328420" cy="454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8420" cy="454660"/>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Execution of SOAR 2025</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333333"/>
        </w:rPr>
        <w:t>For Martin Marietta, 2025 marked the successful completion of our SOAR 2025 plan. From its inception over 15 years ago, SOAR, which is reviewed and refined on a five-year cycle, has been and continues to be our disciplined framework for sustainable growth and prudent capital deployment. We have a long history of doing what we say we are going to do; SOAR 2025 was no exception. The graphic below highlights our performance against the SOAR 2025 objectives presented at our February 2021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139065</wp:posOffset>
            </wp:positionV>
            <wp:extent cx="5194935" cy="2280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949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Disciplined Portfolio Management Driving Continued Aggregates-Led Growth</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333333"/>
        </w:rPr>
        <w:t>A core pillar of SOAR is disciplined, value-enhancing M&amp;A. During SOAR 2025, we advanced this strategy through targeted geographic expansion and active portfolio management, executing more than $16 billion of portfolio enhancing transactions. By redeploying capital from cement and downstream divestitures into pure-aggregates businesses, we expanded our footprint coast-to-coast, further strengthened earnings quality and enhanced our margin profile. We exit SOAR 2025 with significant capacity to continue executing our proven M&amp;A playbook in what remains a highly fragmented industry.</w:t>
      </w:r>
    </w:p>
    <w:p>
      <w:pPr>
        <w:spacing w:after="0" w:line="205" w:lineRule="exact"/>
        <w:rPr>
          <w:sz w:val="20"/>
          <w:szCs w:val="20"/>
          <w:color w:val="auto"/>
        </w:rPr>
      </w:pPr>
    </w:p>
    <w:p>
      <w:pPr>
        <w:spacing w:after="0"/>
        <w:tabs>
          <w:tab w:leader="none" w:pos="10220"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-107315</wp:posOffset>
            </wp:positionV>
            <wp:extent cx="5203190" cy="2125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0319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333333"/>
        </w:rPr>
        <w:t>Source: USGS and management estimates.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3"/>
          <w:szCs w:val="13"/>
          <w:color w:val="333333"/>
        </w:rPr>
        <w:t>1  Reflects average USGS annual U.S. crushed stone and construction sand and gravel production for the period 2000 to 2024 in short tons.</w:t>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3"/>
          <w:szCs w:val="13"/>
          <w:color w:val="333333"/>
        </w:rPr>
        <w:t>2  As of 2024, approximately 1,400 companies produced crushed stone and approximately 3,400 companies produced construction sand and gravel.</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576"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2760"/>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3 </w:t>
      </w:r>
      <w:r>
        <w:rPr>
          <w:rFonts w:ascii="Arial" w:cs="Arial" w:eastAsia="Arial" w:hAnsi="Arial"/>
          <w:sz w:val="16"/>
          <w:szCs w:val="16"/>
          <w:color w:val="333333"/>
        </w:rPr>
        <w:t xml:space="preserve">               </w:t>
      </w:r>
    </w:p>
    <w:p>
      <w:pPr>
        <w:sectPr>
          <w:pgSz w:w="11900" w:h="16838" w:orient="portrait"/>
          <w:cols w:equalWidth="0" w:num="4">
            <w:col w:w="200" w:space="120"/>
            <w:col w:w="3540" w:space="720"/>
            <w:col w:w="4740" w:space="720"/>
            <w:col w:w="980"/>
          </w:cols>
          <w:pgMar w:left="440" w:top="576" w:right="439" w:bottom="1440" w:gutter="0" w:footer="0" w:header="0"/>
          <w:type w:val="continuous"/>
        </w:sectPr>
      </w:pPr>
    </w:p>
    <w:bookmarkStart w:id="9" w:name="page10"/>
    <w:bookmarkEnd w:id="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124269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42695" cy="471805"/>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Board Oversight of Risk Management</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33333"/>
        </w:rPr>
        <w:t>All of our independent Board members are serving or have served as members of senior management of other public companies, have served as directors of other public companies, and also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7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The Board has overall responsibility for oversight of risk management. The Board believes that an effective risk management system will accomplish the following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029450" cy="648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0" cy="648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333333"/>
        </w:rPr>
        <w:t>The Board delegates certain responsibilities to the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This risk management approach includes consideration of risks and opportunities relating to climate change, sustainability and other ESG matters. In addition, the Board encourages management to promote a corporate culture that incorporates risk management into Martin Marietta’s day-to-day operations.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89" w:right="439" w:bottom="629"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589" w:right="439" w:bottom="629" w:gutter="0" w:footer="0" w:header="0"/>
          <w:type w:val="continuous"/>
        </w:sectPr>
      </w:pPr>
    </w:p>
    <w:bookmarkStart w:id="10" w:name="page11"/>
    <w:bookmarkEnd w:id="10"/>
    <w:p>
      <w:pPr>
        <w:ind w:left="91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200660</wp:posOffset>
            </wp:positionV>
            <wp:extent cx="1328420" cy="454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8420" cy="454025"/>
                    </a:xfrm>
                    <a:prstGeom prst="rect">
                      <a:avLst/>
                    </a:prstGeom>
                    <a:noFill/>
                  </pic:spPr>
                </pic:pic>
              </a:graphicData>
            </a:graphic>
          </wp:anchor>
        </w:drawing>
        <w:t xml:space="preserve">      Proxy Highlights 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280670</wp:posOffset>
            </wp:positionV>
            <wp:extent cx="5194935" cy="4843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94935" cy="484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76"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2760"/>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5 </w:t>
      </w:r>
      <w:r>
        <w:rPr>
          <w:rFonts w:ascii="Arial" w:cs="Arial" w:eastAsia="Arial" w:hAnsi="Arial"/>
          <w:sz w:val="16"/>
          <w:szCs w:val="16"/>
          <w:color w:val="333333"/>
        </w:rPr>
        <w:t xml:space="preserve">               </w:t>
      </w:r>
    </w:p>
    <w:p>
      <w:pPr>
        <w:sectPr>
          <w:pgSz w:w="11900" w:h="16838" w:orient="portrait"/>
          <w:cols w:equalWidth="0" w:num="3">
            <w:col w:w="3860" w:space="720"/>
            <w:col w:w="4740" w:space="720"/>
            <w:col w:w="980"/>
          </w:cols>
          <w:pgMar w:left="440" w:top="576" w:right="439" w:bottom="1440" w:gutter="0" w:footer="0" w:header="0"/>
          <w:type w:val="continuous"/>
        </w:sectPr>
      </w:pPr>
    </w:p>
    <w:bookmarkStart w:id="11" w:name="page12"/>
    <w:bookmarkEnd w:id="11"/>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242695" cy="471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42695" cy="471805"/>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Our Sustainability Governance</w:t>
      </w:r>
    </w:p>
    <w:p>
      <w:pPr>
        <w:spacing w:after="0" w:line="12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333333"/>
        </w:rPr>
        <w:t xml:space="preserve">Our Board plays an essential role in determining strategic priorities and considers sustainability issues an integral part of its business oversight. Our </w:t>
      </w:r>
      <w:r>
        <w:rPr>
          <w:rFonts w:ascii="Arial" w:cs="Arial" w:eastAsia="Arial" w:hAnsi="Arial"/>
          <w:sz w:val="16"/>
          <w:szCs w:val="16"/>
          <w:i w:val="1"/>
          <w:iCs w:val="1"/>
          <w:color w:val="333333"/>
        </w:rPr>
        <w:t xml:space="preserve">Corporate Governance Guidelines </w:t>
      </w:r>
      <w:r>
        <w:rPr>
          <w:rFonts w:ascii="Arial" w:cs="Arial" w:eastAsia="Arial" w:hAnsi="Arial"/>
          <w:sz w:val="16"/>
          <w:szCs w:val="16"/>
          <w:color w:val="333333"/>
        </w:rPr>
        <w:t>set forth a flexible framework within which the Board, assisted by its Committees, directs the affairs of Martin Marietta.</w:t>
      </w:r>
    </w:p>
    <w:p>
      <w:pPr>
        <w:sectPr>
          <w:pgSz w:w="11900" w:h="16838" w:orient="portrait"/>
          <w:cols w:equalWidth="0" w:num="1">
            <w:col w:w="11020"/>
          </w:cols>
          <w:pgMar w:left="440" w:top="589" w:right="439" w:bottom="1440" w:gutter="0" w:footer="0" w:header="0"/>
        </w:sectPr>
      </w:pPr>
    </w:p>
    <w:p>
      <w:pPr>
        <w:spacing w:after="0" w:line="299"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86CC"/>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1011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011555"/>
                    </a:xfrm>
                    <a:prstGeom prst="rect">
                      <a:avLst/>
                    </a:prstGeom>
                    <a:noFill/>
                  </pic:spPr>
                </pic:pic>
              </a:graphicData>
            </a:graphic>
          </wp:anchor>
        </w:drawing>
      </w:r>
    </w:p>
    <w:p>
      <w:pPr>
        <w:spacing w:after="0" w:line="102" w:lineRule="exact"/>
        <w:rPr>
          <w:sz w:val="20"/>
          <w:szCs w:val="20"/>
          <w:color w:val="auto"/>
        </w:rPr>
      </w:pPr>
    </w:p>
    <w:p>
      <w:pPr>
        <w:ind w:left="1380" w:hanging="156"/>
        <w:spacing w:after="0"/>
        <w:tabs>
          <w:tab w:leader="none" w:pos="1380" w:val="left"/>
        </w:tabs>
        <w:numPr>
          <w:ilvl w:val="0"/>
          <w:numId w:val="7"/>
        </w:numPr>
        <w:rPr>
          <w:rFonts w:ascii="Arial" w:cs="Arial" w:eastAsia="Arial" w:hAnsi="Arial"/>
          <w:sz w:val="16"/>
          <w:szCs w:val="16"/>
          <w:color w:val="333333"/>
        </w:rPr>
      </w:pPr>
      <w:r>
        <w:rPr>
          <w:rFonts w:ascii="Arial" w:cs="Arial" w:eastAsia="Arial" w:hAnsi="Arial"/>
          <w:sz w:val="16"/>
          <w:szCs w:val="16"/>
          <w:color w:val="333333"/>
        </w:rPr>
        <w:t>Provides oversight of sustainability issues for the Company.</w:t>
      </w:r>
    </w:p>
    <w:p>
      <w:pPr>
        <w:spacing w:after="0" w:line="72" w:lineRule="exact"/>
        <w:rPr>
          <w:rFonts w:ascii="Arial" w:cs="Arial" w:eastAsia="Arial" w:hAnsi="Arial"/>
          <w:sz w:val="16"/>
          <w:szCs w:val="16"/>
          <w:color w:val="333333"/>
        </w:rPr>
      </w:pPr>
    </w:p>
    <w:p>
      <w:pPr>
        <w:ind w:left="1380" w:hanging="156"/>
        <w:spacing w:after="0"/>
        <w:tabs>
          <w:tab w:leader="none" w:pos="1380" w:val="left"/>
        </w:tabs>
        <w:numPr>
          <w:ilvl w:val="0"/>
          <w:numId w:val="7"/>
        </w:numPr>
        <w:rPr>
          <w:rFonts w:ascii="Arial" w:cs="Arial" w:eastAsia="Arial" w:hAnsi="Arial"/>
          <w:sz w:val="16"/>
          <w:szCs w:val="16"/>
          <w:color w:val="333333"/>
        </w:rPr>
      </w:pPr>
      <w:r>
        <w:rPr>
          <w:rFonts w:ascii="Arial" w:cs="Arial" w:eastAsia="Arial" w:hAnsi="Arial"/>
          <w:sz w:val="16"/>
          <w:szCs w:val="16"/>
          <w:color w:val="333333"/>
        </w:rPr>
        <w:t>Receives a report from each of the Committees on its work relating to sustainability matters.</w:t>
      </w:r>
    </w:p>
    <w:p>
      <w:pPr>
        <w:spacing w:after="0" w:line="72" w:lineRule="exact"/>
        <w:rPr>
          <w:rFonts w:ascii="Arial" w:cs="Arial" w:eastAsia="Arial" w:hAnsi="Arial"/>
          <w:sz w:val="16"/>
          <w:szCs w:val="16"/>
          <w:color w:val="333333"/>
        </w:rPr>
      </w:pPr>
    </w:p>
    <w:p>
      <w:pPr>
        <w:ind w:left="1380" w:hanging="156"/>
        <w:spacing w:after="0" w:line="286" w:lineRule="auto"/>
        <w:tabs>
          <w:tab w:leader="none" w:pos="1380" w:val="left"/>
        </w:tabs>
        <w:numPr>
          <w:ilvl w:val="0"/>
          <w:numId w:val="7"/>
        </w:numPr>
        <w:rPr>
          <w:rFonts w:ascii="Arial" w:cs="Arial" w:eastAsia="Arial" w:hAnsi="Arial"/>
          <w:sz w:val="16"/>
          <w:szCs w:val="16"/>
          <w:color w:val="333333"/>
        </w:rPr>
      </w:pPr>
      <w:r>
        <w:rPr>
          <w:rFonts w:ascii="Arial" w:cs="Arial" w:eastAsia="Arial" w:hAnsi="Arial"/>
          <w:sz w:val="16"/>
          <w:szCs w:val="16"/>
          <w:color w:val="333333"/>
        </w:rPr>
        <w:t>Engages in strategic review and risk assessments which also includes review of management’s sustainability goals, our performance relating to sustainability and our engagement with investors with regard to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210820</wp:posOffset>
            </wp:positionV>
            <wp:extent cx="6995160" cy="1654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65417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86CC"/>
        </w:rPr>
        <w:t>ETHICS, ENVIRONMENT, SAFETY AND HEALTH (EESH) COMMITTEE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61" w:lineRule="exact"/>
        <w:rPr>
          <w:sz w:val="20"/>
          <w:szCs w:val="20"/>
          <w:color w:val="auto"/>
        </w:rPr>
      </w:pPr>
    </w:p>
    <w:p>
      <w:pPr>
        <w:sectPr>
          <w:pgSz w:w="11900" w:h="16838" w:orient="portrait"/>
          <w:cols w:equalWidth="0" w:num="2">
            <w:col w:w="9920" w:space="560"/>
            <w:col w:w="540"/>
          </w:cols>
          <w:pgMar w:left="440" w:top="589" w:right="439" w:bottom="1440" w:gutter="0" w:footer="0" w:header="0"/>
          <w:type w:val="continuous"/>
        </w:sectPr>
      </w:pPr>
    </w:p>
    <w:p>
      <w:pPr>
        <w:ind w:left="1380" w:right="1020" w:hanging="156"/>
        <w:spacing w:after="0" w:line="266" w:lineRule="auto"/>
        <w:tabs>
          <w:tab w:leader="none" w:pos="1380" w:val="left"/>
        </w:tabs>
        <w:numPr>
          <w:ilvl w:val="0"/>
          <w:numId w:val="8"/>
        </w:numPr>
        <w:rPr>
          <w:rFonts w:ascii="Arial" w:cs="Arial" w:eastAsia="Arial" w:hAnsi="Arial"/>
          <w:sz w:val="16"/>
          <w:szCs w:val="16"/>
          <w:color w:val="333333"/>
        </w:rPr>
      </w:pPr>
      <w:r>
        <w:rPr>
          <w:rFonts w:ascii="Arial" w:cs="Arial" w:eastAsia="Arial" w:hAnsi="Arial"/>
          <w:sz w:val="16"/>
          <w:szCs w:val="16"/>
          <w:color w:val="333333"/>
        </w:rPr>
        <w:t>Reviews our Sustainability Report and our sustainability performance commitments and goals, including those relating to climate change, as well as capital investments and improved practices that reduce greenhouse gas (GHG) and other emissions.</w:t>
      </w:r>
    </w:p>
    <w:p>
      <w:pPr>
        <w:spacing w:after="0" w:line="22" w:lineRule="exact"/>
        <w:rPr>
          <w:rFonts w:ascii="Arial" w:cs="Arial" w:eastAsia="Arial" w:hAnsi="Arial"/>
          <w:sz w:val="16"/>
          <w:szCs w:val="16"/>
          <w:color w:val="333333"/>
        </w:rPr>
      </w:pPr>
    </w:p>
    <w:p>
      <w:pPr>
        <w:ind w:left="1380" w:right="1020" w:hanging="156"/>
        <w:spacing w:after="0" w:line="286" w:lineRule="auto"/>
        <w:tabs>
          <w:tab w:leader="none" w:pos="1380" w:val="left"/>
        </w:tabs>
        <w:numPr>
          <w:ilvl w:val="0"/>
          <w:numId w:val="8"/>
        </w:numPr>
        <w:rPr>
          <w:rFonts w:ascii="Arial" w:cs="Arial" w:eastAsia="Arial" w:hAnsi="Arial"/>
          <w:sz w:val="16"/>
          <w:szCs w:val="16"/>
          <w:color w:val="333333"/>
        </w:rPr>
      </w:pPr>
      <w:r>
        <w:rPr>
          <w:rFonts w:ascii="Arial" w:cs="Arial" w:eastAsia="Arial" w:hAnsi="Arial"/>
          <w:sz w:val="16"/>
          <w:szCs w:val="16"/>
          <w:color w:val="333333"/>
        </w:rPr>
        <w:t>Reviews the input we have received from, and our engagement with, investors on climate, sustainability and other EESH matters.</w:t>
      </w:r>
    </w:p>
    <w:p>
      <w:pPr>
        <w:spacing w:after="0" w:line="7" w:lineRule="exact"/>
        <w:rPr>
          <w:rFonts w:ascii="Arial" w:cs="Arial" w:eastAsia="Arial" w:hAnsi="Arial"/>
          <w:sz w:val="16"/>
          <w:szCs w:val="16"/>
          <w:color w:val="333333"/>
        </w:rPr>
      </w:pPr>
    </w:p>
    <w:p>
      <w:pPr>
        <w:ind w:left="1380" w:right="780" w:hanging="156"/>
        <w:spacing w:after="0" w:line="266" w:lineRule="auto"/>
        <w:tabs>
          <w:tab w:leader="none" w:pos="1380" w:val="left"/>
        </w:tabs>
        <w:numPr>
          <w:ilvl w:val="0"/>
          <w:numId w:val="8"/>
        </w:numPr>
        <w:rPr>
          <w:rFonts w:ascii="Arial" w:cs="Arial" w:eastAsia="Arial" w:hAnsi="Arial"/>
          <w:sz w:val="16"/>
          <w:szCs w:val="16"/>
          <w:color w:val="333333"/>
        </w:rPr>
      </w:pPr>
      <w:r>
        <w:rPr>
          <w:rFonts w:ascii="Arial" w:cs="Arial" w:eastAsia="Arial" w:hAnsi="Arial"/>
          <w:sz w:val="16"/>
          <w:szCs w:val="16"/>
          <w:color w:val="333333"/>
        </w:rPr>
        <w:t>Monitors our safety performance, Ethics Office activity and compliance with environmental, health and safety laws and regulations, as well as our public reporting and disclosure with respect to climate change-related risks and opportunities and other environmental issues.</w:t>
      </w:r>
    </w:p>
    <w:p>
      <w:pPr>
        <w:spacing w:after="0" w:line="22" w:lineRule="exact"/>
        <w:rPr>
          <w:rFonts w:ascii="Arial" w:cs="Arial" w:eastAsia="Arial" w:hAnsi="Arial"/>
          <w:sz w:val="16"/>
          <w:szCs w:val="16"/>
          <w:color w:val="333333"/>
        </w:rPr>
      </w:pPr>
    </w:p>
    <w:p>
      <w:pPr>
        <w:ind w:left="1380" w:hanging="156"/>
        <w:spacing w:after="0"/>
        <w:tabs>
          <w:tab w:leader="none" w:pos="1380" w:val="left"/>
        </w:tabs>
        <w:numPr>
          <w:ilvl w:val="0"/>
          <w:numId w:val="8"/>
        </w:numPr>
        <w:rPr>
          <w:rFonts w:ascii="Arial" w:cs="Arial" w:eastAsia="Arial" w:hAnsi="Arial"/>
          <w:sz w:val="16"/>
          <w:szCs w:val="16"/>
          <w:color w:val="333333"/>
        </w:rPr>
      </w:pPr>
      <w:r>
        <w:rPr>
          <w:rFonts w:ascii="Arial" w:cs="Arial" w:eastAsia="Arial" w:hAnsi="Arial"/>
          <w:sz w:val="16"/>
          <w:szCs w:val="16"/>
          <w:color w:val="333333"/>
        </w:rPr>
        <w:t>Has the authority to investigate any matter falling within its purview.</w:t>
      </w:r>
    </w:p>
    <w:p>
      <w:pPr>
        <w:sectPr>
          <w:pgSz w:w="11900" w:h="16838" w:orient="portrait"/>
          <w:cols w:equalWidth="0" w:num="1">
            <w:col w:w="11020"/>
          </w:cols>
          <w:pgMar w:left="440" w:top="589" w:right="4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86CC"/>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968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968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61" w:lineRule="exact"/>
        <w:rPr>
          <w:sz w:val="20"/>
          <w:szCs w:val="20"/>
          <w:color w:val="auto"/>
        </w:rPr>
      </w:pPr>
    </w:p>
    <w:p>
      <w:pPr>
        <w:sectPr>
          <w:pgSz w:w="11900" w:h="16838" w:orient="portrait"/>
          <w:cols w:equalWidth="0" w:num="2">
            <w:col w:w="9760" w:space="720"/>
            <w:col w:w="540"/>
          </w:cols>
          <w:pgMar w:left="440" w:top="589" w:right="439" w:bottom="1440" w:gutter="0" w:footer="0" w:header="0"/>
          <w:type w:val="continuous"/>
        </w:sectPr>
      </w:pPr>
    </w:p>
    <w:p>
      <w:pPr>
        <w:ind w:left="1380" w:right="720" w:hanging="156"/>
        <w:spacing w:after="0" w:line="286" w:lineRule="auto"/>
        <w:tabs>
          <w:tab w:leader="none" w:pos="138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Reviews matters relating to human capital management (HCM), including talent acquisition and retention, diversity, inclusion, development, training and compensation matters related thereto.</w:t>
      </w:r>
    </w:p>
    <w:p>
      <w:pPr>
        <w:spacing w:after="0" w:line="7" w:lineRule="exact"/>
        <w:rPr>
          <w:rFonts w:ascii="Arial" w:cs="Arial" w:eastAsia="Arial" w:hAnsi="Arial"/>
          <w:sz w:val="16"/>
          <w:szCs w:val="16"/>
          <w:color w:val="333333"/>
        </w:rPr>
      </w:pPr>
    </w:p>
    <w:p>
      <w:pPr>
        <w:ind w:left="1380" w:right="740" w:hanging="156"/>
        <w:spacing w:after="0" w:line="286" w:lineRule="auto"/>
        <w:tabs>
          <w:tab w:leader="none" w:pos="138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Reviews management’s performance with regard to its sustainability goals and considers those achievements in determining incentive pay.</w:t>
      </w:r>
    </w:p>
    <w:p>
      <w:pPr>
        <w:sectPr>
          <w:pgSz w:w="11900" w:h="16838" w:orient="portrait"/>
          <w:cols w:equalWidth="0" w:num="1">
            <w:col w:w="11020"/>
          </w:cols>
          <w:pgMar w:left="440" w:top="589" w:right="4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0086CC"/>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574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574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61" w:lineRule="exact"/>
        <w:rPr>
          <w:sz w:val="20"/>
          <w:szCs w:val="20"/>
          <w:color w:val="auto"/>
        </w:rPr>
      </w:pPr>
    </w:p>
    <w:p>
      <w:pPr>
        <w:sectPr>
          <w:pgSz w:w="11900" w:h="16838" w:orient="portrait"/>
          <w:cols w:equalWidth="0" w:num="2">
            <w:col w:w="9760" w:space="720"/>
            <w:col w:w="540"/>
          </w:cols>
          <w:pgMar w:left="440" w:top="589" w:right="439" w:bottom="1440" w:gutter="0" w:footer="0" w:header="0"/>
          <w:type w:val="continuous"/>
        </w:sectPr>
      </w:pPr>
    </w:p>
    <w:p>
      <w:pPr>
        <w:ind w:left="1220"/>
        <w:spacing w:after="0"/>
        <w:rPr>
          <w:sz w:val="20"/>
          <w:szCs w:val="20"/>
          <w:color w:val="auto"/>
        </w:rPr>
      </w:pPr>
      <w:r>
        <w:rPr>
          <w:rFonts w:ascii="Arial" w:cs="Arial" w:eastAsia="Arial" w:hAnsi="Arial"/>
          <w:sz w:val="16"/>
          <w:szCs w:val="16"/>
          <w:color w:val="333333"/>
        </w:rPr>
        <w:t>• Reviews our significant environmental matters and assesses the potential risks and liabilities they may pose to our business.</w:t>
      </w:r>
    </w:p>
    <w:p>
      <w:pPr>
        <w:sectPr>
          <w:pgSz w:w="11900" w:h="16838" w:orient="portrait"/>
          <w:cols w:equalWidth="0" w:num="1">
            <w:col w:w="11020"/>
          </w:cols>
          <w:pgMar w:left="440" w:top="589" w:right="43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86CC"/>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1011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011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61" w:lineRule="exact"/>
        <w:rPr>
          <w:sz w:val="20"/>
          <w:szCs w:val="20"/>
          <w:color w:val="auto"/>
        </w:rPr>
      </w:pPr>
    </w:p>
    <w:p>
      <w:pPr>
        <w:sectPr>
          <w:pgSz w:w="11900" w:h="16838" w:orient="portrait"/>
          <w:cols w:equalWidth="0" w:num="2">
            <w:col w:w="9760" w:space="720"/>
            <w:col w:w="540"/>
          </w:cols>
          <w:pgMar w:left="440" w:top="589" w:right="439" w:bottom="1440" w:gutter="0" w:footer="0" w:header="0"/>
          <w:type w:val="continuous"/>
        </w:sectPr>
      </w:pPr>
    </w:p>
    <w:p>
      <w:pPr>
        <w:ind w:left="1380" w:hanging="156"/>
        <w:spacing w:after="0"/>
        <w:tabs>
          <w:tab w:leader="none" w:pos="1380" w:val="left"/>
        </w:tabs>
        <w:numPr>
          <w:ilvl w:val="0"/>
          <w:numId w:val="10"/>
        </w:numPr>
        <w:rPr>
          <w:rFonts w:ascii="Arial" w:cs="Arial" w:eastAsia="Arial" w:hAnsi="Arial"/>
          <w:sz w:val="16"/>
          <w:szCs w:val="16"/>
          <w:color w:val="333333"/>
        </w:rPr>
      </w:pPr>
      <w:r>
        <w:rPr>
          <w:rFonts w:ascii="Arial" w:cs="Arial" w:eastAsia="Arial" w:hAnsi="Arial"/>
          <w:sz w:val="16"/>
          <w:szCs w:val="16"/>
          <w:color w:val="333333"/>
        </w:rPr>
        <w:t>Reviews large capital projects relating to sustainability and growth.</w:t>
      </w:r>
    </w:p>
    <w:p>
      <w:pPr>
        <w:spacing w:after="0" w:line="72" w:lineRule="exact"/>
        <w:rPr>
          <w:rFonts w:ascii="Arial" w:cs="Arial" w:eastAsia="Arial" w:hAnsi="Arial"/>
          <w:sz w:val="16"/>
          <w:szCs w:val="16"/>
          <w:color w:val="333333"/>
        </w:rPr>
      </w:pPr>
    </w:p>
    <w:p>
      <w:pPr>
        <w:ind w:left="1380" w:right="920" w:hanging="156"/>
        <w:spacing w:after="0" w:line="286" w:lineRule="auto"/>
        <w:tabs>
          <w:tab w:leader="none" w:pos="1380" w:val="left"/>
        </w:tabs>
        <w:numPr>
          <w:ilvl w:val="0"/>
          <w:numId w:val="10"/>
        </w:numPr>
        <w:rPr>
          <w:rFonts w:ascii="Arial" w:cs="Arial" w:eastAsia="Arial" w:hAnsi="Arial"/>
          <w:sz w:val="16"/>
          <w:szCs w:val="16"/>
          <w:color w:val="333333"/>
        </w:rPr>
      </w:pPr>
      <w:r>
        <w:rPr>
          <w:rFonts w:ascii="Arial" w:cs="Arial" w:eastAsia="Arial" w:hAnsi="Arial"/>
          <w:sz w:val="16"/>
          <w:szCs w:val="16"/>
          <w:color w:val="333333"/>
        </w:rPr>
        <w:t>Oversees our policies and practices relating to political contributions and political activities, including lobbying and/or trade associations of which we are a member, and political expenditures.</w:t>
      </w:r>
    </w:p>
    <w:p>
      <w:pPr>
        <w:spacing w:after="0" w:line="7" w:lineRule="exact"/>
        <w:rPr>
          <w:rFonts w:ascii="Arial" w:cs="Arial" w:eastAsia="Arial" w:hAnsi="Arial"/>
          <w:sz w:val="16"/>
          <w:szCs w:val="16"/>
          <w:color w:val="333333"/>
        </w:rPr>
      </w:pPr>
    </w:p>
    <w:p>
      <w:pPr>
        <w:ind w:left="1380" w:hanging="156"/>
        <w:spacing w:after="0"/>
        <w:tabs>
          <w:tab w:leader="none" w:pos="1380" w:val="left"/>
        </w:tabs>
        <w:numPr>
          <w:ilvl w:val="0"/>
          <w:numId w:val="10"/>
        </w:numPr>
        <w:rPr>
          <w:rFonts w:ascii="Arial" w:cs="Arial" w:eastAsia="Arial" w:hAnsi="Arial"/>
          <w:sz w:val="16"/>
          <w:szCs w:val="16"/>
          <w:color w:val="333333"/>
        </w:rPr>
      </w:pPr>
      <w:r>
        <w:rPr>
          <w:rFonts w:ascii="Arial" w:cs="Arial" w:eastAsia="Arial" w:hAnsi="Arial"/>
          <w:sz w:val="16"/>
          <w:szCs w:val="16"/>
          <w:color w:val="333333"/>
        </w:rPr>
        <w:t>Reviews and approves charitable contributions and community support budgets.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spacing w:after="0"/>
        <w:tabs>
          <w:tab w:leader="none" w:pos="10220" w:val="left"/>
        </w:tabs>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6</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0"/>
          </w:cols>
          <w:pgMar w:left="440" w:top="589" w:right="439" w:bottom="1440" w:gutter="0" w:footer="0" w:header="0"/>
          <w:type w:val="continuous"/>
        </w:sectPr>
      </w:pPr>
    </w:p>
    <w:bookmarkStart w:id="12" w:name="page13"/>
    <w:bookmarkEnd w:id="12"/>
    <w:p>
      <w:pPr>
        <w:ind w:left="91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200660</wp:posOffset>
            </wp:positionV>
            <wp:extent cx="1328420" cy="454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28420" cy="454660"/>
                    </a:xfrm>
                    <a:prstGeom prst="rect">
                      <a:avLst/>
                    </a:prstGeom>
                    <a:noFill/>
                  </pic:spPr>
                </pic:pic>
              </a:graphicData>
            </a:graphic>
          </wp:anchor>
        </w:drawing>
        <w:t xml:space="preserve">      Proxy Highlights    </w:t>
      </w:r>
    </w:p>
    <w:p>
      <w:pPr>
        <w:sectPr>
          <w:pgSz w:w="11900" w:h="16838" w:orient="portrait"/>
          <w:cols w:equalWidth="0" w:num="1">
            <w:col w:w="11020"/>
          </w:cols>
          <w:pgMar w:left="440" w:top="576" w:right="4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86CC"/>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48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48360"/>
                    </a:xfrm>
                    <a:prstGeom prst="rect">
                      <a:avLst/>
                    </a:prstGeom>
                    <a:noFill/>
                  </pic:spPr>
                </pic:pic>
              </a:graphicData>
            </a:graphic>
          </wp:anchor>
        </w:drawing>
      </w:r>
    </w:p>
    <w:p>
      <w:pPr>
        <w:spacing w:after="0" w:line="102" w:lineRule="exact"/>
        <w:rPr>
          <w:sz w:val="20"/>
          <w:szCs w:val="20"/>
          <w:color w:val="auto"/>
        </w:rPr>
      </w:pPr>
    </w:p>
    <w:p>
      <w:pPr>
        <w:ind w:left="1380" w:hanging="156"/>
        <w:spacing w:after="0"/>
        <w:tabs>
          <w:tab w:leader="none" w:pos="1380" w:val="left"/>
        </w:tabs>
        <w:numPr>
          <w:ilvl w:val="0"/>
          <w:numId w:val="11"/>
        </w:numPr>
        <w:rPr>
          <w:rFonts w:ascii="Arial" w:cs="Arial" w:eastAsia="Arial" w:hAnsi="Arial"/>
          <w:sz w:val="16"/>
          <w:szCs w:val="16"/>
          <w:color w:val="333333"/>
        </w:rPr>
      </w:pPr>
      <w:r>
        <w:rPr>
          <w:rFonts w:ascii="Arial" w:cs="Arial" w:eastAsia="Arial" w:hAnsi="Arial"/>
          <w:sz w:val="16"/>
          <w:szCs w:val="16"/>
          <w:color w:val="333333"/>
        </w:rPr>
        <w:t>Oversees the development and implementation of a set of corporate governance principles applicable to Martin Marietta</w:t>
      </w:r>
    </w:p>
    <w:p>
      <w:pPr>
        <w:spacing w:after="0" w:line="72" w:lineRule="exact"/>
        <w:rPr>
          <w:rFonts w:ascii="Arial" w:cs="Arial" w:eastAsia="Arial" w:hAnsi="Arial"/>
          <w:sz w:val="16"/>
          <w:szCs w:val="16"/>
          <w:color w:val="333333"/>
        </w:rPr>
      </w:pPr>
    </w:p>
    <w:p>
      <w:pPr>
        <w:ind w:left="1380" w:right="600" w:hanging="156"/>
        <w:spacing w:after="0" w:line="286" w:lineRule="auto"/>
        <w:tabs>
          <w:tab w:leader="none" w:pos="1380" w:val="left"/>
        </w:tabs>
        <w:numPr>
          <w:ilvl w:val="0"/>
          <w:numId w:val="11"/>
        </w:numPr>
        <w:rPr>
          <w:rFonts w:ascii="Arial" w:cs="Arial" w:eastAsia="Arial" w:hAnsi="Arial"/>
          <w:sz w:val="16"/>
          <w:szCs w:val="16"/>
          <w:color w:val="333333"/>
        </w:rPr>
      </w:pPr>
      <w:r>
        <w:rPr>
          <w:rFonts w:ascii="Arial" w:cs="Arial" w:eastAsia="Arial" w:hAnsi="Arial"/>
          <w:sz w:val="16"/>
          <w:szCs w:val="16"/>
          <w:color w:val="333333"/>
        </w:rPr>
        <w:t>Oversees the review and implementation of best practices in corporate governance matters affecting the Board, its Committees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210820</wp:posOffset>
            </wp:positionV>
            <wp:extent cx="6995160" cy="2151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215138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86CC"/>
        </w:rPr>
        <w:t>MANAGEMENT</w:t>
      </w:r>
    </w:p>
    <w:p>
      <w:pPr>
        <w:spacing w:after="0" w:line="122" w:lineRule="exact"/>
        <w:rPr>
          <w:sz w:val="20"/>
          <w:szCs w:val="20"/>
          <w:color w:val="auto"/>
        </w:rPr>
      </w:pPr>
    </w:p>
    <w:p>
      <w:pPr>
        <w:ind w:left="1380" w:hanging="156"/>
        <w:spacing w:after="0" w:line="286" w:lineRule="auto"/>
        <w:tabs>
          <w:tab w:leader="none" w:pos="1380" w:val="left"/>
        </w:tabs>
        <w:numPr>
          <w:ilvl w:val="0"/>
          <w:numId w:val="12"/>
        </w:numPr>
        <w:rPr>
          <w:rFonts w:ascii="Arial" w:cs="Arial" w:eastAsia="Arial" w:hAnsi="Arial"/>
          <w:sz w:val="16"/>
          <w:szCs w:val="16"/>
          <w:color w:val="333333"/>
        </w:rPr>
      </w:pPr>
      <w:r>
        <w:rPr>
          <w:rFonts w:ascii="Arial" w:cs="Arial" w:eastAsia="Arial" w:hAnsi="Arial"/>
          <w:sz w:val="16"/>
          <w:szCs w:val="16"/>
          <w:color w:val="333333"/>
        </w:rPr>
        <w:t>The Chair and CEO, as well as the executive leadership team, guides and governs corporate-wide sustainability objectives and initiatives.</w:t>
      </w:r>
    </w:p>
    <w:p>
      <w:pPr>
        <w:spacing w:after="0" w:line="7" w:lineRule="exact"/>
        <w:rPr>
          <w:rFonts w:ascii="Arial" w:cs="Arial" w:eastAsia="Arial" w:hAnsi="Arial"/>
          <w:sz w:val="16"/>
          <w:szCs w:val="16"/>
          <w:color w:val="333333"/>
        </w:rPr>
      </w:pPr>
    </w:p>
    <w:p>
      <w:pPr>
        <w:ind w:left="1380" w:hanging="156"/>
        <w:spacing w:after="0"/>
        <w:tabs>
          <w:tab w:leader="none" w:pos="1380" w:val="left"/>
        </w:tabs>
        <w:numPr>
          <w:ilvl w:val="0"/>
          <w:numId w:val="12"/>
        </w:numPr>
        <w:rPr>
          <w:rFonts w:ascii="Arial" w:cs="Arial" w:eastAsia="Arial" w:hAnsi="Arial"/>
          <w:sz w:val="16"/>
          <w:szCs w:val="16"/>
          <w:color w:val="333333"/>
        </w:rPr>
      </w:pPr>
      <w:r>
        <w:rPr>
          <w:rFonts w:ascii="Arial" w:cs="Arial" w:eastAsia="Arial" w:hAnsi="Arial"/>
          <w:sz w:val="16"/>
          <w:szCs w:val="16"/>
          <w:color w:val="333333"/>
        </w:rPr>
        <w:t>Our dedicated employees help drive performance of our sustainability agenda, including:</w:t>
      </w:r>
    </w:p>
    <w:p>
      <w:pPr>
        <w:spacing w:after="0" w:line="72" w:lineRule="exact"/>
        <w:rPr>
          <w:rFonts w:ascii="Arial" w:cs="Arial" w:eastAsia="Arial" w:hAnsi="Arial"/>
          <w:sz w:val="16"/>
          <w:szCs w:val="16"/>
          <w:color w:val="333333"/>
        </w:rPr>
      </w:pPr>
    </w:p>
    <w:p>
      <w:pPr>
        <w:ind w:left="1540" w:hanging="154"/>
        <w:spacing w:after="0"/>
        <w:tabs>
          <w:tab w:leader="none" w:pos="1540" w:val="left"/>
        </w:tabs>
        <w:numPr>
          <w:ilvl w:val="1"/>
          <w:numId w:val="12"/>
        </w:numPr>
        <w:rPr>
          <w:rFonts w:ascii="Arial" w:cs="Arial" w:eastAsia="Arial" w:hAnsi="Arial"/>
          <w:sz w:val="16"/>
          <w:szCs w:val="16"/>
          <w:color w:val="333333"/>
        </w:rPr>
      </w:pPr>
      <w:r>
        <w:rPr>
          <w:rFonts w:ascii="Arial" w:cs="Arial" w:eastAsia="Arial" w:hAnsi="Arial"/>
          <w:sz w:val="16"/>
          <w:szCs w:val="16"/>
          <w:color w:val="333333"/>
        </w:rPr>
        <w:t>Chief Ethics Officer</w:t>
      </w:r>
    </w:p>
    <w:p>
      <w:pPr>
        <w:spacing w:after="0" w:line="72" w:lineRule="exact"/>
        <w:rPr>
          <w:rFonts w:ascii="Arial" w:cs="Arial" w:eastAsia="Arial" w:hAnsi="Arial"/>
          <w:sz w:val="16"/>
          <w:szCs w:val="16"/>
          <w:color w:val="333333"/>
        </w:rPr>
      </w:pPr>
    </w:p>
    <w:p>
      <w:pPr>
        <w:ind w:left="1540" w:hanging="154"/>
        <w:spacing w:after="0"/>
        <w:tabs>
          <w:tab w:leader="none" w:pos="1540" w:val="left"/>
        </w:tabs>
        <w:numPr>
          <w:ilvl w:val="1"/>
          <w:numId w:val="12"/>
        </w:numPr>
        <w:rPr>
          <w:rFonts w:ascii="Arial" w:cs="Arial" w:eastAsia="Arial" w:hAnsi="Arial"/>
          <w:sz w:val="16"/>
          <w:szCs w:val="16"/>
          <w:color w:val="333333"/>
        </w:rPr>
      </w:pPr>
      <w:r>
        <w:rPr>
          <w:rFonts w:ascii="Arial" w:cs="Arial" w:eastAsia="Arial" w:hAnsi="Arial"/>
          <w:sz w:val="16"/>
          <w:szCs w:val="16"/>
          <w:color w:val="333333"/>
        </w:rPr>
        <w:t>Head of Sustainability</w:t>
      </w:r>
    </w:p>
    <w:p>
      <w:pPr>
        <w:spacing w:after="0" w:line="72" w:lineRule="exact"/>
        <w:rPr>
          <w:rFonts w:ascii="Arial" w:cs="Arial" w:eastAsia="Arial" w:hAnsi="Arial"/>
          <w:sz w:val="16"/>
          <w:szCs w:val="16"/>
          <w:color w:val="333333"/>
        </w:rPr>
      </w:pPr>
    </w:p>
    <w:p>
      <w:pPr>
        <w:ind w:left="1540" w:hanging="154"/>
        <w:spacing w:after="0"/>
        <w:tabs>
          <w:tab w:leader="none" w:pos="1540" w:val="left"/>
        </w:tabs>
        <w:numPr>
          <w:ilvl w:val="1"/>
          <w:numId w:val="12"/>
        </w:numPr>
        <w:rPr>
          <w:rFonts w:ascii="Arial" w:cs="Arial" w:eastAsia="Arial" w:hAnsi="Arial"/>
          <w:sz w:val="16"/>
          <w:szCs w:val="16"/>
          <w:color w:val="333333"/>
        </w:rPr>
      </w:pPr>
      <w:r>
        <w:rPr>
          <w:rFonts w:ascii="Arial" w:cs="Arial" w:eastAsia="Arial" w:hAnsi="Arial"/>
          <w:sz w:val="16"/>
          <w:szCs w:val="16"/>
          <w:color w:val="333333"/>
        </w:rPr>
        <w:t>Safety teams</w:t>
      </w:r>
    </w:p>
    <w:p>
      <w:pPr>
        <w:spacing w:after="0" w:line="72" w:lineRule="exact"/>
        <w:rPr>
          <w:rFonts w:ascii="Arial" w:cs="Arial" w:eastAsia="Arial" w:hAnsi="Arial"/>
          <w:sz w:val="16"/>
          <w:szCs w:val="16"/>
          <w:color w:val="333333"/>
        </w:rPr>
      </w:pPr>
    </w:p>
    <w:p>
      <w:pPr>
        <w:ind w:left="1540" w:hanging="154"/>
        <w:spacing w:after="0"/>
        <w:tabs>
          <w:tab w:leader="none" w:pos="1540" w:val="left"/>
        </w:tabs>
        <w:numPr>
          <w:ilvl w:val="1"/>
          <w:numId w:val="12"/>
        </w:numPr>
        <w:rPr>
          <w:rFonts w:ascii="Arial" w:cs="Arial" w:eastAsia="Arial" w:hAnsi="Arial"/>
          <w:sz w:val="16"/>
          <w:szCs w:val="16"/>
          <w:color w:val="333333"/>
        </w:rPr>
      </w:pPr>
      <w:r>
        <w:rPr>
          <w:rFonts w:ascii="Arial" w:cs="Arial" w:eastAsia="Arial" w:hAnsi="Arial"/>
          <w:sz w:val="16"/>
          <w:szCs w:val="16"/>
          <w:color w:val="333333"/>
        </w:rPr>
        <w:t>Environmental managers</w:t>
      </w:r>
    </w:p>
    <w:p>
      <w:pPr>
        <w:spacing w:after="0" w:line="72" w:lineRule="exact"/>
        <w:rPr>
          <w:rFonts w:ascii="Arial" w:cs="Arial" w:eastAsia="Arial" w:hAnsi="Arial"/>
          <w:sz w:val="16"/>
          <w:szCs w:val="16"/>
          <w:color w:val="333333"/>
        </w:rPr>
      </w:pPr>
    </w:p>
    <w:p>
      <w:pPr>
        <w:ind w:left="1380" w:hanging="156"/>
        <w:spacing w:after="0"/>
        <w:tabs>
          <w:tab w:leader="none" w:pos="1380" w:val="left"/>
        </w:tabs>
        <w:numPr>
          <w:ilvl w:val="0"/>
          <w:numId w:val="12"/>
        </w:numPr>
        <w:rPr>
          <w:rFonts w:ascii="Arial" w:cs="Arial" w:eastAsia="Arial" w:hAnsi="Arial"/>
          <w:sz w:val="16"/>
          <w:szCs w:val="16"/>
          <w:color w:val="333333"/>
        </w:rPr>
      </w:pPr>
      <w:r>
        <w:rPr>
          <w:rFonts w:ascii="Arial" w:cs="Arial" w:eastAsia="Arial" w:hAnsi="Arial"/>
          <w:sz w:val="16"/>
          <w:szCs w:val="16"/>
          <w:color w:val="333333"/>
        </w:rPr>
        <w:t>Peer-led and executive sponsored Employee Resource Groups to support engagement and belonging:</w:t>
      </w:r>
    </w:p>
    <w:p>
      <w:pPr>
        <w:spacing w:after="0" w:line="72" w:lineRule="exact"/>
        <w:rPr>
          <w:rFonts w:ascii="Arial" w:cs="Arial" w:eastAsia="Arial" w:hAnsi="Arial"/>
          <w:sz w:val="16"/>
          <w:szCs w:val="16"/>
          <w:color w:val="333333"/>
        </w:rPr>
      </w:pPr>
    </w:p>
    <w:p>
      <w:pPr>
        <w:ind w:left="1540" w:hanging="154"/>
        <w:spacing w:after="0"/>
        <w:tabs>
          <w:tab w:leader="none" w:pos="1540" w:val="left"/>
        </w:tabs>
        <w:numPr>
          <w:ilvl w:val="1"/>
          <w:numId w:val="12"/>
        </w:numPr>
        <w:rPr>
          <w:rFonts w:ascii="Arial" w:cs="Arial" w:eastAsia="Arial" w:hAnsi="Arial"/>
          <w:sz w:val="16"/>
          <w:szCs w:val="16"/>
          <w:color w:val="333333"/>
        </w:rPr>
      </w:pPr>
      <w:r>
        <w:rPr>
          <w:rFonts w:ascii="Arial" w:cs="Arial" w:eastAsia="Arial" w:hAnsi="Arial"/>
          <w:sz w:val="16"/>
          <w:szCs w:val="16"/>
          <w:color w:val="333333"/>
        </w:rPr>
        <w:t>Military and Veterans Community (MVC)</w:t>
      </w:r>
    </w:p>
    <w:p>
      <w:pPr>
        <w:spacing w:after="0" w:line="72" w:lineRule="exact"/>
        <w:rPr>
          <w:rFonts w:ascii="Arial" w:cs="Arial" w:eastAsia="Arial" w:hAnsi="Arial"/>
          <w:sz w:val="16"/>
          <w:szCs w:val="16"/>
          <w:color w:val="333333"/>
        </w:rPr>
      </w:pPr>
    </w:p>
    <w:p>
      <w:pPr>
        <w:ind w:left="1540" w:hanging="154"/>
        <w:spacing w:after="0"/>
        <w:tabs>
          <w:tab w:leader="none" w:pos="1540" w:val="left"/>
        </w:tabs>
        <w:numPr>
          <w:ilvl w:val="1"/>
          <w:numId w:val="12"/>
        </w:numPr>
        <w:rPr>
          <w:rFonts w:ascii="Arial" w:cs="Arial" w:eastAsia="Arial" w:hAnsi="Arial"/>
          <w:sz w:val="16"/>
          <w:szCs w:val="16"/>
          <w:color w:val="333333"/>
        </w:rPr>
      </w:pPr>
      <w:r>
        <w:rPr>
          <w:rFonts w:ascii="Arial" w:cs="Arial" w:eastAsia="Arial" w:hAnsi="Arial"/>
          <w:sz w:val="16"/>
          <w:szCs w:val="16"/>
          <w:color w:val="333333"/>
        </w:rPr>
        <w:t>Women Who Build (WWB)</w:t>
      </w:r>
    </w:p>
    <w:p>
      <w:pPr>
        <w:spacing w:after="0" w:line="72" w:lineRule="exact"/>
        <w:rPr>
          <w:rFonts w:ascii="Arial" w:cs="Arial" w:eastAsia="Arial" w:hAnsi="Arial"/>
          <w:sz w:val="16"/>
          <w:szCs w:val="16"/>
          <w:color w:val="333333"/>
        </w:rPr>
      </w:pPr>
    </w:p>
    <w:p>
      <w:pPr>
        <w:ind w:left="1540" w:hanging="154"/>
        <w:spacing w:after="0"/>
        <w:tabs>
          <w:tab w:leader="none" w:pos="1540" w:val="left"/>
        </w:tabs>
        <w:numPr>
          <w:ilvl w:val="1"/>
          <w:numId w:val="12"/>
        </w:numPr>
        <w:rPr>
          <w:rFonts w:ascii="Arial" w:cs="Arial" w:eastAsia="Arial" w:hAnsi="Arial"/>
          <w:sz w:val="16"/>
          <w:szCs w:val="16"/>
          <w:color w:val="333333"/>
        </w:rPr>
      </w:pPr>
      <w:r>
        <w:rPr>
          <w:rFonts w:ascii="Arial" w:cs="Arial" w:eastAsia="Arial" w:hAnsi="Arial"/>
          <w:sz w:val="16"/>
          <w:szCs w:val="16"/>
          <w:color w:val="333333"/>
        </w:rPr>
        <w:t>MERGE (a Multi-Cultural 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68" w:hanging="168"/>
        <w:spacing w:after="0"/>
        <w:tabs>
          <w:tab w:leader="none" w:pos="168" w:val="left"/>
        </w:tabs>
        <w:numPr>
          <w:ilvl w:val="0"/>
          <w:numId w:val="13"/>
        </w:numPr>
        <w:rPr>
          <w:rFonts w:ascii="Arial" w:cs="Arial" w:eastAsia="Arial" w:hAnsi="Arial"/>
          <w:sz w:val="16"/>
          <w:szCs w:val="16"/>
          <w:color w:val="333333"/>
        </w:rPr>
      </w:pPr>
      <w:r>
        <w:rPr>
          <w:rFonts w:ascii="Arial" w:cs="Arial" w:eastAsia="Arial" w:hAnsi="Arial"/>
          <w:sz w:val="16"/>
          <w:szCs w:val="16"/>
          <w:color w:val="333333"/>
        </w:rPr>
        <w:t xml:space="preserve">      </w:t>
      </w: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00" w:lineRule="exact"/>
        <w:rPr>
          <w:rFonts w:ascii="Arial" w:cs="Arial" w:eastAsia="Arial" w:hAnsi="Arial"/>
          <w:sz w:val="16"/>
          <w:szCs w:val="16"/>
          <w:color w:val="333333"/>
        </w:rPr>
      </w:pPr>
    </w:p>
    <w:p>
      <w:pPr>
        <w:spacing w:after="0" w:line="274" w:lineRule="exact"/>
        <w:rPr>
          <w:rFonts w:ascii="Arial" w:cs="Arial" w:eastAsia="Arial" w:hAnsi="Arial"/>
          <w:sz w:val="16"/>
          <w:szCs w:val="16"/>
          <w:color w:val="333333"/>
        </w:rPr>
      </w:pPr>
    </w:p>
    <w:p>
      <w:pPr>
        <w:ind w:left="168" w:hanging="168"/>
        <w:spacing w:after="0"/>
        <w:tabs>
          <w:tab w:leader="none" w:pos="168" w:val="left"/>
        </w:tabs>
        <w:numPr>
          <w:ilvl w:val="0"/>
          <w:numId w:val="13"/>
        </w:numPr>
        <w:rPr>
          <w:rFonts w:ascii="Arial" w:cs="Arial" w:eastAsia="Arial" w:hAnsi="Arial"/>
          <w:sz w:val="16"/>
          <w:szCs w:val="16"/>
          <w:color w:val="333333"/>
        </w:rPr>
      </w:pPr>
      <w:r>
        <w:rPr>
          <w:rFonts w:ascii="Arial" w:cs="Arial" w:eastAsia="Arial" w:hAnsi="Arial"/>
          <w:sz w:val="16"/>
          <w:szCs w:val="16"/>
          <w:color w:val="333333"/>
        </w:rPr>
        <w:t xml:space="preserve">      </w:t>
      </w:r>
    </w:p>
    <w:p>
      <w:pPr>
        <w:spacing w:after="0" w:line="3143" w:lineRule="exact"/>
        <w:rPr>
          <w:sz w:val="20"/>
          <w:szCs w:val="20"/>
          <w:color w:val="auto"/>
        </w:rPr>
      </w:pPr>
    </w:p>
    <w:p>
      <w:pPr>
        <w:sectPr>
          <w:pgSz w:w="11900" w:h="16838" w:orient="portrait"/>
          <w:cols w:equalWidth="0" w:num="2">
            <w:col w:w="10160" w:space="312"/>
            <w:col w:w="548"/>
          </w:cols>
          <w:pgMar w:left="440" w:top="576" w:right="4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spacing w:after="0"/>
        <w:tabs>
          <w:tab w:leader="none" w:pos="4560" w:val="left"/>
          <w:tab w:leader="none" w:pos="10020"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b w:val="1"/>
          <w:bCs w:val="1"/>
          <w:color w:val="auto"/>
        </w:rPr>
        <w:t>2026 PROXY STATEMENT</w:t>
      </w:r>
      <w:r>
        <w:rPr>
          <w:sz w:val="20"/>
          <w:szCs w:val="20"/>
          <w:color w:val="auto"/>
        </w:rPr>
        <w:tab/>
      </w:r>
      <w:r>
        <w:rPr>
          <w:rFonts w:ascii="Arial" w:cs="Arial" w:eastAsia="Arial" w:hAnsi="Arial"/>
          <w:sz w:val="16"/>
          <w:szCs w:val="16"/>
          <w:b w:val="1"/>
          <w:bCs w:val="1"/>
          <w:color w:val="0086CC"/>
        </w:rPr>
        <w:t xml:space="preserve">7 </w:t>
      </w:r>
      <w:r>
        <w:rPr>
          <w:rFonts w:ascii="Arial" w:cs="Arial" w:eastAsia="Arial" w:hAnsi="Arial"/>
          <w:sz w:val="16"/>
          <w:szCs w:val="16"/>
          <w:color w:val="333333"/>
        </w:rPr>
        <w:t xml:space="preserve">               </w:t>
      </w:r>
    </w:p>
    <w:p>
      <w:pPr>
        <w:sectPr>
          <w:pgSz w:w="11900" w:h="16838" w:orient="portrait"/>
          <w:cols w:equalWidth="0" w:num="1">
            <w:col w:w="11020"/>
          </w:cols>
          <w:pgMar w:left="440" w:top="576" w:right="439" w:bottom="1440" w:gutter="0" w:footer="0" w:header="0"/>
          <w:type w:val="continuous"/>
        </w:sectPr>
      </w:pPr>
    </w:p>
    <w:bookmarkStart w:id="13" w:name="page14"/>
    <w:bookmarkEnd w:id="13"/>
    <w:p>
      <w:pPr>
        <w:ind w:left="12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242695" cy="471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2695" cy="471805"/>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2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Our Board Practices Promote Sustainable Long-Term Shareholder Value</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7003415" cy="4003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4003040"/>
                    </a:xfrm>
                    <a:prstGeom prst="rect">
                      <a:avLst/>
                    </a:prstGeom>
                    <a:noFill/>
                  </pic:spPr>
                </pic:pic>
              </a:graphicData>
            </a:graphic>
          </wp:anchor>
        </w:drawing>
      </w:r>
    </w:p>
    <w:p>
      <w:pPr>
        <w:spacing w:after="0" w:line="242" w:lineRule="exact"/>
        <w:rPr>
          <w:sz w:val="20"/>
          <w:szCs w:val="20"/>
          <w:color w:val="auto"/>
        </w:rPr>
      </w:pPr>
    </w:p>
    <w:tbl>
      <w:tblPr>
        <w:tblLayout w:type="fixed"/>
        <w:tblInd w:w="4" w:type="dxa"/>
        <w:tblCellMar>
          <w:top w:w="0" w:type="dxa"/>
          <w:left w:w="0" w:type="dxa"/>
          <w:bottom w:w="0" w:type="dxa"/>
          <w:right w:w="0" w:type="dxa"/>
        </w:tblCellMar>
      </w:tblPr>
      <w:tr>
        <w:trPr>
          <w:trHeight w:val="235"/>
        </w:trPr>
        <w:tc>
          <w:tcPr>
            <w:tcW w:w="400" w:type="dxa"/>
            <w:vAlign w:val="bottom"/>
            <w:tcBorders>
              <w:top w:val="single" w:sz="8" w:color="4D5357"/>
            </w:tcBorders>
          </w:tcPr>
          <w:p>
            <w:pPr>
              <w:ind w:left="160"/>
              <w:spacing w:after="0"/>
              <w:rPr>
                <w:sz w:val="20"/>
                <w:szCs w:val="20"/>
                <w:color w:val="auto"/>
              </w:rPr>
            </w:pPr>
            <w:r>
              <w:rPr>
                <w:rFonts w:ascii="Arial" w:cs="Arial" w:eastAsia="Arial" w:hAnsi="Arial"/>
                <w:sz w:val="16"/>
                <w:szCs w:val="16"/>
                <w:color w:val="333333"/>
              </w:rPr>
              <w:t xml:space="preserve">    </w:t>
            </w:r>
          </w:p>
        </w:tc>
        <w:tc>
          <w:tcPr>
            <w:tcW w:w="4620" w:type="dxa"/>
            <w:vAlign w:val="bottom"/>
            <w:tcBorders>
              <w:top w:val="single" w:sz="8" w:color="4D5357"/>
            </w:tcBorders>
            <w:gridSpan w:val="2"/>
            <w:vMerge w:val="restart"/>
          </w:tcPr>
          <w:p>
            <w:pPr>
              <w:ind w:left="20"/>
              <w:spacing w:after="0"/>
              <w:rPr>
                <w:sz w:val="20"/>
                <w:szCs w:val="20"/>
                <w:color w:val="auto"/>
              </w:rPr>
            </w:pPr>
            <w:r>
              <w:rPr>
                <w:rFonts w:ascii="Arial" w:cs="Arial" w:eastAsia="Arial" w:hAnsi="Arial"/>
                <w:sz w:val="18"/>
                <w:szCs w:val="18"/>
                <w:b w:val="1"/>
                <w:bCs w:val="1"/>
                <w:color w:val="333333"/>
              </w:rPr>
              <w:t>Our Board is accountable to our shareholders</w:t>
            </w:r>
          </w:p>
        </w:tc>
        <w:tc>
          <w:tcPr>
            <w:tcW w:w="340" w:type="dxa"/>
            <w:vAlign w:val="bottom"/>
            <w:tcBorders>
              <w:top w:val="single" w:sz="8" w:color="4D5357"/>
            </w:tcBorders>
          </w:tcPr>
          <w:p>
            <w:pPr>
              <w:ind w:left="100"/>
              <w:spacing w:after="0"/>
              <w:rPr>
                <w:sz w:val="20"/>
                <w:szCs w:val="20"/>
                <w:color w:val="auto"/>
              </w:rPr>
            </w:pPr>
            <w:r>
              <w:rPr>
                <w:rFonts w:ascii="Arial" w:cs="Arial" w:eastAsia="Arial" w:hAnsi="Arial"/>
                <w:sz w:val="16"/>
                <w:szCs w:val="16"/>
                <w:color w:val="333333"/>
              </w:rPr>
              <w:t xml:space="preserve">    </w:t>
            </w:r>
          </w:p>
        </w:tc>
        <w:tc>
          <w:tcPr>
            <w:tcW w:w="300" w:type="dxa"/>
            <w:vAlign w:val="bottom"/>
          </w:tcPr>
          <w:p>
            <w:pPr>
              <w:ind w:left="100"/>
              <w:spacing w:after="0"/>
              <w:rPr>
                <w:sz w:val="20"/>
                <w:szCs w:val="20"/>
                <w:color w:val="auto"/>
              </w:rPr>
            </w:pPr>
            <w:r>
              <w:rPr>
                <w:rFonts w:ascii="Arial" w:cs="Arial" w:eastAsia="Arial" w:hAnsi="Arial"/>
                <w:sz w:val="16"/>
                <w:szCs w:val="16"/>
                <w:color w:val="333333"/>
              </w:rPr>
              <w:t> </w:t>
            </w:r>
          </w:p>
        </w:tc>
        <w:tc>
          <w:tcPr>
            <w:tcW w:w="380" w:type="dxa"/>
            <w:vAlign w:val="bottom"/>
            <w:tcBorders>
              <w:top w:val="single" w:sz="8" w:color="4D5357"/>
            </w:tcBorders>
          </w:tcPr>
          <w:p>
            <w:pPr>
              <w:ind w:left="120"/>
              <w:spacing w:after="0"/>
              <w:rPr>
                <w:sz w:val="20"/>
                <w:szCs w:val="20"/>
                <w:color w:val="auto"/>
              </w:rPr>
            </w:pPr>
            <w:r>
              <w:rPr>
                <w:rFonts w:ascii="Arial" w:cs="Arial" w:eastAsia="Arial" w:hAnsi="Arial"/>
                <w:sz w:val="16"/>
                <w:szCs w:val="16"/>
                <w:color w:val="333333"/>
              </w:rPr>
              <w:t xml:space="preserve">    </w:t>
            </w:r>
          </w:p>
        </w:tc>
        <w:tc>
          <w:tcPr>
            <w:tcW w:w="4660" w:type="dxa"/>
            <w:vAlign w:val="bottom"/>
            <w:tcBorders>
              <w:top w:val="single" w:sz="8" w:color="4D5357"/>
            </w:tcBorders>
            <w:gridSpan w:val="2"/>
            <w:vMerge w:val="restart"/>
          </w:tcPr>
          <w:p>
            <w:pPr>
              <w:ind w:left="60"/>
              <w:spacing w:after="0"/>
              <w:rPr>
                <w:sz w:val="20"/>
                <w:szCs w:val="20"/>
                <w:color w:val="auto"/>
              </w:rPr>
            </w:pPr>
            <w:r>
              <w:rPr>
                <w:rFonts w:ascii="Arial" w:cs="Arial" w:eastAsia="Arial" w:hAnsi="Arial"/>
                <w:sz w:val="18"/>
                <w:szCs w:val="18"/>
                <w:b w:val="1"/>
                <w:bCs w:val="1"/>
                <w:color w:val="333333"/>
              </w:rPr>
              <w:t>Our Board has adopted practices that enhance its</w:t>
            </w:r>
          </w:p>
        </w:tc>
        <w:tc>
          <w:tcPr>
            <w:tcW w:w="320" w:type="dxa"/>
            <w:vAlign w:val="bottom"/>
            <w:tcBorders>
              <w:top w:val="single" w:sz="8" w:color="4D5357"/>
            </w:tcBorders>
          </w:tcPr>
          <w:p>
            <w:pPr>
              <w:ind w:left="100"/>
              <w:spacing w:after="0"/>
              <w:rPr>
                <w:sz w:val="20"/>
                <w:szCs w:val="20"/>
                <w:color w:val="auto"/>
              </w:rPr>
            </w:pPr>
            <w:r>
              <w:rPr>
                <w:rFonts w:ascii="Arial" w:cs="Arial" w:eastAsia="Arial" w:hAnsi="Arial"/>
                <w:sz w:val="16"/>
                <w:szCs w:val="16"/>
                <w:color w:val="333333"/>
              </w:rPr>
              <w:t xml:space="preserve">    </w:t>
            </w:r>
          </w:p>
        </w:tc>
        <w:tc>
          <w:tcPr>
            <w:tcW w:w="0" w:type="dxa"/>
            <w:vAlign w:val="bottom"/>
          </w:tcPr>
          <w:p>
            <w:pPr>
              <w:spacing w:after="0"/>
              <w:rPr>
                <w:sz w:val="1"/>
                <w:szCs w:val="1"/>
                <w:color w:val="auto"/>
              </w:rPr>
            </w:pPr>
          </w:p>
        </w:tc>
      </w:tr>
      <w:tr>
        <w:trPr>
          <w:trHeight w:val="84"/>
        </w:trPr>
        <w:tc>
          <w:tcPr>
            <w:tcW w:w="400" w:type="dxa"/>
            <w:vAlign w:val="bottom"/>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400" w:type="dxa"/>
            <w:vAlign w:val="bottom"/>
          </w:tcPr>
          <w:p>
            <w:pPr>
              <w:spacing w:after="0"/>
              <w:rPr>
                <w:sz w:val="21"/>
                <w:szCs w:val="21"/>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333333"/>
              </w:rPr>
              <w:t>•</w:t>
            </w: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Annual election of Directors</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60" w:type="dxa"/>
            <w:vAlign w:val="bottom"/>
            <w:gridSpan w:val="2"/>
          </w:tcPr>
          <w:p>
            <w:pPr>
              <w:ind w:left="60"/>
              <w:spacing w:after="0"/>
              <w:rPr>
                <w:sz w:val="20"/>
                <w:szCs w:val="20"/>
                <w:color w:val="auto"/>
              </w:rPr>
            </w:pPr>
            <w:r>
              <w:rPr>
                <w:rFonts w:ascii="Arial" w:cs="Arial" w:eastAsia="Arial" w:hAnsi="Arial"/>
                <w:sz w:val="18"/>
                <w:szCs w:val="18"/>
                <w:b w:val="1"/>
                <w:bCs w:val="1"/>
                <w:color w:val="333333"/>
              </w:rPr>
              <w:t>effectiveness</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4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vMerge w:val="restart"/>
          </w:tcPr>
          <w:p>
            <w:pPr>
              <w:ind w:left="60"/>
              <w:spacing w:after="0"/>
              <w:rPr>
                <w:sz w:val="20"/>
                <w:szCs w:val="20"/>
                <w:color w:val="auto"/>
              </w:rPr>
            </w:pPr>
            <w:r>
              <w:rPr>
                <w:rFonts w:ascii="Arial" w:cs="Arial" w:eastAsia="Arial" w:hAnsi="Arial"/>
                <w:sz w:val="16"/>
                <w:szCs w:val="16"/>
                <w:color w:val="333333"/>
              </w:rPr>
              <w:t>•</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333333"/>
              </w:rPr>
              <w:t>9 of our 10 Director Nominees are independent</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333333"/>
              </w:rPr>
              <w:t>•</w:t>
            </w: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Majority voting for uncontested Director elections</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4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44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vMerge w:val="restart"/>
          </w:tcPr>
          <w:p>
            <w:pPr>
              <w:ind w:left="60"/>
              <w:spacing w:after="0"/>
              <w:rPr>
                <w:sz w:val="20"/>
                <w:szCs w:val="20"/>
                <w:color w:val="auto"/>
              </w:rPr>
            </w:pPr>
            <w:r>
              <w:rPr>
                <w:rFonts w:ascii="Arial" w:cs="Arial" w:eastAsia="Arial" w:hAnsi="Arial"/>
                <w:sz w:val="16"/>
                <w:szCs w:val="16"/>
                <w:color w:val="333333"/>
              </w:rPr>
              <w:t>•</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333333"/>
              </w:rPr>
              <w:t>Directors reflect a diverse mix of skills, experience and</w:t>
            </w: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333333"/>
              </w:rPr>
              <w:t>•</w:t>
            </w: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Proxy access right for shareholders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500" w:type="dxa"/>
            <w:vAlign w:val="bottom"/>
            <w:vMerge w:val="restart"/>
          </w:tcPr>
          <w:p>
            <w:pPr>
              <w:ind w:left="40"/>
              <w:spacing w:after="0"/>
              <w:rPr>
                <w:sz w:val="20"/>
                <w:szCs w:val="20"/>
                <w:color w:val="auto"/>
              </w:rPr>
            </w:pPr>
            <w:r>
              <w:rPr>
                <w:rFonts w:ascii="Arial" w:cs="Arial" w:eastAsia="Arial" w:hAnsi="Arial"/>
                <w:sz w:val="16"/>
                <w:szCs w:val="16"/>
                <w:color w:val="333333"/>
              </w:rPr>
              <w:t>perspectives</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333333"/>
              </w:rPr>
              <w:t>•</w:t>
            </w: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No poison pill / shareholder rights plan</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ind w:left="60"/>
              <w:spacing w:after="0"/>
              <w:rPr>
                <w:sz w:val="20"/>
                <w:szCs w:val="20"/>
                <w:color w:val="auto"/>
              </w:rPr>
            </w:pPr>
            <w:r>
              <w:rPr>
                <w:rFonts w:ascii="Arial" w:cs="Arial" w:eastAsia="Arial" w:hAnsi="Arial"/>
                <w:sz w:val="16"/>
                <w:szCs w:val="16"/>
                <w:color w:val="333333"/>
              </w:rPr>
              <w:t>•</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333333"/>
              </w:rPr>
              <w:t>Significant Board refreshment with 10 new director nominees</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0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333333"/>
              </w:rPr>
              <w:t>•</w:t>
            </w: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Disclosure of governance processes implemented by the</w:t>
            </w: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4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500" w:type="dxa"/>
            <w:vAlign w:val="bottom"/>
            <w:vMerge w:val="restart"/>
          </w:tcPr>
          <w:p>
            <w:pPr>
              <w:ind w:left="40"/>
              <w:spacing w:after="0"/>
              <w:rPr>
                <w:sz w:val="20"/>
                <w:szCs w:val="20"/>
                <w:color w:val="auto"/>
              </w:rPr>
            </w:pPr>
            <w:r>
              <w:rPr>
                <w:rFonts w:ascii="Arial" w:cs="Arial" w:eastAsia="Arial" w:hAnsi="Arial"/>
                <w:sz w:val="16"/>
                <w:szCs w:val="16"/>
                <w:color w:val="333333"/>
              </w:rPr>
              <w:t>in the past 10 years*</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Board and its committees</w:t>
            </w: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ind w:left="60"/>
              <w:spacing w:after="0"/>
              <w:rPr>
                <w:sz w:val="20"/>
                <w:szCs w:val="20"/>
                <w:color w:val="auto"/>
              </w:rPr>
            </w:pPr>
            <w:r>
              <w:rPr>
                <w:rFonts w:ascii="Arial" w:cs="Arial" w:eastAsia="Arial" w:hAnsi="Arial"/>
                <w:sz w:val="16"/>
                <w:szCs w:val="16"/>
                <w:color w:val="333333"/>
              </w:rPr>
              <w:t>•</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333333"/>
              </w:rPr>
              <w:t>Robust onboarding</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4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333333"/>
              </w:rPr>
              <w:t>Our Board is responsive to our shareholders and is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333333"/>
              </w:rPr>
              <w:t>•</w:t>
            </w:r>
          </w:p>
        </w:tc>
        <w:tc>
          <w:tcPr>
            <w:tcW w:w="4500" w:type="dxa"/>
            <w:vAlign w:val="bottom"/>
          </w:tcPr>
          <w:p>
            <w:pPr>
              <w:ind w:left="40"/>
              <w:spacing w:after="0"/>
              <w:rPr>
                <w:sz w:val="20"/>
                <w:szCs w:val="20"/>
                <w:color w:val="auto"/>
              </w:rPr>
            </w:pPr>
            <w:r>
              <w:rPr>
                <w:rFonts w:ascii="Arial" w:cs="Arial" w:eastAsia="Arial" w:hAnsi="Arial"/>
                <w:sz w:val="16"/>
                <w:szCs w:val="16"/>
                <w:color w:val="333333"/>
              </w:rPr>
              <w:t>Annual Board, committee and individual self-assessments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proactive to understand their perspectives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333333"/>
              </w:rPr>
              <w:t>•</w:t>
            </w:r>
          </w:p>
        </w:tc>
        <w:tc>
          <w:tcPr>
            <w:tcW w:w="4500" w:type="dxa"/>
            <w:vAlign w:val="bottom"/>
          </w:tcPr>
          <w:p>
            <w:pPr>
              <w:ind w:left="40"/>
              <w:spacing w:after="0"/>
              <w:rPr>
                <w:sz w:val="20"/>
                <w:szCs w:val="20"/>
                <w:color w:val="auto"/>
              </w:rPr>
            </w:pPr>
            <w:r>
              <w:rPr>
                <w:rFonts w:ascii="Arial" w:cs="Arial" w:eastAsia="Arial" w:hAnsi="Arial"/>
                <w:sz w:val="16"/>
                <w:szCs w:val="16"/>
                <w:color w:val="333333"/>
              </w:rPr>
              <w:t>Rotation of Board committee assignments based on</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333333"/>
              </w:rPr>
              <w:t>•</w:t>
            </w: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Proactive, year-round engagement with shareholders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333333"/>
              </w:rPr>
              <w:t>experience and expertise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60" w:type="dxa"/>
            <w:vAlign w:val="bottom"/>
            <w:gridSpan w:val="2"/>
            <w:vMerge w:val="restart"/>
          </w:tcPr>
          <w:p>
            <w:pPr>
              <w:ind w:left="60"/>
              <w:spacing w:after="0"/>
              <w:rPr>
                <w:sz w:val="20"/>
                <w:szCs w:val="20"/>
                <w:color w:val="auto"/>
              </w:rPr>
            </w:pPr>
            <w:r>
              <w:rPr>
                <w:rFonts w:ascii="Arial" w:cs="Arial" w:eastAsia="Arial" w:hAnsi="Arial"/>
                <w:sz w:val="16"/>
                <w:szCs w:val="16"/>
                <w:color w:val="333333"/>
              </w:rPr>
              <w:t>• Board access to management and employees</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333333"/>
              </w:rPr>
              <w:t>•</w:t>
            </w: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Engagement topics include Board refreshment, sustainability</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4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vMerge w:val="restart"/>
          </w:tcPr>
          <w:p>
            <w:pPr>
              <w:ind w:left="60"/>
              <w:spacing w:after="0"/>
              <w:rPr>
                <w:sz w:val="20"/>
                <w:szCs w:val="20"/>
                <w:color w:val="auto"/>
              </w:rPr>
            </w:pPr>
            <w:r>
              <w:rPr>
                <w:rFonts w:ascii="Arial" w:cs="Arial" w:eastAsia="Arial" w:hAnsi="Arial"/>
                <w:sz w:val="16"/>
                <w:szCs w:val="16"/>
                <w:color w:val="333333"/>
              </w:rPr>
              <w:t>•</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333333"/>
              </w:rPr>
              <w:t>Overboarding, anti-hedging and stock ownership policies</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vMerge w:val="restart"/>
          </w:tcPr>
          <w:p>
            <w:pPr>
              <w:ind w:left="40"/>
              <w:spacing w:after="0"/>
              <w:rPr>
                <w:sz w:val="20"/>
                <w:szCs w:val="20"/>
                <w:color w:val="auto"/>
              </w:rPr>
            </w:pPr>
            <w:r>
              <w:rPr>
                <w:rFonts w:ascii="Arial" w:cs="Arial" w:eastAsia="Arial" w:hAnsi="Arial"/>
                <w:sz w:val="16"/>
                <w:szCs w:val="16"/>
                <w:color w:val="333333"/>
              </w:rPr>
              <w:t>matters, management compensation, and governance</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45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333333"/>
              </w:rPr>
              <w:t>Our shareholders are entitled to voting rights in</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60" w:type="dxa"/>
            <w:vAlign w:val="bottom"/>
            <w:gridSpan w:val="2"/>
          </w:tcPr>
          <w:p>
            <w:pPr>
              <w:ind w:left="60"/>
              <w:spacing w:after="0"/>
              <w:rPr>
                <w:sz w:val="20"/>
                <w:szCs w:val="20"/>
                <w:color w:val="auto"/>
              </w:rPr>
            </w:pPr>
            <w:r>
              <w:rPr>
                <w:rFonts w:ascii="Arial" w:cs="Arial" w:eastAsia="Arial" w:hAnsi="Arial"/>
                <w:sz w:val="18"/>
                <w:szCs w:val="18"/>
                <w:b w:val="1"/>
                <w:bCs w:val="1"/>
                <w:color w:val="333333"/>
              </w:rPr>
              <w:t>Our Board has strong, independent leadership</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proportion to their economic interest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333333"/>
              </w:rPr>
              <w:t>•</w:t>
            </w:r>
          </w:p>
        </w:tc>
        <w:tc>
          <w:tcPr>
            <w:tcW w:w="4500" w:type="dxa"/>
            <w:vAlign w:val="bottom"/>
          </w:tcPr>
          <w:p>
            <w:pPr>
              <w:ind w:left="40"/>
              <w:spacing w:after="0"/>
              <w:rPr>
                <w:sz w:val="20"/>
                <w:szCs w:val="20"/>
                <w:color w:val="auto"/>
              </w:rPr>
            </w:pPr>
            <w:r>
              <w:rPr>
                <w:rFonts w:ascii="Arial" w:cs="Arial" w:eastAsia="Arial" w:hAnsi="Arial"/>
                <w:sz w:val="16"/>
                <w:szCs w:val="16"/>
                <w:color w:val="333333"/>
              </w:rPr>
              <w:t>Independent Lead Director</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333333"/>
              </w:rPr>
              <w:t>•</w:t>
            </w:r>
          </w:p>
        </w:tc>
        <w:tc>
          <w:tcPr>
            <w:tcW w:w="4480" w:type="dxa"/>
            <w:vAlign w:val="bottom"/>
          </w:tcPr>
          <w:p>
            <w:pPr>
              <w:ind w:left="40"/>
              <w:spacing w:after="0"/>
              <w:rPr>
                <w:sz w:val="20"/>
                <w:szCs w:val="20"/>
                <w:color w:val="auto"/>
              </w:rPr>
            </w:pPr>
            <w:r>
              <w:rPr>
                <w:rFonts w:ascii="Arial" w:cs="Arial" w:eastAsia="Arial" w:hAnsi="Arial"/>
                <w:sz w:val="16"/>
                <w:szCs w:val="16"/>
                <w:color w:val="333333"/>
              </w:rPr>
              <w:t>One class of voting stock</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333333"/>
              </w:rPr>
              <w:t>•</w:t>
            </w:r>
          </w:p>
        </w:tc>
        <w:tc>
          <w:tcPr>
            <w:tcW w:w="4500" w:type="dxa"/>
            <w:vAlign w:val="bottom"/>
          </w:tcPr>
          <w:p>
            <w:pPr>
              <w:ind w:left="40"/>
              <w:spacing w:after="0"/>
              <w:rPr>
                <w:sz w:val="20"/>
                <w:szCs w:val="20"/>
                <w:color w:val="auto"/>
              </w:rPr>
            </w:pPr>
            <w:r>
              <w:rPr>
                <w:rFonts w:ascii="Arial" w:cs="Arial" w:eastAsia="Arial" w:hAnsi="Arial"/>
                <w:sz w:val="16"/>
                <w:szCs w:val="16"/>
                <w:color w:val="333333"/>
              </w:rPr>
              <w:t>Annual review of Board leadership structure</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333333"/>
              </w:rPr>
              <w:t>•</w:t>
            </w:r>
          </w:p>
        </w:tc>
        <w:tc>
          <w:tcPr>
            <w:tcW w:w="4480" w:type="dxa"/>
            <w:vAlign w:val="bottom"/>
          </w:tcPr>
          <w:p>
            <w:pPr>
              <w:ind w:left="40"/>
              <w:spacing w:after="0"/>
              <w:rPr>
                <w:sz w:val="20"/>
                <w:szCs w:val="20"/>
                <w:color w:val="auto"/>
              </w:rPr>
            </w:pPr>
            <w:r>
              <w:rPr>
                <w:rFonts w:ascii="Arial" w:cs="Arial" w:eastAsia="Arial" w:hAnsi="Arial"/>
                <w:sz w:val="16"/>
                <w:szCs w:val="16"/>
                <w:color w:val="333333"/>
              </w:rPr>
              <w:t>One share, one vote standard</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333333"/>
              </w:rPr>
              <w:t>•</w:t>
            </w:r>
          </w:p>
        </w:tc>
        <w:tc>
          <w:tcPr>
            <w:tcW w:w="4500" w:type="dxa"/>
            <w:vAlign w:val="bottom"/>
          </w:tcPr>
          <w:p>
            <w:pPr>
              <w:ind w:left="40"/>
              <w:spacing w:after="0"/>
              <w:rPr>
                <w:sz w:val="20"/>
                <w:szCs w:val="20"/>
                <w:color w:val="auto"/>
              </w:rPr>
            </w:pPr>
            <w:r>
              <w:rPr>
                <w:rFonts w:ascii="Arial" w:cs="Arial" w:eastAsia="Arial" w:hAnsi="Arial"/>
                <w:sz w:val="16"/>
                <w:szCs w:val="16"/>
                <w:color w:val="333333"/>
              </w:rPr>
              <w:t>Independent chairs of Board committees</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333333"/>
              </w:rPr>
              <w:t>•</w:t>
            </w:r>
          </w:p>
        </w:tc>
        <w:tc>
          <w:tcPr>
            <w:tcW w:w="4500" w:type="dxa"/>
            <w:vAlign w:val="bottom"/>
          </w:tcPr>
          <w:p>
            <w:pPr>
              <w:ind w:left="40"/>
              <w:spacing w:after="0"/>
              <w:rPr>
                <w:sz w:val="20"/>
                <w:szCs w:val="20"/>
                <w:color w:val="auto"/>
              </w:rPr>
            </w:pPr>
            <w:r>
              <w:rPr>
                <w:rFonts w:ascii="Arial" w:cs="Arial" w:eastAsia="Arial" w:hAnsi="Arial"/>
                <w:sz w:val="16"/>
                <w:szCs w:val="16"/>
                <w:color w:val="333333"/>
              </w:rPr>
              <w:t>Only one Director is a Company employee</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104"/>
        <w:spacing w:after="0"/>
        <w:rPr>
          <w:sz w:val="20"/>
          <w:szCs w:val="20"/>
          <w:color w:val="auto"/>
        </w:rPr>
      </w:pPr>
      <w:r>
        <w:rPr>
          <w:rFonts w:ascii="Arial" w:cs="Arial" w:eastAsia="Arial" w:hAnsi="Arial"/>
          <w:sz w:val="18"/>
          <w:szCs w:val="18"/>
          <w:b w:val="1"/>
          <w:bCs w:val="1"/>
          <w:color w:val="333333"/>
        </w:rPr>
        <w:t>Our Board has developed a management</w:t>
      </w:r>
    </w:p>
    <w:p>
      <w:pPr>
        <w:spacing w:after="0" w:line="9" w:lineRule="exact"/>
        <w:rPr>
          <w:sz w:val="20"/>
          <w:szCs w:val="20"/>
          <w:color w:val="auto"/>
        </w:rPr>
      </w:pPr>
    </w:p>
    <w:p>
      <w:pPr>
        <w:ind w:left="6104"/>
        <w:spacing w:after="0"/>
        <w:rPr>
          <w:sz w:val="20"/>
          <w:szCs w:val="20"/>
          <w:color w:val="auto"/>
        </w:rPr>
      </w:pPr>
      <w:r>
        <w:rPr>
          <w:rFonts w:ascii="Arial" w:cs="Arial" w:eastAsia="Arial" w:hAnsi="Arial"/>
          <w:sz w:val="18"/>
          <w:szCs w:val="18"/>
          <w:b w:val="1"/>
          <w:bCs w:val="1"/>
          <w:color w:val="333333"/>
        </w:rPr>
        <w:t>compensation structure that is aligned with the long-</w:t>
      </w:r>
    </w:p>
    <w:p>
      <w:pPr>
        <w:ind w:left="6104"/>
        <w:spacing w:after="0"/>
        <w:rPr>
          <w:sz w:val="20"/>
          <w:szCs w:val="20"/>
          <w:color w:val="auto"/>
        </w:rPr>
      </w:pPr>
      <w:r>
        <w:rPr>
          <w:rFonts w:ascii="Arial" w:cs="Arial" w:eastAsia="Arial" w:hAnsi="Arial"/>
          <w:sz w:val="18"/>
          <w:szCs w:val="18"/>
          <w:b w:val="1"/>
          <w:bCs w:val="1"/>
          <w:color w:val="333333"/>
        </w:rPr>
        <w:t>term strategy of the Company</w:t>
      </w:r>
    </w:p>
    <w:p>
      <w:pPr>
        <w:spacing w:after="0" w:line="104" w:lineRule="exact"/>
        <w:rPr>
          <w:sz w:val="20"/>
          <w:szCs w:val="20"/>
          <w:color w:val="auto"/>
        </w:rPr>
      </w:pPr>
    </w:p>
    <w:p>
      <w:pPr>
        <w:ind w:left="6104"/>
        <w:spacing w:after="0"/>
        <w:rPr>
          <w:sz w:val="20"/>
          <w:szCs w:val="20"/>
          <w:color w:val="auto"/>
        </w:rPr>
      </w:pPr>
      <w:r>
        <w:rPr>
          <w:rFonts w:ascii="Arial" w:cs="Arial" w:eastAsia="Arial" w:hAnsi="Arial"/>
          <w:sz w:val="16"/>
          <w:szCs w:val="16"/>
          <w:color w:val="333333"/>
        </w:rPr>
        <w:t>• Compensation programs reviewed to include short-and long-</w:t>
      </w:r>
    </w:p>
    <w:p>
      <w:pPr>
        <w:spacing w:after="0" w:line="21" w:lineRule="exact"/>
        <w:rPr>
          <w:sz w:val="20"/>
          <w:szCs w:val="20"/>
          <w:color w:val="auto"/>
        </w:rPr>
      </w:pPr>
    </w:p>
    <w:p>
      <w:pPr>
        <w:ind w:left="6244"/>
        <w:spacing w:after="0"/>
        <w:rPr>
          <w:sz w:val="20"/>
          <w:szCs w:val="20"/>
          <w:color w:val="auto"/>
        </w:rPr>
      </w:pPr>
      <w:r>
        <w:rPr>
          <w:rFonts w:ascii="Arial" w:cs="Arial" w:eastAsia="Arial" w:hAnsi="Arial"/>
          <w:sz w:val="16"/>
          <w:szCs w:val="16"/>
          <w:color w:val="333333"/>
        </w:rPr>
        <w:t>term goals tied to the long-range plan and to attract, retain,</w:t>
      </w:r>
    </w:p>
    <w:p>
      <w:pPr>
        <w:spacing w:after="0" w:line="5" w:lineRule="exact"/>
        <w:rPr>
          <w:sz w:val="20"/>
          <w:szCs w:val="20"/>
          <w:color w:val="auto"/>
        </w:rPr>
      </w:pPr>
    </w:p>
    <w:p>
      <w:pPr>
        <w:ind w:left="6244"/>
        <w:spacing w:after="0"/>
        <w:rPr>
          <w:sz w:val="20"/>
          <w:szCs w:val="20"/>
          <w:color w:val="auto"/>
        </w:rPr>
      </w:pPr>
      <w:r>
        <w:rPr>
          <w:rFonts w:ascii="Arial" w:cs="Arial" w:eastAsia="Arial" w:hAnsi="Arial"/>
          <w:sz w:val="16"/>
          <w:szCs w:val="16"/>
          <w:color w:val="333333"/>
        </w:rPr>
        <w:t>incentivize and reward excellent performance</w:t>
      </w:r>
    </w:p>
    <w:p>
      <w:pPr>
        <w:spacing w:after="0" w:line="200" w:lineRule="exact"/>
        <w:rPr>
          <w:sz w:val="20"/>
          <w:szCs w:val="20"/>
          <w:color w:val="auto"/>
        </w:rPr>
      </w:pPr>
    </w:p>
    <w:p>
      <w:pPr>
        <w:spacing w:after="0" w:line="271"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3"/>
          <w:szCs w:val="13"/>
          <w:color w:val="333333"/>
        </w:rPr>
      </w:pPr>
      <w:r>
        <w:rPr>
          <w:rFonts w:ascii="Arial" w:cs="Arial" w:eastAsia="Arial" w:hAnsi="Arial"/>
          <w:sz w:val="13"/>
          <w:szCs w:val="13"/>
          <w:color w:val="333333"/>
        </w:rPr>
        <w:t>Includes Smith W. Davis who retired in 2023 and John J. Koraleski who is retiring at the 2026 Annual Meeting of Shareholders.</w:t>
      </w:r>
    </w:p>
    <w:p>
      <w:pPr>
        <w:spacing w:after="0" w:line="38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589"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44" w:space="120"/>
            <w:col w:w="620" w:space="120"/>
            <w:col w:w="8620" w:space="720"/>
            <w:col w:w="780"/>
          </w:cols>
          <w:pgMar w:left="436" w:top="589" w:right="439" w:bottom="1440" w:gutter="0" w:footer="0" w:header="0"/>
          <w:type w:val="continuous"/>
        </w:sectPr>
      </w:pPr>
    </w:p>
    <w:bookmarkStart w:id="14" w:name="page15"/>
    <w:bookmarkEnd w:id="14"/>
    <w:p>
      <w:pPr>
        <w:ind w:left="91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200660</wp:posOffset>
            </wp:positionV>
            <wp:extent cx="1328420" cy="454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8420" cy="454660"/>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029450" cy="3960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Board Attendance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5620" w:type="dxa"/>
            <w:vAlign w:val="bottom"/>
          </w:tcPr>
          <w:p>
            <w:pPr>
              <w:spacing w:after="0"/>
              <w:rPr>
                <w:sz w:val="20"/>
                <w:szCs w:val="20"/>
                <w:color w:val="auto"/>
              </w:rPr>
            </w:pPr>
            <w:r>
              <w:rPr>
                <w:rFonts w:ascii="Arial" w:cs="Arial" w:eastAsia="Arial" w:hAnsi="Arial"/>
                <w:sz w:val="16"/>
                <w:szCs w:val="16"/>
                <w:color w:val="333333"/>
              </w:rPr>
              <w:t>In 2025, during their terms of service, all directors attended 100% of the</w:t>
            </w:r>
          </w:p>
        </w:tc>
        <w:tc>
          <w:tcPr>
            <w:tcW w:w="2640" w:type="dxa"/>
            <w:vAlign w:val="bottom"/>
            <w:vMerge w:val="restart"/>
            <w:shd w:val="clear" w:color="auto" w:fill="EAEAEA"/>
          </w:tcPr>
          <w:p>
            <w:pPr>
              <w:ind w:left="380"/>
              <w:spacing w:after="0"/>
              <w:rPr>
                <w:sz w:val="20"/>
                <w:szCs w:val="20"/>
                <w:color w:val="auto"/>
              </w:rPr>
            </w:pPr>
            <w:r>
              <w:rPr>
                <w:rFonts w:ascii="Arial" w:cs="Arial" w:eastAsia="Arial" w:hAnsi="Arial"/>
                <w:sz w:val="65"/>
                <w:szCs w:val="65"/>
                <w:color w:val="4D5357"/>
              </w:rPr>
              <w:t>  100%</w:t>
            </w:r>
          </w:p>
        </w:tc>
        <w:tc>
          <w:tcPr>
            <w:tcW w:w="276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6"/>
                <w:szCs w:val="16"/>
                <w:color w:val="333333"/>
              </w:rPr>
              <w:t>Board meetings and all directors attended at least 75% of the committee</w:t>
            </w:r>
          </w:p>
        </w:tc>
        <w:tc>
          <w:tcPr>
            <w:tcW w:w="2640" w:type="dxa"/>
            <w:vAlign w:val="bottom"/>
            <w:vMerge w:val="continue"/>
            <w:shd w:val="clear" w:color="auto" w:fill="EAEAEA"/>
          </w:tcPr>
          <w:p>
            <w:pPr>
              <w:spacing w:after="0"/>
              <w:rPr>
                <w:sz w:val="18"/>
                <w:szCs w:val="18"/>
                <w:color w:val="auto"/>
              </w:rPr>
            </w:pPr>
          </w:p>
        </w:tc>
        <w:tc>
          <w:tcPr>
            <w:tcW w:w="2760" w:type="dxa"/>
            <w:vAlign w:val="bottom"/>
            <w:shd w:val="clear" w:color="auto" w:fill="EAEAEA"/>
          </w:tcPr>
          <w:p>
            <w:pPr>
              <w:ind w:left="280"/>
              <w:spacing w:after="0"/>
              <w:rPr>
                <w:sz w:val="20"/>
                <w:szCs w:val="20"/>
                <w:color w:val="auto"/>
              </w:rPr>
            </w:pPr>
            <w:r>
              <w:rPr>
                <w:rFonts w:ascii="Arial" w:cs="Arial" w:eastAsia="Arial" w:hAnsi="Arial"/>
                <w:sz w:val="18"/>
                <w:szCs w:val="18"/>
                <w:b w:val="1"/>
                <w:bCs w:val="1"/>
                <w:color w:val="0086CC"/>
              </w:rPr>
              <w:t>BOARD MEETINGS</w:t>
            </w:r>
          </w:p>
        </w:tc>
        <w:tc>
          <w:tcPr>
            <w:tcW w:w="0" w:type="dxa"/>
            <w:vAlign w:val="bottom"/>
          </w:tcPr>
          <w:p>
            <w:pPr>
              <w:spacing w:after="0"/>
              <w:rPr>
                <w:sz w:val="1"/>
                <w:szCs w:val="1"/>
                <w:color w:val="auto"/>
              </w:rPr>
            </w:pPr>
          </w:p>
        </w:tc>
      </w:tr>
      <w:tr>
        <w:trPr>
          <w:trHeight w:val="161"/>
        </w:trPr>
        <w:tc>
          <w:tcPr>
            <w:tcW w:w="5620" w:type="dxa"/>
            <w:vAlign w:val="bottom"/>
          </w:tcPr>
          <w:p>
            <w:pPr>
              <w:spacing w:after="0" w:line="161" w:lineRule="exact"/>
              <w:rPr>
                <w:sz w:val="20"/>
                <w:szCs w:val="20"/>
                <w:color w:val="auto"/>
              </w:rPr>
            </w:pPr>
            <w:r>
              <w:rPr>
                <w:rFonts w:ascii="Arial" w:cs="Arial" w:eastAsia="Arial" w:hAnsi="Arial"/>
                <w:sz w:val="16"/>
                <w:szCs w:val="16"/>
                <w:color w:val="333333"/>
              </w:rPr>
              <w:t>meetings to which they were assigned. All directors then in office</w:t>
            </w:r>
          </w:p>
        </w:tc>
        <w:tc>
          <w:tcPr>
            <w:tcW w:w="2640" w:type="dxa"/>
            <w:vAlign w:val="bottom"/>
            <w:vMerge w:val="continue"/>
            <w:shd w:val="clear" w:color="auto" w:fill="EAEAEA"/>
          </w:tcPr>
          <w:p>
            <w:pPr>
              <w:spacing w:after="0"/>
              <w:rPr>
                <w:sz w:val="14"/>
                <w:szCs w:val="14"/>
                <w:color w:val="auto"/>
              </w:rPr>
            </w:pPr>
          </w:p>
        </w:tc>
        <w:tc>
          <w:tcPr>
            <w:tcW w:w="2760" w:type="dxa"/>
            <w:vAlign w:val="bottom"/>
            <w:vMerge w:val="restart"/>
            <w:shd w:val="clear" w:color="auto" w:fill="EAEAEA"/>
          </w:tcPr>
          <w:p>
            <w:pPr>
              <w:ind w:left="280"/>
              <w:spacing w:after="0"/>
              <w:rPr>
                <w:sz w:val="20"/>
                <w:szCs w:val="20"/>
                <w:color w:val="auto"/>
              </w:rPr>
            </w:pPr>
            <w:r>
              <w:rPr>
                <w:rFonts w:ascii="Arial" w:cs="Arial" w:eastAsia="Arial" w:hAnsi="Arial"/>
                <w:sz w:val="18"/>
                <w:szCs w:val="18"/>
                <w:b w:val="1"/>
                <w:bCs w:val="1"/>
                <w:color w:val="0086CC"/>
              </w:rPr>
              <w:t>ATTENDED IN 2025</w:t>
            </w: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6"/>
                <w:szCs w:val="16"/>
                <w:color w:val="333333"/>
              </w:rPr>
              <w:t>attended the May 2025 Annual Meeting.</w:t>
            </w:r>
          </w:p>
        </w:tc>
        <w:tc>
          <w:tcPr>
            <w:tcW w:w="2640" w:type="dxa"/>
            <w:vAlign w:val="bottom"/>
            <w:vMerge w:val="continue"/>
            <w:shd w:val="clear" w:color="auto" w:fill="EAEAEA"/>
          </w:tcPr>
          <w:p>
            <w:pPr>
              <w:spacing w:after="0"/>
              <w:rPr>
                <w:sz w:val="19"/>
                <w:szCs w:val="19"/>
                <w:color w:val="auto"/>
              </w:rPr>
            </w:pPr>
          </w:p>
        </w:tc>
        <w:tc>
          <w:tcPr>
            <w:tcW w:w="2760" w:type="dxa"/>
            <w:vAlign w:val="bottom"/>
            <w:vMerge w:val="continue"/>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2640" w:type="dxa"/>
            <w:vAlign w:val="bottom"/>
            <w:shd w:val="clear" w:color="auto" w:fill="EAEAEA"/>
          </w:tcPr>
          <w:p>
            <w:pPr>
              <w:spacing w:after="0"/>
              <w:rPr>
                <w:sz w:val="21"/>
                <w:szCs w:val="21"/>
                <w:color w:val="auto"/>
              </w:rPr>
            </w:pPr>
          </w:p>
        </w:tc>
        <w:tc>
          <w:tcPr>
            <w:tcW w:w="276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76"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2760"/>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9 </w:t>
      </w:r>
      <w:r>
        <w:rPr>
          <w:rFonts w:ascii="Arial" w:cs="Arial" w:eastAsia="Arial" w:hAnsi="Arial"/>
          <w:sz w:val="16"/>
          <w:szCs w:val="16"/>
          <w:color w:val="333333"/>
        </w:rPr>
        <w:t xml:space="preserve">               </w:t>
      </w:r>
    </w:p>
    <w:p>
      <w:pPr>
        <w:sectPr>
          <w:pgSz w:w="11900" w:h="16838" w:orient="portrait"/>
          <w:cols w:equalWidth="0" w:num="3">
            <w:col w:w="3860" w:space="720"/>
            <w:col w:w="4740" w:space="720"/>
            <w:col w:w="980"/>
          </w:cols>
          <w:pgMar w:left="440" w:top="576" w:right="439" w:bottom="1440" w:gutter="0" w:footer="0" w:header="0"/>
          <w:type w:val="continuous"/>
        </w:sectPr>
      </w:pPr>
    </w:p>
    <w:bookmarkStart w:id="15" w:name="page16"/>
    <w:bookmarkEnd w:id="15"/>
    <w:p>
      <w:pPr>
        <w:ind w:left="12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242695" cy="4718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42695" cy="471805"/>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26" w:lineRule="exact"/>
        <w:rPr>
          <w:sz w:val="20"/>
          <w:szCs w:val="20"/>
          <w:color w:val="auto"/>
        </w:rPr>
      </w:pPr>
    </w:p>
    <w:p>
      <w:pPr>
        <w:ind w:left="4"/>
        <w:spacing w:after="0"/>
        <w:rPr>
          <w:sz w:val="20"/>
          <w:szCs w:val="20"/>
          <w:color w:val="auto"/>
        </w:rPr>
      </w:pPr>
      <w:r>
        <w:rPr>
          <w:rFonts w:ascii="Arial" w:cs="Arial" w:eastAsia="Arial" w:hAnsi="Arial"/>
          <w:sz w:val="26"/>
          <w:szCs w:val="26"/>
          <w:b w:val="1"/>
          <w:bCs w:val="1"/>
          <w:color w:val="0086CC"/>
        </w:rPr>
        <w:t>Effective Shareholder Engagement</w:t>
      </w:r>
    </w:p>
    <w:p>
      <w:pPr>
        <w:sectPr>
          <w:pgSz w:w="11900" w:h="16838" w:orient="portrait"/>
          <w:cols w:equalWidth="0" w:num="1">
            <w:col w:w="11024"/>
          </w:cols>
          <w:pgMar w:left="436" w:top="589" w:right="439" w:bottom="1440" w:gutter="0" w:footer="0" w:header="0"/>
        </w:sectPr>
      </w:pP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Avenues of engagement</w:t>
      </w:r>
    </w:p>
    <w:p>
      <w:pPr>
        <w:spacing w:after="0" w:line="68" w:lineRule="exact"/>
        <w:rPr>
          <w:sz w:val="20"/>
          <w:szCs w:val="20"/>
          <w:color w:val="auto"/>
        </w:rPr>
      </w:pPr>
    </w:p>
    <w:p>
      <w:pPr>
        <w:ind w:left="564" w:right="20"/>
        <w:spacing w:after="0" w:line="286" w:lineRule="auto"/>
        <w:rPr>
          <w:sz w:val="20"/>
          <w:szCs w:val="20"/>
          <w:color w:val="auto"/>
        </w:rPr>
      </w:pPr>
      <w:r>
        <w:rPr>
          <w:rFonts w:ascii="Arial" w:cs="Arial" w:eastAsia="Arial" w:hAnsi="Arial"/>
          <w:sz w:val="16"/>
          <w:szCs w:val="16"/>
          <w:color w:val="333333"/>
        </w:rPr>
        <w:t>We hold in-person and/or virtual meetings with investor groups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-251460</wp:posOffset>
            </wp:positionV>
            <wp:extent cx="23114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1140" cy="16256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22225</wp:posOffset>
            </wp:positionV>
            <wp:extent cx="19685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68" w:lineRule="exact"/>
        <w:rPr>
          <w:sz w:val="20"/>
          <w:szCs w:val="20"/>
          <w:color w:val="auto"/>
        </w:rPr>
      </w:pPr>
    </w:p>
    <w:p>
      <w:pPr>
        <w:ind w:left="564"/>
        <w:spacing w:after="0"/>
        <w:rPr>
          <w:sz w:val="20"/>
          <w:szCs w:val="20"/>
          <w:color w:val="auto"/>
        </w:rPr>
      </w:pPr>
      <w:r>
        <w:rPr>
          <w:rFonts w:ascii="Arial" w:cs="Arial" w:eastAsia="Arial" w:hAnsi="Arial"/>
          <w:sz w:val="16"/>
          <w:szCs w:val="16"/>
          <w:color w:val="333333"/>
        </w:rPr>
        <w:t>We conduct quarterly conference calls with analysts</w:t>
      </w:r>
    </w:p>
    <w:p>
      <w:pPr>
        <w:spacing w:after="0" w:line="127" w:lineRule="exact"/>
        <w:rPr>
          <w:sz w:val="20"/>
          <w:szCs w:val="20"/>
          <w:color w:val="auto"/>
        </w:rPr>
      </w:pPr>
    </w:p>
    <w:p>
      <w:pPr>
        <w:ind w:left="564" w:right="80"/>
        <w:spacing w:after="0" w:line="286" w:lineRule="auto"/>
        <w:rPr>
          <w:sz w:val="20"/>
          <w:szCs w:val="20"/>
          <w:color w:val="auto"/>
        </w:rPr>
      </w:pPr>
      <w:r>
        <w:rPr>
          <w:rFonts w:ascii="Arial" w:cs="Arial" w:eastAsia="Arial" w:hAnsi="Arial"/>
          <w:sz w:val="16"/>
          <w:szCs w:val="16"/>
          <w:color w:val="333333"/>
        </w:rPr>
        <w:t>We engage with investors continually through meetings, calls, written correspondence, and emails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-268605</wp:posOffset>
            </wp:positionV>
            <wp:extent cx="231140"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1140" cy="248920"/>
                    </a:xfrm>
                    <a:prstGeom prst="rect">
                      <a:avLst/>
                    </a:prstGeom>
                    <a:noFill/>
                  </pic:spPr>
                </pic:pic>
              </a:graphicData>
            </a:graphic>
          </wp:anchor>
        </w:drawing>
      </w:r>
    </w:p>
    <w:p>
      <w:pPr>
        <w:spacing w:after="0" w:line="41" w:lineRule="exact"/>
        <w:rPr>
          <w:sz w:val="20"/>
          <w:szCs w:val="20"/>
          <w:color w:val="auto"/>
        </w:rPr>
      </w:pPr>
    </w:p>
    <w:p>
      <w:pPr>
        <w:ind w:left="564" w:right="40"/>
        <w:spacing w:after="0" w:line="266" w:lineRule="auto"/>
        <w:rPr>
          <w:sz w:val="20"/>
          <w:szCs w:val="20"/>
          <w:color w:val="auto"/>
        </w:rPr>
      </w:pPr>
      <w:r>
        <w:rPr>
          <w:rFonts w:ascii="Arial" w:cs="Arial" w:eastAsia="Arial" w:hAnsi="Arial"/>
          <w:sz w:val="16"/>
          <w:szCs w:val="16"/>
          <w:color w:val="333333"/>
        </w:rPr>
        <w:t>We report investor feedback to the Management Development and Compensation Committee and the Board to assist in aligning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-284480</wp:posOffset>
            </wp:positionV>
            <wp:extent cx="24828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8285" cy="163195"/>
                    </a:xfrm>
                    <a:prstGeom prst="rect">
                      <a:avLst/>
                    </a:prstGeom>
                    <a:noFill/>
                  </pic:spPr>
                </pic:pic>
              </a:graphicData>
            </a:graphic>
          </wp:anchor>
        </w:drawing>
      </w:r>
    </w:p>
    <w:p>
      <w:pPr>
        <w:spacing w:after="0" w:line="30" w:lineRule="exact"/>
        <w:rPr>
          <w:sz w:val="20"/>
          <w:szCs w:val="20"/>
          <w:color w:val="auto"/>
        </w:rPr>
      </w:pPr>
    </w:p>
    <w:p>
      <w:pPr>
        <w:ind w:left="564"/>
        <w:spacing w:after="0" w:line="286" w:lineRule="auto"/>
        <w:rPr>
          <w:sz w:val="20"/>
          <w:szCs w:val="20"/>
          <w:color w:val="auto"/>
        </w:rPr>
      </w:pPr>
      <w:r>
        <w:rPr>
          <w:rFonts w:ascii="Arial" w:cs="Arial" w:eastAsia="Arial" w:hAnsi="Arial"/>
          <w:sz w:val="16"/>
          <w:szCs w:val="16"/>
          <w:color w:val="333333"/>
        </w:rPr>
        <w:t>We conduct a Fall Engagement Program or Capital Markets Day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-260350</wp:posOffset>
            </wp:positionV>
            <wp:extent cx="21399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39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Discussion highlights</w:t>
      </w:r>
    </w:p>
    <w:p>
      <w:pPr>
        <w:spacing w:after="0" w:line="68" w:lineRule="exact"/>
        <w:rPr>
          <w:sz w:val="20"/>
          <w:szCs w:val="20"/>
          <w:color w:val="auto"/>
        </w:rPr>
      </w:pPr>
    </w:p>
    <w:p>
      <w:pPr>
        <w:ind w:left="160" w:hanging="153"/>
        <w:spacing w:after="0"/>
        <w:tabs>
          <w:tab w:leader="none" w:pos="16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Company strategy, including acquisitions and divestitures</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Financial and operating performance</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Commercial and operational excellence goals</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Safety, environment and sustainability</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Board oversight, refreshment and composition</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Executive compensation</w:t>
      </w:r>
    </w:p>
    <w:p>
      <w:pPr>
        <w:spacing w:after="0" w:line="1139" w:lineRule="exact"/>
        <w:rPr>
          <w:sz w:val="20"/>
          <w:szCs w:val="20"/>
          <w:color w:val="auto"/>
        </w:rPr>
      </w:pPr>
    </w:p>
    <w:p>
      <w:pPr>
        <w:sectPr>
          <w:pgSz w:w="11900" w:h="16838" w:orient="portrait"/>
          <w:cols w:equalWidth="0" w:num="2">
            <w:col w:w="5584" w:space="700"/>
            <w:col w:w="4740"/>
          </w:cols>
          <w:pgMar w:left="436" w:top="589" w:right="439" w:bottom="1440" w:gutter="0" w:footer="0" w:header="0"/>
          <w:type w:val="continuous"/>
        </w:sectPr>
      </w:pPr>
    </w:p>
    <w:p>
      <w:pPr>
        <w:ind w:left="4" w:right="160"/>
        <w:spacing w:after="0" w:line="259" w:lineRule="auto"/>
        <w:rPr>
          <w:sz w:val="20"/>
          <w:szCs w:val="20"/>
          <w:color w:val="auto"/>
        </w:rPr>
      </w:pPr>
      <w:r>
        <w:rPr>
          <w:rFonts w:ascii="Arial" w:cs="Arial" w:eastAsia="Arial" w:hAnsi="Arial"/>
          <w:sz w:val="16"/>
          <w:szCs w:val="16"/>
          <w:color w:val="333333"/>
        </w:rPr>
        <w:t>Our Board, the Management Development and Compensation Committee, our Chair and Chief Executive Officer, and our Chief Financial Officer alongside our Investor Relations, Legal, and Sustainability teams have a robust shareholder engagement program in place. This program is active year-round and accepts requests for engagement from shareholders and proactively reaches out to initiate dialogue with our shareholders on topics that are important to the Company.</w:t>
      </w:r>
    </w:p>
    <w:p>
      <w:pPr>
        <w:spacing w:after="0" w:line="178"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333333"/>
        </w:rPr>
        <w:t>The Company conducts a Fall Shareholder Engagement Program or Capital Markets Day each year. As part of the Fall Shareholder Engagement program, the shareholder engagement team described above embarks on a comprehensive engagement effort. In 2024, this team reached out to over 50 of our top shareholders, representing approximately 75% of outstanding shares, for their feedback on a variety of topics including our business, strategy, health and safety, commercial and operational excellence, sustainability initiatives and executive compensation. In September 2025, the Company held a Capital Markets Day where we welcomed over 40 existing and prospective shareholders in person while hosting many others virtually and affirmed our dedication to our Strategic Operating Analysis and Review (SOAR) framework which has been central to our transformation into a largely pure aggregates market leader and our commitment to shareholder responsiveness.</w:t>
      </w:r>
    </w:p>
    <w:p>
      <w:pPr>
        <w:spacing w:after="0" w:line="181" w:lineRule="exact"/>
        <w:rPr>
          <w:sz w:val="20"/>
          <w:szCs w:val="20"/>
          <w:color w:val="auto"/>
        </w:rPr>
      </w:pPr>
    </w:p>
    <w:p>
      <w:pPr>
        <w:ind w:left="4" w:right="220"/>
        <w:spacing w:after="0" w:line="286" w:lineRule="auto"/>
        <w:rPr>
          <w:sz w:val="20"/>
          <w:szCs w:val="20"/>
          <w:color w:val="auto"/>
        </w:rPr>
      </w:pPr>
      <w:r>
        <w:rPr>
          <w:rFonts w:ascii="Arial" w:cs="Arial" w:eastAsia="Arial" w:hAnsi="Arial"/>
          <w:sz w:val="16"/>
          <w:szCs w:val="16"/>
          <w:color w:val="333333"/>
        </w:rPr>
        <w:t>We have a history of robust shareholder responsiveness. In prior years, we have made other meaningful changes to our disclosures and compensation program based on feedback from shareholders including:</w:t>
      </w:r>
    </w:p>
    <w:p>
      <w:pPr>
        <w:spacing w:after="0" w:line="61" w:lineRule="exact"/>
        <w:rPr>
          <w:sz w:val="20"/>
          <w:szCs w:val="20"/>
          <w:color w:val="auto"/>
        </w:rPr>
      </w:pPr>
    </w:p>
    <w:p>
      <w:pPr>
        <w:ind w:left="224" w:right="980" w:hanging="224"/>
        <w:spacing w:after="0" w:line="286" w:lineRule="auto"/>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Adopted a formulaic program for our Short Term Incentive (STI) </w:t>
      </w:r>
      <w:r>
        <w:rPr>
          <w:rFonts w:ascii="Arial" w:cs="Arial" w:eastAsia="Arial" w:hAnsi="Arial"/>
          <w:sz w:val="16"/>
          <w:szCs w:val="16"/>
          <w:color w:val="333333"/>
        </w:rPr>
        <w:t>providing a strong link between pay and performance while reducing</w:t>
      </w:r>
      <w:r>
        <w:rPr>
          <w:rFonts w:ascii="Arial" w:cs="Arial" w:eastAsia="Arial" w:hAnsi="Arial"/>
          <w:sz w:val="16"/>
          <w:szCs w:val="16"/>
          <w:b w:val="1"/>
          <w:bCs w:val="1"/>
          <w:color w:val="333333"/>
        </w:rPr>
        <w:t xml:space="preserve"> </w:t>
      </w:r>
      <w:r>
        <w:rPr>
          <w:rFonts w:ascii="Arial" w:cs="Arial" w:eastAsia="Arial" w:hAnsi="Arial"/>
          <w:sz w:val="16"/>
          <w:szCs w:val="16"/>
          <w:color w:val="333333"/>
        </w:rPr>
        <w:t>Management Development and Compensation Committee discretion.</w:t>
      </w:r>
    </w:p>
    <w:p>
      <w:pPr>
        <w:spacing w:after="0" w:line="7" w:lineRule="exact"/>
        <w:rPr>
          <w:rFonts w:ascii="Arial" w:cs="Arial" w:eastAsia="Arial" w:hAnsi="Arial"/>
          <w:sz w:val="16"/>
          <w:szCs w:val="16"/>
          <w:color w:val="333333"/>
        </w:rPr>
      </w:pPr>
    </w:p>
    <w:p>
      <w:pPr>
        <w:jc w:val="both"/>
        <w:ind w:left="224" w:right="300" w:hanging="224"/>
        <w:spacing w:after="0" w:line="266" w:lineRule="auto"/>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Disclosed Threshold and Maximum goals in addition to disclosure of targets </w:t>
      </w:r>
      <w:r>
        <w:rPr>
          <w:rFonts w:ascii="Arial" w:cs="Arial" w:eastAsia="Arial" w:hAnsi="Arial"/>
          <w:sz w:val="16"/>
          <w:szCs w:val="16"/>
          <w:color w:val="333333"/>
        </w:rPr>
        <w:t>thereby improving disclosure, providing greater comparability to</w:t>
      </w:r>
      <w:r>
        <w:rPr>
          <w:rFonts w:ascii="Arial" w:cs="Arial" w:eastAsia="Arial" w:hAnsi="Arial"/>
          <w:sz w:val="16"/>
          <w:szCs w:val="16"/>
          <w:b w:val="1"/>
          <w:bCs w:val="1"/>
          <w:color w:val="333333"/>
        </w:rPr>
        <w:t xml:space="preserve"> </w:t>
      </w:r>
      <w:r>
        <w:rPr>
          <w:rFonts w:ascii="Arial" w:cs="Arial" w:eastAsia="Arial" w:hAnsi="Arial"/>
          <w:sz w:val="16"/>
          <w:szCs w:val="16"/>
          <w:color w:val="333333"/>
        </w:rPr>
        <w:t>peers and providing greater transparency for shareholders as to how the Company measures performance and how different levels of performance align with pay for executives.</w:t>
      </w:r>
    </w:p>
    <w:p>
      <w:pPr>
        <w:spacing w:after="0" w:line="22" w:lineRule="exact"/>
        <w:rPr>
          <w:rFonts w:ascii="Arial" w:cs="Arial" w:eastAsia="Arial" w:hAnsi="Arial"/>
          <w:sz w:val="16"/>
          <w:szCs w:val="16"/>
          <w:color w:val="333333"/>
        </w:rPr>
      </w:pPr>
    </w:p>
    <w:p>
      <w:pPr>
        <w:ind w:left="224" w:hanging="224"/>
        <w:spacing w:after="0"/>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Eliminated excise tax gross-up </w:t>
      </w:r>
      <w:r>
        <w:rPr>
          <w:rFonts w:ascii="Arial" w:cs="Arial" w:eastAsia="Arial" w:hAnsi="Arial"/>
          <w:sz w:val="16"/>
          <w:szCs w:val="16"/>
          <w:color w:val="333333"/>
        </w:rPr>
        <w:t>in executive officers’ Employment Protection Agreements.</w:t>
      </w:r>
    </w:p>
    <w:p>
      <w:pPr>
        <w:spacing w:after="0" w:line="72" w:lineRule="exact"/>
        <w:rPr>
          <w:rFonts w:ascii="Arial" w:cs="Arial" w:eastAsia="Arial" w:hAnsi="Arial"/>
          <w:sz w:val="16"/>
          <w:szCs w:val="16"/>
          <w:color w:val="333333"/>
        </w:rPr>
      </w:pPr>
    </w:p>
    <w:p>
      <w:pPr>
        <w:ind w:left="224" w:right="160" w:hanging="224"/>
        <w:spacing w:after="0" w:line="286" w:lineRule="auto"/>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Eliminated walk-right and value of perks </w:t>
      </w:r>
      <w:r>
        <w:rPr>
          <w:rFonts w:ascii="Arial" w:cs="Arial" w:eastAsia="Arial" w:hAnsi="Arial"/>
          <w:sz w:val="16"/>
          <w:szCs w:val="16"/>
          <w:color w:val="333333"/>
        </w:rPr>
        <w:t>in the severance calculation in executive officers’ Employment Protection Agreements and decided not to</w:t>
      </w:r>
      <w:r>
        <w:rPr>
          <w:rFonts w:ascii="Arial" w:cs="Arial" w:eastAsia="Arial" w:hAnsi="Arial"/>
          <w:sz w:val="16"/>
          <w:szCs w:val="16"/>
          <w:b w:val="1"/>
          <w:bCs w:val="1"/>
          <w:color w:val="333333"/>
        </w:rPr>
        <w:t xml:space="preserve"> </w:t>
      </w:r>
      <w:r>
        <w:rPr>
          <w:rFonts w:ascii="Arial" w:cs="Arial" w:eastAsia="Arial" w:hAnsi="Arial"/>
          <w:sz w:val="16"/>
          <w:szCs w:val="16"/>
          <w:color w:val="333333"/>
        </w:rPr>
        <w:t>include these provisions in future Employment Protection Agreements.</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Eliminated single-trigger vesting </w:t>
      </w:r>
      <w:r>
        <w:rPr>
          <w:rFonts w:ascii="Arial" w:cs="Arial" w:eastAsia="Arial" w:hAnsi="Arial"/>
          <w:sz w:val="16"/>
          <w:szCs w:val="16"/>
          <w:color w:val="333333"/>
        </w:rPr>
        <w:t>for equity awards.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Submitted responses and additional information </w:t>
      </w:r>
      <w:r>
        <w:rPr>
          <w:rFonts w:ascii="Arial" w:cs="Arial" w:eastAsia="Arial" w:hAnsi="Arial"/>
          <w:sz w:val="16"/>
          <w:szCs w:val="16"/>
          <w:color w:val="333333"/>
        </w:rPr>
        <w:t>to Climate Action 100+.</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Set a Net Zero GHG Emissions Ambition </w:t>
      </w:r>
      <w:r>
        <w:rPr>
          <w:rFonts w:ascii="Arial" w:cs="Arial" w:eastAsia="Arial" w:hAnsi="Arial"/>
          <w:sz w:val="16"/>
          <w:szCs w:val="16"/>
          <w:color w:val="333333"/>
        </w:rPr>
        <w:t>by 2050.</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Participated in CDP Climate and Water surveys</w:t>
      </w:r>
      <w:r>
        <w:rPr>
          <w:rFonts w:ascii="Arial" w:cs="Arial" w:eastAsia="Arial" w:hAnsi="Arial"/>
          <w:sz w:val="16"/>
          <w:szCs w:val="16"/>
          <w:color w:val="333333"/>
        </w:rPr>
        <w:t>.</w:t>
      </w:r>
    </w:p>
    <w:p>
      <w:pPr>
        <w:spacing w:after="0" w:line="72" w:lineRule="exact"/>
        <w:rPr>
          <w:rFonts w:ascii="Arial" w:cs="Arial" w:eastAsia="Arial" w:hAnsi="Arial"/>
          <w:sz w:val="16"/>
          <w:szCs w:val="16"/>
          <w:color w:val="333333"/>
        </w:rPr>
      </w:pPr>
    </w:p>
    <w:p>
      <w:pPr>
        <w:ind w:left="224" w:right="80" w:hanging="224"/>
        <w:spacing w:after="0" w:line="254" w:lineRule="auto"/>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Adopted Science Based Target Initiative (SBTi) validated commitments for absolute emission reduction targets for all GHG scopes: </w:t>
      </w:r>
      <w:r>
        <w:rPr>
          <w:rFonts w:ascii="Arial" w:cs="Arial" w:eastAsia="Arial" w:hAnsi="Arial"/>
          <w:sz w:val="16"/>
          <w:szCs w:val="16"/>
          <w:color w:val="333333"/>
        </w:rPr>
        <w:t>Scope 1</w:t>
      </w:r>
      <w:r>
        <w:rPr>
          <w:rFonts w:ascii="Arial" w:cs="Arial" w:eastAsia="Arial" w:hAnsi="Arial"/>
          <w:sz w:val="16"/>
          <w:szCs w:val="16"/>
          <w:b w:val="1"/>
          <w:bCs w:val="1"/>
          <w:color w:val="333333"/>
        </w:rPr>
        <w:t xml:space="preserve"> </w:t>
      </w:r>
      <w:r>
        <w:rPr>
          <w:rFonts w:ascii="Arial" w:cs="Arial" w:eastAsia="Arial" w:hAnsi="Arial"/>
          <w:sz w:val="16"/>
          <w:szCs w:val="16"/>
          <w:color w:val="333333"/>
        </w:rPr>
        <w:t>&amp; 2 by 63.0% by 2035 from a 2023 base year; and Scope 3 from purchased goods and services, fuel- and energy-related activities and upstream transportation and distribution by 37.5% within the same timeframe. As we noted in our submittal of these targets to the SBTi, achievement of these ambitions will depend upon the economic feasibility and timely implementation of commercial-scale carbon capture technology in the United States and related governmental policies, the availability of additional renewable energy from third party providers, and the availability of additional heavy equipment powered by alternate fuels and/or electrification supplied by OEMs such as Caterpillar and Komatsu.</w:t>
      </w:r>
    </w:p>
    <w:p>
      <w:pPr>
        <w:spacing w:after="0" w:line="33" w:lineRule="exact"/>
        <w:rPr>
          <w:rFonts w:ascii="Arial" w:cs="Arial" w:eastAsia="Arial" w:hAnsi="Arial"/>
          <w:sz w:val="16"/>
          <w:szCs w:val="16"/>
          <w:color w:val="333333"/>
        </w:rPr>
      </w:pPr>
    </w:p>
    <w:p>
      <w:pPr>
        <w:ind w:left="224" w:hanging="224"/>
        <w:spacing w:after="0"/>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Submitted feedback and validation data to Sustainalytics </w:t>
      </w:r>
      <w:r>
        <w:rPr>
          <w:rFonts w:ascii="Arial" w:cs="Arial" w:eastAsia="Arial" w:hAnsi="Arial"/>
          <w:sz w:val="16"/>
          <w:szCs w:val="16"/>
          <w:color w:val="333333"/>
        </w:rPr>
        <w:t>and received updated scoring.</w:t>
      </w:r>
    </w:p>
    <w:p>
      <w:pPr>
        <w:spacing w:after="0" w:line="72" w:lineRule="exact"/>
        <w:rPr>
          <w:rFonts w:ascii="Arial" w:cs="Arial" w:eastAsia="Arial" w:hAnsi="Arial"/>
          <w:sz w:val="16"/>
          <w:szCs w:val="16"/>
          <w:color w:val="333333"/>
        </w:rPr>
      </w:pPr>
    </w:p>
    <w:p>
      <w:pPr>
        <w:ind w:left="224" w:right="360" w:hanging="224"/>
        <w:spacing w:after="0" w:line="290" w:lineRule="auto"/>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Added a Task Force on Climate-related Financial Disclosures (TCFD) Alignment Index and a Sustainability Accounting Standards Board (SASB) Index </w:t>
      </w:r>
      <w:r>
        <w:rPr>
          <w:rFonts w:ascii="Arial" w:cs="Arial" w:eastAsia="Arial" w:hAnsi="Arial"/>
          <w:sz w:val="16"/>
          <w:szCs w:val="16"/>
          <w:color w:val="333333"/>
        </w:rPr>
        <w:t>to our Sustainability Report.</w:t>
      </w:r>
    </w:p>
    <w:p>
      <w:pPr>
        <w:ind w:left="224" w:hanging="224"/>
        <w:spacing w:after="0"/>
        <w:tabs>
          <w:tab w:leader="none" w:pos="224" w:val="left"/>
        </w:tabs>
        <w:numPr>
          <w:ilvl w:val="0"/>
          <w:numId w:val="16"/>
        </w:numPr>
        <w:rPr>
          <w:rFonts w:ascii="Arial" w:cs="Arial" w:eastAsia="Arial" w:hAnsi="Arial"/>
          <w:sz w:val="16"/>
          <w:szCs w:val="16"/>
          <w:color w:val="333333"/>
        </w:rPr>
      </w:pPr>
      <w:r>
        <w:rPr>
          <w:rFonts w:ascii="Arial" w:cs="Arial" w:eastAsia="Arial" w:hAnsi="Arial"/>
          <w:sz w:val="16"/>
          <w:szCs w:val="16"/>
          <w:b w:val="1"/>
          <w:bCs w:val="1"/>
          <w:color w:val="333333"/>
        </w:rPr>
        <w:t xml:space="preserve">Added a Global Reporting Initiative (GRI) Alignment Index </w:t>
      </w:r>
      <w:r>
        <w:rPr>
          <w:rFonts w:ascii="Arial" w:cs="Arial" w:eastAsia="Arial" w:hAnsi="Arial"/>
          <w:sz w:val="16"/>
          <w:szCs w:val="16"/>
          <w:color w:val="333333"/>
        </w:rPr>
        <w:t>to our Sustainability website.</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ind w:left="4"/>
        <w:spacing w:after="0"/>
        <w:tabs>
          <w:tab w:leader="none" w:pos="10224" w:val="left"/>
        </w:tabs>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10</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4"/>
          </w:cols>
          <w:pgMar w:left="436" w:top="589" w:right="439" w:bottom="1440" w:gutter="0" w:footer="0" w:header="0"/>
          <w:type w:val="continuous"/>
        </w:sectPr>
      </w:pPr>
    </w:p>
    <w:bookmarkStart w:id="16" w:name="page17"/>
    <w:bookmarkEnd w:id="16"/>
    <w:p>
      <w:pPr>
        <w:ind w:left="916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200660</wp:posOffset>
            </wp:positionV>
            <wp:extent cx="1328420" cy="454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28420" cy="454660"/>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Proactively Engaging and Responding to Shareholders</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SHAREHOLDER RIGHTS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029450" cy="1842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945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Our Commitment to Our People and Pay-for-Performance</w:t>
      </w:r>
    </w:p>
    <w:p>
      <w:pPr>
        <w:spacing w:after="0" w:line="118" w:lineRule="exact"/>
        <w:rPr>
          <w:sz w:val="20"/>
          <w:szCs w:val="20"/>
          <w:color w:val="auto"/>
        </w:rPr>
      </w:pPr>
    </w:p>
    <w:p>
      <w:pPr>
        <w:ind w:left="4" w:right="1100"/>
        <w:spacing w:after="0" w:line="290" w:lineRule="auto"/>
        <w:rPr>
          <w:sz w:val="20"/>
          <w:szCs w:val="20"/>
          <w:color w:val="auto"/>
        </w:rPr>
      </w:pPr>
      <w:r>
        <w:rPr>
          <w:rFonts w:ascii="Arial" w:cs="Arial" w:eastAsia="Arial" w:hAnsi="Arial"/>
          <w:sz w:val="23"/>
          <w:szCs w:val="23"/>
          <w:b w:val="1"/>
          <w:bCs w:val="1"/>
          <w:color w:val="333333"/>
        </w:rPr>
        <w:t>In 2025, we continued to increase the visibility and attractiveness of Martin Marietta as an employer of choice:</w:t>
      </w:r>
    </w:p>
    <w:p>
      <w:pPr>
        <w:spacing w:after="0" w:line="1" w:lineRule="exact"/>
        <w:rPr>
          <w:sz w:val="20"/>
          <w:szCs w:val="20"/>
          <w:color w:val="auto"/>
        </w:rPr>
      </w:pPr>
    </w:p>
    <w:p>
      <w:pPr>
        <w:ind w:left="224" w:right="340" w:hanging="224"/>
        <w:spacing w:after="0" w:line="286" w:lineRule="auto"/>
        <w:tabs>
          <w:tab w:leader="none" w:pos="22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Launched Workday HCM and Payroll modules, empowering team members with anytime, anywhere access to their personal data through a single platform and delivering an enhanced pay slip design to improve employee understanding.</w:t>
      </w:r>
    </w:p>
    <w:p>
      <w:pPr>
        <w:spacing w:after="0" w:line="7" w:lineRule="exact"/>
        <w:rPr>
          <w:rFonts w:ascii="Arial" w:cs="Arial" w:eastAsia="Arial" w:hAnsi="Arial"/>
          <w:sz w:val="16"/>
          <w:szCs w:val="16"/>
          <w:color w:val="333333"/>
        </w:rPr>
      </w:pPr>
    </w:p>
    <w:p>
      <w:pPr>
        <w:ind w:left="224" w:right="340" w:hanging="224"/>
        <w:spacing w:after="0" w:line="286" w:lineRule="auto"/>
        <w:tabs>
          <w:tab w:leader="none" w:pos="22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Introduced an Employee Stock Purchase Plan (ESPP) to empower team members to invest in Martin Marietta, fostering ownership and reinforcing alignment with our mission, vision, and values.</w:t>
      </w:r>
    </w:p>
    <w:p>
      <w:pPr>
        <w:spacing w:after="0" w:line="7" w:lineRule="exact"/>
        <w:rPr>
          <w:rFonts w:ascii="Arial" w:cs="Arial" w:eastAsia="Arial" w:hAnsi="Arial"/>
          <w:sz w:val="16"/>
          <w:szCs w:val="16"/>
          <w:color w:val="333333"/>
        </w:rPr>
      </w:pPr>
    </w:p>
    <w:p>
      <w:pPr>
        <w:jc w:val="both"/>
        <w:ind w:left="224" w:right="40" w:hanging="224"/>
        <w:spacing w:after="0" w:line="286" w:lineRule="auto"/>
        <w:tabs>
          <w:tab w:leader="none" w:pos="22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Introduced benefits enhancements under the Choose Well initiative to promote and strengthen employee well-being; launched an enhanced Employee Assistance Program (EAP) through Lyra Health; and redesigned the benefits guide for improved readability and alignment with Choose Well branding.</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Continued to evolve and grow Martin Marietta’s employee resource groups:</w:t>
      </w:r>
    </w:p>
    <w:p>
      <w:pPr>
        <w:spacing w:after="0" w:line="72" w:lineRule="exact"/>
        <w:rPr>
          <w:rFonts w:ascii="Arial" w:cs="Arial" w:eastAsia="Arial" w:hAnsi="Arial"/>
          <w:sz w:val="16"/>
          <w:szCs w:val="16"/>
          <w:color w:val="333333"/>
        </w:rPr>
      </w:pPr>
    </w:p>
    <w:p>
      <w:pPr>
        <w:ind w:left="364" w:hanging="141"/>
        <w:spacing w:after="0"/>
        <w:tabs>
          <w:tab w:leader="none" w:pos="364" w:val="left"/>
        </w:tabs>
        <w:numPr>
          <w:ilvl w:val="1"/>
          <w:numId w:val="17"/>
        </w:numPr>
        <w:rPr>
          <w:rFonts w:ascii="Arial" w:cs="Arial" w:eastAsia="Arial" w:hAnsi="Arial"/>
          <w:sz w:val="16"/>
          <w:szCs w:val="16"/>
          <w:color w:val="333333"/>
        </w:rPr>
      </w:pPr>
      <w:r>
        <w:rPr>
          <w:rFonts w:ascii="Arial" w:cs="Arial" w:eastAsia="Arial" w:hAnsi="Arial"/>
          <w:sz w:val="16"/>
          <w:szCs w:val="16"/>
          <w:color w:val="333333"/>
        </w:rPr>
        <w:t>Military and Veterans Community (MVC)</w:t>
      </w:r>
    </w:p>
    <w:p>
      <w:pPr>
        <w:spacing w:after="0" w:line="72" w:lineRule="exact"/>
        <w:rPr>
          <w:rFonts w:ascii="Arial" w:cs="Arial" w:eastAsia="Arial" w:hAnsi="Arial"/>
          <w:sz w:val="16"/>
          <w:szCs w:val="16"/>
          <w:color w:val="333333"/>
        </w:rPr>
      </w:pPr>
    </w:p>
    <w:p>
      <w:pPr>
        <w:ind w:left="364" w:hanging="141"/>
        <w:spacing w:after="0"/>
        <w:tabs>
          <w:tab w:leader="none" w:pos="364" w:val="left"/>
        </w:tabs>
        <w:numPr>
          <w:ilvl w:val="1"/>
          <w:numId w:val="17"/>
        </w:numPr>
        <w:rPr>
          <w:rFonts w:ascii="Arial" w:cs="Arial" w:eastAsia="Arial" w:hAnsi="Arial"/>
          <w:sz w:val="16"/>
          <w:szCs w:val="16"/>
          <w:color w:val="333333"/>
        </w:rPr>
      </w:pPr>
      <w:r>
        <w:rPr>
          <w:rFonts w:ascii="Arial" w:cs="Arial" w:eastAsia="Arial" w:hAnsi="Arial"/>
          <w:sz w:val="16"/>
          <w:szCs w:val="16"/>
          <w:color w:val="333333"/>
        </w:rPr>
        <w:t>Women Who Build (WWB)</w:t>
      </w:r>
    </w:p>
    <w:p>
      <w:pPr>
        <w:spacing w:after="0" w:line="72" w:lineRule="exact"/>
        <w:rPr>
          <w:rFonts w:ascii="Arial" w:cs="Arial" w:eastAsia="Arial" w:hAnsi="Arial"/>
          <w:sz w:val="16"/>
          <w:szCs w:val="16"/>
          <w:color w:val="333333"/>
        </w:rPr>
      </w:pPr>
    </w:p>
    <w:p>
      <w:pPr>
        <w:ind w:left="364" w:hanging="141"/>
        <w:spacing w:after="0"/>
        <w:tabs>
          <w:tab w:leader="none" w:pos="364" w:val="left"/>
        </w:tabs>
        <w:numPr>
          <w:ilvl w:val="1"/>
          <w:numId w:val="17"/>
        </w:numPr>
        <w:rPr>
          <w:rFonts w:ascii="Arial" w:cs="Arial" w:eastAsia="Arial" w:hAnsi="Arial"/>
          <w:sz w:val="16"/>
          <w:szCs w:val="16"/>
          <w:color w:val="333333"/>
        </w:rPr>
      </w:pPr>
      <w:r>
        <w:rPr>
          <w:rFonts w:ascii="Arial" w:cs="Arial" w:eastAsia="Arial" w:hAnsi="Arial"/>
          <w:sz w:val="16"/>
          <w:szCs w:val="16"/>
          <w:color w:val="333333"/>
        </w:rPr>
        <w:t>MERGE (a Multi-Cultural 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-433070</wp:posOffset>
            </wp:positionV>
            <wp:extent cx="3112135" cy="6254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2135" cy="625475"/>
                    </a:xfrm>
                    <a:prstGeom prst="rect">
                      <a:avLst/>
                    </a:prstGeom>
                    <a:noFill/>
                  </pic:spPr>
                </pic:pic>
              </a:graphicData>
            </a:graphic>
          </wp:anchor>
        </w:drawing>
      </w:r>
    </w:p>
    <w:p>
      <w:pPr>
        <w:spacing w:after="0" w:line="102" w:lineRule="exact"/>
        <w:rPr>
          <w:sz w:val="20"/>
          <w:szCs w:val="20"/>
          <w:color w:val="auto"/>
        </w:rPr>
      </w:pPr>
    </w:p>
    <w:p>
      <w:pPr>
        <w:ind w:left="4604"/>
        <w:spacing w:after="0"/>
        <w:tabs>
          <w:tab w:leader="none" w:pos="6324" w:val="left"/>
          <w:tab w:leader="none" w:pos="8164"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7"/>
          <w:szCs w:val="7"/>
          <w:color w:val="auto"/>
        </w:rPr>
        <w:t xml:space="preserve">  </w:t>
      </w:r>
    </w:p>
    <w:p>
      <w:pPr>
        <w:spacing w:after="0" w:line="122" w:lineRule="exact"/>
        <w:rPr>
          <w:sz w:val="20"/>
          <w:szCs w:val="20"/>
          <w:color w:val="auto"/>
        </w:rPr>
      </w:pPr>
    </w:p>
    <w:p>
      <w:pPr>
        <w:ind w:left="224" w:right="560" w:hanging="224"/>
        <w:spacing w:after="0" w:line="286" w:lineRule="auto"/>
        <w:tabs>
          <w:tab w:leader="none" w:pos="224" w:val="left"/>
        </w:tabs>
        <w:numPr>
          <w:ilvl w:val="0"/>
          <w:numId w:val="18"/>
        </w:numPr>
        <w:rPr>
          <w:rFonts w:ascii="Arial" w:cs="Arial" w:eastAsia="Arial" w:hAnsi="Arial"/>
          <w:sz w:val="16"/>
          <w:szCs w:val="16"/>
          <w:color w:val="333333"/>
        </w:rPr>
      </w:pPr>
      <w:r>
        <w:rPr>
          <w:rFonts w:ascii="Arial" w:cs="Arial" w:eastAsia="Arial" w:hAnsi="Arial"/>
          <w:sz w:val="16"/>
          <w:szCs w:val="16"/>
          <w:color w:val="333333"/>
        </w:rPr>
        <w:t>ERGs are open to all employees regardless of their background, and each group determines its own professional development, networking and community engagement activities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576"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11 </w:t>
      </w:r>
      <w:r>
        <w:rPr>
          <w:rFonts w:ascii="Arial" w:cs="Arial" w:eastAsia="Arial" w:hAnsi="Arial"/>
          <w:sz w:val="16"/>
          <w:szCs w:val="16"/>
          <w:color w:val="333333"/>
        </w:rPr>
        <w:t xml:space="preserve">               </w:t>
      </w:r>
    </w:p>
    <w:p>
      <w:pPr>
        <w:sectPr>
          <w:pgSz w:w="11900" w:h="16838" w:orient="portrait"/>
          <w:cols w:equalWidth="0" w:num="3">
            <w:col w:w="3864" w:space="720"/>
            <w:col w:w="4660" w:space="720"/>
            <w:col w:w="1060"/>
          </w:cols>
          <w:pgMar w:left="436" w:top="576" w:right="439" w:bottom="1440" w:gutter="0" w:footer="0" w:header="0"/>
          <w:type w:val="continuous"/>
        </w:sectPr>
      </w:pPr>
    </w:p>
    <w:bookmarkStart w:id="17" w:name="page18"/>
    <w:bookmarkEnd w:id="17"/>
    <w:p>
      <w:pPr>
        <w:ind w:left="12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242695" cy="4718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42695" cy="471805"/>
                    </a:xfrm>
                    <a:prstGeom prst="rect">
                      <a:avLst/>
                    </a:prstGeom>
                    <a:noFill/>
                  </pic:spPr>
                </pic:pic>
              </a:graphicData>
            </a:graphic>
          </wp:anchor>
        </w:drawing>
        <w:t xml:space="preserve">      Proxy Highlights    </w:t>
      </w:r>
    </w:p>
    <w:p>
      <w:pPr>
        <w:spacing w:after="0" w:line="200" w:lineRule="exact"/>
        <w:rPr>
          <w:sz w:val="20"/>
          <w:szCs w:val="20"/>
          <w:color w:val="auto"/>
        </w:rPr>
      </w:pPr>
    </w:p>
    <w:p>
      <w:pPr>
        <w:spacing w:after="0" w:line="236"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Our Compensation Approach and Highlights</w:t>
      </w:r>
    </w:p>
    <w:p>
      <w:pPr>
        <w:spacing w:after="0" w:line="79" w:lineRule="exact"/>
        <w:rPr>
          <w:sz w:val="20"/>
          <w:szCs w:val="20"/>
          <w:color w:val="auto"/>
        </w:rPr>
      </w:pPr>
    </w:p>
    <w:p>
      <w:pPr>
        <w:ind w:left="4" w:right="40"/>
        <w:spacing w:after="0" w:line="254" w:lineRule="auto"/>
        <w:rPr>
          <w:sz w:val="20"/>
          <w:szCs w:val="20"/>
          <w:color w:val="auto"/>
        </w:rPr>
      </w:pPr>
      <w:r>
        <w:rPr>
          <w:rFonts w:ascii="Arial" w:cs="Arial" w:eastAsia="Arial" w:hAnsi="Arial"/>
          <w:sz w:val="16"/>
          <w:szCs w:val="16"/>
          <w:color w:val="333333"/>
        </w:rPr>
        <w:t>A substantial portion of compensation paid to our named executive officers (NEOs) is variable and performance-based. We use the 50th percentile of our peer group as a reference point when determining target compensation, but target pay is set based on a variety of factors and actual pay realized by our NEOs is dependent on our financial, operational and other related performance. Based on our performance in 2025, variable compensation payable under both our short-term and long-term incentive plans exceeded the target amounts established for each NEO, which is consistent with our pay-for-performance philosophy. All compensation paid to our CEO and other NEOs for 2025 was performance-based other than base salary; approximately 91% of our CEO’s compensation was performance-based and 81% of our other NEOs’ actual compensation was performance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029450" cy="23660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294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 w:right="380" w:hanging="4"/>
        <w:spacing w:after="0" w:line="285" w:lineRule="auto"/>
        <w:tabs>
          <w:tab w:leader="none" w:pos="100" w:val="left"/>
        </w:tabs>
        <w:numPr>
          <w:ilvl w:val="0"/>
          <w:numId w:val="19"/>
        </w:numPr>
        <w:rPr>
          <w:rFonts w:ascii="Arial" w:cs="Arial" w:eastAsia="Arial" w:hAnsi="Arial"/>
          <w:sz w:val="14"/>
          <w:szCs w:val="14"/>
          <w:color w:val="333333"/>
        </w:rPr>
      </w:pPr>
      <w:r>
        <w:rPr>
          <w:rFonts w:ascii="Arial" w:cs="Arial" w:eastAsia="Arial" w:hAnsi="Arial"/>
          <w:sz w:val="14"/>
          <w:szCs w:val="14"/>
          <w:color w:val="333333"/>
        </w:rPr>
        <w:t>Based on grant date value of Performance Share Units (PSUs) and Restricted Stock Units (RSUs). Excludes James A. J. Nickolas and Bradley D. Kohn who were not entitled to an annual cash incentive compensation payments for 2025 as a result of their departures in April 2025 and February 2026, respectively.</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589"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12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589" w:right="4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Board of Directors</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33333"/>
        </w:rPr>
        <w:t>The Board is composed of ten Directors, nine of whom are non-employee Directors. Under our Bylaws, nominations of persons for election to the Board at an Annual Meeting of Shareholders may be made by the Board and by any shareholder who complies with the notice procedures set forth in the Bylaws. As described in the Proxy Statement for our 2025 Annual Meeting, for a nomination to be properly made by a shareholder for the 2026 Annual Meeting, the shareholder’s notice must have been sent to, and received by, our Corporate Secretary at our principal executive offices between January 15, 2026 and February 14, 2026. No such notice was received during this period.</w:t>
      </w:r>
    </w:p>
    <w:p>
      <w:pPr>
        <w:spacing w:after="0" w:line="7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333333"/>
        </w:rPr>
        <w:t>The Bylaws of the Company provide that a Director will retire at the Annual Meeting of Shareholders following the Director’s 75th birthday. Two of our current Directors, John J. Koraleski and Sue W. Cole, reached this mandatory retirement age this year and will not stand for election at the Annual Meeting for a new term. Mr. Koraleski and Ms. Cole have stated that they each intend to serve as a Director through the commencement of the 2026 Annual Meeting of Shareholders, after which they will retire from the Board. The Board extends its sincere appreciation to Mr. Koraleski and Ms. Cole for their years of service and thoughtful Board leadership. Both Mr. Koraleski and Ms. Cole gave generously of their time and consistently provided the Board with independent insight, perspective and advice, which have been invaluable to the Board and to Martin Marietta.</w:t>
      </w:r>
    </w:p>
    <w:p>
      <w:pPr>
        <w:spacing w:after="0" w:line="7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The Board has nominated ten individuals to stand for election by shareholders at the 2026 Annual Meeting, including Gayla J. Delly and Martin J. Lyons, Jr. to fill the vacancies resulting from Mr. Koraleski’s and Ms. Cole’s retirements. Each of the other eight nominees is currently serving as a Director.</w:t>
      </w:r>
    </w:p>
    <w:p>
      <w:pPr>
        <w:spacing w:after="0" w:line="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The Nominating and Corporate Governance Committee from time to time retains a search firm to help identify prospective directors, perform candidate outreach, assist in reference checks, and provide other related services. The recruiting process typically involves either the Chair, President and CEO, the search firm or a member of the Nominating and Corporate Governance Committee contacting a prospect to gauge their interest and availability. A candidate will then meet with several members of the Nominating and Corporate Governance Committee and sometimes the Board. At the same time, the Nominating and Corporate Governance Committee and the search firm will contact references for the prospect. A background check is completed before a final recommendation is made to the Board to appoint a candidate to the Board. Ms. Delly and Mr. Lyons were initially identified by the Chair of the Board, President and CEO and each was recommended as a Director nominee by the Nominating and Corporate Governance Committee.</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The Board has nominated ten persons for election as Directors to serve a one-year term expiring at the Annual Meeting of Shareholders in 2027. Unless otherwise directed, proxies will be voted in favor of these nominees. Each nominee has agreed to serve if elected. Should any nominee become unable to serve as a Director, the persons named in the enclosed form of proxy will, unless otherwise directed, vote for the election of such other person for such position as the present Board may recommend in place of such nominee. Proxies cannot be voted for a greater number of persons than the number of nominees named. Should any of the listed nominees be unavailable for election by reason of death or other unexpected occurrence, the proxy, to the extent permitted by applicable law, may be voted with discretionary authority in connection with the nomination by the Board and the election of any substitute nominee.</w:t>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Board Effectiveness and Refreshment</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Board composition is one of the most critical areas of focus for the Board of Directors. Having the right mix of people who bring diverse perspectives, business and professional experiences, and skills provides a foundation for robust dialogue, informed advice and collaboration in the boardroom. The Nominating and Corporate Governance Committee develops criteria for open Board positions, taking into account a variety of factors, which may include current Board member skills, composition, age, tenure, the range of talents and experience that would best complement those already represented on the Board, the need for specialized expertise, and anticipated retirements to define gaps that may need to be filled through the Board refreshment process. The Board strives to ensure an environment that encourages diverse critical thinking and values innovative, strategic discussions to achieve a higher level of success for the Company.</w:t>
      </w:r>
    </w:p>
    <w:p>
      <w:pPr>
        <w:spacing w:after="0" w:line="73"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333333"/>
        </w:rPr>
        <w:t>The Nominating and Corporate Governance Committee screens and recommends candidates for nomination by the full Board. It uses a variety of methods to help identify potential Board candidates with the desired skills and background needed for the Company’s business, including from time-to-time informal networks, third-party search firms and other channels. When the Committee is assisted from time to time with its recruitment efforts by an outside search firm, the firm recommends candidates that satisfy the criteria defined by the Board and provides background research and pertinent information regarding prospective candidates.</w:t>
      </w:r>
    </w:p>
    <w:p>
      <w:pPr>
        <w:spacing w:after="0" w:line="7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333333"/>
        </w:rPr>
        <w:t>Once the Committee has identified a prospective nominee, it makes an initial determination as to whether to conduct a full evaluation. In making this determination, the Committee takes into account various information, including information provided at the time of the</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28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13 </w:t>
      </w:r>
      <w:r>
        <w:rPr>
          <w:rFonts w:ascii="Arial" w:cs="Arial" w:eastAsia="Arial" w:hAnsi="Arial"/>
          <w:sz w:val="16"/>
          <w:szCs w:val="16"/>
          <w:color w:val="333333"/>
        </w:rPr>
        <w:t xml:space="preserve">               </w:t>
      </w:r>
    </w:p>
    <w:p>
      <w:pPr>
        <w:sectPr>
          <w:pgSz w:w="11900" w:h="16838" w:orient="portrait"/>
          <w:cols w:equalWidth="0" w:num="4">
            <w:col w:w="200" w:space="120"/>
            <w:col w:w="3540" w:space="720"/>
            <w:col w:w="4660" w:space="720"/>
            <w:col w:w="1060"/>
          </w:cols>
          <w:pgMar w:left="440" w:top="285" w:right="439" w:bottom="1440" w:gutter="0" w:footer="0" w:header="0"/>
          <w:type w:val="continuous"/>
        </w:sectPr>
      </w:pPr>
    </w:p>
    <w:bookmarkStart w:id="19" w:name="page20"/>
    <w:bookmarkEnd w:id="19"/>
    <w:tbl>
      <w:tblPr>
        <w:tblLayout w:type="fixed"/>
        <w:tblInd w:w="4" w:type="dxa"/>
        <w:tblCellMar>
          <w:top w:w="0" w:type="dxa"/>
          <w:left w:w="0" w:type="dxa"/>
          <w:bottom w:w="0" w:type="dxa"/>
          <w:right w:w="0" w:type="dxa"/>
        </w:tblCellMar>
      </w:tblPr>
      <w:tr>
        <w:trPr>
          <w:trHeight w:val="531"/>
        </w:trPr>
        <w:tc>
          <w:tcPr>
            <w:tcW w:w="180" w:type="dxa"/>
            <w:vAlign w:val="bottom"/>
            <w:shd w:val="clear" w:color="auto" w:fill="4D5357"/>
          </w:tcPr>
          <w:p>
            <w:pPr>
              <w:ind w:left="120"/>
              <w:spacing w:after="0"/>
              <w:rPr>
                <w:sz w:val="20"/>
                <w:szCs w:val="20"/>
                <w:color w:val="auto"/>
              </w:rPr>
            </w:pPr>
            <w:r>
              <w:rPr>
                <w:rFonts w:ascii="Arial" w:cs="Arial" w:eastAsia="Arial" w:hAnsi="Arial"/>
                <w:sz w:val="5"/>
                <w:szCs w:val="5"/>
                <w:b w:val="1"/>
                <w:bCs w:val="1"/>
                <w:color w:val="FFFFFF"/>
                <w:w w:val="79"/>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28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1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w w:val="71"/>
              </w:rPr>
              <w:t> </w:t>
            </w:r>
          </w:p>
        </w:tc>
        <w:tc>
          <w:tcPr>
            <w:tcW w:w="140" w:type="dxa"/>
            <w:vAlign w:val="bottom"/>
            <w:shd w:val="clear" w:color="auto" w:fill="4D5357"/>
          </w:tcPr>
          <w:p>
            <w:pPr>
              <w:ind w:left="40"/>
              <w:spacing w:after="0"/>
              <w:rPr>
                <w:sz w:val="20"/>
                <w:szCs w:val="20"/>
                <w:color w:val="auto"/>
              </w:rPr>
            </w:pPr>
            <w:r>
              <w:rPr>
                <w:rFonts w:ascii="Arial" w:cs="Arial" w:eastAsia="Arial" w:hAnsi="Arial"/>
                <w:sz w:val="11"/>
                <w:szCs w:val="11"/>
                <w:b w:val="1"/>
                <w:bCs w:val="1"/>
                <w:color w:val="FFFFFF"/>
                <w:w w:val="72"/>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2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r>
      <w:tr>
        <w:trPr>
          <w:trHeight w:val="110"/>
        </w:trPr>
        <w:tc>
          <w:tcPr>
            <w:tcW w:w="180" w:type="dxa"/>
            <w:vAlign w:val="bottom"/>
            <w:shd w:val="clear" w:color="auto" w:fill="4D5357"/>
          </w:tcPr>
          <w:p>
            <w:pPr>
              <w:spacing w:after="0"/>
              <w:rPr>
                <w:sz w:val="9"/>
                <w:szCs w:val="9"/>
                <w:color w:val="auto"/>
              </w:rPr>
            </w:pPr>
          </w:p>
        </w:tc>
        <w:tc>
          <w:tcPr>
            <w:tcW w:w="140" w:type="dxa"/>
            <w:vAlign w:val="bottom"/>
            <w:shd w:val="clear" w:color="auto" w:fill="4D5357"/>
          </w:tcPr>
          <w:p>
            <w:pPr>
              <w:spacing w:after="0"/>
              <w:rPr>
                <w:sz w:val="9"/>
                <w:szCs w:val="9"/>
                <w:color w:val="auto"/>
              </w:rPr>
            </w:pPr>
          </w:p>
        </w:tc>
        <w:tc>
          <w:tcPr>
            <w:tcW w:w="920" w:type="dxa"/>
            <w:vAlign w:val="bottom"/>
            <w:shd w:val="clear" w:color="auto" w:fill="4D5357"/>
          </w:tcPr>
          <w:p>
            <w:pPr>
              <w:spacing w:after="0"/>
              <w:rPr>
                <w:sz w:val="9"/>
                <w:szCs w:val="9"/>
                <w:color w:val="auto"/>
              </w:rPr>
            </w:pPr>
          </w:p>
        </w:tc>
        <w:tc>
          <w:tcPr>
            <w:tcW w:w="28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right="40"/>
        <w:spacing w:after="0" w:line="253" w:lineRule="auto"/>
        <w:rPr>
          <w:sz w:val="20"/>
          <w:szCs w:val="20"/>
          <w:color w:val="auto"/>
        </w:rPr>
      </w:pPr>
      <w:r>
        <w:rPr>
          <w:rFonts w:ascii="Arial" w:cs="Arial" w:eastAsia="Arial" w:hAnsi="Arial"/>
          <w:sz w:val="16"/>
          <w:szCs w:val="16"/>
          <w:color w:val="333333"/>
        </w:rPr>
        <w:t xml:space="preserve">candidate recommendation, the Committee’s own knowledge, and information obtained through inquiries to third parties to the extent the Committee deems appropriate. The preliminary determination is based primarily on whether there is a need for additional Board members and the likelihood that the prospective nominee can satisfy the criteria that the Committee has established. If the Committee determines, in consultation with the Chair of the Board, President and CEO and other Directors as appropriate, that additional consideration is warranted, it may request management or a third-party search firm to gather additional information about the prospective nominee’s background and experience and to report its findings to the Committee. The Committee then evaluates the prospective nominee against the specific criteria that it has established for the position, as well as the standards and qualifications set out in the Company’s </w:t>
      </w:r>
      <w:r>
        <w:rPr>
          <w:rFonts w:ascii="Arial" w:cs="Arial" w:eastAsia="Arial" w:hAnsi="Arial"/>
          <w:sz w:val="16"/>
          <w:szCs w:val="16"/>
          <w:i w:val="1"/>
          <w:iCs w:val="1"/>
          <w:color w:val="333333"/>
        </w:rPr>
        <w:t>Corporate Governance Guidelines</w:t>
      </w:r>
      <w:r>
        <w:rPr>
          <w:rFonts w:ascii="Arial" w:cs="Arial" w:eastAsia="Arial" w:hAnsi="Arial"/>
          <w:sz w:val="16"/>
          <w:szCs w:val="16"/>
          <w:color w:val="333333"/>
        </w:rPr>
        <w:t>, including:</w:t>
      </w:r>
    </w:p>
    <w:p>
      <w:pPr>
        <w:spacing w:after="0" w:line="33" w:lineRule="exact"/>
        <w:rPr>
          <w:sz w:val="20"/>
          <w:szCs w:val="20"/>
          <w:color w:val="auto"/>
        </w:rPr>
      </w:pPr>
    </w:p>
    <w:p>
      <w:pPr>
        <w:ind w:left="224" w:hanging="224"/>
        <w:spacing w:after="0"/>
        <w:tabs>
          <w:tab w:leader="none" w:pos="224"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the ability of the prospective nominee to represent the interests of the shareholders of the Company;</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the prospective nominee’s standards of integrity, commitment and independence of thought and judgment;</w:t>
      </w:r>
    </w:p>
    <w:p>
      <w:pPr>
        <w:spacing w:after="0" w:line="72" w:lineRule="exact"/>
        <w:rPr>
          <w:rFonts w:ascii="Arial" w:cs="Arial" w:eastAsia="Arial" w:hAnsi="Arial"/>
          <w:sz w:val="16"/>
          <w:szCs w:val="16"/>
          <w:color w:val="333333"/>
        </w:rPr>
      </w:pPr>
    </w:p>
    <w:p>
      <w:pPr>
        <w:ind w:left="224" w:right="180" w:hanging="224"/>
        <w:spacing w:after="0" w:line="286" w:lineRule="auto"/>
        <w:tabs>
          <w:tab w:leader="none" w:pos="224"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 xml:space="preserve">the prospective nominee’s ability to dedicate sufficient time, energy and attention to the diligent performance of their duties, including the prospective nominee’s service on other public company boards, as specifically set out in the Company’s </w:t>
      </w:r>
      <w:r>
        <w:rPr>
          <w:rFonts w:ascii="Arial" w:cs="Arial" w:eastAsia="Arial" w:hAnsi="Arial"/>
          <w:sz w:val="16"/>
          <w:szCs w:val="16"/>
          <w:i w:val="1"/>
          <w:iCs w:val="1"/>
          <w:color w:val="333333"/>
        </w:rPr>
        <w:t>Corporate Governance Guidelines</w:t>
      </w:r>
      <w:r>
        <w:rPr>
          <w:rFonts w:ascii="Arial" w:cs="Arial" w:eastAsia="Arial" w:hAnsi="Arial"/>
          <w:sz w:val="16"/>
          <w:szCs w:val="16"/>
          <w:color w:val="333333"/>
        </w:rPr>
        <w:t>; and</w:t>
      </w:r>
    </w:p>
    <w:p>
      <w:pPr>
        <w:spacing w:after="0" w:line="7" w:lineRule="exact"/>
        <w:rPr>
          <w:rFonts w:ascii="Arial" w:cs="Arial" w:eastAsia="Arial" w:hAnsi="Arial"/>
          <w:sz w:val="16"/>
          <w:szCs w:val="16"/>
          <w:color w:val="333333"/>
        </w:rPr>
      </w:pPr>
    </w:p>
    <w:p>
      <w:pPr>
        <w:ind w:left="224" w:right="40" w:hanging="224"/>
        <w:spacing w:after="0" w:line="286" w:lineRule="auto"/>
        <w:tabs>
          <w:tab w:leader="none" w:pos="224"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the extent to which the prospective nominee contributes to the range of talent, skill, expertise and perspective appropriate for the Board with respect to the Company’s shareholders, employees, customers and the communities in which the Company operates.</w:t>
      </w:r>
    </w:p>
    <w:p>
      <w:pPr>
        <w:spacing w:after="0" w:line="48" w:lineRule="exact"/>
        <w:rPr>
          <w:sz w:val="20"/>
          <w:szCs w:val="20"/>
          <w:color w:val="auto"/>
        </w:rPr>
      </w:pPr>
    </w:p>
    <w:p>
      <w:pPr>
        <w:ind w:left="4" w:right="60"/>
        <w:spacing w:after="0" w:line="256" w:lineRule="auto"/>
        <w:rPr>
          <w:sz w:val="20"/>
          <w:szCs w:val="20"/>
          <w:color w:val="auto"/>
        </w:rPr>
      </w:pPr>
      <w:r>
        <w:rPr>
          <w:rFonts w:ascii="Arial" w:cs="Arial" w:eastAsia="Arial" w:hAnsi="Arial"/>
          <w:sz w:val="16"/>
          <w:szCs w:val="16"/>
          <w:color w:val="333333"/>
        </w:rPr>
        <w:t>If the Committee decides, on the basis of its preliminary review, to proceed with further consideration, members of the Committee, the Chair of the Board, President and CEO, as well as other members of the Board as appropriate, interview the nominee. After completing this evaluation and interview, the Committee makes a recommendation to the full Board, which makes the final determination whether to nominate or appoint the new Director after considering the Committee’s report. A background check is completed before a final recommendation is made to the Board to appoint a candidate to the Board.</w:t>
      </w:r>
    </w:p>
    <w:p>
      <w:pPr>
        <w:spacing w:after="0" w:line="72" w:lineRule="exact"/>
        <w:rPr>
          <w:sz w:val="20"/>
          <w:szCs w:val="20"/>
          <w:color w:val="auto"/>
        </w:rPr>
      </w:pPr>
    </w:p>
    <w:p>
      <w:pPr>
        <w:ind w:left="4" w:right="40"/>
        <w:spacing w:after="0" w:line="254" w:lineRule="auto"/>
        <w:rPr>
          <w:sz w:val="20"/>
          <w:szCs w:val="20"/>
          <w:color w:val="auto"/>
        </w:rPr>
      </w:pPr>
      <w:r>
        <w:rPr>
          <w:rFonts w:ascii="Arial" w:cs="Arial" w:eastAsia="Arial" w:hAnsi="Arial"/>
          <w:sz w:val="16"/>
          <w:szCs w:val="16"/>
          <w:color w:val="333333"/>
        </w:rPr>
        <w:t>In selecting nominees for the Board, the Board seeks to achieve a mix of members who together bring experience and personal backgrounds relevant to the Company’s strategic priorities and the scope and complexity of the Company’s business. The Board also seeks a demonstrated ability to manage complex issues that involve a balance of risk and reward. The background information on current nominees beginning on page 24 and the skills matrix on page 15 set out how each of the current nominees contributes to the mix of experience and qualifications the Board seeks. In making its recommendations with respect to the nomination for re-election of existing Directors at the Annual Meeting, the Committee assesses the composition of the Board at the time and considers the extent to which the Board continues to reflect the criteria set forth above.</w:t>
      </w:r>
    </w:p>
    <w:p>
      <w:pPr>
        <w:spacing w:after="0" w:line="35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14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315" w:right="439" w:bottom="1440" w:gutter="0" w:footer="0" w:header="0"/>
          <w:type w:val="continuous"/>
        </w:sectPr>
      </w:pPr>
    </w:p>
    <w:bookmarkStart w:id="20" w:name="page21"/>
    <w:bookmarkEnd w:id="20"/>
    <w:tbl>
      <w:tblPr>
        <w:tblLayout w:type="fixed"/>
        <w:tblInd w:w="9360" w:type="dxa"/>
        <w:tblCellMar>
          <w:top w:w="0" w:type="dxa"/>
          <w:left w:w="0" w:type="dxa"/>
          <w:bottom w:w="0" w:type="dxa"/>
          <w:right w:w="0" w:type="dxa"/>
        </w:tblCellMar>
      </w:tblPr>
      <w:tr>
        <w:trPr>
          <w:trHeight w:val="531"/>
        </w:trPr>
        <w:tc>
          <w:tcPr>
            <w:tcW w:w="300" w:type="dxa"/>
            <w:vAlign w:val="bottom"/>
            <w:shd w:val="clear" w:color="auto" w:fill="4D5357"/>
          </w:tcPr>
          <w:p>
            <w:pPr>
              <w:ind w:left="240"/>
              <w:spacing w:after="0"/>
              <w:rPr>
                <w:sz w:val="20"/>
                <w:szCs w:val="20"/>
                <w:color w:val="auto"/>
              </w:rPr>
            </w:pPr>
            <w:r>
              <w:rPr>
                <w:rFonts w:ascii="Arial" w:cs="Arial" w:eastAsia="Arial" w:hAnsi="Arial"/>
                <w:sz w:val="5"/>
                <w:szCs w:val="5"/>
                <w:b w:val="1"/>
                <w:bCs w:val="1"/>
                <w:color w:val="FFFFFF"/>
                <w:w w:val="79"/>
              </w:rPr>
              <w:t> </w:t>
            </w:r>
          </w:p>
        </w:tc>
        <w:tc>
          <w:tcPr>
            <w:tcW w:w="160" w:type="dxa"/>
            <w:vAlign w:val="bottom"/>
            <w:shd w:val="clear" w:color="auto" w:fill="4D5357"/>
          </w:tcPr>
          <w:p>
            <w:pPr>
              <w:ind w:left="80"/>
              <w:spacing w:after="0"/>
              <w:rPr>
                <w:sz w:val="20"/>
                <w:szCs w:val="20"/>
                <w:color w:val="auto"/>
              </w:rPr>
            </w:pPr>
            <w:r>
              <w:rPr>
                <w:rFonts w:ascii="Arial" w:cs="Arial" w:eastAsia="Arial" w:hAnsi="Arial"/>
                <w:sz w:val="8"/>
                <w:szCs w:val="8"/>
                <w:b w:val="1"/>
                <w:bCs w:val="1"/>
                <w:color w:val="FFFFFF"/>
                <w:w w:val="74"/>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3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300" w:type="dxa"/>
            <w:vAlign w:val="bottom"/>
            <w:shd w:val="clear" w:color="auto" w:fill="4D5357"/>
          </w:tcPr>
          <w:p>
            <w:pPr>
              <w:ind w:left="200"/>
              <w:spacing w:after="0"/>
              <w:rPr>
                <w:sz w:val="20"/>
                <w:szCs w:val="20"/>
                <w:color w:val="auto"/>
              </w:rPr>
            </w:pPr>
            <w:r>
              <w:rPr>
                <w:rFonts w:ascii="Arial" w:cs="Arial" w:eastAsia="Arial" w:hAnsi="Arial"/>
                <w:sz w:val="11"/>
                <w:szCs w:val="11"/>
                <w:b w:val="1"/>
                <w:bCs w:val="1"/>
                <w:color w:val="FFFFFF"/>
                <w:w w:val="72"/>
              </w:rPr>
              <w:t> </w:t>
            </w:r>
          </w:p>
        </w:tc>
        <w:tc>
          <w:tcPr>
            <w:tcW w:w="16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w w:val="71"/>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3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10"/>
        </w:trPr>
        <w:tc>
          <w:tcPr>
            <w:tcW w:w="300" w:type="dxa"/>
            <w:vAlign w:val="bottom"/>
            <w:shd w:val="clear" w:color="auto" w:fill="4D5357"/>
          </w:tcPr>
          <w:p>
            <w:pPr>
              <w:spacing w:after="0"/>
              <w:rPr>
                <w:sz w:val="9"/>
                <w:szCs w:val="9"/>
                <w:color w:val="auto"/>
              </w:rPr>
            </w:pPr>
          </w:p>
        </w:tc>
        <w:tc>
          <w:tcPr>
            <w:tcW w:w="160" w:type="dxa"/>
            <w:vAlign w:val="bottom"/>
            <w:shd w:val="clear" w:color="auto" w:fill="4D5357"/>
          </w:tcPr>
          <w:p>
            <w:pPr>
              <w:spacing w:after="0"/>
              <w:rPr>
                <w:sz w:val="9"/>
                <w:szCs w:val="9"/>
                <w:color w:val="auto"/>
              </w:rPr>
            </w:pPr>
          </w:p>
        </w:tc>
        <w:tc>
          <w:tcPr>
            <w:tcW w:w="900" w:type="dxa"/>
            <w:vAlign w:val="bottom"/>
            <w:shd w:val="clear" w:color="auto" w:fill="4D5357"/>
          </w:tcPr>
          <w:p>
            <w:pPr>
              <w:spacing w:after="0"/>
              <w:rPr>
                <w:sz w:val="9"/>
                <w:szCs w:val="9"/>
                <w:color w:val="auto"/>
              </w:rPr>
            </w:pPr>
          </w:p>
        </w:tc>
        <w:tc>
          <w:tcPr>
            <w:tcW w:w="300" w:type="dxa"/>
            <w:vAlign w:val="bottom"/>
            <w:shd w:val="clear" w:color="auto" w:fill="4D5357"/>
          </w:tcPr>
          <w:p>
            <w:pPr>
              <w:spacing w:after="0"/>
              <w:rPr>
                <w:sz w:val="9"/>
                <w:szCs w:val="9"/>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Arial" w:cs="Arial" w:eastAsia="Arial" w:hAnsi="Arial"/>
          <w:sz w:val="27"/>
          <w:szCs w:val="27"/>
          <w:b w:val="1"/>
          <w:bCs w:val="1"/>
          <w:color w:val="0086CC"/>
        </w:rPr>
        <w:t>Board Qualifications and Tenure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333333"/>
        </w:rPr>
        <w:t>The following sets forth certain information for each nominee for election regarding age, tenure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200660</wp:posOffset>
            </wp:positionV>
            <wp:extent cx="353187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318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86CC"/>
        </w:rPr>
        <w:t>DEMOGRAPHICS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tcPr>
          <w:p>
            <w:pPr>
              <w:ind w:left="60"/>
              <w:spacing w:after="0"/>
              <w:rPr>
                <w:sz w:val="20"/>
                <w:szCs w:val="20"/>
                <w:color w:val="auto"/>
              </w:rPr>
            </w:pPr>
            <w:r>
              <w:rPr>
                <w:rFonts w:ascii="Arial" w:cs="Arial" w:eastAsia="Arial" w:hAnsi="Arial"/>
                <w:sz w:val="16"/>
                <w:szCs w:val="16"/>
                <w:b w:val="1"/>
                <w:bCs w:val="1"/>
                <w:color w:val="4D5357"/>
              </w:rPr>
              <w:t>Age</w:t>
            </w:r>
          </w:p>
        </w:tc>
        <w:tc>
          <w:tcPr>
            <w:tcW w:w="540" w:type="dxa"/>
            <w:vAlign w:val="bottom"/>
          </w:tcPr>
          <w:p>
            <w:pPr>
              <w:jc w:val="center"/>
              <w:spacing w:after="0"/>
              <w:rPr>
                <w:sz w:val="20"/>
                <w:szCs w:val="20"/>
                <w:color w:val="auto"/>
              </w:rPr>
            </w:pPr>
            <w:r>
              <w:rPr>
                <w:rFonts w:ascii="Arial" w:cs="Arial" w:eastAsia="Arial" w:hAnsi="Arial"/>
                <w:sz w:val="16"/>
                <w:szCs w:val="16"/>
                <w:color w:val="auto"/>
              </w:rPr>
              <w:t>68</w:t>
            </w:r>
          </w:p>
        </w:tc>
        <w:tc>
          <w:tcPr>
            <w:tcW w:w="580" w:type="dxa"/>
            <w:vAlign w:val="bottom"/>
          </w:tcPr>
          <w:p>
            <w:pPr>
              <w:jc w:val="center"/>
              <w:spacing w:after="0"/>
              <w:rPr>
                <w:sz w:val="20"/>
                <w:szCs w:val="20"/>
                <w:color w:val="auto"/>
              </w:rPr>
            </w:pPr>
            <w:r>
              <w:rPr>
                <w:rFonts w:ascii="Arial" w:cs="Arial" w:eastAsia="Arial" w:hAnsi="Arial"/>
                <w:sz w:val="16"/>
                <w:szCs w:val="16"/>
                <w:color w:val="auto"/>
              </w:rPr>
              <w:t>66</w:t>
            </w:r>
          </w:p>
        </w:tc>
        <w:tc>
          <w:tcPr>
            <w:tcW w:w="500" w:type="dxa"/>
            <w:vAlign w:val="bottom"/>
          </w:tcPr>
          <w:p>
            <w:pPr>
              <w:jc w:val="center"/>
              <w:spacing w:after="0"/>
              <w:rPr>
                <w:sz w:val="20"/>
                <w:szCs w:val="20"/>
                <w:color w:val="auto"/>
              </w:rPr>
            </w:pPr>
            <w:r>
              <w:rPr>
                <w:rFonts w:ascii="Arial" w:cs="Arial" w:eastAsia="Arial" w:hAnsi="Arial"/>
                <w:sz w:val="16"/>
                <w:szCs w:val="16"/>
                <w:color w:val="auto"/>
              </w:rPr>
              <w:t>54</w:t>
            </w:r>
          </w:p>
        </w:tc>
        <w:tc>
          <w:tcPr>
            <w:tcW w:w="600" w:type="dxa"/>
            <w:vAlign w:val="bottom"/>
          </w:tcPr>
          <w:p>
            <w:pPr>
              <w:jc w:val="center"/>
              <w:spacing w:after="0"/>
              <w:rPr>
                <w:sz w:val="20"/>
                <w:szCs w:val="20"/>
                <w:color w:val="auto"/>
              </w:rPr>
            </w:pPr>
            <w:r>
              <w:rPr>
                <w:rFonts w:ascii="Arial" w:cs="Arial" w:eastAsia="Arial" w:hAnsi="Arial"/>
                <w:sz w:val="16"/>
                <w:szCs w:val="16"/>
                <w:color w:val="auto"/>
              </w:rPr>
              <w:t>59</w:t>
            </w:r>
          </w:p>
        </w:tc>
        <w:tc>
          <w:tcPr>
            <w:tcW w:w="540" w:type="dxa"/>
            <w:vAlign w:val="bottom"/>
          </w:tcPr>
          <w:p>
            <w:pPr>
              <w:jc w:val="center"/>
              <w:spacing w:after="0"/>
              <w:rPr>
                <w:sz w:val="20"/>
                <w:szCs w:val="20"/>
                <w:color w:val="auto"/>
              </w:rPr>
            </w:pPr>
            <w:r>
              <w:rPr>
                <w:rFonts w:ascii="Arial" w:cs="Arial" w:eastAsia="Arial" w:hAnsi="Arial"/>
                <w:sz w:val="16"/>
                <w:szCs w:val="16"/>
                <w:color w:val="auto"/>
              </w:rPr>
              <w:t>63</w:t>
            </w:r>
          </w:p>
        </w:tc>
        <w:tc>
          <w:tcPr>
            <w:tcW w:w="500" w:type="dxa"/>
            <w:vAlign w:val="bottom"/>
          </w:tcPr>
          <w:p>
            <w:pPr>
              <w:jc w:val="center"/>
              <w:spacing w:after="0"/>
              <w:rPr>
                <w:sz w:val="20"/>
                <w:szCs w:val="20"/>
                <w:color w:val="auto"/>
              </w:rPr>
            </w:pPr>
            <w:r>
              <w:rPr>
                <w:rFonts w:ascii="Arial" w:cs="Arial" w:eastAsia="Arial" w:hAnsi="Arial"/>
                <w:sz w:val="16"/>
                <w:szCs w:val="16"/>
                <w:color w:val="auto"/>
              </w:rPr>
              <w:t>63</w:t>
            </w:r>
          </w:p>
        </w:tc>
        <w:tc>
          <w:tcPr>
            <w:tcW w:w="520" w:type="dxa"/>
            <w:vAlign w:val="bottom"/>
          </w:tcPr>
          <w:p>
            <w:pPr>
              <w:jc w:val="center"/>
              <w:spacing w:after="0"/>
              <w:rPr>
                <w:sz w:val="20"/>
                <w:szCs w:val="20"/>
                <w:color w:val="auto"/>
              </w:rPr>
            </w:pPr>
            <w:r>
              <w:rPr>
                <w:rFonts w:ascii="Arial" w:cs="Arial" w:eastAsia="Arial" w:hAnsi="Arial"/>
                <w:sz w:val="16"/>
                <w:szCs w:val="16"/>
                <w:color w:val="auto"/>
              </w:rPr>
              <w:t>72</w:t>
            </w:r>
          </w:p>
        </w:tc>
        <w:tc>
          <w:tcPr>
            <w:tcW w:w="540" w:type="dxa"/>
            <w:vAlign w:val="bottom"/>
          </w:tcPr>
          <w:p>
            <w:pPr>
              <w:jc w:val="center"/>
              <w:spacing w:after="0"/>
              <w:rPr>
                <w:sz w:val="20"/>
                <w:szCs w:val="20"/>
                <w:color w:val="auto"/>
              </w:rPr>
            </w:pPr>
            <w:r>
              <w:rPr>
                <w:rFonts w:ascii="Arial" w:cs="Arial" w:eastAsia="Arial" w:hAnsi="Arial"/>
                <w:sz w:val="16"/>
                <w:szCs w:val="16"/>
                <w:color w:val="auto"/>
              </w:rPr>
              <w:t>66</w:t>
            </w:r>
          </w:p>
        </w:tc>
        <w:tc>
          <w:tcPr>
            <w:tcW w:w="640" w:type="dxa"/>
            <w:vAlign w:val="bottom"/>
          </w:tcPr>
          <w:p>
            <w:pPr>
              <w:jc w:val="center"/>
              <w:ind w:right="19"/>
              <w:spacing w:after="0"/>
              <w:rPr>
                <w:sz w:val="20"/>
                <w:szCs w:val="20"/>
                <w:color w:val="auto"/>
              </w:rPr>
            </w:pPr>
            <w:r>
              <w:rPr>
                <w:rFonts w:ascii="Arial" w:cs="Arial" w:eastAsia="Arial" w:hAnsi="Arial"/>
                <w:sz w:val="16"/>
                <w:szCs w:val="16"/>
                <w:color w:val="auto"/>
              </w:rPr>
              <w:t>64</w:t>
            </w:r>
          </w:p>
        </w:tc>
        <w:tc>
          <w:tcPr>
            <w:tcW w:w="700" w:type="dxa"/>
            <w:vAlign w:val="bottom"/>
          </w:tcPr>
          <w:p>
            <w:pPr>
              <w:jc w:val="center"/>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88"/>
        </w:trPr>
        <w:tc>
          <w:tcPr>
            <w:tcW w:w="53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60"/>
              <w:spacing w:after="0"/>
              <w:rPr>
                <w:sz w:val="20"/>
                <w:szCs w:val="20"/>
                <w:color w:val="auto"/>
              </w:rPr>
            </w:pPr>
            <w:r>
              <w:rPr>
                <w:rFonts w:ascii="Arial" w:cs="Arial" w:eastAsia="Arial" w:hAnsi="Arial"/>
                <w:sz w:val="16"/>
                <w:szCs w:val="16"/>
                <w:b w:val="1"/>
                <w:bCs w:val="1"/>
                <w:color w:val="4D5357"/>
              </w:rPr>
              <w:t>Tenure</w:t>
            </w:r>
          </w:p>
        </w:tc>
        <w:tc>
          <w:tcPr>
            <w:tcW w:w="540" w:type="dxa"/>
            <w:vAlign w:val="bottom"/>
          </w:tcPr>
          <w:p>
            <w:pPr>
              <w:jc w:val="center"/>
              <w:spacing w:after="0"/>
              <w:rPr>
                <w:sz w:val="20"/>
                <w:szCs w:val="20"/>
                <w:color w:val="auto"/>
              </w:rPr>
            </w:pPr>
            <w:r>
              <w:rPr>
                <w:rFonts w:ascii="Arial" w:cs="Arial" w:eastAsia="Arial" w:hAnsi="Arial"/>
                <w:sz w:val="16"/>
                <w:szCs w:val="16"/>
                <w:color w:val="auto"/>
              </w:rPr>
              <w:t>7</w:t>
            </w:r>
          </w:p>
        </w:tc>
        <w:tc>
          <w:tcPr>
            <w:tcW w:w="580" w:type="dxa"/>
            <w:vAlign w:val="bottom"/>
          </w:tcPr>
          <w:p>
            <w:pPr>
              <w:ind w:left="160"/>
              <w:spacing w:after="0"/>
              <w:rPr>
                <w:sz w:val="20"/>
                <w:szCs w:val="20"/>
                <w:color w:val="auto"/>
              </w:rPr>
            </w:pPr>
            <w:r>
              <w:rPr>
                <w:rFonts w:ascii="Arial" w:cs="Arial" w:eastAsia="Arial" w:hAnsi="Arial"/>
                <w:sz w:val="16"/>
                <w:szCs w:val="16"/>
                <w:color w:val="auto"/>
              </w:rPr>
              <w:t>N/A</w:t>
            </w:r>
          </w:p>
        </w:tc>
        <w:tc>
          <w:tcPr>
            <w:tcW w:w="500" w:type="dxa"/>
            <w:vAlign w:val="bottom"/>
          </w:tcPr>
          <w:p>
            <w:pPr>
              <w:jc w:val="center"/>
              <w:spacing w:after="0"/>
              <w:rPr>
                <w:sz w:val="20"/>
                <w:szCs w:val="20"/>
                <w:color w:val="auto"/>
              </w:rPr>
            </w:pPr>
            <w:r>
              <w:rPr>
                <w:rFonts w:ascii="Arial" w:cs="Arial" w:eastAsia="Arial" w:hAnsi="Arial"/>
                <w:sz w:val="16"/>
                <w:szCs w:val="16"/>
                <w:color w:val="auto"/>
              </w:rPr>
              <w:t>5</w:t>
            </w:r>
          </w:p>
        </w:tc>
        <w:tc>
          <w:tcPr>
            <w:tcW w:w="600" w:type="dxa"/>
            <w:vAlign w:val="bottom"/>
          </w:tcPr>
          <w:p>
            <w:pPr>
              <w:ind w:left="160"/>
              <w:spacing w:after="0"/>
              <w:rPr>
                <w:sz w:val="20"/>
                <w:szCs w:val="20"/>
                <w:color w:val="auto"/>
              </w:rPr>
            </w:pPr>
            <w:r>
              <w:rPr>
                <w:rFonts w:ascii="Arial" w:cs="Arial" w:eastAsia="Arial" w:hAnsi="Arial"/>
                <w:sz w:val="16"/>
                <w:szCs w:val="16"/>
                <w:color w:val="auto"/>
              </w:rPr>
              <w:t>N/A</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500" w:type="dxa"/>
            <w:vAlign w:val="bottom"/>
          </w:tcPr>
          <w:p>
            <w:pPr>
              <w:jc w:val="center"/>
              <w:spacing w:after="0"/>
              <w:rPr>
                <w:sz w:val="20"/>
                <w:szCs w:val="20"/>
                <w:color w:val="auto"/>
              </w:rPr>
            </w:pPr>
            <w:r>
              <w:rPr>
                <w:rFonts w:ascii="Arial" w:cs="Arial" w:eastAsia="Arial" w:hAnsi="Arial"/>
                <w:sz w:val="16"/>
                <w:szCs w:val="16"/>
                <w:color w:val="auto"/>
              </w:rPr>
              <w:t>16</w:t>
            </w:r>
          </w:p>
        </w:tc>
        <w:tc>
          <w:tcPr>
            <w:tcW w:w="520" w:type="dxa"/>
            <w:vAlign w:val="bottom"/>
          </w:tcPr>
          <w:p>
            <w:pPr>
              <w:jc w:val="center"/>
              <w:spacing w:after="0"/>
              <w:rPr>
                <w:sz w:val="20"/>
                <w:szCs w:val="20"/>
                <w:color w:val="auto"/>
              </w:rPr>
            </w:pPr>
            <w:r>
              <w:rPr>
                <w:rFonts w:ascii="Arial" w:cs="Arial" w:eastAsia="Arial" w:hAnsi="Arial"/>
                <w:sz w:val="16"/>
                <w:szCs w:val="16"/>
                <w:color w:val="auto"/>
              </w:rPr>
              <w:t>21</w:t>
            </w:r>
          </w:p>
        </w:tc>
        <w:tc>
          <w:tcPr>
            <w:tcW w:w="540" w:type="dxa"/>
            <w:vAlign w:val="bottom"/>
          </w:tcPr>
          <w:p>
            <w:pPr>
              <w:jc w:val="center"/>
              <w:spacing w:after="0"/>
              <w:rPr>
                <w:sz w:val="20"/>
                <w:szCs w:val="20"/>
                <w:color w:val="auto"/>
              </w:rPr>
            </w:pPr>
            <w:r>
              <w:rPr>
                <w:rFonts w:ascii="Arial" w:cs="Arial" w:eastAsia="Arial" w:hAnsi="Arial"/>
                <w:sz w:val="16"/>
                <w:szCs w:val="16"/>
                <w:color w:val="auto"/>
              </w:rPr>
              <w:t>6</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70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88"/>
        </w:trPr>
        <w:tc>
          <w:tcPr>
            <w:tcW w:w="5360" w:type="dxa"/>
            <w:vAlign w:val="bottom"/>
            <w:tcBorders>
              <w:bottom w:val="single" w:sz="8" w:color="4D5357"/>
            </w:tcBorders>
          </w:tcPr>
          <w:p>
            <w:pPr>
              <w:spacing w:after="0"/>
              <w:rPr>
                <w:sz w:val="7"/>
                <w:szCs w:val="7"/>
                <w:color w:val="auto"/>
              </w:rPr>
            </w:pPr>
          </w:p>
        </w:tc>
        <w:tc>
          <w:tcPr>
            <w:tcW w:w="540" w:type="dxa"/>
            <w:vAlign w:val="bottom"/>
            <w:tcBorders>
              <w:bottom w:val="single" w:sz="8" w:color="4D5357"/>
            </w:tcBorders>
          </w:tcPr>
          <w:p>
            <w:pPr>
              <w:spacing w:after="0"/>
              <w:rPr>
                <w:sz w:val="7"/>
                <w:szCs w:val="7"/>
                <w:color w:val="auto"/>
              </w:rPr>
            </w:pPr>
          </w:p>
        </w:tc>
        <w:tc>
          <w:tcPr>
            <w:tcW w:w="580" w:type="dxa"/>
            <w:vAlign w:val="bottom"/>
            <w:tcBorders>
              <w:bottom w:val="single" w:sz="8" w:color="4D5357"/>
            </w:tcBorders>
          </w:tcPr>
          <w:p>
            <w:pPr>
              <w:spacing w:after="0"/>
              <w:rPr>
                <w:sz w:val="7"/>
                <w:szCs w:val="7"/>
                <w:color w:val="auto"/>
              </w:rPr>
            </w:pPr>
          </w:p>
        </w:tc>
        <w:tc>
          <w:tcPr>
            <w:tcW w:w="500" w:type="dxa"/>
            <w:vAlign w:val="bottom"/>
            <w:tcBorders>
              <w:bottom w:val="single" w:sz="8" w:color="4D5357"/>
            </w:tcBorders>
          </w:tcPr>
          <w:p>
            <w:pPr>
              <w:spacing w:after="0"/>
              <w:rPr>
                <w:sz w:val="7"/>
                <w:szCs w:val="7"/>
                <w:color w:val="auto"/>
              </w:rPr>
            </w:pPr>
          </w:p>
        </w:tc>
        <w:tc>
          <w:tcPr>
            <w:tcW w:w="600" w:type="dxa"/>
            <w:vAlign w:val="bottom"/>
            <w:tcBorders>
              <w:bottom w:val="single" w:sz="8" w:color="4D5357"/>
            </w:tcBorders>
          </w:tcPr>
          <w:p>
            <w:pPr>
              <w:spacing w:after="0"/>
              <w:rPr>
                <w:sz w:val="7"/>
                <w:szCs w:val="7"/>
                <w:color w:val="auto"/>
              </w:rPr>
            </w:pPr>
          </w:p>
        </w:tc>
        <w:tc>
          <w:tcPr>
            <w:tcW w:w="540" w:type="dxa"/>
            <w:vAlign w:val="bottom"/>
            <w:tcBorders>
              <w:bottom w:val="single" w:sz="8" w:color="4D5357"/>
            </w:tcBorders>
          </w:tcPr>
          <w:p>
            <w:pPr>
              <w:spacing w:after="0"/>
              <w:rPr>
                <w:sz w:val="7"/>
                <w:szCs w:val="7"/>
                <w:color w:val="auto"/>
              </w:rPr>
            </w:pPr>
          </w:p>
        </w:tc>
        <w:tc>
          <w:tcPr>
            <w:tcW w:w="500" w:type="dxa"/>
            <w:vAlign w:val="bottom"/>
            <w:tcBorders>
              <w:bottom w:val="single" w:sz="8" w:color="4D5357"/>
            </w:tcBorders>
          </w:tcPr>
          <w:p>
            <w:pPr>
              <w:spacing w:after="0"/>
              <w:rPr>
                <w:sz w:val="7"/>
                <w:szCs w:val="7"/>
                <w:color w:val="auto"/>
              </w:rPr>
            </w:pPr>
          </w:p>
        </w:tc>
        <w:tc>
          <w:tcPr>
            <w:tcW w:w="520" w:type="dxa"/>
            <w:vAlign w:val="bottom"/>
            <w:tcBorders>
              <w:bottom w:val="single" w:sz="8" w:color="4D5357"/>
            </w:tcBorders>
          </w:tcPr>
          <w:p>
            <w:pPr>
              <w:spacing w:after="0"/>
              <w:rPr>
                <w:sz w:val="7"/>
                <w:szCs w:val="7"/>
                <w:color w:val="auto"/>
              </w:rPr>
            </w:pPr>
          </w:p>
        </w:tc>
        <w:tc>
          <w:tcPr>
            <w:tcW w:w="540" w:type="dxa"/>
            <w:vAlign w:val="bottom"/>
            <w:tcBorders>
              <w:bottom w:val="single" w:sz="8" w:color="4D5357"/>
            </w:tcBorders>
          </w:tcPr>
          <w:p>
            <w:pPr>
              <w:spacing w:after="0"/>
              <w:rPr>
                <w:sz w:val="7"/>
                <w:szCs w:val="7"/>
                <w:color w:val="auto"/>
              </w:rPr>
            </w:pPr>
          </w:p>
        </w:tc>
        <w:tc>
          <w:tcPr>
            <w:tcW w:w="640" w:type="dxa"/>
            <w:vAlign w:val="bottom"/>
            <w:tcBorders>
              <w:bottom w:val="single" w:sz="8" w:color="4D5357"/>
            </w:tcBorders>
          </w:tcPr>
          <w:p>
            <w:pPr>
              <w:spacing w:after="0"/>
              <w:rPr>
                <w:sz w:val="7"/>
                <w:szCs w:val="7"/>
                <w:color w:val="auto"/>
              </w:rPr>
            </w:pPr>
          </w:p>
        </w:tc>
        <w:tc>
          <w:tcPr>
            <w:tcW w:w="700" w:type="dxa"/>
            <w:vAlign w:val="bottom"/>
            <w:tcBorders>
              <w:bottom w:val="single" w:sz="8" w:color="4D5357"/>
            </w:tcBorders>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5360" w:type="dxa"/>
            <w:vAlign w:val="bottom"/>
          </w:tcPr>
          <w:p>
            <w:pPr>
              <w:ind w:left="60"/>
              <w:spacing w:after="0"/>
              <w:rPr>
                <w:sz w:val="20"/>
                <w:szCs w:val="20"/>
                <w:color w:val="auto"/>
              </w:rPr>
            </w:pPr>
            <w:r>
              <w:rPr>
                <w:rFonts w:ascii="Arial" w:cs="Arial" w:eastAsia="Arial" w:hAnsi="Arial"/>
                <w:sz w:val="18"/>
                <w:szCs w:val="18"/>
                <w:b w:val="1"/>
                <w:bCs w:val="1"/>
                <w:color w:val="auto"/>
              </w:rPr>
              <w:t>Qualification &amp; Experience</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360" w:type="dxa"/>
            <w:vAlign w:val="bottom"/>
            <w:tcBorders>
              <w:bottom w:val="single" w:sz="8" w:color="4D5357"/>
            </w:tcBorders>
          </w:tcPr>
          <w:p>
            <w:pPr>
              <w:spacing w:after="0"/>
              <w:rPr>
                <w:sz w:val="7"/>
                <w:szCs w:val="7"/>
                <w:color w:val="auto"/>
              </w:rPr>
            </w:pPr>
          </w:p>
        </w:tc>
        <w:tc>
          <w:tcPr>
            <w:tcW w:w="540" w:type="dxa"/>
            <w:vAlign w:val="bottom"/>
            <w:tcBorders>
              <w:bottom w:val="single" w:sz="8" w:color="4D5357"/>
            </w:tcBorders>
          </w:tcPr>
          <w:p>
            <w:pPr>
              <w:spacing w:after="0"/>
              <w:rPr>
                <w:sz w:val="7"/>
                <w:szCs w:val="7"/>
                <w:color w:val="auto"/>
              </w:rPr>
            </w:pPr>
          </w:p>
        </w:tc>
        <w:tc>
          <w:tcPr>
            <w:tcW w:w="580" w:type="dxa"/>
            <w:vAlign w:val="bottom"/>
            <w:tcBorders>
              <w:bottom w:val="single" w:sz="8" w:color="4D5357"/>
            </w:tcBorders>
          </w:tcPr>
          <w:p>
            <w:pPr>
              <w:spacing w:after="0"/>
              <w:rPr>
                <w:sz w:val="7"/>
                <w:szCs w:val="7"/>
                <w:color w:val="auto"/>
              </w:rPr>
            </w:pPr>
          </w:p>
        </w:tc>
        <w:tc>
          <w:tcPr>
            <w:tcW w:w="500" w:type="dxa"/>
            <w:vAlign w:val="bottom"/>
            <w:tcBorders>
              <w:bottom w:val="single" w:sz="8" w:color="4D5357"/>
            </w:tcBorders>
          </w:tcPr>
          <w:p>
            <w:pPr>
              <w:spacing w:after="0"/>
              <w:rPr>
                <w:sz w:val="7"/>
                <w:szCs w:val="7"/>
                <w:color w:val="auto"/>
              </w:rPr>
            </w:pPr>
          </w:p>
        </w:tc>
        <w:tc>
          <w:tcPr>
            <w:tcW w:w="600" w:type="dxa"/>
            <w:vAlign w:val="bottom"/>
            <w:tcBorders>
              <w:bottom w:val="single" w:sz="8" w:color="4D5357"/>
            </w:tcBorders>
          </w:tcPr>
          <w:p>
            <w:pPr>
              <w:spacing w:after="0"/>
              <w:rPr>
                <w:sz w:val="7"/>
                <w:szCs w:val="7"/>
                <w:color w:val="auto"/>
              </w:rPr>
            </w:pPr>
          </w:p>
        </w:tc>
        <w:tc>
          <w:tcPr>
            <w:tcW w:w="540" w:type="dxa"/>
            <w:vAlign w:val="bottom"/>
            <w:tcBorders>
              <w:bottom w:val="single" w:sz="8" w:color="4D5357"/>
            </w:tcBorders>
          </w:tcPr>
          <w:p>
            <w:pPr>
              <w:spacing w:after="0"/>
              <w:rPr>
                <w:sz w:val="7"/>
                <w:szCs w:val="7"/>
                <w:color w:val="auto"/>
              </w:rPr>
            </w:pPr>
          </w:p>
        </w:tc>
        <w:tc>
          <w:tcPr>
            <w:tcW w:w="500" w:type="dxa"/>
            <w:vAlign w:val="bottom"/>
            <w:tcBorders>
              <w:bottom w:val="single" w:sz="8" w:color="4D5357"/>
            </w:tcBorders>
          </w:tcPr>
          <w:p>
            <w:pPr>
              <w:spacing w:after="0"/>
              <w:rPr>
                <w:sz w:val="7"/>
                <w:szCs w:val="7"/>
                <w:color w:val="auto"/>
              </w:rPr>
            </w:pPr>
          </w:p>
        </w:tc>
        <w:tc>
          <w:tcPr>
            <w:tcW w:w="520" w:type="dxa"/>
            <w:vAlign w:val="bottom"/>
            <w:tcBorders>
              <w:bottom w:val="single" w:sz="8" w:color="4D5357"/>
            </w:tcBorders>
          </w:tcPr>
          <w:p>
            <w:pPr>
              <w:spacing w:after="0"/>
              <w:rPr>
                <w:sz w:val="7"/>
                <w:szCs w:val="7"/>
                <w:color w:val="auto"/>
              </w:rPr>
            </w:pPr>
          </w:p>
        </w:tc>
        <w:tc>
          <w:tcPr>
            <w:tcW w:w="540" w:type="dxa"/>
            <w:vAlign w:val="bottom"/>
            <w:tcBorders>
              <w:bottom w:val="single" w:sz="8" w:color="4D5357"/>
            </w:tcBorders>
          </w:tcPr>
          <w:p>
            <w:pPr>
              <w:spacing w:after="0"/>
              <w:rPr>
                <w:sz w:val="7"/>
                <w:szCs w:val="7"/>
                <w:color w:val="auto"/>
              </w:rPr>
            </w:pPr>
          </w:p>
        </w:tc>
        <w:tc>
          <w:tcPr>
            <w:tcW w:w="640" w:type="dxa"/>
            <w:vAlign w:val="bottom"/>
            <w:tcBorders>
              <w:bottom w:val="single" w:sz="8" w:color="4D5357"/>
            </w:tcBorders>
          </w:tcPr>
          <w:p>
            <w:pPr>
              <w:spacing w:after="0"/>
              <w:rPr>
                <w:sz w:val="7"/>
                <w:szCs w:val="7"/>
                <w:color w:val="auto"/>
              </w:rPr>
            </w:pPr>
          </w:p>
        </w:tc>
        <w:tc>
          <w:tcPr>
            <w:tcW w:w="700" w:type="dxa"/>
            <w:vAlign w:val="bottom"/>
            <w:tcBorders>
              <w:bottom w:val="single" w:sz="8" w:color="4D5357"/>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Corporate Governance/Legal</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Ensures background and knowledge necessary to provide effective</w:t>
            </w:r>
          </w:p>
        </w:tc>
        <w:tc>
          <w:tcPr>
            <w:tcW w:w="5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oversight and governance</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Current or Former CEO of Public Company</w:t>
            </w:r>
          </w:p>
        </w:tc>
        <w:tc>
          <w:tcPr>
            <w:tcW w:w="540" w:type="dxa"/>
            <w:vAlign w:val="bottom"/>
          </w:tcPr>
          <w:p>
            <w:pPr>
              <w:spacing w:after="0"/>
              <w:rPr>
                <w:sz w:val="20"/>
                <w:szCs w:val="2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tcPr>
          <w:p>
            <w:pPr>
              <w:spacing w:after="0"/>
              <w:rPr>
                <w:sz w:val="20"/>
                <w:szCs w:val="2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tcPr>
          <w:p>
            <w:pPr>
              <w:spacing w:after="0"/>
              <w:rPr>
                <w:sz w:val="20"/>
                <w:szCs w:val="20"/>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Strong leadership skills and critical experience with demands and</w:t>
            </w:r>
          </w:p>
        </w:tc>
        <w:tc>
          <w:tcPr>
            <w:tcW w:w="5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challenges of managing a large public organization</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Financial or Accounting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Enables in-depth analysis of our financial statements, capital</w:t>
            </w:r>
          </w:p>
        </w:tc>
        <w:tc>
          <w:tcPr>
            <w:tcW w:w="5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structure, financial transactions, and financial reporting process</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Government Relations/Regulatory/Sustainability</w:t>
            </w: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Critical for understanding complex regulatory and governmental</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11"/>
        </w:trPr>
        <w:tc>
          <w:tcPr>
            <w:tcW w:w="5360" w:type="dxa"/>
            <w:vAlign w:val="bottom"/>
            <w:vMerge w:val="restart"/>
          </w:tcPr>
          <w:p>
            <w:pPr>
              <w:ind w:left="900"/>
              <w:spacing w:after="0"/>
              <w:rPr>
                <w:sz w:val="20"/>
                <w:szCs w:val="20"/>
                <w:color w:val="auto"/>
              </w:rPr>
            </w:pPr>
            <w:r>
              <w:rPr>
                <w:rFonts w:ascii="Arial" w:cs="Arial" w:eastAsia="Arial" w:hAnsi="Arial"/>
                <w:sz w:val="14"/>
                <w:szCs w:val="14"/>
                <w:color w:val="4D5357"/>
              </w:rPr>
              <w:t>environment that impacts our business and our strategic goals</w:t>
            </w:r>
          </w:p>
        </w:tc>
        <w:tc>
          <w:tcPr>
            <w:tcW w:w="5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53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relating to sustainability</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Logistics/Operations</w:t>
            </w:r>
          </w:p>
        </w:tc>
        <w:tc>
          <w:tcPr>
            <w:tcW w:w="540" w:type="dxa"/>
            <w:vAlign w:val="bottom"/>
          </w:tcPr>
          <w:p>
            <w:pPr>
              <w:spacing w:after="0"/>
              <w:rPr>
                <w:sz w:val="20"/>
                <w:szCs w:val="2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tcPr>
          <w:p>
            <w:pPr>
              <w:spacing w:after="0"/>
              <w:rPr>
                <w:sz w:val="20"/>
                <w:szCs w:val="2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tcPr>
          <w:p>
            <w:pPr>
              <w:spacing w:after="0"/>
              <w:rPr>
                <w:sz w:val="20"/>
                <w:szCs w:val="20"/>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Necessary in overseeing a sustainable company that relies heavily</w:t>
            </w:r>
          </w:p>
        </w:tc>
        <w:tc>
          <w:tcPr>
            <w:tcW w:w="5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on logistics</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Other Public Boards</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Adds perspective important to shareholders and public company</w:t>
            </w:r>
          </w:p>
        </w:tc>
        <w:tc>
          <w:tcPr>
            <w:tcW w:w="5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governance</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Risk Management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Facilitates understanding of the risks facing the Company and</w:t>
            </w:r>
          </w:p>
        </w:tc>
        <w:tc>
          <w:tcPr>
            <w:tcW w:w="5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appropriate process and procedures for managing them</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Strategy/M&amp;A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Supports setting of long-term corporate vision, disciplined strategic</w:t>
            </w:r>
          </w:p>
        </w:tc>
        <w:tc>
          <w:tcPr>
            <w:tcW w:w="5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development and integration to facilitate the Company’s growth</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5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900"/>
              <w:spacing w:after="0"/>
              <w:rPr>
                <w:sz w:val="20"/>
                <w:szCs w:val="20"/>
                <w:color w:val="auto"/>
              </w:rPr>
            </w:pPr>
            <w:r>
              <w:rPr>
                <w:rFonts w:ascii="Arial" w:cs="Arial" w:eastAsia="Arial" w:hAnsi="Arial"/>
                <w:sz w:val="14"/>
                <w:szCs w:val="14"/>
                <w:b w:val="1"/>
                <w:bCs w:val="1"/>
                <w:color w:val="4D5357"/>
              </w:rPr>
              <w:t>Technology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w w:val="82"/>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520" w:type="dxa"/>
            <w:vAlign w:val="bottom"/>
          </w:tcPr>
          <w:p>
            <w:pPr>
              <w:spacing w:after="0"/>
              <w:rPr>
                <w:sz w:val="20"/>
                <w:szCs w:val="20"/>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640" w:type="dxa"/>
            <w:vAlign w:val="bottom"/>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4D5357"/>
              </w:rPr>
              <w:t>●</w:t>
            </w:r>
          </w:p>
        </w:tc>
        <w:tc>
          <w:tcPr>
            <w:tcW w:w="0" w:type="dxa"/>
            <w:vAlign w:val="bottom"/>
          </w:tcPr>
          <w:p>
            <w:pPr>
              <w:spacing w:after="0"/>
              <w:rPr>
                <w:sz w:val="1"/>
                <w:szCs w:val="1"/>
                <w:color w:val="auto"/>
              </w:rPr>
            </w:pPr>
          </w:p>
        </w:tc>
      </w:tr>
      <w:tr>
        <w:trPr>
          <w:trHeight w:val="162"/>
        </w:trPr>
        <w:tc>
          <w:tcPr>
            <w:tcW w:w="5360" w:type="dxa"/>
            <w:vAlign w:val="bottom"/>
          </w:tcPr>
          <w:p>
            <w:pPr>
              <w:ind w:left="900"/>
              <w:spacing w:after="0"/>
              <w:rPr>
                <w:sz w:val="20"/>
                <w:szCs w:val="20"/>
                <w:color w:val="auto"/>
              </w:rPr>
            </w:pPr>
            <w:r>
              <w:rPr>
                <w:rFonts w:ascii="Arial" w:cs="Arial" w:eastAsia="Arial" w:hAnsi="Arial"/>
                <w:sz w:val="14"/>
                <w:szCs w:val="14"/>
                <w:color w:val="4D5357"/>
              </w:rPr>
              <w:t>Facilitates business objectives and security of the Company’s</w:t>
            </w:r>
          </w:p>
        </w:tc>
        <w:tc>
          <w:tcPr>
            <w:tcW w:w="5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900"/>
              <w:spacing w:after="0"/>
              <w:rPr>
                <w:sz w:val="20"/>
                <w:szCs w:val="20"/>
                <w:color w:val="auto"/>
              </w:rPr>
            </w:pPr>
            <w:r>
              <w:rPr>
                <w:rFonts w:ascii="Arial" w:cs="Arial" w:eastAsia="Arial" w:hAnsi="Arial"/>
                <w:sz w:val="14"/>
                <w:szCs w:val="14"/>
                <w:color w:val="4D5357"/>
              </w:rPr>
              <w:t>proprietary and confidential data</w:t>
            </w: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-4015105</wp:posOffset>
            </wp:positionV>
            <wp:extent cx="265430" cy="2311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430" cy="231140"/>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-3577590</wp:posOffset>
            </wp:positionV>
            <wp:extent cx="265430" cy="265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-3114675</wp:posOffset>
            </wp:positionV>
            <wp:extent cx="179705" cy="2489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9705" cy="24892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-2600325</wp:posOffset>
            </wp:positionV>
            <wp:extent cx="231140" cy="231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-2085975</wp:posOffset>
            </wp:positionV>
            <wp:extent cx="385445"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5445" cy="21463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-1649095</wp:posOffset>
            </wp:positionV>
            <wp:extent cx="248285" cy="2482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-1194435</wp:posOffset>
            </wp:positionV>
            <wp:extent cx="23114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-740410</wp:posOffset>
            </wp:positionV>
            <wp:extent cx="231140" cy="248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1140" cy="24828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-277495</wp:posOffset>
            </wp:positionV>
            <wp:extent cx="36830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8300" cy="22288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333333"/>
        </w:rPr>
        <w:t>The Board has implemented a number of processes to assist it in refreshing the Board in an appropriate manner that helps create shareholder value.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15 </w:t>
      </w:r>
      <w:r>
        <w:rPr>
          <w:rFonts w:ascii="Arial" w:cs="Arial" w:eastAsia="Arial" w:hAnsi="Arial"/>
          <w:sz w:val="16"/>
          <w:szCs w:val="16"/>
          <w:color w:val="333333"/>
        </w:rPr>
        <w:t xml:space="preserve">               </w:t>
      </w:r>
    </w:p>
    <w:p>
      <w:pPr>
        <w:sectPr>
          <w:pgSz w:w="11900" w:h="16838" w:orient="portrait"/>
          <w:cols w:equalWidth="0" w:num="3">
            <w:col w:w="3860" w:space="720"/>
            <w:col w:w="4660" w:space="720"/>
            <w:col w:w="1060"/>
          </w:cols>
          <w:pgMar w:left="440" w:top="315" w:right="4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531"/>
        </w:trPr>
        <w:tc>
          <w:tcPr>
            <w:tcW w:w="180" w:type="dxa"/>
            <w:vAlign w:val="bottom"/>
            <w:shd w:val="clear" w:color="auto" w:fill="4D5357"/>
          </w:tcPr>
          <w:p>
            <w:pPr>
              <w:ind w:left="120"/>
              <w:spacing w:after="0"/>
              <w:rPr>
                <w:sz w:val="20"/>
                <w:szCs w:val="20"/>
                <w:color w:val="auto"/>
              </w:rPr>
            </w:pPr>
            <w:r>
              <w:rPr>
                <w:rFonts w:ascii="Arial" w:cs="Arial" w:eastAsia="Arial" w:hAnsi="Arial"/>
                <w:sz w:val="5"/>
                <w:szCs w:val="5"/>
                <w:b w:val="1"/>
                <w:bCs w:val="1"/>
                <w:color w:val="FFFFFF"/>
                <w:w w:val="79"/>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28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1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w w:val="71"/>
              </w:rPr>
              <w:t> </w:t>
            </w:r>
          </w:p>
        </w:tc>
        <w:tc>
          <w:tcPr>
            <w:tcW w:w="140" w:type="dxa"/>
            <w:vAlign w:val="bottom"/>
            <w:shd w:val="clear" w:color="auto" w:fill="4D5357"/>
          </w:tcPr>
          <w:p>
            <w:pPr>
              <w:ind w:left="40"/>
              <w:spacing w:after="0"/>
              <w:rPr>
                <w:sz w:val="20"/>
                <w:szCs w:val="20"/>
                <w:color w:val="auto"/>
              </w:rPr>
            </w:pPr>
            <w:r>
              <w:rPr>
                <w:rFonts w:ascii="Arial" w:cs="Arial" w:eastAsia="Arial" w:hAnsi="Arial"/>
                <w:sz w:val="11"/>
                <w:szCs w:val="11"/>
                <w:b w:val="1"/>
                <w:bCs w:val="1"/>
                <w:color w:val="FFFFFF"/>
                <w:w w:val="72"/>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2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r>
      <w:tr>
        <w:trPr>
          <w:trHeight w:val="110"/>
        </w:trPr>
        <w:tc>
          <w:tcPr>
            <w:tcW w:w="180" w:type="dxa"/>
            <w:vAlign w:val="bottom"/>
            <w:shd w:val="clear" w:color="auto" w:fill="4D5357"/>
          </w:tcPr>
          <w:p>
            <w:pPr>
              <w:spacing w:after="0"/>
              <w:rPr>
                <w:sz w:val="9"/>
                <w:szCs w:val="9"/>
                <w:color w:val="auto"/>
              </w:rPr>
            </w:pPr>
          </w:p>
        </w:tc>
        <w:tc>
          <w:tcPr>
            <w:tcW w:w="140" w:type="dxa"/>
            <w:vAlign w:val="bottom"/>
            <w:shd w:val="clear" w:color="auto" w:fill="4D5357"/>
          </w:tcPr>
          <w:p>
            <w:pPr>
              <w:spacing w:after="0"/>
              <w:rPr>
                <w:sz w:val="9"/>
                <w:szCs w:val="9"/>
                <w:color w:val="auto"/>
              </w:rPr>
            </w:pPr>
          </w:p>
        </w:tc>
        <w:tc>
          <w:tcPr>
            <w:tcW w:w="920" w:type="dxa"/>
            <w:vAlign w:val="bottom"/>
            <w:shd w:val="clear" w:color="auto" w:fill="4D5357"/>
          </w:tcPr>
          <w:p>
            <w:pPr>
              <w:spacing w:after="0"/>
              <w:rPr>
                <w:sz w:val="9"/>
                <w:szCs w:val="9"/>
                <w:color w:val="auto"/>
              </w:rPr>
            </w:pPr>
          </w:p>
        </w:tc>
        <w:tc>
          <w:tcPr>
            <w:tcW w:w="280" w:type="dxa"/>
            <w:vAlign w:val="bottom"/>
            <w:shd w:val="clear" w:color="auto" w:fill="4D5357"/>
          </w:tcPr>
          <w:p>
            <w:pPr>
              <w:spacing w:after="0"/>
              <w:rPr>
                <w:sz w:val="9"/>
                <w:szCs w:val="9"/>
                <w:color w:val="auto"/>
              </w:rPr>
            </w:pPr>
          </w:p>
        </w:tc>
      </w:tr>
    </w:tbl>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Arial" w:cs="Arial" w:eastAsia="Arial" w:hAnsi="Arial"/>
          <w:sz w:val="27"/>
          <w:szCs w:val="27"/>
          <w:b w:val="1"/>
          <w:bCs w:val="1"/>
          <w:color w:val="0086CC"/>
        </w:rPr>
        <w:t>Board Refreshment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6998970" cy="1898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8970" cy="1898650"/>
                    </a:xfrm>
                    <a:prstGeom prst="rect">
                      <a:avLst/>
                    </a:prstGeom>
                    <a:noFill/>
                  </pic:spPr>
                </pic:pic>
              </a:graphicData>
            </a:graphic>
          </wp:anchor>
        </w:drawing>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86CC"/>
        </w:rPr>
        <w:t>REVIEW OF BOARD CANDIDATES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333333"/>
                <w:w w:val="99"/>
              </w:rPr>
              <w:t xml:space="preserve">    </w:t>
            </w:r>
          </w:p>
        </w:tc>
        <w:tc>
          <w:tcPr>
            <w:tcW w:w="4900" w:type="dxa"/>
            <w:vAlign w:val="bottom"/>
            <w:gridSpan w:val="2"/>
          </w:tcPr>
          <w:p>
            <w:pPr>
              <w:ind w:left="100"/>
              <w:spacing w:after="0"/>
              <w:rPr>
                <w:sz w:val="20"/>
                <w:szCs w:val="20"/>
                <w:color w:val="auto"/>
              </w:rPr>
            </w:pPr>
            <w:r>
              <w:rPr>
                <w:rFonts w:ascii="Arial" w:cs="Arial" w:eastAsia="Arial" w:hAnsi="Arial"/>
                <w:sz w:val="14"/>
                <w:szCs w:val="14"/>
                <w:color w:val="333333"/>
              </w:rPr>
              <w:t>The Board seeks candidates who, at a minimum, possess the background,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80" w:type="dxa"/>
            <w:vAlign w:val="bottom"/>
            <w:vMerge w:val="restart"/>
          </w:tcPr>
          <w:p>
            <w:pPr>
              <w:ind w:left="120"/>
              <w:spacing w:after="0"/>
              <w:rPr>
                <w:sz w:val="20"/>
                <w:szCs w:val="20"/>
                <w:color w:val="auto"/>
              </w:rPr>
            </w:pPr>
            <w:r>
              <w:rPr>
                <w:rFonts w:ascii="Arial" w:cs="Arial" w:eastAsia="Arial" w:hAnsi="Arial"/>
                <w:sz w:val="14"/>
                <w:szCs w:val="14"/>
                <w:color w:val="333333"/>
              </w:rPr>
              <w:t>• the needs of the Board in light of recent and anticipated Board</w:t>
            </w:r>
          </w:p>
        </w:tc>
        <w:tc>
          <w:tcPr>
            <w:tcW w:w="160" w:type="dxa"/>
            <w:vAlign w:val="bottom"/>
          </w:tcPr>
          <w:p>
            <w:pPr>
              <w:ind w:left="40"/>
              <w:spacing w:after="0"/>
              <w:rPr>
                <w:sz w:val="20"/>
                <w:szCs w:val="20"/>
                <w:color w:val="auto"/>
              </w:rPr>
            </w:pPr>
            <w:r>
              <w:rPr>
                <w:rFonts w:ascii="Arial" w:cs="Arial" w:eastAsia="Arial" w:hAnsi="Arial"/>
                <w:sz w:val="14"/>
                <w:szCs w:val="14"/>
                <w:color w:val="333333"/>
                <w:w w:val="71"/>
              </w:rPr>
              <w:t>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20" w:type="dxa"/>
            <w:vAlign w:val="bottom"/>
            <w:gridSpan w:val="3"/>
            <w:vMerge w:val="restart"/>
          </w:tcPr>
          <w:p>
            <w:pPr>
              <w:ind w:left="100"/>
              <w:spacing w:after="0"/>
              <w:rPr>
                <w:sz w:val="20"/>
                <w:szCs w:val="20"/>
                <w:color w:val="auto"/>
              </w:rPr>
            </w:pPr>
            <w:r>
              <w:rPr>
                <w:rFonts w:ascii="Arial" w:cs="Arial" w:eastAsia="Arial" w:hAnsi="Arial"/>
                <w:sz w:val="14"/>
                <w:szCs w:val="14"/>
                <w:color w:val="333333"/>
              </w:rPr>
              <w:t>skills, expertise and time to make a significant contribution to the Board, the</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80" w:type="dxa"/>
            <w:vAlign w:val="bottom"/>
            <w:vMerge w:val="restart"/>
          </w:tcPr>
          <w:p>
            <w:pPr>
              <w:ind w:left="240"/>
              <w:spacing w:after="0"/>
              <w:rPr>
                <w:sz w:val="20"/>
                <w:szCs w:val="20"/>
                <w:color w:val="auto"/>
              </w:rPr>
            </w:pPr>
            <w:r>
              <w:rPr>
                <w:rFonts w:ascii="Arial" w:cs="Arial" w:eastAsia="Arial" w:hAnsi="Arial"/>
                <w:sz w:val="14"/>
                <w:szCs w:val="14"/>
                <w:color w:val="333333"/>
              </w:rPr>
              <w:t>vacancies.</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900" w:type="dxa"/>
            <w:vAlign w:val="bottom"/>
            <w:gridSpan w:val="2"/>
            <w:vMerge w:val="restart"/>
          </w:tcPr>
          <w:p>
            <w:pPr>
              <w:ind w:left="100"/>
              <w:spacing w:after="0"/>
              <w:rPr>
                <w:sz w:val="20"/>
                <w:szCs w:val="20"/>
                <w:color w:val="auto"/>
              </w:rPr>
            </w:pPr>
            <w:r>
              <w:rPr>
                <w:rFonts w:ascii="Arial" w:cs="Arial" w:eastAsia="Arial" w:hAnsi="Arial"/>
                <w:sz w:val="14"/>
                <w:szCs w:val="14"/>
                <w:color w:val="333333"/>
              </w:rPr>
              <w:t xml:space="preserve">Company and its shareholders. The </w:t>
            </w:r>
            <w:r>
              <w:rPr>
                <w:rFonts w:ascii="Arial" w:cs="Arial" w:eastAsia="Arial" w:hAnsi="Arial"/>
                <w:sz w:val="14"/>
                <w:szCs w:val="14"/>
                <w:i w:val="1"/>
                <w:iCs w:val="1"/>
                <w:color w:val="333333"/>
              </w:rPr>
              <w:t>Corporate Governance Guidelines</w:t>
            </w:r>
            <w:r>
              <w:rPr>
                <w:rFonts w:ascii="Arial" w:cs="Arial" w:eastAsia="Arial" w:hAnsi="Arial"/>
                <w:sz w:val="14"/>
                <w:szCs w:val="14"/>
                <w:color w:val="333333"/>
              </w:rPr>
              <w:t xml:space="preserve"> list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80" w:type="dxa"/>
            <w:vAlign w:val="bottom"/>
            <w:vMerge w:val="restart"/>
          </w:tcPr>
          <w:p>
            <w:pPr>
              <w:ind w:left="120"/>
              <w:spacing w:after="0"/>
              <w:rPr>
                <w:sz w:val="20"/>
                <w:szCs w:val="20"/>
                <w:color w:val="auto"/>
              </w:rPr>
            </w:pPr>
            <w:r>
              <w:rPr>
                <w:rFonts w:ascii="Arial" w:cs="Arial" w:eastAsia="Arial" w:hAnsi="Arial"/>
                <w:sz w:val="14"/>
                <w:szCs w:val="14"/>
                <w:color w:val="333333"/>
              </w:rPr>
              <w:t>During the process of identifying and selecting director nominees,</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00" w:type="dxa"/>
            <w:vAlign w:val="bottom"/>
            <w:gridSpan w:val="2"/>
          </w:tcPr>
          <w:p>
            <w:pPr>
              <w:ind w:left="100"/>
              <w:spacing w:after="0" w:line="145" w:lineRule="exact"/>
              <w:rPr>
                <w:sz w:val="20"/>
                <w:szCs w:val="20"/>
                <w:color w:val="auto"/>
              </w:rPr>
            </w:pPr>
            <w:r>
              <w:rPr>
                <w:rFonts w:ascii="Arial" w:cs="Arial" w:eastAsia="Arial" w:hAnsi="Arial"/>
                <w:sz w:val="14"/>
                <w:szCs w:val="14"/>
                <w:color w:val="333333"/>
              </w:rPr>
              <w:t>criteria against which candidates may be assessed. In addition, the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gridSpan w:val="2"/>
          </w:tcPr>
          <w:p>
            <w:pPr>
              <w:ind w:left="100"/>
              <w:spacing w:after="0"/>
              <w:rPr>
                <w:sz w:val="20"/>
                <w:szCs w:val="20"/>
                <w:color w:val="auto"/>
              </w:rPr>
            </w:pPr>
            <w:r>
              <w:rPr>
                <w:rFonts w:ascii="Arial" w:cs="Arial" w:eastAsia="Arial" w:hAnsi="Arial"/>
                <w:sz w:val="14"/>
                <w:szCs w:val="14"/>
                <w:color w:val="333333"/>
              </w:rPr>
              <w:t>Nominating and Corporate Governance Committee considers, among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120"/>
              <w:spacing w:after="0"/>
              <w:rPr>
                <w:sz w:val="20"/>
                <w:szCs w:val="20"/>
                <w:color w:val="auto"/>
              </w:rPr>
            </w:pPr>
            <w:r>
              <w:rPr>
                <w:rFonts w:ascii="Arial" w:cs="Arial" w:eastAsia="Arial" w:hAnsi="Arial"/>
                <w:sz w:val="14"/>
                <w:szCs w:val="14"/>
                <w:color w:val="333333"/>
              </w:rPr>
              <w:t>the Nominating and Corporate Governance Committee screens and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gridSpan w:val="2"/>
          </w:tcPr>
          <w:p>
            <w:pPr>
              <w:ind w:left="100"/>
              <w:spacing w:after="0"/>
              <w:rPr>
                <w:sz w:val="20"/>
                <w:szCs w:val="20"/>
                <w:color w:val="auto"/>
              </w:rPr>
            </w:pPr>
            <w:r>
              <w:rPr>
                <w:rFonts w:ascii="Arial" w:cs="Arial" w:eastAsia="Arial" w:hAnsi="Arial"/>
                <w:sz w:val="14"/>
                <w:szCs w:val="14"/>
                <w:color w:val="333333"/>
              </w:rPr>
              <w:t>things: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120"/>
              <w:spacing w:after="0"/>
              <w:rPr>
                <w:sz w:val="20"/>
                <w:szCs w:val="20"/>
                <w:color w:val="auto"/>
              </w:rPr>
            </w:pPr>
            <w:r>
              <w:rPr>
                <w:rFonts w:ascii="Arial" w:cs="Arial" w:eastAsia="Arial" w:hAnsi="Arial"/>
                <w:sz w:val="14"/>
                <w:szCs w:val="14"/>
                <w:color w:val="333333"/>
              </w:rPr>
              <w:t>recommends candidates for nomination by the full Board. The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vMerge w:val="restart"/>
          </w:tcPr>
          <w:p>
            <w:pPr>
              <w:ind w:left="100"/>
              <w:spacing w:after="0"/>
              <w:rPr>
                <w:sz w:val="20"/>
                <w:szCs w:val="20"/>
                <w:color w:val="auto"/>
              </w:rPr>
            </w:pPr>
            <w:r>
              <w:rPr>
                <w:rFonts w:ascii="Arial" w:cs="Arial" w:eastAsia="Arial" w:hAnsi="Arial"/>
                <w:sz w:val="14"/>
                <w:szCs w:val="14"/>
                <w:color w:val="333333"/>
                <w:w w:val="80"/>
              </w:rPr>
              <w:t>•</w:t>
            </w:r>
          </w:p>
        </w:tc>
        <w:tc>
          <w:tcPr>
            <w:tcW w:w="4740" w:type="dxa"/>
            <w:vAlign w:val="bottom"/>
            <w:vMerge w:val="restart"/>
          </w:tcPr>
          <w:p>
            <w:pPr>
              <w:ind w:left="60"/>
              <w:spacing w:after="0"/>
              <w:rPr>
                <w:sz w:val="20"/>
                <w:szCs w:val="20"/>
                <w:color w:val="auto"/>
              </w:rPr>
            </w:pPr>
            <w:r>
              <w:rPr>
                <w:rFonts w:ascii="Arial" w:cs="Arial" w:eastAsia="Arial" w:hAnsi="Arial"/>
                <w:sz w:val="14"/>
                <w:szCs w:val="14"/>
                <w:color w:val="333333"/>
              </w:rPr>
              <w:t>input from the Board’s self-assessment process to prioritize areas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80" w:type="dxa"/>
            <w:vAlign w:val="bottom"/>
          </w:tcPr>
          <w:p>
            <w:pPr>
              <w:ind w:left="120"/>
              <w:spacing w:after="0" w:line="153" w:lineRule="exact"/>
              <w:rPr>
                <w:sz w:val="20"/>
                <w:szCs w:val="20"/>
                <w:color w:val="auto"/>
              </w:rPr>
            </w:pPr>
            <w:r>
              <w:rPr>
                <w:rFonts w:ascii="Arial" w:cs="Arial" w:eastAsia="Arial" w:hAnsi="Arial"/>
                <w:sz w:val="14"/>
                <w:szCs w:val="14"/>
                <w:color w:val="333333"/>
              </w:rPr>
              <w:t>Bylaws provide that the size of the Board may range from 9 to 11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80" w:type="dxa"/>
            <w:vAlign w:val="bottom"/>
            <w:vMerge w:val="restart"/>
          </w:tcPr>
          <w:p>
            <w:pPr>
              <w:ind w:left="120"/>
              <w:spacing w:after="0"/>
              <w:rPr>
                <w:sz w:val="20"/>
                <w:szCs w:val="20"/>
                <w:color w:val="auto"/>
              </w:rPr>
            </w:pPr>
            <w:r>
              <w:rPr>
                <w:rFonts w:ascii="Arial" w:cs="Arial" w:eastAsia="Arial" w:hAnsi="Arial"/>
                <w:sz w:val="14"/>
                <w:szCs w:val="14"/>
                <w:color w:val="333333"/>
              </w:rPr>
              <w:t>members. Director candidates also may be identified by</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740" w:type="dxa"/>
            <w:vAlign w:val="bottom"/>
            <w:vMerge w:val="restart"/>
          </w:tcPr>
          <w:p>
            <w:pPr>
              <w:ind w:left="60"/>
              <w:spacing w:after="0"/>
              <w:rPr>
                <w:sz w:val="20"/>
                <w:szCs w:val="20"/>
                <w:color w:val="auto"/>
              </w:rPr>
            </w:pPr>
            <w:r>
              <w:rPr>
                <w:rFonts w:ascii="Arial" w:cs="Arial" w:eastAsia="Arial" w:hAnsi="Arial"/>
                <w:sz w:val="14"/>
                <w:szCs w:val="14"/>
                <w:color w:val="333333"/>
              </w:rPr>
              <w:t>expertise that were identified;</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80" w:type="dxa"/>
            <w:vAlign w:val="bottom"/>
            <w:vMerge w:val="restart"/>
          </w:tcPr>
          <w:p>
            <w:pPr>
              <w:ind w:left="120"/>
              <w:spacing w:after="0"/>
              <w:rPr>
                <w:sz w:val="20"/>
                <w:szCs w:val="20"/>
                <w:color w:val="auto"/>
              </w:rPr>
            </w:pPr>
            <w:r>
              <w:rPr>
                <w:rFonts w:ascii="Arial" w:cs="Arial" w:eastAsia="Arial" w:hAnsi="Arial"/>
                <w:sz w:val="14"/>
                <w:szCs w:val="14"/>
                <w:color w:val="333333"/>
              </w:rPr>
              <w:t>shareholders and will be evaluated under the same criteria applied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gridSpan w:val="2"/>
          </w:tcPr>
          <w:p>
            <w:pPr>
              <w:ind w:left="100"/>
              <w:spacing w:after="0"/>
              <w:rPr>
                <w:sz w:val="20"/>
                <w:szCs w:val="20"/>
                <w:color w:val="auto"/>
              </w:rPr>
            </w:pPr>
            <w:r>
              <w:rPr>
                <w:rFonts w:ascii="Arial" w:cs="Arial" w:eastAsia="Arial" w:hAnsi="Arial"/>
                <w:sz w:val="14"/>
                <w:szCs w:val="14"/>
                <w:color w:val="333333"/>
              </w:rPr>
              <w:t>• investor feedback and perceptions;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120"/>
              <w:spacing w:after="0"/>
              <w:rPr>
                <w:sz w:val="20"/>
                <w:szCs w:val="20"/>
                <w:color w:val="auto"/>
              </w:rPr>
            </w:pPr>
            <w:r>
              <w:rPr>
                <w:rFonts w:ascii="Arial" w:cs="Arial" w:eastAsia="Arial" w:hAnsi="Arial"/>
                <w:sz w:val="14"/>
                <w:szCs w:val="14"/>
                <w:color w:val="333333"/>
              </w:rPr>
              <w:t>to other director nominees and considered by the Nominating and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vMerge w:val="restart"/>
          </w:tcPr>
          <w:p>
            <w:pPr>
              <w:ind w:left="100"/>
              <w:spacing w:after="0"/>
              <w:rPr>
                <w:sz w:val="20"/>
                <w:szCs w:val="20"/>
                <w:color w:val="auto"/>
              </w:rPr>
            </w:pPr>
            <w:r>
              <w:rPr>
                <w:rFonts w:ascii="Arial" w:cs="Arial" w:eastAsia="Arial" w:hAnsi="Arial"/>
                <w:sz w:val="14"/>
                <w:szCs w:val="14"/>
                <w:color w:val="333333"/>
                <w:w w:val="80"/>
              </w:rPr>
              <w:t>•</w:t>
            </w:r>
          </w:p>
        </w:tc>
        <w:tc>
          <w:tcPr>
            <w:tcW w:w="4860" w:type="dxa"/>
            <w:vAlign w:val="bottom"/>
            <w:gridSpan w:val="2"/>
            <w:vMerge w:val="restart"/>
          </w:tcPr>
          <w:p>
            <w:pPr>
              <w:ind w:left="60"/>
              <w:spacing w:after="0"/>
              <w:rPr>
                <w:sz w:val="20"/>
                <w:szCs w:val="20"/>
                <w:color w:val="auto"/>
              </w:rPr>
            </w:pPr>
            <w:r>
              <w:rPr>
                <w:rFonts w:ascii="Arial" w:cs="Arial" w:eastAsia="Arial" w:hAnsi="Arial"/>
                <w:sz w:val="14"/>
                <w:szCs w:val="14"/>
                <w:color w:val="333333"/>
              </w:rPr>
              <w:t>the candidates’ skills and competencies to ensure they are aligned with the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120"/>
              <w:spacing w:after="0"/>
              <w:rPr>
                <w:sz w:val="20"/>
                <w:szCs w:val="20"/>
                <w:color w:val="auto"/>
              </w:rPr>
            </w:pPr>
            <w:r>
              <w:rPr>
                <w:rFonts w:ascii="Arial" w:cs="Arial" w:eastAsia="Arial" w:hAnsi="Arial"/>
                <w:sz w:val="14"/>
                <w:szCs w:val="14"/>
                <w:color w:val="333333"/>
              </w:rPr>
              <w:t>Corporate Governance Committee. Information on the process and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80" w:type="dxa"/>
            <w:vAlign w:val="bottom"/>
            <w:vMerge w:val="restart"/>
          </w:tcPr>
          <w:p>
            <w:pPr>
              <w:ind w:left="120"/>
              <w:spacing w:after="0"/>
              <w:rPr>
                <w:sz w:val="20"/>
                <w:szCs w:val="20"/>
                <w:color w:val="auto"/>
              </w:rPr>
            </w:pPr>
            <w:r>
              <w:rPr>
                <w:rFonts w:ascii="Arial" w:cs="Arial" w:eastAsia="Arial" w:hAnsi="Arial"/>
                <w:sz w:val="14"/>
                <w:szCs w:val="14"/>
                <w:color w:val="333333"/>
              </w:rPr>
              <w:t>requirements for shareholder nominees may be found in our</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740" w:type="dxa"/>
            <w:vAlign w:val="bottom"/>
            <w:vMerge w:val="restart"/>
          </w:tcPr>
          <w:p>
            <w:pPr>
              <w:ind w:left="60"/>
              <w:spacing w:after="0"/>
              <w:rPr>
                <w:sz w:val="20"/>
                <w:szCs w:val="20"/>
                <w:color w:val="auto"/>
              </w:rPr>
            </w:pPr>
            <w:r>
              <w:rPr>
                <w:rFonts w:ascii="Arial" w:cs="Arial" w:eastAsia="Arial" w:hAnsi="Arial"/>
                <w:sz w:val="14"/>
                <w:szCs w:val="14"/>
                <w:color w:val="333333"/>
              </w:rPr>
              <w:t>Company’s future strategic challenges and opportunities; and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80" w:type="dxa"/>
            <w:vAlign w:val="bottom"/>
            <w:vMerge w:val="restart"/>
          </w:tcPr>
          <w:p>
            <w:pPr>
              <w:ind w:left="120"/>
              <w:spacing w:after="0"/>
              <w:rPr>
                <w:sz w:val="20"/>
                <w:szCs w:val="20"/>
                <w:color w:val="auto"/>
              </w:rPr>
            </w:pPr>
            <w:r>
              <w:rPr>
                <w:rFonts w:ascii="Arial" w:cs="Arial" w:eastAsia="Arial" w:hAnsi="Arial"/>
                <w:sz w:val="14"/>
                <w:szCs w:val="14"/>
                <w:color w:val="333333"/>
              </w:rPr>
              <w:t>Bylaws on the Company’s website at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120"/>
              <w:spacing w:after="0"/>
              <w:rPr>
                <w:sz w:val="20"/>
                <w:szCs w:val="20"/>
                <w:color w:val="auto"/>
              </w:rPr>
            </w:pPr>
            <w:r>
              <w:rPr>
                <w:rFonts w:ascii="Arial" w:cs="Arial" w:eastAsia="Arial" w:hAnsi="Arial"/>
                <w:sz w:val="14"/>
                <w:szCs w:val="14"/>
                <w:color w:val="333333"/>
              </w:rPr>
              <w:t>https://ir.martinmarietta.com/corporate-governance/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80" w:type="dxa"/>
            <w:vAlign w:val="bottom"/>
          </w:tcPr>
          <w:p>
            <w:pPr>
              <w:ind w:left="120"/>
              <w:spacing w:after="0"/>
              <w:rPr>
                <w:sz w:val="20"/>
                <w:szCs w:val="20"/>
                <w:color w:val="auto"/>
              </w:rPr>
            </w:pPr>
            <w:r>
              <w:rPr>
                <w:rFonts w:ascii="Arial" w:cs="Arial" w:eastAsia="Arial" w:hAnsi="Arial"/>
                <w:sz w:val="14"/>
                <w:szCs w:val="14"/>
                <w:color w:val="333333"/>
              </w:rPr>
              <w:t>governance-documents-and-charters.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0" w:type="dxa"/>
            <w:vAlign w:val="bottom"/>
            <w:tcBorders>
              <w:bottom w:val="single" w:sz="8" w:color="4D5357"/>
            </w:tcBorders>
          </w:tcPr>
          <w:p>
            <w:pPr>
              <w:spacing w:after="0"/>
              <w:rPr>
                <w:sz w:val="3"/>
                <w:szCs w:val="3"/>
                <w:color w:val="auto"/>
              </w:rPr>
            </w:pPr>
          </w:p>
        </w:tc>
        <w:tc>
          <w:tcPr>
            <w:tcW w:w="220" w:type="dxa"/>
            <w:vAlign w:val="bottom"/>
            <w:tcBorders>
              <w:bottom w:val="single" w:sz="8" w:color="4D5357"/>
            </w:tcBorders>
          </w:tcPr>
          <w:p>
            <w:pPr>
              <w:spacing w:after="0"/>
              <w:rPr>
                <w:sz w:val="3"/>
                <w:szCs w:val="3"/>
                <w:color w:val="auto"/>
              </w:rPr>
            </w:pPr>
          </w:p>
        </w:tc>
        <w:tc>
          <w:tcPr>
            <w:tcW w:w="160" w:type="dxa"/>
            <w:vAlign w:val="bottom"/>
            <w:tcBorders>
              <w:bottom w:val="single" w:sz="8" w:color="4D5357"/>
            </w:tcBorders>
          </w:tcPr>
          <w:p>
            <w:pPr>
              <w:spacing w:after="0"/>
              <w:rPr>
                <w:sz w:val="3"/>
                <w:szCs w:val="3"/>
                <w:color w:val="auto"/>
              </w:rPr>
            </w:pPr>
          </w:p>
        </w:tc>
        <w:tc>
          <w:tcPr>
            <w:tcW w:w="4740" w:type="dxa"/>
            <w:vAlign w:val="bottom"/>
            <w:tcBorders>
              <w:bottom w:val="single" w:sz="8" w:color="4D5357"/>
            </w:tcBorders>
          </w:tcPr>
          <w:p>
            <w:pPr>
              <w:spacing w:after="0"/>
              <w:rPr>
                <w:sz w:val="3"/>
                <w:szCs w:val="3"/>
                <w:color w:val="auto"/>
              </w:rPr>
            </w:pPr>
          </w:p>
        </w:tc>
        <w:tc>
          <w:tcPr>
            <w:tcW w:w="120" w:type="dxa"/>
            <w:vAlign w:val="bottom"/>
            <w:tcBorders>
              <w:bottom w:val="single" w:sz="8" w:color="4D5357"/>
            </w:tcBorders>
          </w:tcPr>
          <w:p>
            <w:pPr>
              <w:spacing w:after="0"/>
              <w:rPr>
                <w:sz w:val="3"/>
                <w:szCs w:val="3"/>
                <w:color w:val="auto"/>
              </w:rPr>
            </w:pPr>
          </w:p>
        </w:tc>
        <w:tc>
          <w:tcPr>
            <w:tcW w:w="100" w:type="dxa"/>
            <w:vAlign w:val="bottom"/>
            <w:tcBorders>
              <w:bottom w:val="single" w:sz="8" w:color="4D5357"/>
            </w:tcBorders>
          </w:tcPr>
          <w:p>
            <w:pPr>
              <w:spacing w:after="0"/>
              <w:rPr>
                <w:sz w:val="3"/>
                <w:szCs w:val="3"/>
                <w:color w:val="auto"/>
              </w:rPr>
            </w:pPr>
          </w:p>
        </w:tc>
        <w:tc>
          <w:tcPr>
            <w:tcW w:w="320" w:type="dxa"/>
            <w:vAlign w:val="bottom"/>
            <w:tcBorders>
              <w:bottom w:val="single" w:sz="8" w:color="4D5357"/>
            </w:tcBorders>
          </w:tcPr>
          <w:p>
            <w:pPr>
              <w:spacing w:after="0"/>
              <w:rPr>
                <w:sz w:val="3"/>
                <w:szCs w:val="3"/>
                <w:color w:val="auto"/>
              </w:rPr>
            </w:pPr>
          </w:p>
        </w:tc>
        <w:tc>
          <w:tcPr>
            <w:tcW w:w="200" w:type="dxa"/>
            <w:vAlign w:val="bottom"/>
            <w:tcBorders>
              <w:bottom w:val="single" w:sz="8" w:color="4D5357"/>
            </w:tcBorders>
          </w:tcPr>
          <w:p>
            <w:pPr>
              <w:spacing w:after="0"/>
              <w:rPr>
                <w:sz w:val="3"/>
                <w:szCs w:val="3"/>
                <w:color w:val="auto"/>
              </w:rPr>
            </w:pPr>
          </w:p>
        </w:tc>
        <w:tc>
          <w:tcPr>
            <w:tcW w:w="160" w:type="dxa"/>
            <w:vAlign w:val="bottom"/>
            <w:tcBorders>
              <w:bottom w:val="single" w:sz="8" w:color="4D5357"/>
            </w:tcBorders>
          </w:tcPr>
          <w:p>
            <w:pPr>
              <w:spacing w:after="0"/>
              <w:rPr>
                <w:sz w:val="3"/>
                <w:szCs w:val="3"/>
                <w:color w:val="auto"/>
              </w:rPr>
            </w:pPr>
          </w:p>
        </w:tc>
        <w:tc>
          <w:tcPr>
            <w:tcW w:w="4680" w:type="dxa"/>
            <w:vAlign w:val="bottom"/>
            <w:tcBorders>
              <w:bottom w:val="single" w:sz="8" w:color="4D5357"/>
            </w:tcBorders>
          </w:tcPr>
          <w:p>
            <w:pPr>
              <w:spacing w:after="0"/>
              <w:rPr>
                <w:sz w:val="3"/>
                <w:szCs w:val="3"/>
                <w:color w:val="auto"/>
              </w:rPr>
            </w:pPr>
          </w:p>
        </w:tc>
        <w:tc>
          <w:tcPr>
            <w:tcW w:w="160" w:type="dxa"/>
            <w:vAlign w:val="bottom"/>
            <w:tcBorders>
              <w:bottom w:val="single" w:sz="8" w:color="4D5357"/>
            </w:tcBorders>
          </w:tcPr>
          <w:p>
            <w:pPr>
              <w:spacing w:after="0"/>
              <w:rPr>
                <w:sz w:val="3"/>
                <w:szCs w:val="3"/>
                <w:color w:val="auto"/>
              </w:rPr>
            </w:pPr>
          </w:p>
        </w:tc>
        <w:tc>
          <w:tcPr>
            <w:tcW w:w="140" w:type="dxa"/>
            <w:vAlign w:val="bottom"/>
            <w:tcBorders>
              <w:bottom w:val="single" w:sz="8" w:color="4D5357"/>
            </w:tcBorders>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220" w:type="dxa"/>
            <w:vAlign w:val="bottom"/>
            <w:tcBorders>
              <w:bottom w:val="single" w:sz="8" w:color="4D5357"/>
            </w:tcBorders>
          </w:tcPr>
          <w:p>
            <w:pPr>
              <w:spacing w:after="0"/>
              <w:rPr>
                <w:sz w:val="6"/>
                <w:szCs w:val="6"/>
                <w:color w:val="auto"/>
              </w:rPr>
            </w:pPr>
          </w:p>
        </w:tc>
        <w:tc>
          <w:tcPr>
            <w:tcW w:w="160" w:type="dxa"/>
            <w:vAlign w:val="bottom"/>
            <w:tcBorders>
              <w:bottom w:val="single" w:sz="8" w:color="4D5357"/>
            </w:tcBorders>
          </w:tcPr>
          <w:p>
            <w:pPr>
              <w:spacing w:after="0"/>
              <w:rPr>
                <w:sz w:val="6"/>
                <w:szCs w:val="6"/>
                <w:color w:val="auto"/>
              </w:rPr>
            </w:pPr>
          </w:p>
        </w:tc>
        <w:tc>
          <w:tcPr>
            <w:tcW w:w="4740" w:type="dxa"/>
            <w:vAlign w:val="bottom"/>
            <w:tcBorders>
              <w:bottom w:val="single" w:sz="8" w:color="4D5357"/>
            </w:tcBorders>
          </w:tcPr>
          <w:p>
            <w:pPr>
              <w:spacing w:after="0"/>
              <w:rPr>
                <w:sz w:val="6"/>
                <w:szCs w:val="6"/>
                <w:color w:val="auto"/>
              </w:rPr>
            </w:pPr>
          </w:p>
        </w:tc>
        <w:tc>
          <w:tcPr>
            <w:tcW w:w="120" w:type="dxa"/>
            <w:vAlign w:val="bottom"/>
            <w:tcBorders>
              <w:bottom w:val="single" w:sz="8" w:color="4D5357"/>
            </w:tcBorders>
          </w:tcPr>
          <w:p>
            <w:pPr>
              <w:spacing w:after="0"/>
              <w:rPr>
                <w:sz w:val="6"/>
                <w:szCs w:val="6"/>
                <w:color w:val="auto"/>
              </w:rPr>
            </w:pPr>
          </w:p>
        </w:tc>
        <w:tc>
          <w:tcPr>
            <w:tcW w:w="100" w:type="dxa"/>
            <w:vAlign w:val="bottom"/>
            <w:tcBorders>
              <w:bottom w:val="single" w:sz="8" w:color="4D5357"/>
            </w:tcBorders>
          </w:tcPr>
          <w:p>
            <w:pPr>
              <w:spacing w:after="0"/>
              <w:rPr>
                <w:sz w:val="6"/>
                <w:szCs w:val="6"/>
                <w:color w:val="auto"/>
              </w:rPr>
            </w:pPr>
          </w:p>
        </w:tc>
        <w:tc>
          <w:tcPr>
            <w:tcW w:w="320" w:type="dxa"/>
            <w:vAlign w:val="bottom"/>
            <w:vMerge w:val="restart"/>
          </w:tcPr>
          <w:p>
            <w:pPr>
              <w:ind w:left="100"/>
              <w:spacing w:after="0"/>
              <w:rPr>
                <w:sz w:val="20"/>
                <w:szCs w:val="20"/>
                <w:color w:val="auto"/>
              </w:rPr>
            </w:pPr>
            <w:r>
              <w:rPr>
                <w:rFonts w:ascii="Arial" w:cs="Arial" w:eastAsia="Arial" w:hAnsi="Arial"/>
                <w:sz w:val="16"/>
                <w:szCs w:val="16"/>
                <w:color w:val="333333"/>
              </w:rPr>
              <w:t> </w:t>
            </w:r>
          </w:p>
        </w:tc>
        <w:tc>
          <w:tcPr>
            <w:tcW w:w="200" w:type="dxa"/>
            <w:vAlign w:val="bottom"/>
            <w:tcBorders>
              <w:bottom w:val="single" w:sz="8" w:color="4D5357"/>
            </w:tcBorders>
          </w:tcPr>
          <w:p>
            <w:pPr>
              <w:spacing w:after="0"/>
              <w:rPr>
                <w:sz w:val="6"/>
                <w:szCs w:val="6"/>
                <w:color w:val="auto"/>
              </w:rPr>
            </w:pPr>
          </w:p>
        </w:tc>
        <w:tc>
          <w:tcPr>
            <w:tcW w:w="160" w:type="dxa"/>
            <w:vAlign w:val="bottom"/>
            <w:tcBorders>
              <w:bottom w:val="single" w:sz="8" w:color="4D5357"/>
            </w:tcBorders>
          </w:tcPr>
          <w:p>
            <w:pPr>
              <w:spacing w:after="0"/>
              <w:rPr>
                <w:sz w:val="6"/>
                <w:szCs w:val="6"/>
                <w:color w:val="auto"/>
              </w:rPr>
            </w:pPr>
          </w:p>
        </w:tc>
        <w:tc>
          <w:tcPr>
            <w:tcW w:w="4680" w:type="dxa"/>
            <w:vAlign w:val="bottom"/>
            <w:tcBorders>
              <w:bottom w:val="single" w:sz="8" w:color="4D5357"/>
            </w:tcBorders>
          </w:tcPr>
          <w:p>
            <w:pPr>
              <w:spacing w:after="0"/>
              <w:rPr>
                <w:sz w:val="6"/>
                <w:szCs w:val="6"/>
                <w:color w:val="auto"/>
              </w:rPr>
            </w:pPr>
          </w:p>
        </w:tc>
        <w:tc>
          <w:tcPr>
            <w:tcW w:w="160" w:type="dxa"/>
            <w:vAlign w:val="bottom"/>
            <w:tcBorders>
              <w:bottom w:val="single" w:sz="8" w:color="4D5357"/>
            </w:tcBorders>
          </w:tcPr>
          <w:p>
            <w:pPr>
              <w:spacing w:after="0"/>
              <w:rPr>
                <w:sz w:val="6"/>
                <w:szCs w:val="6"/>
                <w:color w:val="auto"/>
              </w:rPr>
            </w:pPr>
          </w:p>
        </w:tc>
        <w:tc>
          <w:tcPr>
            <w:tcW w:w="140" w:type="dxa"/>
            <w:vAlign w:val="bottom"/>
            <w:tcBorders>
              <w:bottom w:val="single" w:sz="8" w:color="4D5357"/>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0" w:type="dxa"/>
            <w:vAlign w:val="bottom"/>
            <w:tcBorders>
              <w:right w:val="single" w:sz="8" w:color="4D5357"/>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333333"/>
                <w:w w:val="87"/>
              </w:rPr>
              <w:t> </w:t>
            </w:r>
          </w:p>
        </w:tc>
        <w:tc>
          <w:tcPr>
            <w:tcW w:w="160" w:type="dxa"/>
            <w:vAlign w:val="bottom"/>
          </w:tcPr>
          <w:p>
            <w:pPr>
              <w:ind w:left="60"/>
              <w:spacing w:after="0"/>
              <w:rPr>
                <w:sz w:val="20"/>
                <w:szCs w:val="20"/>
                <w:color w:val="auto"/>
              </w:rPr>
            </w:pPr>
            <w:r>
              <w:rPr>
                <w:rFonts w:ascii="Arial" w:cs="Arial" w:eastAsia="Arial" w:hAnsi="Arial"/>
                <w:sz w:val="16"/>
                <w:szCs w:val="16"/>
                <w:color w:val="333333"/>
              </w:rPr>
              <w:t> </w:t>
            </w:r>
          </w:p>
        </w:tc>
        <w:tc>
          <w:tcPr>
            <w:tcW w:w="4740" w:type="dxa"/>
            <w:vAlign w:val="bottom"/>
            <w:vMerge w:val="restart"/>
          </w:tcPr>
          <w:p>
            <w:pPr>
              <w:spacing w:after="0"/>
              <w:rPr>
                <w:sz w:val="20"/>
                <w:szCs w:val="20"/>
                <w:color w:val="auto"/>
              </w:rPr>
            </w:pPr>
            <w:r>
              <w:rPr>
                <w:rFonts w:ascii="Arial" w:cs="Arial" w:eastAsia="Arial" w:hAnsi="Arial"/>
                <w:sz w:val="18"/>
                <w:szCs w:val="18"/>
                <w:b w:val="1"/>
                <w:bCs w:val="1"/>
                <w:color w:val="0086CC"/>
              </w:rPr>
              <w:t>COMMITTEE ASSIGNMENTS</w:t>
            </w:r>
          </w:p>
        </w:tc>
        <w:tc>
          <w:tcPr>
            <w:tcW w:w="120" w:type="dxa"/>
            <w:vAlign w:val="bottom"/>
          </w:tcPr>
          <w:p>
            <w:pPr>
              <w:spacing w:after="0"/>
              <w:rPr>
                <w:sz w:val="20"/>
                <w:szCs w:val="20"/>
                <w:color w:val="auto"/>
              </w:rPr>
            </w:pPr>
            <w:r>
              <w:rPr>
                <w:rFonts w:ascii="Arial" w:cs="Arial" w:eastAsia="Arial" w:hAnsi="Arial"/>
                <w:sz w:val="14"/>
                <w:szCs w:val="14"/>
                <w:color w:val="333333"/>
                <w:w w:val="71"/>
              </w:rPr>
              <w:t> </w:t>
            </w:r>
          </w:p>
        </w:tc>
        <w:tc>
          <w:tcPr>
            <w:tcW w:w="10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 </w:t>
            </w:r>
          </w:p>
        </w:tc>
        <w:tc>
          <w:tcPr>
            <w:tcW w:w="320" w:type="dxa"/>
            <w:vAlign w:val="bottom"/>
            <w:vMerge w:val="continue"/>
          </w:tcPr>
          <w:p>
            <w:pPr>
              <w:spacing w:after="0"/>
              <w:rPr>
                <w:sz w:val="18"/>
                <w:szCs w:val="18"/>
                <w:color w:val="auto"/>
              </w:rPr>
            </w:pPr>
          </w:p>
        </w:tc>
        <w:tc>
          <w:tcPr>
            <w:tcW w:w="200" w:type="dxa"/>
            <w:vAlign w:val="bottom"/>
            <w:tcBorders>
              <w:left w:val="single" w:sz="8" w:color="4D5357"/>
            </w:tcBorders>
          </w:tcPr>
          <w:p>
            <w:pPr>
              <w:ind w:left="100"/>
              <w:spacing w:after="0"/>
              <w:rPr>
                <w:sz w:val="20"/>
                <w:szCs w:val="20"/>
                <w:color w:val="auto"/>
              </w:rPr>
            </w:pPr>
            <w:r>
              <w:rPr>
                <w:rFonts w:ascii="Arial" w:cs="Arial" w:eastAsia="Arial" w:hAnsi="Arial"/>
                <w:sz w:val="11"/>
                <w:szCs w:val="11"/>
                <w:color w:val="333333"/>
                <w:w w:val="72"/>
              </w:rPr>
              <w:t> </w:t>
            </w:r>
          </w:p>
        </w:tc>
        <w:tc>
          <w:tcPr>
            <w:tcW w:w="160" w:type="dxa"/>
            <w:vAlign w:val="bottom"/>
          </w:tcPr>
          <w:p>
            <w:pPr>
              <w:ind w:left="60"/>
              <w:spacing w:after="0"/>
              <w:rPr>
                <w:sz w:val="20"/>
                <w:szCs w:val="20"/>
                <w:color w:val="auto"/>
              </w:rPr>
            </w:pPr>
            <w:r>
              <w:rPr>
                <w:rFonts w:ascii="Arial" w:cs="Arial" w:eastAsia="Arial" w:hAnsi="Arial"/>
                <w:sz w:val="16"/>
                <w:szCs w:val="16"/>
                <w:color w:val="333333"/>
              </w:rPr>
              <w:t> </w:t>
            </w:r>
          </w:p>
        </w:tc>
        <w:tc>
          <w:tcPr>
            <w:tcW w:w="4680" w:type="dxa"/>
            <w:vAlign w:val="bottom"/>
            <w:vMerge w:val="restart"/>
          </w:tcPr>
          <w:p>
            <w:pPr>
              <w:ind w:left="60"/>
              <w:spacing w:after="0"/>
              <w:rPr>
                <w:sz w:val="20"/>
                <w:szCs w:val="20"/>
                <w:color w:val="auto"/>
              </w:rPr>
            </w:pPr>
            <w:r>
              <w:rPr>
                <w:rFonts w:ascii="Arial" w:cs="Arial" w:eastAsia="Arial" w:hAnsi="Arial"/>
                <w:sz w:val="18"/>
                <w:szCs w:val="18"/>
                <w:b w:val="1"/>
                <w:bCs w:val="1"/>
                <w:color w:val="0086CC"/>
              </w:rPr>
              <w:t>REFRESHMENT</w:t>
            </w:r>
          </w:p>
        </w:tc>
        <w:tc>
          <w:tcPr>
            <w:tcW w:w="160" w:type="dxa"/>
            <w:vAlign w:val="bottom"/>
          </w:tcPr>
          <w:p>
            <w:pPr>
              <w:ind w:left="60"/>
              <w:spacing w:after="0"/>
              <w:rPr>
                <w:sz w:val="20"/>
                <w:szCs w:val="20"/>
                <w:color w:val="auto"/>
              </w:rPr>
            </w:pPr>
            <w:r>
              <w:rPr>
                <w:rFonts w:ascii="Arial" w:cs="Arial" w:eastAsia="Arial" w:hAnsi="Arial"/>
                <w:sz w:val="11"/>
                <w:szCs w:val="11"/>
                <w:color w:val="333333"/>
                <w:w w:val="72"/>
              </w:rPr>
              <w:t> </w:t>
            </w:r>
          </w:p>
        </w:tc>
        <w:tc>
          <w:tcPr>
            <w:tcW w:w="140" w:type="dxa"/>
            <w:vAlign w:val="bottom"/>
            <w:tcBorders>
              <w:right w:val="single" w:sz="8" w:color="4D5357"/>
            </w:tcBorders>
          </w:tcPr>
          <w:p>
            <w:pPr>
              <w:ind w:left="60"/>
              <w:spacing w:after="0"/>
              <w:rPr>
                <w:sz w:val="20"/>
                <w:szCs w:val="20"/>
                <w:color w:val="auto"/>
              </w:rPr>
            </w:pPr>
            <w:r>
              <w:rPr>
                <w:rFonts w:ascii="Arial" w:cs="Arial" w:eastAsia="Arial" w:hAnsi="Arial"/>
                <w:sz w:val="16"/>
                <w:szCs w:val="16"/>
                <w:color w:val="333333"/>
              </w:rPr>
              <w:t> </w:t>
            </w:r>
          </w:p>
        </w:tc>
        <w:tc>
          <w:tcPr>
            <w:tcW w:w="0" w:type="dxa"/>
            <w:vAlign w:val="bottom"/>
          </w:tcPr>
          <w:p>
            <w:pPr>
              <w:spacing w:after="0"/>
              <w:rPr>
                <w:sz w:val="1"/>
                <w:szCs w:val="1"/>
                <w:color w:val="auto"/>
              </w:rPr>
            </w:pPr>
          </w:p>
        </w:tc>
      </w:tr>
      <w:tr>
        <w:trPr>
          <w:trHeight w:val="135"/>
        </w:trPr>
        <w:tc>
          <w:tcPr>
            <w:tcW w:w="40" w:type="dxa"/>
            <w:vAlign w:val="bottom"/>
            <w:tcBorders>
              <w:right w:val="single" w:sz="8" w:color="4D5357"/>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4D5357"/>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left w:val="single" w:sz="8" w:color="4D5357"/>
            </w:tcBorders>
          </w:tcPr>
          <w:p>
            <w:pPr>
              <w:spacing w:after="0"/>
              <w:rPr>
                <w:sz w:val="11"/>
                <w:szCs w:val="11"/>
                <w:color w:val="auto"/>
              </w:rPr>
            </w:pPr>
          </w:p>
        </w:tc>
        <w:tc>
          <w:tcPr>
            <w:tcW w:w="160" w:type="dxa"/>
            <w:vAlign w:val="bottom"/>
          </w:tcPr>
          <w:p>
            <w:pPr>
              <w:spacing w:after="0"/>
              <w:rPr>
                <w:sz w:val="11"/>
                <w:szCs w:val="11"/>
                <w:color w:val="auto"/>
              </w:rPr>
            </w:pPr>
          </w:p>
        </w:tc>
        <w:tc>
          <w:tcPr>
            <w:tcW w:w="4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4D5357"/>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0" w:type="dxa"/>
            <w:vAlign w:val="bottom"/>
            <w:tcBorders>
              <w:right w:val="single" w:sz="8" w:color="4D5357"/>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Each February, the Nominating and Corporate Governance Committee</w:t>
            </w:r>
          </w:p>
        </w:tc>
        <w:tc>
          <w:tcPr>
            <w:tcW w:w="120" w:type="dxa"/>
            <w:vAlign w:val="bottom"/>
          </w:tcPr>
          <w:p>
            <w:pPr>
              <w:spacing w:after="0"/>
              <w:rPr>
                <w:sz w:val="21"/>
                <w:szCs w:val="21"/>
                <w:color w:val="auto"/>
              </w:rPr>
            </w:pPr>
          </w:p>
        </w:tc>
        <w:tc>
          <w:tcPr>
            <w:tcW w:w="100" w:type="dxa"/>
            <w:vAlign w:val="bottom"/>
            <w:tcBorders>
              <w:right w:val="single" w:sz="8" w:color="4D5357"/>
            </w:tcBorders>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left w:val="single" w:sz="8" w:color="4D5357"/>
            </w:tcBorders>
          </w:tcPr>
          <w:p>
            <w:pPr>
              <w:spacing w:after="0"/>
              <w:rPr>
                <w:sz w:val="21"/>
                <w:szCs w:val="21"/>
                <w:color w:val="auto"/>
              </w:rPr>
            </w:pPr>
          </w:p>
        </w:tc>
        <w:tc>
          <w:tcPr>
            <w:tcW w:w="160" w:type="dxa"/>
            <w:vAlign w:val="bottom"/>
          </w:tcPr>
          <w:p>
            <w:pPr>
              <w:spacing w:after="0"/>
              <w:rPr>
                <w:sz w:val="21"/>
                <w:szCs w:val="21"/>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The Board has nominated ten new</w:t>
            </w:r>
          </w:p>
        </w:tc>
        <w:tc>
          <w:tcPr>
            <w:tcW w:w="160" w:type="dxa"/>
            <w:vAlign w:val="bottom"/>
          </w:tcPr>
          <w:p>
            <w:pPr>
              <w:spacing w:after="0"/>
              <w:rPr>
                <w:sz w:val="21"/>
                <w:szCs w:val="21"/>
                <w:color w:val="auto"/>
              </w:rPr>
            </w:pPr>
          </w:p>
        </w:tc>
        <w:tc>
          <w:tcPr>
            <w:tcW w:w="140" w:type="dxa"/>
            <w:vAlign w:val="bottom"/>
            <w:tcBorders>
              <w:right w:val="single" w:sz="8" w:color="4D5357"/>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reviews the membership, tenure, leadership and commitments of each</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directors in the past ten years. At the same</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of the Committees and considers possible changes given the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time, obtaining a detailed understanding of</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qualifications and skill sets of members on the Board or a desire for</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the Company’s business takes time. We</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committee rotation or refreshment. The Nominating and Corporate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believe that implementing term limitations</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Governance Committee also takes into consideration the membership</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may prevent the Board from benefitting</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requirements and responsibilities set forth in each of the respective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from the insight that longer tenure brings.</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 xml:space="preserve">Committee charters and the </w:t>
            </w:r>
            <w:r>
              <w:rPr>
                <w:rFonts w:ascii="Arial" w:cs="Arial" w:eastAsia="Arial" w:hAnsi="Arial"/>
                <w:sz w:val="14"/>
                <w:szCs w:val="14"/>
                <w:i w:val="1"/>
                <w:iCs w:val="1"/>
                <w:color w:val="333333"/>
              </w:rPr>
              <w:t>Corporate Governance Guidelines</w:t>
            </w:r>
            <w:r>
              <w:rPr>
                <w:rFonts w:ascii="Arial" w:cs="Arial" w:eastAsia="Arial" w:hAnsi="Arial"/>
                <w:sz w:val="14"/>
                <w:szCs w:val="14"/>
                <w:color w:val="333333"/>
              </w:rPr>
              <w:t xml:space="preserve"> as well</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as any upcoming vacancies on the Board due to our mandatory</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retirement age. The Nominating and Corporate Governance Committee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recommends to the Board any proposed changes to Committee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assignments and leadership to be made effective at the next Annual</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Meeting of Shareholders. The Nominating and Corporate Governance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Borders>
              <w:right w:val="single" w:sz="8" w:color="4D5357"/>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Committee also reviews the operation of the Board generally.</w:t>
            </w:r>
          </w:p>
        </w:tc>
        <w:tc>
          <w:tcPr>
            <w:tcW w:w="120" w:type="dxa"/>
            <w:vAlign w:val="bottom"/>
          </w:tcPr>
          <w:p>
            <w:pPr>
              <w:spacing w:after="0"/>
              <w:rPr>
                <w:sz w:val="16"/>
                <w:szCs w:val="16"/>
                <w:color w:val="auto"/>
              </w:rPr>
            </w:pPr>
          </w:p>
        </w:tc>
        <w:tc>
          <w:tcPr>
            <w:tcW w:w="100" w:type="dxa"/>
            <w:vAlign w:val="bottom"/>
            <w:tcBorders>
              <w:right w:val="single" w:sz="8" w:color="4D5357"/>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left w:val="single" w:sz="8" w:color="4D5357"/>
            </w:tcBorders>
          </w:tcPr>
          <w:p>
            <w:pPr>
              <w:spacing w:after="0"/>
              <w:rPr>
                <w:sz w:val="16"/>
                <w:szCs w:val="16"/>
                <w:color w:val="auto"/>
              </w:rPr>
            </w:pPr>
          </w:p>
        </w:tc>
        <w:tc>
          <w:tcPr>
            <w:tcW w:w="1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right w:val="single" w:sz="8" w:color="4D5357"/>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4D5357"/>
            </w:tcBorders>
          </w:tcPr>
          <w:p>
            <w:pPr>
              <w:spacing w:after="0"/>
              <w:rPr>
                <w:sz w:val="20"/>
                <w:szCs w:val="20"/>
                <w:color w:val="auto"/>
              </w:rPr>
            </w:pPr>
          </w:p>
        </w:tc>
        <w:tc>
          <w:tcPr>
            <w:tcW w:w="220" w:type="dxa"/>
            <w:vAlign w:val="bottom"/>
            <w:tcBorders>
              <w:bottom w:val="single" w:sz="8" w:color="4D5357"/>
            </w:tcBorders>
          </w:tcPr>
          <w:p>
            <w:pPr>
              <w:spacing w:after="0"/>
              <w:rPr>
                <w:sz w:val="20"/>
                <w:szCs w:val="20"/>
                <w:color w:val="auto"/>
              </w:rPr>
            </w:pPr>
          </w:p>
        </w:tc>
        <w:tc>
          <w:tcPr>
            <w:tcW w:w="160" w:type="dxa"/>
            <w:vAlign w:val="bottom"/>
            <w:tcBorders>
              <w:bottom w:val="single" w:sz="8" w:color="4D5357"/>
            </w:tcBorders>
          </w:tcPr>
          <w:p>
            <w:pPr>
              <w:spacing w:after="0"/>
              <w:rPr>
                <w:sz w:val="20"/>
                <w:szCs w:val="20"/>
                <w:color w:val="auto"/>
              </w:rPr>
            </w:pPr>
          </w:p>
        </w:tc>
        <w:tc>
          <w:tcPr>
            <w:tcW w:w="4740" w:type="dxa"/>
            <w:vAlign w:val="bottom"/>
            <w:tcBorders>
              <w:bottom w:val="single" w:sz="8" w:color="4D5357"/>
            </w:tcBorders>
          </w:tcPr>
          <w:p>
            <w:pPr>
              <w:spacing w:after="0"/>
              <w:rPr>
                <w:sz w:val="20"/>
                <w:szCs w:val="20"/>
                <w:color w:val="auto"/>
              </w:rPr>
            </w:pPr>
          </w:p>
        </w:tc>
        <w:tc>
          <w:tcPr>
            <w:tcW w:w="120" w:type="dxa"/>
            <w:vAlign w:val="bottom"/>
            <w:tcBorders>
              <w:bottom w:val="single" w:sz="8" w:color="4D5357"/>
            </w:tcBorders>
          </w:tcPr>
          <w:p>
            <w:pPr>
              <w:spacing w:after="0"/>
              <w:rPr>
                <w:sz w:val="20"/>
                <w:szCs w:val="20"/>
                <w:color w:val="auto"/>
              </w:rPr>
            </w:pPr>
          </w:p>
        </w:tc>
        <w:tc>
          <w:tcPr>
            <w:tcW w:w="100" w:type="dxa"/>
            <w:vAlign w:val="bottom"/>
            <w:tcBorders>
              <w:bottom w:val="single" w:sz="8" w:color="4D5357"/>
              <w:right w:val="single" w:sz="8" w:color="4D5357"/>
            </w:tcBorders>
          </w:tcPr>
          <w:p>
            <w:pPr>
              <w:spacing w:after="0"/>
              <w:rPr>
                <w:sz w:val="20"/>
                <w:szCs w:val="20"/>
                <w:color w:val="auto"/>
              </w:rPr>
            </w:pPr>
          </w:p>
        </w:tc>
        <w:tc>
          <w:tcPr>
            <w:tcW w:w="320" w:type="dxa"/>
            <w:vAlign w:val="bottom"/>
            <w:vMerge w:val="restart"/>
          </w:tcPr>
          <w:p>
            <w:pPr>
              <w:ind w:left="100"/>
              <w:spacing w:after="0"/>
              <w:rPr>
                <w:sz w:val="20"/>
                <w:szCs w:val="20"/>
                <w:color w:val="auto"/>
              </w:rPr>
            </w:pPr>
            <w:r>
              <w:rPr>
                <w:rFonts w:ascii="Arial" w:cs="Arial" w:eastAsia="Arial" w:hAnsi="Arial"/>
                <w:sz w:val="16"/>
                <w:szCs w:val="16"/>
                <w:color w:val="333333"/>
              </w:rPr>
              <w:t> </w:t>
            </w:r>
          </w:p>
        </w:tc>
        <w:tc>
          <w:tcPr>
            <w:tcW w:w="200" w:type="dxa"/>
            <w:vAlign w:val="bottom"/>
            <w:tcBorders>
              <w:left w:val="single" w:sz="8" w:color="4D5357"/>
              <w:bottom w:val="single" w:sz="8" w:color="4D5357"/>
            </w:tcBorders>
          </w:tcPr>
          <w:p>
            <w:pPr>
              <w:spacing w:after="0"/>
              <w:rPr>
                <w:sz w:val="20"/>
                <w:szCs w:val="20"/>
                <w:color w:val="auto"/>
              </w:rPr>
            </w:pPr>
          </w:p>
        </w:tc>
        <w:tc>
          <w:tcPr>
            <w:tcW w:w="160" w:type="dxa"/>
            <w:vAlign w:val="bottom"/>
            <w:tcBorders>
              <w:bottom w:val="single" w:sz="8" w:color="4D5357"/>
            </w:tcBorders>
          </w:tcPr>
          <w:p>
            <w:pPr>
              <w:spacing w:after="0"/>
              <w:rPr>
                <w:sz w:val="20"/>
                <w:szCs w:val="20"/>
                <w:color w:val="auto"/>
              </w:rPr>
            </w:pPr>
          </w:p>
        </w:tc>
        <w:tc>
          <w:tcPr>
            <w:tcW w:w="4680" w:type="dxa"/>
            <w:vAlign w:val="bottom"/>
            <w:tcBorders>
              <w:bottom w:val="single" w:sz="8" w:color="4D5357"/>
            </w:tcBorders>
          </w:tcPr>
          <w:p>
            <w:pPr>
              <w:spacing w:after="0"/>
              <w:rPr>
                <w:sz w:val="20"/>
                <w:szCs w:val="20"/>
                <w:color w:val="auto"/>
              </w:rPr>
            </w:pPr>
          </w:p>
        </w:tc>
        <w:tc>
          <w:tcPr>
            <w:tcW w:w="160" w:type="dxa"/>
            <w:vAlign w:val="bottom"/>
            <w:tcBorders>
              <w:bottom w:val="single" w:sz="8" w:color="4D5357"/>
            </w:tcBorders>
          </w:tcPr>
          <w:p>
            <w:pPr>
              <w:spacing w:after="0"/>
              <w:rPr>
                <w:sz w:val="20"/>
                <w:szCs w:val="20"/>
                <w:color w:val="auto"/>
              </w:rPr>
            </w:pPr>
          </w:p>
        </w:tc>
        <w:tc>
          <w:tcPr>
            <w:tcW w:w="140" w:type="dxa"/>
            <w:vAlign w:val="bottom"/>
            <w:tcBorders>
              <w:bottom w:val="single" w:sz="8" w:color="4D5357"/>
              <w:right w:val="single" w:sz="8" w:color="4D5357"/>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20" w:type="dxa"/>
            <w:vAlign w:val="bottom"/>
            <w:tcBorders>
              <w:bottom w:val="single" w:sz="8" w:color="4D5357"/>
            </w:tcBorders>
          </w:tcPr>
          <w:p>
            <w:pPr>
              <w:spacing w:after="0"/>
              <w:rPr>
                <w:sz w:val="6"/>
                <w:szCs w:val="6"/>
                <w:color w:val="auto"/>
              </w:rPr>
            </w:pPr>
          </w:p>
        </w:tc>
        <w:tc>
          <w:tcPr>
            <w:tcW w:w="160" w:type="dxa"/>
            <w:vAlign w:val="bottom"/>
            <w:tcBorders>
              <w:bottom w:val="single" w:sz="8" w:color="4D5357"/>
            </w:tcBorders>
          </w:tcPr>
          <w:p>
            <w:pPr>
              <w:spacing w:after="0"/>
              <w:rPr>
                <w:sz w:val="6"/>
                <w:szCs w:val="6"/>
                <w:color w:val="auto"/>
              </w:rPr>
            </w:pPr>
          </w:p>
        </w:tc>
        <w:tc>
          <w:tcPr>
            <w:tcW w:w="4740" w:type="dxa"/>
            <w:vAlign w:val="bottom"/>
            <w:tcBorders>
              <w:bottom w:val="single" w:sz="8" w:color="4D5357"/>
            </w:tcBorders>
          </w:tcPr>
          <w:p>
            <w:pPr>
              <w:spacing w:after="0"/>
              <w:rPr>
                <w:sz w:val="6"/>
                <w:szCs w:val="6"/>
                <w:color w:val="auto"/>
              </w:rPr>
            </w:pPr>
          </w:p>
        </w:tc>
        <w:tc>
          <w:tcPr>
            <w:tcW w:w="120" w:type="dxa"/>
            <w:vAlign w:val="bottom"/>
            <w:tcBorders>
              <w:bottom w:val="single" w:sz="8" w:color="4D5357"/>
            </w:tcBorders>
          </w:tcPr>
          <w:p>
            <w:pPr>
              <w:spacing w:after="0"/>
              <w:rPr>
                <w:sz w:val="6"/>
                <w:szCs w:val="6"/>
                <w:color w:val="auto"/>
              </w:rPr>
            </w:pPr>
          </w:p>
        </w:tc>
        <w:tc>
          <w:tcPr>
            <w:tcW w:w="100" w:type="dxa"/>
            <w:vAlign w:val="bottom"/>
            <w:tcBorders>
              <w:bottom w:val="single" w:sz="8" w:color="4D5357"/>
            </w:tcBorders>
          </w:tcPr>
          <w:p>
            <w:pPr>
              <w:spacing w:after="0"/>
              <w:rPr>
                <w:sz w:val="6"/>
                <w:szCs w:val="6"/>
                <w:color w:val="auto"/>
              </w:rPr>
            </w:pPr>
          </w:p>
        </w:tc>
        <w:tc>
          <w:tcPr>
            <w:tcW w:w="320" w:type="dxa"/>
            <w:vAlign w:val="bottom"/>
            <w:vMerge w:val="continue"/>
          </w:tcPr>
          <w:p>
            <w:pPr>
              <w:spacing w:after="0"/>
              <w:rPr>
                <w:sz w:val="6"/>
                <w:szCs w:val="6"/>
                <w:color w:val="auto"/>
              </w:rPr>
            </w:pPr>
          </w:p>
        </w:tc>
        <w:tc>
          <w:tcPr>
            <w:tcW w:w="200" w:type="dxa"/>
            <w:vAlign w:val="bottom"/>
            <w:tcBorders>
              <w:bottom w:val="single" w:sz="8" w:color="4D5357"/>
            </w:tcBorders>
          </w:tcPr>
          <w:p>
            <w:pPr>
              <w:spacing w:after="0"/>
              <w:rPr>
                <w:sz w:val="6"/>
                <w:szCs w:val="6"/>
                <w:color w:val="auto"/>
              </w:rPr>
            </w:pPr>
          </w:p>
        </w:tc>
        <w:tc>
          <w:tcPr>
            <w:tcW w:w="160" w:type="dxa"/>
            <w:vAlign w:val="bottom"/>
            <w:tcBorders>
              <w:bottom w:val="single" w:sz="8" w:color="4D5357"/>
            </w:tcBorders>
          </w:tcPr>
          <w:p>
            <w:pPr>
              <w:spacing w:after="0"/>
              <w:rPr>
                <w:sz w:val="6"/>
                <w:szCs w:val="6"/>
                <w:color w:val="auto"/>
              </w:rPr>
            </w:pPr>
          </w:p>
        </w:tc>
        <w:tc>
          <w:tcPr>
            <w:tcW w:w="4680" w:type="dxa"/>
            <w:vAlign w:val="bottom"/>
            <w:tcBorders>
              <w:bottom w:val="single" w:sz="8" w:color="4D5357"/>
            </w:tcBorders>
          </w:tcPr>
          <w:p>
            <w:pPr>
              <w:spacing w:after="0"/>
              <w:rPr>
                <w:sz w:val="6"/>
                <w:szCs w:val="6"/>
                <w:color w:val="auto"/>
              </w:rPr>
            </w:pPr>
          </w:p>
        </w:tc>
        <w:tc>
          <w:tcPr>
            <w:tcW w:w="160" w:type="dxa"/>
            <w:vAlign w:val="bottom"/>
            <w:tcBorders>
              <w:bottom w:val="single" w:sz="8" w:color="4D5357"/>
            </w:tcBorders>
          </w:tcPr>
          <w:p>
            <w:pPr>
              <w:spacing w:after="0"/>
              <w:rPr>
                <w:sz w:val="6"/>
                <w:szCs w:val="6"/>
                <w:color w:val="auto"/>
              </w:rPr>
            </w:pPr>
          </w:p>
        </w:tc>
        <w:tc>
          <w:tcPr>
            <w:tcW w:w="140" w:type="dxa"/>
            <w:vAlign w:val="bottom"/>
            <w:tcBorders>
              <w:bottom w:val="single" w:sz="8" w:color="4D5357"/>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0" w:type="dxa"/>
            <w:vAlign w:val="bottom"/>
            <w:tcBorders>
              <w:right w:val="single" w:sz="8" w:color="4D5357"/>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333333"/>
                <w:w w:val="87"/>
              </w:rPr>
              <w:t> </w:t>
            </w:r>
          </w:p>
        </w:tc>
        <w:tc>
          <w:tcPr>
            <w:tcW w:w="160" w:type="dxa"/>
            <w:vAlign w:val="bottom"/>
          </w:tcPr>
          <w:p>
            <w:pPr>
              <w:ind w:left="60"/>
              <w:spacing w:after="0"/>
              <w:rPr>
                <w:sz w:val="20"/>
                <w:szCs w:val="20"/>
                <w:color w:val="auto"/>
              </w:rPr>
            </w:pPr>
            <w:r>
              <w:rPr>
                <w:rFonts w:ascii="Arial" w:cs="Arial" w:eastAsia="Arial" w:hAnsi="Arial"/>
                <w:sz w:val="16"/>
                <w:szCs w:val="16"/>
                <w:color w:val="333333"/>
              </w:rPr>
              <w:t> </w:t>
            </w:r>
          </w:p>
        </w:tc>
        <w:tc>
          <w:tcPr>
            <w:tcW w:w="4740" w:type="dxa"/>
            <w:vAlign w:val="bottom"/>
            <w:vMerge w:val="restart"/>
          </w:tcPr>
          <w:p>
            <w:pPr>
              <w:spacing w:after="0"/>
              <w:rPr>
                <w:sz w:val="20"/>
                <w:szCs w:val="20"/>
                <w:color w:val="auto"/>
              </w:rPr>
            </w:pPr>
            <w:r>
              <w:rPr>
                <w:rFonts w:ascii="Arial" w:cs="Arial" w:eastAsia="Arial" w:hAnsi="Arial"/>
                <w:sz w:val="18"/>
                <w:szCs w:val="18"/>
                <w:b w:val="1"/>
                <w:bCs w:val="1"/>
                <w:color w:val="0086CC"/>
              </w:rPr>
              <w:t>ANNUAL PERFORMANCE ASSESSMENT</w:t>
            </w:r>
          </w:p>
        </w:tc>
        <w:tc>
          <w:tcPr>
            <w:tcW w:w="120" w:type="dxa"/>
            <w:vAlign w:val="bottom"/>
          </w:tcPr>
          <w:p>
            <w:pPr>
              <w:spacing w:after="0"/>
              <w:rPr>
                <w:sz w:val="20"/>
                <w:szCs w:val="20"/>
                <w:color w:val="auto"/>
              </w:rPr>
            </w:pPr>
            <w:r>
              <w:rPr>
                <w:rFonts w:ascii="Arial" w:cs="Arial" w:eastAsia="Arial" w:hAnsi="Arial"/>
                <w:sz w:val="14"/>
                <w:szCs w:val="14"/>
                <w:color w:val="333333"/>
                <w:w w:val="71"/>
              </w:rPr>
              <w:t> </w:t>
            </w:r>
          </w:p>
        </w:tc>
        <w:tc>
          <w:tcPr>
            <w:tcW w:w="10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 </w:t>
            </w:r>
          </w:p>
        </w:tc>
        <w:tc>
          <w:tcPr>
            <w:tcW w:w="320" w:type="dxa"/>
            <w:vAlign w:val="bottom"/>
            <w:vMerge w:val="continue"/>
          </w:tcPr>
          <w:p>
            <w:pPr>
              <w:spacing w:after="0"/>
              <w:rPr>
                <w:sz w:val="18"/>
                <w:szCs w:val="18"/>
                <w:color w:val="auto"/>
              </w:rPr>
            </w:pPr>
          </w:p>
        </w:tc>
        <w:tc>
          <w:tcPr>
            <w:tcW w:w="200" w:type="dxa"/>
            <w:vAlign w:val="bottom"/>
            <w:tcBorders>
              <w:left w:val="single" w:sz="8" w:color="4D5357"/>
            </w:tcBorders>
          </w:tcPr>
          <w:p>
            <w:pPr>
              <w:ind w:left="100"/>
              <w:spacing w:after="0"/>
              <w:rPr>
                <w:sz w:val="20"/>
                <w:szCs w:val="20"/>
                <w:color w:val="auto"/>
              </w:rPr>
            </w:pPr>
            <w:r>
              <w:rPr>
                <w:rFonts w:ascii="Arial" w:cs="Arial" w:eastAsia="Arial" w:hAnsi="Arial"/>
                <w:sz w:val="11"/>
                <w:szCs w:val="11"/>
                <w:color w:val="333333"/>
                <w:w w:val="72"/>
              </w:rPr>
              <w:t> </w:t>
            </w:r>
          </w:p>
        </w:tc>
        <w:tc>
          <w:tcPr>
            <w:tcW w:w="160" w:type="dxa"/>
            <w:vAlign w:val="bottom"/>
          </w:tcPr>
          <w:p>
            <w:pPr>
              <w:ind w:left="60"/>
              <w:spacing w:after="0"/>
              <w:rPr>
                <w:sz w:val="20"/>
                <w:szCs w:val="20"/>
                <w:color w:val="auto"/>
              </w:rPr>
            </w:pPr>
            <w:r>
              <w:rPr>
                <w:rFonts w:ascii="Arial" w:cs="Arial" w:eastAsia="Arial" w:hAnsi="Arial"/>
                <w:sz w:val="16"/>
                <w:szCs w:val="16"/>
                <w:color w:val="333333"/>
              </w:rPr>
              <w:t> </w:t>
            </w:r>
          </w:p>
        </w:tc>
        <w:tc>
          <w:tcPr>
            <w:tcW w:w="4680" w:type="dxa"/>
            <w:vAlign w:val="bottom"/>
            <w:vMerge w:val="restart"/>
          </w:tcPr>
          <w:p>
            <w:pPr>
              <w:ind w:left="60"/>
              <w:spacing w:after="0"/>
              <w:rPr>
                <w:sz w:val="20"/>
                <w:szCs w:val="20"/>
                <w:color w:val="auto"/>
              </w:rPr>
            </w:pPr>
            <w:r>
              <w:rPr>
                <w:rFonts w:ascii="Arial" w:cs="Arial" w:eastAsia="Arial" w:hAnsi="Arial"/>
                <w:sz w:val="18"/>
                <w:szCs w:val="18"/>
                <w:b w:val="1"/>
                <w:bCs w:val="1"/>
                <w:color w:val="0086CC"/>
              </w:rPr>
              <w:t>ONBOARDING AND EDUCATION</w:t>
            </w:r>
          </w:p>
        </w:tc>
        <w:tc>
          <w:tcPr>
            <w:tcW w:w="160" w:type="dxa"/>
            <w:vAlign w:val="bottom"/>
          </w:tcPr>
          <w:p>
            <w:pPr>
              <w:ind w:left="60"/>
              <w:spacing w:after="0"/>
              <w:rPr>
                <w:sz w:val="20"/>
                <w:szCs w:val="20"/>
                <w:color w:val="auto"/>
              </w:rPr>
            </w:pPr>
            <w:r>
              <w:rPr>
                <w:rFonts w:ascii="Arial" w:cs="Arial" w:eastAsia="Arial" w:hAnsi="Arial"/>
                <w:sz w:val="11"/>
                <w:szCs w:val="11"/>
                <w:color w:val="333333"/>
                <w:w w:val="72"/>
              </w:rPr>
              <w:t> </w:t>
            </w:r>
          </w:p>
        </w:tc>
        <w:tc>
          <w:tcPr>
            <w:tcW w:w="140" w:type="dxa"/>
            <w:vAlign w:val="bottom"/>
            <w:tcBorders>
              <w:right w:val="single" w:sz="8" w:color="4D5357"/>
            </w:tcBorders>
          </w:tcPr>
          <w:p>
            <w:pPr>
              <w:ind w:left="60"/>
              <w:spacing w:after="0"/>
              <w:rPr>
                <w:sz w:val="20"/>
                <w:szCs w:val="20"/>
                <w:color w:val="auto"/>
              </w:rPr>
            </w:pPr>
            <w:r>
              <w:rPr>
                <w:rFonts w:ascii="Arial" w:cs="Arial" w:eastAsia="Arial" w:hAnsi="Arial"/>
                <w:sz w:val="16"/>
                <w:szCs w:val="16"/>
                <w:color w:val="333333"/>
              </w:rPr>
              <w:t> </w:t>
            </w:r>
          </w:p>
        </w:tc>
        <w:tc>
          <w:tcPr>
            <w:tcW w:w="0" w:type="dxa"/>
            <w:vAlign w:val="bottom"/>
          </w:tcPr>
          <w:p>
            <w:pPr>
              <w:spacing w:after="0"/>
              <w:rPr>
                <w:sz w:val="1"/>
                <w:szCs w:val="1"/>
                <w:color w:val="auto"/>
              </w:rPr>
            </w:pPr>
          </w:p>
        </w:tc>
      </w:tr>
      <w:tr>
        <w:trPr>
          <w:trHeight w:val="135"/>
        </w:trPr>
        <w:tc>
          <w:tcPr>
            <w:tcW w:w="40" w:type="dxa"/>
            <w:vAlign w:val="bottom"/>
            <w:tcBorders>
              <w:right w:val="single" w:sz="8" w:color="4D5357"/>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4D5357"/>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left w:val="single" w:sz="8" w:color="4D5357"/>
            </w:tcBorders>
          </w:tcPr>
          <w:p>
            <w:pPr>
              <w:spacing w:after="0"/>
              <w:rPr>
                <w:sz w:val="11"/>
                <w:szCs w:val="11"/>
                <w:color w:val="auto"/>
              </w:rPr>
            </w:pPr>
          </w:p>
        </w:tc>
        <w:tc>
          <w:tcPr>
            <w:tcW w:w="160" w:type="dxa"/>
            <w:vAlign w:val="bottom"/>
          </w:tcPr>
          <w:p>
            <w:pPr>
              <w:spacing w:after="0"/>
              <w:rPr>
                <w:sz w:val="11"/>
                <w:szCs w:val="11"/>
                <w:color w:val="auto"/>
              </w:rPr>
            </w:pPr>
          </w:p>
        </w:tc>
        <w:tc>
          <w:tcPr>
            <w:tcW w:w="4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4D5357"/>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0" w:type="dxa"/>
            <w:vAlign w:val="bottom"/>
            <w:tcBorders>
              <w:right w:val="single" w:sz="8" w:color="4D5357"/>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The Board conducts a self-assessment of its performance and</w:t>
            </w:r>
          </w:p>
        </w:tc>
        <w:tc>
          <w:tcPr>
            <w:tcW w:w="120" w:type="dxa"/>
            <w:vAlign w:val="bottom"/>
          </w:tcPr>
          <w:p>
            <w:pPr>
              <w:spacing w:after="0"/>
              <w:rPr>
                <w:sz w:val="21"/>
                <w:szCs w:val="21"/>
                <w:color w:val="auto"/>
              </w:rPr>
            </w:pPr>
          </w:p>
        </w:tc>
        <w:tc>
          <w:tcPr>
            <w:tcW w:w="100" w:type="dxa"/>
            <w:vAlign w:val="bottom"/>
            <w:tcBorders>
              <w:right w:val="single" w:sz="8" w:color="4D5357"/>
            </w:tcBorders>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left w:val="single" w:sz="8" w:color="4D5357"/>
            </w:tcBorders>
          </w:tcPr>
          <w:p>
            <w:pPr>
              <w:spacing w:after="0"/>
              <w:rPr>
                <w:sz w:val="21"/>
                <w:szCs w:val="21"/>
                <w:color w:val="auto"/>
              </w:rPr>
            </w:pPr>
          </w:p>
        </w:tc>
        <w:tc>
          <w:tcPr>
            <w:tcW w:w="160" w:type="dxa"/>
            <w:vAlign w:val="bottom"/>
          </w:tcPr>
          <w:p>
            <w:pPr>
              <w:spacing w:after="0"/>
              <w:rPr>
                <w:sz w:val="21"/>
                <w:szCs w:val="21"/>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New directors are provided with an orientation about the Company,</w:t>
            </w:r>
          </w:p>
        </w:tc>
        <w:tc>
          <w:tcPr>
            <w:tcW w:w="160" w:type="dxa"/>
            <w:vAlign w:val="bottom"/>
          </w:tcPr>
          <w:p>
            <w:pPr>
              <w:spacing w:after="0"/>
              <w:rPr>
                <w:sz w:val="21"/>
                <w:szCs w:val="21"/>
                <w:color w:val="auto"/>
              </w:rPr>
            </w:pPr>
          </w:p>
        </w:tc>
        <w:tc>
          <w:tcPr>
            <w:tcW w:w="140" w:type="dxa"/>
            <w:vAlign w:val="bottom"/>
            <w:tcBorders>
              <w:right w:val="single" w:sz="8" w:color="4D5357"/>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effectiveness as well as that of its Committees on an annual basis. The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including our business operations, strategy and governance. Directors</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self-assessment helps the Nominating and Corporate Governance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also are provided continuing education by subject matter experts and/or</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Committee track progress in certain areas targeted for improvement</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continuing education programs sponsored by educational and other</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from year-to-year and to identify ways to enhance the Board’s and its</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institutions to assist them in staying abreast of developments in</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Committees’ effectiveness. For 2025, each director completed a written</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corporate governance and critical issues relating to the operation of</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assessment questionnaire. The questions were open-ended to solicit</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public company boards. Members of our senior management regularly</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candid feedback. The collective ratings and comments are compiled and</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review with the Board the operating plan of each of our business</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summarized and then discussed by the Nominating and Corporate</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segments and the Company as a whole. The Board also conducts</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4D5357"/>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tcPr>
          <w:p>
            <w:pPr>
              <w:spacing w:after="0"/>
              <w:rPr>
                <w:sz w:val="20"/>
                <w:szCs w:val="20"/>
                <w:color w:val="auto"/>
              </w:rPr>
            </w:pPr>
            <w:r>
              <w:rPr>
                <w:rFonts w:ascii="Arial" w:cs="Arial" w:eastAsia="Arial" w:hAnsi="Arial"/>
                <w:sz w:val="14"/>
                <w:szCs w:val="14"/>
                <w:color w:val="333333"/>
              </w:rPr>
              <w:t>Governance Committee and the full Board.</w:t>
            </w:r>
          </w:p>
        </w:tc>
        <w:tc>
          <w:tcPr>
            <w:tcW w:w="120" w:type="dxa"/>
            <w:vAlign w:val="bottom"/>
          </w:tcPr>
          <w:p>
            <w:pPr>
              <w:spacing w:after="0"/>
              <w:rPr>
                <w:sz w:val="14"/>
                <w:szCs w:val="14"/>
                <w:color w:val="auto"/>
              </w:rPr>
            </w:pPr>
          </w:p>
        </w:tc>
        <w:tc>
          <w:tcPr>
            <w:tcW w:w="100" w:type="dxa"/>
            <w:vAlign w:val="bottom"/>
            <w:tcBorders>
              <w:right w:val="single" w:sz="8" w:color="4D5357"/>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left w:val="single" w:sz="8" w:color="4D5357"/>
            </w:tcBorders>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periodic visits to our facilities as part of its regularly scheduled Board</w:t>
            </w:r>
          </w:p>
        </w:tc>
        <w:tc>
          <w:tcPr>
            <w:tcW w:w="160" w:type="dxa"/>
            <w:vAlign w:val="bottom"/>
          </w:tcPr>
          <w:p>
            <w:pPr>
              <w:spacing w:after="0"/>
              <w:rPr>
                <w:sz w:val="14"/>
                <w:szCs w:val="14"/>
                <w:color w:val="auto"/>
              </w:rPr>
            </w:pPr>
          </w:p>
        </w:tc>
        <w:tc>
          <w:tcPr>
            <w:tcW w:w="140" w:type="dxa"/>
            <w:vAlign w:val="bottom"/>
            <w:tcBorders>
              <w:right w:val="single" w:sz="8" w:color="4D5357"/>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Borders>
              <w:right w:val="single" w:sz="8" w:color="4D5357"/>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4D5357"/>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left w:val="single" w:sz="8" w:color="4D5357"/>
            </w:tcBorders>
          </w:tcPr>
          <w:p>
            <w:pPr>
              <w:spacing w:after="0"/>
              <w:rPr>
                <w:sz w:val="16"/>
                <w:szCs w:val="16"/>
                <w:color w:val="auto"/>
              </w:rPr>
            </w:pPr>
          </w:p>
        </w:tc>
        <w:tc>
          <w:tcPr>
            <w:tcW w:w="160" w:type="dxa"/>
            <w:vAlign w:val="bottom"/>
          </w:tcPr>
          <w:p>
            <w:pPr>
              <w:spacing w:after="0"/>
              <w:rPr>
                <w:sz w:val="16"/>
                <w:szCs w:val="16"/>
                <w:color w:val="auto"/>
              </w:rPr>
            </w:pPr>
          </w:p>
        </w:tc>
        <w:tc>
          <w:tcPr>
            <w:tcW w:w="4680" w:type="dxa"/>
            <w:vAlign w:val="bottom"/>
          </w:tcPr>
          <w:p>
            <w:pPr>
              <w:ind w:left="60"/>
              <w:spacing w:after="0"/>
              <w:rPr>
                <w:sz w:val="20"/>
                <w:szCs w:val="20"/>
                <w:color w:val="auto"/>
              </w:rPr>
            </w:pPr>
            <w:r>
              <w:rPr>
                <w:rFonts w:ascii="Arial" w:cs="Arial" w:eastAsia="Arial" w:hAnsi="Arial"/>
                <w:sz w:val="14"/>
                <w:szCs w:val="14"/>
                <w:color w:val="333333"/>
              </w:rPr>
              <w:t>meetings.</w:t>
            </w:r>
          </w:p>
        </w:tc>
        <w:tc>
          <w:tcPr>
            <w:tcW w:w="160" w:type="dxa"/>
            <w:vAlign w:val="bottom"/>
          </w:tcPr>
          <w:p>
            <w:pPr>
              <w:spacing w:after="0"/>
              <w:rPr>
                <w:sz w:val="16"/>
                <w:szCs w:val="16"/>
                <w:color w:val="auto"/>
              </w:rPr>
            </w:pPr>
          </w:p>
        </w:tc>
        <w:tc>
          <w:tcPr>
            <w:tcW w:w="140" w:type="dxa"/>
            <w:vAlign w:val="bottom"/>
            <w:tcBorders>
              <w:right w:val="single" w:sz="8" w:color="4D5357"/>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4D5357"/>
            </w:tcBorders>
          </w:tcPr>
          <w:p>
            <w:pPr>
              <w:spacing w:after="0"/>
              <w:rPr>
                <w:sz w:val="20"/>
                <w:szCs w:val="20"/>
                <w:color w:val="auto"/>
              </w:rPr>
            </w:pPr>
          </w:p>
        </w:tc>
        <w:tc>
          <w:tcPr>
            <w:tcW w:w="220" w:type="dxa"/>
            <w:vAlign w:val="bottom"/>
            <w:tcBorders>
              <w:bottom w:val="single" w:sz="8" w:color="4D5357"/>
            </w:tcBorders>
          </w:tcPr>
          <w:p>
            <w:pPr>
              <w:spacing w:after="0"/>
              <w:rPr>
                <w:sz w:val="20"/>
                <w:szCs w:val="20"/>
                <w:color w:val="auto"/>
              </w:rPr>
            </w:pPr>
          </w:p>
        </w:tc>
        <w:tc>
          <w:tcPr>
            <w:tcW w:w="160" w:type="dxa"/>
            <w:vAlign w:val="bottom"/>
            <w:tcBorders>
              <w:bottom w:val="single" w:sz="8" w:color="4D5357"/>
            </w:tcBorders>
          </w:tcPr>
          <w:p>
            <w:pPr>
              <w:spacing w:after="0"/>
              <w:rPr>
                <w:sz w:val="20"/>
                <w:szCs w:val="20"/>
                <w:color w:val="auto"/>
              </w:rPr>
            </w:pPr>
          </w:p>
        </w:tc>
        <w:tc>
          <w:tcPr>
            <w:tcW w:w="4740" w:type="dxa"/>
            <w:vAlign w:val="bottom"/>
            <w:tcBorders>
              <w:bottom w:val="single" w:sz="8" w:color="4D5357"/>
            </w:tcBorders>
          </w:tcPr>
          <w:p>
            <w:pPr>
              <w:spacing w:after="0"/>
              <w:rPr>
                <w:sz w:val="20"/>
                <w:szCs w:val="20"/>
                <w:color w:val="auto"/>
              </w:rPr>
            </w:pPr>
          </w:p>
        </w:tc>
        <w:tc>
          <w:tcPr>
            <w:tcW w:w="120" w:type="dxa"/>
            <w:vAlign w:val="bottom"/>
            <w:tcBorders>
              <w:bottom w:val="single" w:sz="8" w:color="4D5357"/>
            </w:tcBorders>
          </w:tcPr>
          <w:p>
            <w:pPr>
              <w:spacing w:after="0"/>
              <w:rPr>
                <w:sz w:val="20"/>
                <w:szCs w:val="20"/>
                <w:color w:val="auto"/>
              </w:rPr>
            </w:pPr>
          </w:p>
        </w:tc>
        <w:tc>
          <w:tcPr>
            <w:tcW w:w="100" w:type="dxa"/>
            <w:vAlign w:val="bottom"/>
            <w:tcBorders>
              <w:bottom w:val="single" w:sz="8" w:color="4D5357"/>
              <w:right w:val="single" w:sz="8" w:color="4D5357"/>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left w:val="single" w:sz="8" w:color="4D5357"/>
              <w:bottom w:val="single" w:sz="8" w:color="4D5357"/>
            </w:tcBorders>
          </w:tcPr>
          <w:p>
            <w:pPr>
              <w:spacing w:after="0"/>
              <w:rPr>
                <w:sz w:val="20"/>
                <w:szCs w:val="20"/>
                <w:color w:val="auto"/>
              </w:rPr>
            </w:pPr>
          </w:p>
        </w:tc>
        <w:tc>
          <w:tcPr>
            <w:tcW w:w="160" w:type="dxa"/>
            <w:vAlign w:val="bottom"/>
            <w:tcBorders>
              <w:bottom w:val="single" w:sz="8" w:color="4D5357"/>
            </w:tcBorders>
          </w:tcPr>
          <w:p>
            <w:pPr>
              <w:spacing w:after="0"/>
              <w:rPr>
                <w:sz w:val="20"/>
                <w:szCs w:val="20"/>
                <w:color w:val="auto"/>
              </w:rPr>
            </w:pPr>
          </w:p>
        </w:tc>
        <w:tc>
          <w:tcPr>
            <w:tcW w:w="4680" w:type="dxa"/>
            <w:vAlign w:val="bottom"/>
            <w:tcBorders>
              <w:bottom w:val="single" w:sz="8" w:color="4D5357"/>
            </w:tcBorders>
          </w:tcPr>
          <w:p>
            <w:pPr>
              <w:spacing w:after="0"/>
              <w:rPr>
                <w:sz w:val="20"/>
                <w:szCs w:val="20"/>
                <w:color w:val="auto"/>
              </w:rPr>
            </w:pPr>
          </w:p>
        </w:tc>
        <w:tc>
          <w:tcPr>
            <w:tcW w:w="160" w:type="dxa"/>
            <w:vAlign w:val="bottom"/>
            <w:tcBorders>
              <w:bottom w:val="single" w:sz="8" w:color="4D5357"/>
            </w:tcBorders>
          </w:tcPr>
          <w:p>
            <w:pPr>
              <w:spacing w:after="0"/>
              <w:rPr>
                <w:sz w:val="20"/>
                <w:szCs w:val="20"/>
                <w:color w:val="auto"/>
              </w:rPr>
            </w:pPr>
          </w:p>
        </w:tc>
        <w:tc>
          <w:tcPr>
            <w:tcW w:w="140" w:type="dxa"/>
            <w:vAlign w:val="bottom"/>
            <w:tcBorders>
              <w:bottom w:val="single" w:sz="8" w:color="4D5357"/>
              <w:right w:val="single" w:sz="8" w:color="4D5357"/>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5817870</wp:posOffset>
            </wp:positionH>
            <wp:positionV relativeFrom="paragraph">
              <wp:posOffset>-3180080</wp:posOffset>
            </wp:positionV>
            <wp:extent cx="1003300" cy="1346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03300" cy="1346200"/>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9"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0086CC"/>
        </w:rPr>
        <w:t>TENURE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2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2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66" w:lineRule="exact"/>
        <w:rPr>
          <w:sz w:val="20"/>
          <w:szCs w:val="20"/>
          <w:color w:val="auto"/>
        </w:rPr>
      </w:pPr>
    </w:p>
    <w:p>
      <w:pPr>
        <w:sectPr>
          <w:pgSz w:w="11900" w:h="16838" w:orient="portrait"/>
          <w:cols w:equalWidth="0" w:num="2">
            <w:col w:w="9760" w:space="720"/>
            <w:col w:w="540"/>
          </w:cols>
          <w:pgMar w:left="440" w:top="315" w:right="439" w:bottom="1440" w:gutter="0" w:footer="0" w:header="0"/>
          <w:type w:val="continuous"/>
        </w:sectPr>
      </w:pPr>
    </w:p>
    <w:p>
      <w:pPr>
        <w:ind w:left="1460" w:hanging="128"/>
        <w:spacing w:after="0"/>
        <w:tabs>
          <w:tab w:leader="none" w:pos="1460" w:val="left"/>
        </w:tabs>
        <w:numPr>
          <w:ilvl w:val="0"/>
          <w:numId w:val="21"/>
        </w:numPr>
        <w:rPr>
          <w:rFonts w:ascii="Arial" w:cs="Arial" w:eastAsia="Arial" w:hAnsi="Arial"/>
          <w:sz w:val="14"/>
          <w:szCs w:val="14"/>
          <w:color w:val="333333"/>
        </w:rPr>
      </w:pPr>
      <w:r>
        <w:rPr>
          <w:rFonts w:ascii="Arial" w:cs="Arial" w:eastAsia="Arial" w:hAnsi="Arial"/>
          <w:sz w:val="14"/>
          <w:szCs w:val="14"/>
          <w:b w:val="1"/>
          <w:bCs w:val="1"/>
          <w:color w:val="333333"/>
        </w:rPr>
        <w:t xml:space="preserve">Mandatory Retirement Age: </w:t>
      </w:r>
      <w:r>
        <w:rPr>
          <w:rFonts w:ascii="Arial" w:cs="Arial" w:eastAsia="Arial" w:hAnsi="Arial"/>
          <w:sz w:val="14"/>
          <w:szCs w:val="14"/>
          <w:color w:val="333333"/>
        </w:rPr>
        <w:t>Directors must retire at the annual meeting following their 75th birthday.</w:t>
      </w:r>
    </w:p>
    <w:p>
      <w:pPr>
        <w:spacing w:after="0" w:line="68" w:lineRule="exact"/>
        <w:rPr>
          <w:rFonts w:ascii="Arial" w:cs="Arial" w:eastAsia="Arial" w:hAnsi="Arial"/>
          <w:sz w:val="14"/>
          <w:szCs w:val="14"/>
          <w:color w:val="333333"/>
        </w:rPr>
      </w:pPr>
    </w:p>
    <w:p>
      <w:pPr>
        <w:ind w:left="1460" w:hanging="128"/>
        <w:spacing w:after="0"/>
        <w:tabs>
          <w:tab w:leader="none" w:pos="1460" w:val="left"/>
        </w:tabs>
        <w:numPr>
          <w:ilvl w:val="0"/>
          <w:numId w:val="21"/>
        </w:numPr>
        <w:rPr>
          <w:rFonts w:ascii="Arial" w:cs="Arial" w:eastAsia="Arial" w:hAnsi="Arial"/>
          <w:sz w:val="14"/>
          <w:szCs w:val="14"/>
          <w:color w:val="333333"/>
        </w:rPr>
      </w:pPr>
      <w:r>
        <w:rPr>
          <w:rFonts w:ascii="Arial" w:cs="Arial" w:eastAsia="Arial" w:hAnsi="Arial"/>
          <w:sz w:val="14"/>
          <w:szCs w:val="14"/>
          <w:b w:val="1"/>
          <w:bCs w:val="1"/>
          <w:color w:val="333333"/>
        </w:rPr>
        <w:t xml:space="preserve">Employment Change: </w:t>
      </w:r>
      <w:r>
        <w:rPr>
          <w:rFonts w:ascii="Arial" w:cs="Arial" w:eastAsia="Arial" w:hAnsi="Arial"/>
          <w:sz w:val="14"/>
          <w:szCs w:val="14"/>
          <w:color w:val="333333"/>
        </w:rPr>
        <w:t>Directors must report to the Chair of the Board and Chair of the Nominating and Corporate Governance Committee</w:t>
      </w:r>
    </w:p>
    <w:p>
      <w:pPr>
        <w:spacing w:after="0"/>
        <w:tabs>
          <w:tab w:leader="none" w:pos="1440" w:val="left"/>
        </w:tabs>
        <w:rPr>
          <w:sz w:val="20"/>
          <w:szCs w:val="20"/>
          <w:color w:val="auto"/>
        </w:rPr>
      </w:pPr>
      <w:r>
        <w:rPr>
          <w:rFonts w:ascii="Arial" w:cs="Arial" w:eastAsia="Arial" w:hAnsi="Arial"/>
          <w:sz w:val="20"/>
          <w:szCs w:val="20"/>
          <w:color w:val="000000"/>
          <w:vertAlign w:val="subscript"/>
        </w:rPr>
        <w:t xml:space="preserve">    </w:t>
      </w:r>
      <w:r>
        <w:rPr>
          <w:sz w:val="20"/>
          <w:szCs w:val="20"/>
          <w:color w:val="auto"/>
        </w:rPr>
        <w:tab/>
      </w:r>
      <w:r>
        <w:rPr>
          <w:rFonts w:ascii="Arial" w:cs="Arial" w:eastAsia="Arial" w:hAnsi="Arial"/>
          <w:sz w:val="14"/>
          <w:szCs w:val="14"/>
          <w:color w:val="333333"/>
        </w:rPr>
        <w:t>regarding any significant change in principal employment or responsibilities to assure they can continue to commit the appropriate time to</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color w:val="333333"/>
        </w:rPr>
        <w:t>Board service.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spacing w:after="0"/>
        <w:tabs>
          <w:tab w:leader="none" w:pos="10220" w:val="left"/>
        </w:tabs>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16</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0"/>
          </w:cols>
          <w:pgMar w:left="440" w:top="315" w:right="439" w:bottom="1440" w:gutter="0" w:footer="0" w:header="0"/>
          <w:type w:val="continuous"/>
        </w:sectPr>
      </w:pPr>
    </w:p>
    <w:bookmarkStart w:id="22" w:name="page23"/>
    <w:bookmarkEnd w:id="22"/>
    <w:tbl>
      <w:tblPr>
        <w:tblLayout w:type="fixed"/>
        <w:tblInd w:w="9360" w:type="dxa"/>
        <w:tblCellMar>
          <w:top w:w="0" w:type="dxa"/>
          <w:left w:w="0" w:type="dxa"/>
          <w:bottom w:w="0" w:type="dxa"/>
          <w:right w:w="0" w:type="dxa"/>
        </w:tblCellMar>
      </w:tblPr>
      <w:tr>
        <w:trPr>
          <w:trHeight w:val="531"/>
        </w:trPr>
        <w:tc>
          <w:tcPr>
            <w:tcW w:w="300" w:type="dxa"/>
            <w:vAlign w:val="bottom"/>
            <w:shd w:val="clear" w:color="auto" w:fill="4D5357"/>
          </w:tcPr>
          <w:p>
            <w:pPr>
              <w:ind w:left="240"/>
              <w:spacing w:after="0"/>
              <w:rPr>
                <w:sz w:val="20"/>
                <w:szCs w:val="20"/>
                <w:color w:val="auto"/>
              </w:rPr>
            </w:pPr>
            <w:r>
              <w:rPr>
                <w:rFonts w:ascii="Arial" w:cs="Arial" w:eastAsia="Arial" w:hAnsi="Arial"/>
                <w:sz w:val="5"/>
                <w:szCs w:val="5"/>
                <w:b w:val="1"/>
                <w:bCs w:val="1"/>
                <w:color w:val="FFFFFF"/>
                <w:w w:val="79"/>
              </w:rPr>
              <w:t> </w:t>
            </w:r>
          </w:p>
        </w:tc>
        <w:tc>
          <w:tcPr>
            <w:tcW w:w="160" w:type="dxa"/>
            <w:vAlign w:val="bottom"/>
            <w:shd w:val="clear" w:color="auto" w:fill="4D5357"/>
          </w:tcPr>
          <w:p>
            <w:pPr>
              <w:ind w:left="80"/>
              <w:spacing w:after="0"/>
              <w:rPr>
                <w:sz w:val="20"/>
                <w:szCs w:val="20"/>
                <w:color w:val="auto"/>
              </w:rPr>
            </w:pPr>
            <w:r>
              <w:rPr>
                <w:rFonts w:ascii="Arial" w:cs="Arial" w:eastAsia="Arial" w:hAnsi="Arial"/>
                <w:sz w:val="8"/>
                <w:szCs w:val="8"/>
                <w:b w:val="1"/>
                <w:bCs w:val="1"/>
                <w:color w:val="FFFFFF"/>
                <w:w w:val="74"/>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3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300" w:type="dxa"/>
            <w:vAlign w:val="bottom"/>
            <w:shd w:val="clear" w:color="auto" w:fill="4D5357"/>
          </w:tcPr>
          <w:p>
            <w:pPr>
              <w:ind w:left="200"/>
              <w:spacing w:after="0"/>
              <w:rPr>
                <w:sz w:val="20"/>
                <w:szCs w:val="20"/>
                <w:color w:val="auto"/>
              </w:rPr>
            </w:pPr>
            <w:r>
              <w:rPr>
                <w:rFonts w:ascii="Arial" w:cs="Arial" w:eastAsia="Arial" w:hAnsi="Arial"/>
                <w:sz w:val="11"/>
                <w:szCs w:val="11"/>
                <w:b w:val="1"/>
                <w:bCs w:val="1"/>
                <w:color w:val="FFFFFF"/>
                <w:w w:val="72"/>
              </w:rPr>
              <w:t> </w:t>
            </w:r>
          </w:p>
        </w:tc>
        <w:tc>
          <w:tcPr>
            <w:tcW w:w="16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w w:val="71"/>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3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10"/>
        </w:trPr>
        <w:tc>
          <w:tcPr>
            <w:tcW w:w="300" w:type="dxa"/>
            <w:vAlign w:val="bottom"/>
            <w:shd w:val="clear" w:color="auto" w:fill="4D5357"/>
          </w:tcPr>
          <w:p>
            <w:pPr>
              <w:spacing w:after="0"/>
              <w:rPr>
                <w:sz w:val="9"/>
                <w:szCs w:val="9"/>
                <w:color w:val="auto"/>
              </w:rPr>
            </w:pPr>
          </w:p>
        </w:tc>
        <w:tc>
          <w:tcPr>
            <w:tcW w:w="160" w:type="dxa"/>
            <w:vAlign w:val="bottom"/>
            <w:shd w:val="clear" w:color="auto" w:fill="4D5357"/>
          </w:tcPr>
          <w:p>
            <w:pPr>
              <w:spacing w:after="0"/>
              <w:rPr>
                <w:sz w:val="9"/>
                <w:szCs w:val="9"/>
                <w:color w:val="auto"/>
              </w:rPr>
            </w:pPr>
          </w:p>
        </w:tc>
        <w:tc>
          <w:tcPr>
            <w:tcW w:w="900" w:type="dxa"/>
            <w:vAlign w:val="bottom"/>
            <w:shd w:val="clear" w:color="auto" w:fill="4D5357"/>
          </w:tcPr>
          <w:p>
            <w:pPr>
              <w:spacing w:after="0"/>
              <w:rPr>
                <w:sz w:val="9"/>
                <w:szCs w:val="9"/>
                <w:color w:val="auto"/>
              </w:rPr>
            </w:pPr>
          </w:p>
        </w:tc>
        <w:tc>
          <w:tcPr>
            <w:tcW w:w="300" w:type="dxa"/>
            <w:vAlign w:val="bottom"/>
            <w:shd w:val="clear" w:color="auto" w:fill="4D5357"/>
          </w:tcPr>
          <w:p>
            <w:pPr>
              <w:spacing w:after="0"/>
              <w:rPr>
                <w:sz w:val="9"/>
                <w:szCs w:val="9"/>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Arial" w:cs="Arial" w:eastAsia="Arial" w:hAnsi="Arial"/>
          <w:sz w:val="27"/>
          <w:szCs w:val="27"/>
          <w:b w:val="1"/>
          <w:bCs w:val="1"/>
          <w:color w:val="0086CC"/>
        </w:rPr>
        <w:t>Board, Committee and Individual Director Evaluations</w:t>
      </w:r>
    </w:p>
    <w:p>
      <w:pPr>
        <w:spacing w:after="0" w:line="12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333333"/>
        </w:rPr>
        <w:t>As a part of our continuous improvement process intended to enhance the Board’s overall effectiveness, the Board regularly evaluates its performance through self-assessments, corporate governance reviews and periodic charter reviews. Those evaluations, changes in our business strategy or operating environment, and the future needs of the Board in light of anticipated director retirements or vacancies are used to identify desired backgrounds and skill sets for future Board members. The feedback solicited from Board members regarding the Board, each Committee on which they serve, and individual Board members is one of the tools used to assist the Nominating and Corporate Governance Committee in its responsibility to evaluate Board and Committee performance annually.</w:t>
      </w:r>
    </w:p>
    <w:p>
      <w:pPr>
        <w:spacing w:after="0" w:line="136"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Board, Committee and Individual Performance Assessments</w:t>
      </w:r>
    </w:p>
    <w:p>
      <w:pPr>
        <w:sectPr>
          <w:pgSz w:w="11900" w:h="16838" w:orient="portrait"/>
          <w:cols w:equalWidth="0" w:num="1">
            <w:col w:w="11020"/>
          </w:cols>
          <w:pgMar w:left="440" w:top="315" w:right="439" w:bottom="1440" w:gutter="0" w:footer="0" w:header="0"/>
        </w:sectPr>
      </w:pPr>
    </w:p>
    <w:p>
      <w:pPr>
        <w:spacing w:after="0" w:line="263"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0086CC"/>
        </w:rPr>
        <w:t>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915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91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129" w:lineRule="exact"/>
        <w:rPr>
          <w:sz w:val="20"/>
          <w:szCs w:val="20"/>
          <w:color w:val="auto"/>
        </w:rPr>
      </w:pPr>
    </w:p>
    <w:p>
      <w:pPr>
        <w:sectPr>
          <w:pgSz w:w="11900" w:h="16838" w:orient="portrait"/>
          <w:cols w:equalWidth="0" w:num="2">
            <w:col w:w="9640" w:space="720"/>
            <w:col w:w="660"/>
          </w:cols>
          <w:pgMar w:left="440" w:top="315" w:right="439" w:bottom="1440" w:gutter="0" w:footer="0" w:header="0"/>
          <w:type w:val="continuous"/>
        </w:sectPr>
      </w:pPr>
    </w:p>
    <w:p>
      <w:pPr>
        <w:ind w:left="320"/>
        <w:spacing w:after="0" w:line="203" w:lineRule="auto"/>
        <w:rPr>
          <w:sz w:val="20"/>
          <w:szCs w:val="20"/>
          <w:color w:val="auto"/>
        </w:rPr>
      </w:pPr>
      <w:r>
        <w:rPr>
          <w:rFonts w:ascii="Arial" w:cs="Arial" w:eastAsia="Arial" w:hAnsi="Arial"/>
          <w:sz w:val="64"/>
          <w:szCs w:val="64"/>
          <w:color w:val="4D5357"/>
        </w:rPr>
        <w:t>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Arial" w:cs="Arial" w:eastAsia="Arial" w:hAnsi="Arial"/>
          <w:sz w:val="64"/>
          <w:szCs w:val="64"/>
          <w:color w:val="4D5357"/>
        </w:rPr>
        <w:t>2</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64"/>
          <w:szCs w:val="64"/>
          <w:color w:val="4D5357"/>
        </w:rPr>
        <w:t>3</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64"/>
          <w:szCs w:val="64"/>
          <w:color w:val="4D5357"/>
        </w:rPr>
        <w:t>4</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64"/>
          <w:szCs w:val="64"/>
          <w:color w:val="4D5357"/>
        </w:rPr>
        <w:t>5</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820"/>
        <w:spacing w:after="0" w:line="259" w:lineRule="auto"/>
        <w:rPr>
          <w:sz w:val="20"/>
          <w:szCs w:val="20"/>
          <w:color w:val="auto"/>
        </w:rPr>
      </w:pPr>
      <w:r>
        <w:rPr>
          <w:rFonts w:ascii="Arial" w:cs="Arial" w:eastAsia="Arial" w:hAnsi="Arial"/>
          <w:sz w:val="16"/>
          <w:szCs w:val="16"/>
          <w:color w:val="333333"/>
        </w:rPr>
        <w:t>The Nominating and Corporate Governance Committee (Committee) reviews the director and officer questionnaire and performance assessment process to determine if they are effective and whether any changes are appropriate. Each Director annually completes a questionnaire assessing the Board, Committees on which they serve, and each Director for review by the Chair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224790</wp:posOffset>
            </wp:positionV>
            <wp:extent cx="6995160" cy="651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ONE-ON-ONE DISCUSSIONS</w:t>
      </w:r>
    </w:p>
    <w:p>
      <w:pPr>
        <w:spacing w:after="0" w:line="68" w:lineRule="exact"/>
        <w:rPr>
          <w:sz w:val="20"/>
          <w:szCs w:val="20"/>
          <w:color w:val="auto"/>
        </w:rPr>
      </w:pPr>
    </w:p>
    <w:p>
      <w:pPr>
        <w:ind w:right="920"/>
        <w:spacing w:after="0" w:line="286" w:lineRule="auto"/>
        <w:rPr>
          <w:sz w:val="20"/>
          <w:szCs w:val="20"/>
          <w:color w:val="auto"/>
        </w:rPr>
      </w:pPr>
      <w:r>
        <w:rPr>
          <w:rFonts w:ascii="Arial" w:cs="Arial" w:eastAsia="Arial" w:hAnsi="Arial"/>
          <w:sz w:val="16"/>
          <w:szCs w:val="16"/>
          <w:color w:val="333333"/>
        </w:rPr>
        <w:t>The Chair of the Committee follows up with each Director who submits comments, suggestions or other feedback for a candid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210820</wp:posOffset>
            </wp:positionV>
            <wp:extent cx="6995160" cy="556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55689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CLOSED SESSION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333333"/>
        </w:rPr>
        <w:t>The Chair of the Committee discusses the results and feedback on an unattributed basis with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278130</wp:posOffset>
            </wp:positionV>
            <wp:extent cx="6995160" cy="651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BOARD SUMMARY</w:t>
      </w:r>
    </w:p>
    <w:p>
      <w:pPr>
        <w:spacing w:after="0" w:line="68" w:lineRule="exact"/>
        <w:rPr>
          <w:sz w:val="20"/>
          <w:szCs w:val="20"/>
          <w:color w:val="auto"/>
        </w:rPr>
      </w:pPr>
    </w:p>
    <w:p>
      <w:pPr>
        <w:ind w:right="1140"/>
        <w:spacing w:after="0" w:line="286" w:lineRule="auto"/>
        <w:rPr>
          <w:sz w:val="20"/>
          <w:szCs w:val="20"/>
          <w:color w:val="auto"/>
        </w:rPr>
      </w:pPr>
      <w:r>
        <w:rPr>
          <w:rFonts w:ascii="Arial" w:cs="Arial" w:eastAsia="Arial" w:hAnsi="Arial"/>
          <w:sz w:val="16"/>
          <w:szCs w:val="16"/>
          <w:color w:val="333333"/>
        </w:rPr>
        <w:t>The results are discussed with a session of each of the independent Board members, with the Chair of the Board, and with each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210820</wp:posOffset>
            </wp:positionV>
            <wp:extent cx="6995160" cy="557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FEEDBACK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333333"/>
        </w:rPr>
        <w:t>Policies and practices are updated as appropriate as a result of the feedback.</w:t>
      </w:r>
    </w:p>
    <w:p>
      <w:pPr>
        <w:spacing w:after="0" w:line="439" w:lineRule="exact"/>
        <w:rPr>
          <w:sz w:val="20"/>
          <w:szCs w:val="20"/>
          <w:color w:val="auto"/>
        </w:rPr>
      </w:pPr>
    </w:p>
    <w:p>
      <w:pPr>
        <w:sectPr>
          <w:pgSz w:w="11900" w:h="16838" w:orient="portrait"/>
          <w:cols w:equalWidth="0" w:num="2">
            <w:col w:w="680" w:space="440"/>
            <w:col w:w="9900"/>
          </w:cols>
          <w:pgMar w:left="440" w:top="315" w:right="439"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spacing w:after="0"/>
        <w:tabs>
          <w:tab w:leader="none" w:pos="4560" w:val="left"/>
          <w:tab w:leader="none" w:pos="9940"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b w:val="1"/>
          <w:bCs w:val="1"/>
          <w:color w:val="auto"/>
        </w:rPr>
        <w:t>2026 PROXY STATEMENT</w:t>
      </w:r>
      <w:r>
        <w:rPr>
          <w:sz w:val="20"/>
          <w:szCs w:val="20"/>
          <w:color w:val="auto"/>
        </w:rPr>
        <w:tab/>
      </w:r>
      <w:r>
        <w:rPr>
          <w:rFonts w:ascii="Arial" w:cs="Arial" w:eastAsia="Arial" w:hAnsi="Arial"/>
          <w:sz w:val="16"/>
          <w:szCs w:val="16"/>
          <w:b w:val="1"/>
          <w:bCs w:val="1"/>
          <w:color w:val="0086CC"/>
        </w:rPr>
        <w:t xml:space="preserve">17 </w:t>
      </w:r>
      <w:r>
        <w:rPr>
          <w:rFonts w:ascii="Arial" w:cs="Arial" w:eastAsia="Arial" w:hAnsi="Arial"/>
          <w:sz w:val="16"/>
          <w:szCs w:val="16"/>
          <w:color w:val="333333"/>
        </w:rPr>
        <w:t xml:space="preserve">               </w:t>
      </w:r>
    </w:p>
    <w:p>
      <w:pPr>
        <w:sectPr>
          <w:pgSz w:w="11900" w:h="16838" w:orient="portrait"/>
          <w:cols w:equalWidth="0" w:num="1">
            <w:col w:w="11020"/>
          </w:cols>
          <w:pgMar w:left="440" w:top="315" w:right="439" w:bottom="1440" w:gutter="0" w:footer="0" w:header="0"/>
          <w:type w:val="continuous"/>
        </w:sectPr>
      </w:pPr>
    </w:p>
    <w:bookmarkStart w:id="23" w:name="page24"/>
    <w:bookmarkEnd w:id="23"/>
    <w:tbl>
      <w:tblPr>
        <w:tblLayout w:type="fixed"/>
        <w:tblInd w:w="4" w:type="dxa"/>
        <w:tblCellMar>
          <w:top w:w="0" w:type="dxa"/>
          <w:left w:w="0" w:type="dxa"/>
          <w:bottom w:w="0" w:type="dxa"/>
          <w:right w:w="0" w:type="dxa"/>
        </w:tblCellMar>
      </w:tblPr>
      <w:tr>
        <w:trPr>
          <w:trHeight w:val="531"/>
        </w:trPr>
        <w:tc>
          <w:tcPr>
            <w:tcW w:w="180" w:type="dxa"/>
            <w:vAlign w:val="bottom"/>
            <w:shd w:val="clear" w:color="auto" w:fill="4D5357"/>
          </w:tcPr>
          <w:p>
            <w:pPr>
              <w:ind w:left="120"/>
              <w:spacing w:after="0"/>
              <w:rPr>
                <w:sz w:val="20"/>
                <w:szCs w:val="20"/>
                <w:color w:val="auto"/>
              </w:rPr>
            </w:pPr>
            <w:r>
              <w:rPr>
                <w:rFonts w:ascii="Arial" w:cs="Arial" w:eastAsia="Arial" w:hAnsi="Arial"/>
                <w:sz w:val="5"/>
                <w:szCs w:val="5"/>
                <w:b w:val="1"/>
                <w:bCs w:val="1"/>
                <w:color w:val="FFFFFF"/>
                <w:w w:val="79"/>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28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1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w w:val="71"/>
              </w:rPr>
              <w:t> </w:t>
            </w:r>
          </w:p>
        </w:tc>
        <w:tc>
          <w:tcPr>
            <w:tcW w:w="140" w:type="dxa"/>
            <w:vAlign w:val="bottom"/>
            <w:shd w:val="clear" w:color="auto" w:fill="4D5357"/>
          </w:tcPr>
          <w:p>
            <w:pPr>
              <w:ind w:left="40"/>
              <w:spacing w:after="0"/>
              <w:rPr>
                <w:sz w:val="20"/>
                <w:szCs w:val="20"/>
                <w:color w:val="auto"/>
              </w:rPr>
            </w:pPr>
            <w:r>
              <w:rPr>
                <w:rFonts w:ascii="Arial" w:cs="Arial" w:eastAsia="Arial" w:hAnsi="Arial"/>
                <w:sz w:val="11"/>
                <w:szCs w:val="11"/>
                <w:b w:val="1"/>
                <w:bCs w:val="1"/>
                <w:color w:val="FFFFFF"/>
                <w:w w:val="72"/>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2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r>
      <w:tr>
        <w:trPr>
          <w:trHeight w:val="110"/>
        </w:trPr>
        <w:tc>
          <w:tcPr>
            <w:tcW w:w="180" w:type="dxa"/>
            <w:vAlign w:val="bottom"/>
            <w:shd w:val="clear" w:color="auto" w:fill="4D5357"/>
          </w:tcPr>
          <w:p>
            <w:pPr>
              <w:spacing w:after="0"/>
              <w:rPr>
                <w:sz w:val="9"/>
                <w:szCs w:val="9"/>
                <w:color w:val="auto"/>
              </w:rPr>
            </w:pPr>
          </w:p>
        </w:tc>
        <w:tc>
          <w:tcPr>
            <w:tcW w:w="140" w:type="dxa"/>
            <w:vAlign w:val="bottom"/>
            <w:shd w:val="clear" w:color="auto" w:fill="4D5357"/>
          </w:tcPr>
          <w:p>
            <w:pPr>
              <w:spacing w:after="0"/>
              <w:rPr>
                <w:sz w:val="9"/>
                <w:szCs w:val="9"/>
                <w:color w:val="auto"/>
              </w:rPr>
            </w:pPr>
          </w:p>
        </w:tc>
        <w:tc>
          <w:tcPr>
            <w:tcW w:w="920" w:type="dxa"/>
            <w:vAlign w:val="bottom"/>
            <w:shd w:val="clear" w:color="auto" w:fill="4D5357"/>
          </w:tcPr>
          <w:p>
            <w:pPr>
              <w:spacing w:after="0"/>
              <w:rPr>
                <w:sz w:val="9"/>
                <w:szCs w:val="9"/>
                <w:color w:val="auto"/>
              </w:rPr>
            </w:pPr>
          </w:p>
        </w:tc>
        <w:tc>
          <w:tcPr>
            <w:tcW w:w="280" w:type="dxa"/>
            <w:vAlign w:val="bottom"/>
            <w:shd w:val="clear" w:color="auto" w:fill="4D5357"/>
          </w:tcPr>
          <w:p>
            <w:pPr>
              <w:spacing w:after="0"/>
              <w:rPr>
                <w:sz w:val="9"/>
                <w:szCs w:val="9"/>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
        <w:spacing w:after="0"/>
        <w:rPr>
          <w:sz w:val="20"/>
          <w:szCs w:val="20"/>
          <w:color w:val="auto"/>
        </w:rPr>
      </w:pPr>
      <w:r>
        <w:rPr>
          <w:rFonts w:ascii="Arial" w:cs="Arial" w:eastAsia="Arial" w:hAnsi="Arial"/>
          <w:sz w:val="27"/>
          <w:szCs w:val="27"/>
          <w:b w:val="1"/>
          <w:bCs w:val="1"/>
          <w:color w:val="0086CC"/>
        </w:rPr>
        <w:t>Board Committees</w:t>
      </w:r>
    </w:p>
    <w:p>
      <w:pPr>
        <w:spacing w:after="0" w:line="123" w:lineRule="exact"/>
        <w:rPr>
          <w:sz w:val="20"/>
          <w:szCs w:val="20"/>
          <w:color w:val="auto"/>
        </w:rPr>
      </w:pPr>
    </w:p>
    <w:p>
      <w:pPr>
        <w:ind w:left="4" w:right="380"/>
        <w:spacing w:after="0" w:line="259" w:lineRule="auto"/>
        <w:rPr>
          <w:sz w:val="20"/>
          <w:szCs w:val="20"/>
          <w:color w:val="auto"/>
        </w:rPr>
      </w:pPr>
      <w:r>
        <w:rPr>
          <w:rFonts w:ascii="Arial" w:cs="Arial" w:eastAsia="Arial" w:hAnsi="Arial"/>
          <w:sz w:val="16"/>
          <w:szCs w:val="16"/>
          <w:color w:val="333333"/>
        </w:rPr>
        <w:t>Martin Marietta’s Board of Directors has six standing Committees: Audit; Ethics, Environment, Safety and Health; Executive; Finance; Management Development and Compensation; and Nominating and Corporate Governance. Each Committee has a written charter that describes its purposes, membership, meeting structure, authority and responsibilities. These charters are reviewed by the respective Committee on an annual basis with any recommended changes adopted upon approval by our Board. Our six standing Committee charters are posted on our website.</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6"/>
          <w:szCs w:val="16"/>
          <w:color w:val="333333"/>
        </w:rPr>
        <w:t>Below is a summary of our current Committee structure and membership information.</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0086CC"/>
              </w:rPr>
              <w:t>ETHICS,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5"/>
                <w:szCs w:val="15"/>
                <w:b w:val="1"/>
                <w:bCs w:val="1"/>
                <w:color w:val="0086CC"/>
              </w:rPr>
              <w:t>MANAGEMENT</w:t>
            </w:r>
          </w:p>
        </w:tc>
        <w:tc>
          <w:tcPr>
            <w:tcW w:w="1240" w:type="dxa"/>
            <w:vAlign w:val="bottom"/>
          </w:tcPr>
          <w:p>
            <w:pPr>
              <w:jc w:val="center"/>
              <w:ind w:left="40"/>
              <w:spacing w:after="0"/>
              <w:rPr>
                <w:sz w:val="20"/>
                <w:szCs w:val="20"/>
                <w:color w:val="auto"/>
              </w:rPr>
            </w:pPr>
            <w:r>
              <w:rPr>
                <w:rFonts w:ascii="Arial" w:cs="Arial" w:eastAsia="Arial" w:hAnsi="Arial"/>
                <w:sz w:val="15"/>
                <w:szCs w:val="15"/>
                <w:b w:val="1"/>
                <w:bCs w:val="1"/>
                <w:color w:val="0086CC"/>
                <w:w w:val="99"/>
              </w:rPr>
              <w:t>NOMINATING</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5"/>
                <w:szCs w:val="15"/>
                <w:b w:val="1"/>
                <w:bCs w:val="1"/>
                <w:color w:val="0086CC"/>
              </w:rPr>
              <w:t>ENVIRONMENT,</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5"/>
                <w:szCs w:val="15"/>
                <w:b w:val="1"/>
                <w:bCs w:val="1"/>
                <w:color w:val="0086CC"/>
              </w:rPr>
              <w:t>DEVELOPMENT</w:t>
            </w:r>
          </w:p>
        </w:tc>
        <w:tc>
          <w:tcPr>
            <w:tcW w:w="1240" w:type="dxa"/>
            <w:vAlign w:val="bottom"/>
          </w:tcPr>
          <w:p>
            <w:pPr>
              <w:jc w:val="center"/>
              <w:spacing w:after="0" w:line="162" w:lineRule="exact"/>
              <w:rPr>
                <w:sz w:val="20"/>
                <w:szCs w:val="20"/>
                <w:color w:val="auto"/>
              </w:rPr>
            </w:pPr>
            <w:r>
              <w:rPr>
                <w:rFonts w:ascii="Arial" w:cs="Arial" w:eastAsia="Arial" w:hAnsi="Arial"/>
                <w:sz w:val="15"/>
                <w:szCs w:val="15"/>
                <w:b w:val="1"/>
                <w:bCs w:val="1"/>
                <w:color w:val="0086CC"/>
                <w:w w:val="98"/>
              </w:rPr>
              <w:t>AND</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520" w:type="dxa"/>
            <w:vAlign w:val="bottom"/>
            <w:vMerge w:val="restart"/>
          </w:tcPr>
          <w:p>
            <w:pPr>
              <w:ind w:left="300"/>
              <w:spacing w:after="0"/>
              <w:rPr>
                <w:sz w:val="20"/>
                <w:szCs w:val="20"/>
                <w:color w:val="auto"/>
              </w:rPr>
            </w:pPr>
            <w:r>
              <w:rPr>
                <w:rFonts w:ascii="Arial" w:cs="Arial" w:eastAsia="Arial" w:hAnsi="Arial"/>
                <w:sz w:val="15"/>
                <w:szCs w:val="15"/>
                <w:b w:val="1"/>
                <w:bCs w:val="1"/>
                <w:color w:val="0086CC"/>
              </w:rPr>
              <w:t>INDEPENDENT</w:t>
            </w:r>
          </w:p>
        </w:tc>
        <w:tc>
          <w:tcPr>
            <w:tcW w:w="1180" w:type="dxa"/>
            <w:vAlign w:val="bottom"/>
            <w:vMerge w:val="restart"/>
          </w:tcPr>
          <w:p>
            <w:pPr>
              <w:jc w:val="right"/>
              <w:ind w:right="258"/>
              <w:spacing w:after="0"/>
              <w:rPr>
                <w:sz w:val="20"/>
                <w:szCs w:val="20"/>
                <w:color w:val="auto"/>
              </w:rPr>
            </w:pPr>
            <w:r>
              <w:rPr>
                <w:rFonts w:ascii="Arial" w:cs="Arial" w:eastAsia="Arial" w:hAnsi="Arial"/>
                <w:sz w:val="15"/>
                <w:szCs w:val="15"/>
                <w:b w:val="1"/>
                <w:bCs w:val="1"/>
                <w:color w:val="0086CC"/>
              </w:rPr>
              <w:t>AUDIT</w:t>
            </w:r>
          </w:p>
        </w:tc>
        <w:tc>
          <w:tcPr>
            <w:tcW w:w="1420" w:type="dxa"/>
            <w:vAlign w:val="bottom"/>
          </w:tcPr>
          <w:p>
            <w:pPr>
              <w:jc w:val="center"/>
              <w:spacing w:after="0" w:line="162" w:lineRule="exact"/>
              <w:rPr>
                <w:sz w:val="20"/>
                <w:szCs w:val="20"/>
                <w:color w:val="auto"/>
              </w:rPr>
            </w:pPr>
            <w:r>
              <w:rPr>
                <w:rFonts w:ascii="Arial" w:cs="Arial" w:eastAsia="Arial" w:hAnsi="Arial"/>
                <w:sz w:val="15"/>
                <w:szCs w:val="15"/>
                <w:b w:val="1"/>
                <w:bCs w:val="1"/>
                <w:color w:val="0086CC"/>
              </w:rPr>
              <w:t>SAFETY AND</w:t>
            </w:r>
          </w:p>
        </w:tc>
        <w:tc>
          <w:tcPr>
            <w:tcW w:w="1180" w:type="dxa"/>
            <w:vAlign w:val="bottom"/>
            <w:vMerge w:val="restart"/>
          </w:tcPr>
          <w:p>
            <w:pPr>
              <w:ind w:left="160"/>
              <w:spacing w:after="0"/>
              <w:rPr>
                <w:sz w:val="20"/>
                <w:szCs w:val="20"/>
                <w:color w:val="auto"/>
              </w:rPr>
            </w:pPr>
            <w:r>
              <w:rPr>
                <w:rFonts w:ascii="Arial" w:cs="Arial" w:eastAsia="Arial" w:hAnsi="Arial"/>
                <w:sz w:val="15"/>
                <w:szCs w:val="15"/>
                <w:b w:val="1"/>
                <w:bCs w:val="1"/>
                <w:color w:val="0086CC"/>
              </w:rPr>
              <w:t>EXECUTIVE</w:t>
            </w: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0086CC"/>
              </w:rPr>
              <w:t>FINANCE</w:t>
            </w:r>
          </w:p>
        </w:tc>
        <w:tc>
          <w:tcPr>
            <w:tcW w:w="1520" w:type="dxa"/>
            <w:vAlign w:val="bottom"/>
          </w:tcPr>
          <w:p>
            <w:pPr>
              <w:jc w:val="center"/>
              <w:spacing w:after="0" w:line="162" w:lineRule="exact"/>
              <w:rPr>
                <w:sz w:val="20"/>
                <w:szCs w:val="20"/>
                <w:color w:val="auto"/>
              </w:rPr>
            </w:pPr>
            <w:r>
              <w:rPr>
                <w:rFonts w:ascii="Arial" w:cs="Arial" w:eastAsia="Arial" w:hAnsi="Arial"/>
                <w:sz w:val="15"/>
                <w:szCs w:val="15"/>
                <w:b w:val="1"/>
                <w:bCs w:val="1"/>
                <w:color w:val="0086CC"/>
              </w:rPr>
              <w:t>AND</w:t>
            </w:r>
          </w:p>
        </w:tc>
        <w:tc>
          <w:tcPr>
            <w:tcW w:w="1240" w:type="dxa"/>
            <w:vAlign w:val="bottom"/>
          </w:tcPr>
          <w:p>
            <w:pPr>
              <w:jc w:val="center"/>
              <w:ind w:left="40"/>
              <w:spacing w:after="0" w:line="162" w:lineRule="exact"/>
              <w:rPr>
                <w:sz w:val="20"/>
                <w:szCs w:val="20"/>
                <w:color w:val="auto"/>
              </w:rPr>
            </w:pPr>
            <w:r>
              <w:rPr>
                <w:rFonts w:ascii="Arial" w:cs="Arial" w:eastAsia="Arial" w:hAnsi="Arial"/>
                <w:sz w:val="15"/>
                <w:szCs w:val="15"/>
                <w:b w:val="1"/>
                <w:bCs w:val="1"/>
                <w:color w:val="0086CC"/>
              </w:rPr>
              <w:t>CORPORATE</w:t>
            </w:r>
          </w:p>
        </w:tc>
        <w:tc>
          <w:tcPr>
            <w:tcW w:w="0" w:type="dxa"/>
            <w:vAlign w:val="bottom"/>
          </w:tcPr>
          <w:p>
            <w:pPr>
              <w:spacing w:after="0"/>
              <w:rPr>
                <w:sz w:val="1"/>
                <w:szCs w:val="1"/>
                <w:color w:val="auto"/>
              </w:rPr>
            </w:pPr>
          </w:p>
        </w:tc>
      </w:tr>
      <w:tr>
        <w:trPr>
          <w:trHeight w:val="162"/>
        </w:trPr>
        <w:tc>
          <w:tcPr>
            <w:tcW w:w="1780" w:type="dxa"/>
            <w:vAlign w:val="bottom"/>
            <w:vMerge w:val="restart"/>
          </w:tcPr>
          <w:p>
            <w:pPr>
              <w:ind w:left="60"/>
              <w:spacing w:after="0"/>
              <w:rPr>
                <w:sz w:val="20"/>
                <w:szCs w:val="20"/>
                <w:color w:val="auto"/>
              </w:rPr>
            </w:pPr>
            <w:r>
              <w:rPr>
                <w:rFonts w:ascii="Arial" w:cs="Arial" w:eastAsia="Arial" w:hAnsi="Arial"/>
                <w:sz w:val="15"/>
                <w:szCs w:val="15"/>
                <w:b w:val="1"/>
                <w:bCs w:val="1"/>
                <w:color w:val="0086CC"/>
              </w:rPr>
              <w:t>DIRECTOR</w:t>
            </w:r>
          </w:p>
        </w:tc>
        <w:tc>
          <w:tcPr>
            <w:tcW w:w="15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5"/>
                <w:szCs w:val="15"/>
                <w:b w:val="1"/>
                <w:bCs w:val="1"/>
                <w:color w:val="0086CC"/>
              </w:rPr>
              <w:t>HEALTH</w:t>
            </w: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5"/>
                <w:szCs w:val="15"/>
                <w:b w:val="1"/>
                <w:bCs w:val="1"/>
                <w:color w:val="0086CC"/>
              </w:rPr>
              <w:t>COMPENSATION</w:t>
            </w:r>
          </w:p>
        </w:tc>
        <w:tc>
          <w:tcPr>
            <w:tcW w:w="1240" w:type="dxa"/>
            <w:vAlign w:val="bottom"/>
          </w:tcPr>
          <w:p>
            <w:pPr>
              <w:jc w:val="center"/>
              <w:ind w:left="40"/>
              <w:spacing w:after="0" w:line="162" w:lineRule="exact"/>
              <w:rPr>
                <w:sz w:val="20"/>
                <w:szCs w:val="20"/>
                <w:color w:val="auto"/>
              </w:rPr>
            </w:pPr>
            <w:r>
              <w:rPr>
                <w:rFonts w:ascii="Arial" w:cs="Arial" w:eastAsia="Arial" w:hAnsi="Arial"/>
                <w:sz w:val="15"/>
                <w:szCs w:val="15"/>
                <w:b w:val="1"/>
                <w:bCs w:val="1"/>
                <w:color w:val="0086CC"/>
              </w:rPr>
              <w:t>GOVERNANCE</w:t>
            </w:r>
          </w:p>
        </w:tc>
        <w:tc>
          <w:tcPr>
            <w:tcW w:w="0" w:type="dxa"/>
            <w:vAlign w:val="bottom"/>
          </w:tcPr>
          <w:p>
            <w:pPr>
              <w:spacing w:after="0"/>
              <w:rPr>
                <w:sz w:val="1"/>
                <w:szCs w:val="1"/>
                <w:color w:val="auto"/>
              </w:rPr>
            </w:pPr>
          </w:p>
        </w:tc>
      </w:tr>
      <w:tr>
        <w:trPr>
          <w:trHeight w:val="208"/>
        </w:trPr>
        <w:tc>
          <w:tcPr>
            <w:tcW w:w="1780" w:type="dxa"/>
            <w:vAlign w:val="bottom"/>
            <w:tcBorders>
              <w:bottom w:val="single" w:sz="8" w:color="0086CC"/>
            </w:tcBorders>
            <w:vMerge w:val="continue"/>
          </w:tcPr>
          <w:p>
            <w:pPr>
              <w:spacing w:after="0"/>
              <w:rPr>
                <w:sz w:val="18"/>
                <w:szCs w:val="18"/>
                <w:color w:val="auto"/>
              </w:rPr>
            </w:pPr>
          </w:p>
        </w:tc>
        <w:tc>
          <w:tcPr>
            <w:tcW w:w="1520" w:type="dxa"/>
            <w:vAlign w:val="bottom"/>
            <w:tcBorders>
              <w:bottom w:val="single" w:sz="8" w:color="0086CC"/>
            </w:tcBorders>
          </w:tcPr>
          <w:p>
            <w:pPr>
              <w:ind w:left="460"/>
              <w:spacing w:after="0"/>
              <w:rPr>
                <w:sz w:val="20"/>
                <w:szCs w:val="20"/>
                <w:color w:val="auto"/>
              </w:rPr>
            </w:pPr>
            <w:r>
              <w:rPr>
                <w:rFonts w:ascii="Arial" w:cs="Arial" w:eastAsia="Arial" w:hAnsi="Arial"/>
                <w:sz w:val="15"/>
                <w:szCs w:val="15"/>
                <w:b w:val="1"/>
                <w:bCs w:val="1"/>
                <w:color w:val="0086CC"/>
              </w:rPr>
              <w:t>DIRECTOR</w:t>
            </w:r>
          </w:p>
        </w:tc>
        <w:tc>
          <w:tcPr>
            <w:tcW w:w="1180" w:type="dxa"/>
            <w:vAlign w:val="bottom"/>
            <w:tcBorders>
              <w:bottom w:val="single" w:sz="8" w:color="0086CC"/>
            </w:tcBorders>
          </w:tcPr>
          <w:p>
            <w:pPr>
              <w:jc w:val="right"/>
              <w:ind w:right="38"/>
              <w:spacing w:after="0"/>
              <w:rPr>
                <w:sz w:val="20"/>
                <w:szCs w:val="20"/>
                <w:color w:val="auto"/>
              </w:rPr>
            </w:pPr>
            <w:r>
              <w:rPr>
                <w:rFonts w:ascii="Arial" w:cs="Arial" w:eastAsia="Arial" w:hAnsi="Arial"/>
                <w:sz w:val="15"/>
                <w:szCs w:val="15"/>
                <w:b w:val="1"/>
                <w:bCs w:val="1"/>
                <w:color w:val="0086CC"/>
              </w:rPr>
              <w:t>COMMITTEE</w:t>
            </w:r>
          </w:p>
        </w:tc>
        <w:tc>
          <w:tcPr>
            <w:tcW w:w="1420" w:type="dxa"/>
            <w:vAlign w:val="bottom"/>
            <w:tcBorders>
              <w:bottom w:val="single" w:sz="8" w:color="0086CC"/>
            </w:tcBorders>
          </w:tcPr>
          <w:p>
            <w:pPr>
              <w:jc w:val="center"/>
              <w:spacing w:after="0"/>
              <w:rPr>
                <w:sz w:val="20"/>
                <w:szCs w:val="20"/>
                <w:color w:val="auto"/>
              </w:rPr>
            </w:pPr>
            <w:r>
              <w:rPr>
                <w:rFonts w:ascii="Arial" w:cs="Arial" w:eastAsia="Arial" w:hAnsi="Arial"/>
                <w:sz w:val="15"/>
                <w:szCs w:val="15"/>
                <w:b w:val="1"/>
                <w:bCs w:val="1"/>
                <w:color w:val="0086CC"/>
              </w:rPr>
              <w:t>COMMITTEE</w:t>
            </w:r>
          </w:p>
        </w:tc>
        <w:tc>
          <w:tcPr>
            <w:tcW w:w="1180" w:type="dxa"/>
            <w:vAlign w:val="bottom"/>
            <w:tcBorders>
              <w:bottom w:val="single" w:sz="8" w:color="0086CC"/>
            </w:tcBorders>
          </w:tcPr>
          <w:p>
            <w:pPr>
              <w:ind w:left="140"/>
              <w:spacing w:after="0"/>
              <w:rPr>
                <w:sz w:val="20"/>
                <w:szCs w:val="20"/>
                <w:color w:val="auto"/>
              </w:rPr>
            </w:pPr>
            <w:r>
              <w:rPr>
                <w:rFonts w:ascii="Arial" w:cs="Arial" w:eastAsia="Arial" w:hAnsi="Arial"/>
                <w:sz w:val="15"/>
                <w:szCs w:val="15"/>
                <w:b w:val="1"/>
                <w:bCs w:val="1"/>
                <w:color w:val="0086CC"/>
              </w:rPr>
              <w:t>COMMITTEE</w:t>
            </w:r>
          </w:p>
        </w:tc>
        <w:tc>
          <w:tcPr>
            <w:tcW w:w="1180" w:type="dxa"/>
            <w:vAlign w:val="bottom"/>
            <w:tcBorders>
              <w:bottom w:val="single" w:sz="8" w:color="0086CC"/>
            </w:tcBorders>
          </w:tcPr>
          <w:p>
            <w:pPr>
              <w:jc w:val="center"/>
              <w:spacing w:after="0"/>
              <w:rPr>
                <w:sz w:val="20"/>
                <w:szCs w:val="20"/>
                <w:color w:val="auto"/>
              </w:rPr>
            </w:pPr>
            <w:r>
              <w:rPr>
                <w:rFonts w:ascii="Arial" w:cs="Arial" w:eastAsia="Arial" w:hAnsi="Arial"/>
                <w:sz w:val="15"/>
                <w:szCs w:val="15"/>
                <w:b w:val="1"/>
                <w:bCs w:val="1"/>
                <w:color w:val="0086CC"/>
              </w:rPr>
              <w:t>COMMITTEE</w:t>
            </w:r>
          </w:p>
        </w:tc>
        <w:tc>
          <w:tcPr>
            <w:tcW w:w="1520" w:type="dxa"/>
            <w:vAlign w:val="bottom"/>
            <w:tcBorders>
              <w:bottom w:val="single" w:sz="8" w:color="0086CC"/>
            </w:tcBorders>
          </w:tcPr>
          <w:p>
            <w:pPr>
              <w:jc w:val="center"/>
              <w:spacing w:after="0"/>
              <w:rPr>
                <w:sz w:val="20"/>
                <w:szCs w:val="20"/>
                <w:color w:val="auto"/>
              </w:rPr>
            </w:pPr>
            <w:r>
              <w:rPr>
                <w:rFonts w:ascii="Arial" w:cs="Arial" w:eastAsia="Arial" w:hAnsi="Arial"/>
                <w:sz w:val="15"/>
                <w:szCs w:val="15"/>
                <w:b w:val="1"/>
                <w:bCs w:val="1"/>
                <w:color w:val="0086CC"/>
              </w:rPr>
              <w:t>COMMITTEE</w:t>
            </w:r>
          </w:p>
        </w:tc>
        <w:tc>
          <w:tcPr>
            <w:tcW w:w="1240" w:type="dxa"/>
            <w:vAlign w:val="bottom"/>
            <w:tcBorders>
              <w:bottom w:val="single" w:sz="8" w:color="0086CC"/>
            </w:tcBorders>
          </w:tcPr>
          <w:p>
            <w:pPr>
              <w:jc w:val="center"/>
              <w:ind w:left="40"/>
              <w:spacing w:after="0"/>
              <w:rPr>
                <w:sz w:val="20"/>
                <w:szCs w:val="20"/>
                <w:color w:val="auto"/>
              </w:rPr>
            </w:pPr>
            <w:r>
              <w:rPr>
                <w:rFonts w:ascii="Arial" w:cs="Arial" w:eastAsia="Arial" w:hAnsi="Arial"/>
                <w:sz w:val="15"/>
                <w:szCs w:val="15"/>
                <w:b w:val="1"/>
                <w:bCs w:val="1"/>
                <w:color w:val="0086CC"/>
              </w:rPr>
              <w:t>COMMITTEE</w:t>
            </w:r>
          </w:p>
        </w:tc>
        <w:tc>
          <w:tcPr>
            <w:tcW w:w="0" w:type="dxa"/>
            <w:vAlign w:val="bottom"/>
          </w:tcPr>
          <w:p>
            <w:pPr>
              <w:spacing w:after="0"/>
              <w:rPr>
                <w:sz w:val="1"/>
                <w:szCs w:val="1"/>
                <w:color w:val="auto"/>
              </w:rPr>
            </w:pPr>
          </w:p>
        </w:tc>
      </w:tr>
      <w:tr>
        <w:trPr>
          <w:trHeight w:val="222"/>
        </w:trPr>
        <w:tc>
          <w:tcPr>
            <w:tcW w:w="1780" w:type="dxa"/>
            <w:vAlign w:val="bottom"/>
          </w:tcPr>
          <w:p>
            <w:pPr>
              <w:ind w:left="60"/>
              <w:spacing w:after="0"/>
              <w:rPr>
                <w:sz w:val="20"/>
                <w:szCs w:val="20"/>
                <w:color w:val="auto"/>
              </w:rPr>
            </w:pPr>
            <w:r>
              <w:rPr>
                <w:rFonts w:ascii="Arial" w:cs="Arial" w:eastAsia="Arial" w:hAnsi="Arial"/>
                <w:sz w:val="16"/>
                <w:szCs w:val="16"/>
                <w:b w:val="1"/>
                <w:bCs w:val="1"/>
                <w:color w:val="4D5357"/>
              </w:rPr>
              <w:t>Dorothy M. Ables</w:t>
            </w:r>
          </w:p>
        </w:tc>
        <w:tc>
          <w:tcPr>
            <w:tcW w:w="1520" w:type="dxa"/>
            <w:vAlign w:val="bottom"/>
            <w:vMerge w:val="restart"/>
          </w:tcPr>
          <w:p>
            <w:pPr>
              <w:ind w:left="820"/>
              <w:spacing w:after="0"/>
              <w:rPr>
                <w:sz w:val="20"/>
                <w:szCs w:val="20"/>
                <w:color w:val="auto"/>
              </w:rPr>
            </w:pPr>
            <w:r>
              <w:rPr>
                <w:rFonts w:ascii="Arial" w:cs="Arial" w:eastAsia="Arial" w:hAnsi="Arial"/>
                <w:sz w:val="17"/>
                <w:szCs w:val="17"/>
                <w:color w:val="auto"/>
              </w:rPr>
              <w:t>Yes</w:t>
            </w:r>
          </w:p>
        </w:tc>
        <w:tc>
          <w:tcPr>
            <w:tcW w:w="1180" w:type="dxa"/>
            <w:vAlign w:val="bottom"/>
            <w:vMerge w:val="restart"/>
          </w:tcPr>
          <w:p>
            <w:pPr>
              <w:jc w:val="right"/>
              <w:ind w:right="258"/>
              <w:spacing w:after="0" w:line="171" w:lineRule="exact"/>
              <w:rPr>
                <w:sz w:val="20"/>
                <w:szCs w:val="20"/>
                <w:color w:val="auto"/>
              </w:rPr>
            </w:pPr>
            <w:r>
              <w:rPr>
                <w:rFonts w:ascii="MS PGothic" w:cs="MS PGothic" w:eastAsia="MS PGothic" w:hAnsi="MS PGothic"/>
                <w:sz w:val="17"/>
                <w:szCs w:val="17"/>
                <w:color w:val="auto"/>
              </w:rPr>
              <w:t>✓</w:t>
            </w:r>
          </w:p>
        </w:tc>
        <w:tc>
          <w:tcPr>
            <w:tcW w:w="1420" w:type="dxa"/>
            <w:vAlign w:val="bottom"/>
            <w:vMerge w:val="restart"/>
          </w:tcPr>
          <w:p>
            <w:pPr>
              <w:jc w:val="center"/>
              <w:ind w:left="340"/>
              <w:spacing w:after="0"/>
              <w:rPr>
                <w:sz w:val="20"/>
                <w:szCs w:val="20"/>
                <w:color w:val="auto"/>
              </w:rPr>
            </w:pPr>
            <w:r>
              <w:rPr>
                <w:rFonts w:ascii="Arial" w:cs="Arial" w:eastAsia="Arial" w:hAnsi="Arial"/>
                <w:sz w:val="17"/>
                <w:szCs w:val="17"/>
                <w:color w:val="auto"/>
                <w:w w:val="98"/>
              </w:rPr>
              <w:t>Chair</w:t>
            </w: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780" w:type="dxa"/>
            <w:vAlign w:val="bottom"/>
            <w:vMerge w:val="restart"/>
          </w:tcPr>
          <w:p>
            <w:pPr>
              <w:ind w:left="60"/>
              <w:spacing w:after="0"/>
              <w:rPr>
                <w:sz w:val="20"/>
                <w:szCs w:val="20"/>
                <w:color w:val="auto"/>
              </w:rPr>
            </w:pPr>
            <w:r>
              <w:rPr>
                <w:rFonts w:ascii="Arial" w:cs="Arial" w:eastAsia="Arial" w:hAnsi="Arial"/>
                <w:sz w:val="16"/>
                <w:szCs w:val="16"/>
                <w:color w:val="4D5357"/>
              </w:rPr>
              <w:t>Financial Expert</w:t>
            </w:r>
          </w:p>
        </w:tc>
        <w:tc>
          <w:tcPr>
            <w:tcW w:w="1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780" w:type="dxa"/>
            <w:vAlign w:val="bottom"/>
            <w:tcBorders>
              <w:bottom w:val="single" w:sz="8" w:color="4D5357"/>
            </w:tcBorders>
          </w:tcPr>
          <w:p>
            <w:pPr>
              <w:spacing w:after="0"/>
              <w:rPr>
                <w:sz w:val="2"/>
                <w:szCs w:val="2"/>
                <w:color w:val="auto"/>
              </w:rPr>
            </w:pPr>
          </w:p>
        </w:tc>
        <w:tc>
          <w:tcPr>
            <w:tcW w:w="152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42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520" w:type="dxa"/>
            <w:vAlign w:val="bottom"/>
            <w:tcBorders>
              <w:bottom w:val="single" w:sz="8" w:color="4D5357"/>
            </w:tcBorders>
          </w:tcPr>
          <w:p>
            <w:pPr>
              <w:spacing w:after="0"/>
              <w:rPr>
                <w:sz w:val="2"/>
                <w:szCs w:val="2"/>
                <w:color w:val="auto"/>
              </w:rPr>
            </w:pPr>
          </w:p>
        </w:tc>
        <w:tc>
          <w:tcPr>
            <w:tcW w:w="1240" w:type="dxa"/>
            <w:vAlign w:val="bottom"/>
            <w:tcBorders>
              <w:bottom w:val="single" w:sz="8" w:color="4D5357"/>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Sue W. Cole</w:t>
            </w:r>
          </w:p>
        </w:tc>
        <w:tc>
          <w:tcPr>
            <w:tcW w:w="1520" w:type="dxa"/>
            <w:vAlign w:val="bottom"/>
            <w:tcBorders>
              <w:bottom w:val="single" w:sz="8" w:color="4D5357"/>
            </w:tcBorders>
          </w:tcPr>
          <w:p>
            <w:pPr>
              <w:ind w:left="820"/>
              <w:spacing w:after="0"/>
              <w:rPr>
                <w:sz w:val="20"/>
                <w:szCs w:val="20"/>
                <w:color w:val="auto"/>
              </w:rPr>
            </w:pPr>
            <w:r>
              <w:rPr>
                <w:rFonts w:ascii="Arial" w:cs="Arial" w:eastAsia="Arial" w:hAnsi="Arial"/>
                <w:sz w:val="17"/>
                <w:szCs w:val="17"/>
                <w:color w:val="auto"/>
              </w:rPr>
              <w:t>Yes</w:t>
            </w:r>
          </w:p>
        </w:tc>
        <w:tc>
          <w:tcPr>
            <w:tcW w:w="1180" w:type="dxa"/>
            <w:vAlign w:val="bottom"/>
            <w:tcBorders>
              <w:bottom w:val="single" w:sz="8" w:color="4D5357"/>
            </w:tcBorders>
          </w:tcPr>
          <w:p>
            <w:pPr>
              <w:spacing w:after="0"/>
              <w:rPr>
                <w:sz w:val="24"/>
                <w:szCs w:val="24"/>
                <w:color w:val="auto"/>
              </w:rPr>
            </w:pPr>
          </w:p>
        </w:tc>
        <w:tc>
          <w:tcPr>
            <w:tcW w:w="1420" w:type="dxa"/>
            <w:vAlign w:val="bottom"/>
            <w:tcBorders>
              <w:bottom w:val="single" w:sz="8" w:color="4D5357"/>
            </w:tcBorders>
          </w:tcPr>
          <w:p>
            <w:pPr>
              <w:jc w:val="center"/>
              <w:ind w:left="340"/>
              <w:spacing w:after="0" w:line="171" w:lineRule="exact"/>
              <w:rPr>
                <w:sz w:val="20"/>
                <w:szCs w:val="20"/>
                <w:color w:val="auto"/>
              </w:rPr>
            </w:pPr>
            <w:r>
              <w:rPr>
                <w:rFonts w:ascii="MS PGothic" w:cs="MS PGothic" w:eastAsia="MS PGothic" w:hAnsi="MS PGothic"/>
                <w:sz w:val="17"/>
                <w:szCs w:val="17"/>
                <w:color w:val="4D5357"/>
                <w:w w:val="93"/>
              </w:rPr>
              <w:t>✓</w:t>
            </w:r>
          </w:p>
        </w:tc>
        <w:tc>
          <w:tcPr>
            <w:tcW w:w="1180" w:type="dxa"/>
            <w:vAlign w:val="bottom"/>
            <w:tcBorders>
              <w:bottom w:val="single" w:sz="8" w:color="4D5357"/>
            </w:tcBorders>
          </w:tcPr>
          <w:p>
            <w:pPr>
              <w:spacing w:after="0"/>
              <w:rPr>
                <w:sz w:val="24"/>
                <w:szCs w:val="24"/>
                <w:color w:val="auto"/>
              </w:rPr>
            </w:pPr>
          </w:p>
        </w:tc>
        <w:tc>
          <w:tcPr>
            <w:tcW w:w="1180" w:type="dxa"/>
            <w:vAlign w:val="bottom"/>
            <w:tcBorders>
              <w:bottom w:val="single" w:sz="8" w:color="4D5357"/>
            </w:tcBorders>
          </w:tcPr>
          <w:p>
            <w:pPr>
              <w:spacing w:after="0"/>
              <w:rPr>
                <w:sz w:val="24"/>
                <w:szCs w:val="24"/>
                <w:color w:val="auto"/>
              </w:rPr>
            </w:pPr>
          </w:p>
        </w:tc>
        <w:tc>
          <w:tcPr>
            <w:tcW w:w="1520" w:type="dxa"/>
            <w:vAlign w:val="bottom"/>
            <w:tcBorders>
              <w:bottom w:val="single" w:sz="8" w:color="4D5357"/>
            </w:tcBorders>
          </w:tcPr>
          <w:p>
            <w:pPr>
              <w:spacing w:after="0"/>
              <w:rPr>
                <w:sz w:val="24"/>
                <w:szCs w:val="24"/>
                <w:color w:val="auto"/>
              </w:rPr>
            </w:pPr>
          </w:p>
        </w:tc>
        <w:tc>
          <w:tcPr>
            <w:tcW w:w="1240" w:type="dxa"/>
            <w:vAlign w:val="bottom"/>
            <w:tcBorders>
              <w:bottom w:val="single" w:sz="8" w:color="4D5357"/>
            </w:tcBorders>
          </w:tcPr>
          <w:p>
            <w:pPr>
              <w:jc w:val="center"/>
              <w:ind w:left="380"/>
              <w:spacing w:after="0" w:line="171" w:lineRule="exact"/>
              <w:rPr>
                <w:sz w:val="20"/>
                <w:szCs w:val="20"/>
                <w:color w:val="auto"/>
              </w:rPr>
            </w:pPr>
            <w:r>
              <w:rPr>
                <w:rFonts w:ascii="MS PGothic" w:cs="MS PGothic" w:eastAsia="MS PGothic" w:hAnsi="MS PGothic"/>
                <w:sz w:val="17"/>
                <w:szCs w:val="17"/>
                <w:color w:val="4D5357"/>
                <w:w w:val="82"/>
              </w:rPr>
              <w:t>✓</w:t>
            </w:r>
          </w:p>
        </w:tc>
        <w:tc>
          <w:tcPr>
            <w:tcW w:w="0" w:type="dxa"/>
            <w:vAlign w:val="bottom"/>
          </w:tcPr>
          <w:p>
            <w:pPr>
              <w:spacing w:after="0"/>
              <w:rPr>
                <w:sz w:val="1"/>
                <w:szCs w:val="1"/>
                <w:color w:val="auto"/>
              </w:rPr>
            </w:pPr>
          </w:p>
        </w:tc>
      </w:tr>
      <w:tr>
        <w:trPr>
          <w:trHeight w:val="291"/>
        </w:trPr>
        <w:tc>
          <w:tcPr>
            <w:tcW w:w="1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Anthony R. Foxx</w:t>
            </w:r>
          </w:p>
        </w:tc>
        <w:tc>
          <w:tcPr>
            <w:tcW w:w="1520" w:type="dxa"/>
            <w:vAlign w:val="bottom"/>
            <w:tcBorders>
              <w:bottom w:val="single" w:sz="8" w:color="4D5357"/>
            </w:tcBorders>
          </w:tcPr>
          <w:p>
            <w:pPr>
              <w:ind w:left="820"/>
              <w:spacing w:after="0"/>
              <w:rPr>
                <w:sz w:val="20"/>
                <w:szCs w:val="20"/>
                <w:color w:val="auto"/>
              </w:rPr>
            </w:pPr>
            <w:r>
              <w:rPr>
                <w:rFonts w:ascii="Arial" w:cs="Arial" w:eastAsia="Arial" w:hAnsi="Arial"/>
                <w:sz w:val="17"/>
                <w:szCs w:val="17"/>
                <w:color w:val="auto"/>
              </w:rPr>
              <w:t>Yes</w:t>
            </w:r>
          </w:p>
        </w:tc>
        <w:tc>
          <w:tcPr>
            <w:tcW w:w="1180" w:type="dxa"/>
            <w:vAlign w:val="bottom"/>
            <w:tcBorders>
              <w:bottom w:val="single" w:sz="8" w:color="4D5357"/>
            </w:tcBorders>
          </w:tcPr>
          <w:p>
            <w:pPr>
              <w:spacing w:after="0"/>
              <w:rPr>
                <w:sz w:val="24"/>
                <w:szCs w:val="24"/>
                <w:color w:val="auto"/>
              </w:rPr>
            </w:pPr>
          </w:p>
        </w:tc>
        <w:tc>
          <w:tcPr>
            <w:tcW w:w="1420" w:type="dxa"/>
            <w:vAlign w:val="bottom"/>
            <w:tcBorders>
              <w:bottom w:val="single" w:sz="8" w:color="4D5357"/>
            </w:tcBorders>
          </w:tcPr>
          <w:p>
            <w:pPr>
              <w:jc w:val="center"/>
              <w:ind w:left="340"/>
              <w:spacing w:after="0" w:line="171" w:lineRule="exact"/>
              <w:rPr>
                <w:sz w:val="20"/>
                <w:szCs w:val="20"/>
                <w:color w:val="auto"/>
              </w:rPr>
            </w:pPr>
            <w:r>
              <w:rPr>
                <w:rFonts w:ascii="MS PGothic" w:cs="MS PGothic" w:eastAsia="MS PGothic" w:hAnsi="MS PGothic"/>
                <w:sz w:val="17"/>
                <w:szCs w:val="17"/>
                <w:color w:val="4D5357"/>
                <w:w w:val="93"/>
              </w:rPr>
              <w:t>✓</w:t>
            </w:r>
          </w:p>
        </w:tc>
        <w:tc>
          <w:tcPr>
            <w:tcW w:w="1180" w:type="dxa"/>
            <w:vAlign w:val="bottom"/>
            <w:tcBorders>
              <w:bottom w:val="single" w:sz="8" w:color="4D5357"/>
            </w:tcBorders>
          </w:tcPr>
          <w:p>
            <w:pPr>
              <w:spacing w:after="0"/>
              <w:rPr>
                <w:sz w:val="24"/>
                <w:szCs w:val="24"/>
                <w:color w:val="auto"/>
              </w:rPr>
            </w:pPr>
          </w:p>
        </w:tc>
        <w:tc>
          <w:tcPr>
            <w:tcW w:w="1180" w:type="dxa"/>
            <w:vAlign w:val="bottom"/>
            <w:tcBorders>
              <w:bottom w:val="single" w:sz="8" w:color="4D5357"/>
            </w:tcBorders>
          </w:tcPr>
          <w:p>
            <w:pPr>
              <w:jc w:val="center"/>
              <w:ind w:left="238"/>
              <w:spacing w:after="0"/>
              <w:rPr>
                <w:sz w:val="20"/>
                <w:szCs w:val="20"/>
                <w:color w:val="auto"/>
              </w:rPr>
            </w:pPr>
            <w:r>
              <w:rPr>
                <w:rFonts w:ascii="Arial" w:cs="Arial" w:eastAsia="Arial" w:hAnsi="Arial"/>
                <w:sz w:val="17"/>
                <w:szCs w:val="17"/>
                <w:color w:val="auto"/>
              </w:rPr>
              <w:t>Chair</w:t>
            </w:r>
          </w:p>
        </w:tc>
        <w:tc>
          <w:tcPr>
            <w:tcW w:w="1520" w:type="dxa"/>
            <w:vAlign w:val="bottom"/>
            <w:tcBorders>
              <w:bottom w:val="single" w:sz="8" w:color="4D5357"/>
            </w:tcBorders>
          </w:tcPr>
          <w:p>
            <w:pPr>
              <w:spacing w:after="0"/>
              <w:rPr>
                <w:sz w:val="24"/>
                <w:szCs w:val="24"/>
                <w:color w:val="auto"/>
              </w:rPr>
            </w:pPr>
          </w:p>
        </w:tc>
        <w:tc>
          <w:tcPr>
            <w:tcW w:w="1240" w:type="dxa"/>
            <w:vAlign w:val="bottom"/>
            <w:tcBorders>
              <w:bottom w:val="single" w:sz="8" w:color="4D5357"/>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80" w:type="dxa"/>
            <w:vAlign w:val="bottom"/>
          </w:tcPr>
          <w:p>
            <w:pPr>
              <w:ind w:left="60"/>
              <w:spacing w:after="0"/>
              <w:rPr>
                <w:sz w:val="20"/>
                <w:szCs w:val="20"/>
                <w:color w:val="auto"/>
              </w:rPr>
            </w:pPr>
            <w:r>
              <w:rPr>
                <w:rFonts w:ascii="Arial" w:cs="Arial" w:eastAsia="Arial" w:hAnsi="Arial"/>
                <w:sz w:val="16"/>
                <w:szCs w:val="16"/>
                <w:b w:val="1"/>
                <w:bCs w:val="1"/>
                <w:color w:val="4D5357"/>
              </w:rPr>
              <w:t>John J. Koraleski</w:t>
            </w: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80" w:type="dxa"/>
            <w:vAlign w:val="bottom"/>
          </w:tcPr>
          <w:p>
            <w:pPr>
              <w:ind w:left="60"/>
              <w:spacing w:after="0"/>
              <w:rPr>
                <w:sz w:val="20"/>
                <w:szCs w:val="20"/>
                <w:color w:val="auto"/>
              </w:rPr>
            </w:pPr>
            <w:r>
              <w:rPr>
                <w:rFonts w:ascii="Arial" w:cs="Arial" w:eastAsia="Arial" w:hAnsi="Arial"/>
                <w:sz w:val="16"/>
                <w:szCs w:val="16"/>
                <w:color w:val="4D5357"/>
              </w:rPr>
              <w:t>Lead Independent</w:t>
            </w:r>
          </w:p>
        </w:tc>
        <w:tc>
          <w:tcPr>
            <w:tcW w:w="1520" w:type="dxa"/>
            <w:vAlign w:val="bottom"/>
          </w:tcPr>
          <w:p>
            <w:pPr>
              <w:ind w:left="820"/>
              <w:spacing w:after="0"/>
              <w:rPr>
                <w:sz w:val="20"/>
                <w:szCs w:val="20"/>
                <w:color w:val="auto"/>
              </w:rPr>
            </w:pPr>
            <w:r>
              <w:rPr>
                <w:rFonts w:ascii="Arial" w:cs="Arial" w:eastAsia="Arial" w:hAnsi="Arial"/>
                <w:sz w:val="17"/>
                <w:szCs w:val="17"/>
                <w:color w:val="auto"/>
              </w:rPr>
              <w:t>Yes</w:t>
            </w:r>
          </w:p>
        </w:tc>
        <w:tc>
          <w:tcPr>
            <w:tcW w:w="1180" w:type="dxa"/>
            <w:vAlign w:val="bottom"/>
          </w:tcPr>
          <w:p>
            <w:pPr>
              <w:jc w:val="right"/>
              <w:ind w:right="258"/>
              <w:spacing w:after="0" w:line="161" w:lineRule="exact"/>
              <w:rPr>
                <w:sz w:val="20"/>
                <w:szCs w:val="20"/>
                <w:color w:val="auto"/>
              </w:rPr>
            </w:pPr>
            <w:r>
              <w:rPr>
                <w:rFonts w:ascii="MS PGothic" w:cs="MS PGothic" w:eastAsia="MS PGothic" w:hAnsi="MS PGothic"/>
                <w:sz w:val="16"/>
                <w:szCs w:val="16"/>
                <w:color w:val="4D5357"/>
              </w:rPr>
              <w:t>✓</w:t>
            </w:r>
          </w:p>
        </w:tc>
        <w:tc>
          <w:tcPr>
            <w:tcW w:w="1420" w:type="dxa"/>
            <w:vAlign w:val="bottom"/>
          </w:tcPr>
          <w:p>
            <w:pPr>
              <w:spacing w:after="0"/>
              <w:rPr>
                <w:sz w:val="22"/>
                <w:szCs w:val="22"/>
                <w:color w:val="auto"/>
              </w:rPr>
            </w:pPr>
          </w:p>
        </w:tc>
        <w:tc>
          <w:tcPr>
            <w:tcW w:w="1180" w:type="dxa"/>
            <w:vAlign w:val="bottom"/>
          </w:tcPr>
          <w:p>
            <w:pPr>
              <w:jc w:val="center"/>
              <w:ind w:left="259"/>
              <w:spacing w:after="0" w:line="161" w:lineRule="exact"/>
              <w:rPr>
                <w:sz w:val="20"/>
                <w:szCs w:val="20"/>
                <w:color w:val="auto"/>
              </w:rPr>
            </w:pPr>
            <w:r>
              <w:rPr>
                <w:rFonts w:ascii="MS PGothic" w:cs="MS PGothic" w:eastAsia="MS PGothic" w:hAnsi="MS PGothic"/>
                <w:sz w:val="16"/>
                <w:szCs w:val="16"/>
                <w:color w:val="4D5357"/>
                <w:w w:val="74"/>
              </w:rPr>
              <w:t>✓</w:t>
            </w:r>
          </w:p>
        </w:tc>
        <w:tc>
          <w:tcPr>
            <w:tcW w:w="1180" w:type="dxa"/>
            <w:vAlign w:val="bottom"/>
          </w:tcPr>
          <w:p>
            <w:pPr>
              <w:spacing w:after="0"/>
              <w:rPr>
                <w:sz w:val="22"/>
                <w:szCs w:val="22"/>
                <w:color w:val="auto"/>
              </w:rPr>
            </w:pPr>
          </w:p>
        </w:tc>
        <w:tc>
          <w:tcPr>
            <w:tcW w:w="1520" w:type="dxa"/>
            <w:vAlign w:val="bottom"/>
          </w:tcPr>
          <w:p>
            <w:pPr>
              <w:jc w:val="center"/>
              <w:ind w:left="320"/>
              <w:spacing w:after="0"/>
              <w:rPr>
                <w:sz w:val="20"/>
                <w:szCs w:val="20"/>
                <w:color w:val="auto"/>
              </w:rPr>
            </w:pPr>
            <w:r>
              <w:rPr>
                <w:rFonts w:ascii="Arial" w:cs="Arial" w:eastAsia="Arial" w:hAnsi="Arial"/>
                <w:sz w:val="17"/>
                <w:szCs w:val="17"/>
                <w:color w:val="auto"/>
                <w:w w:val="98"/>
              </w:rPr>
              <w:t>Chair</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780" w:type="dxa"/>
            <w:vAlign w:val="bottom"/>
          </w:tcPr>
          <w:p>
            <w:pPr>
              <w:ind w:left="60"/>
              <w:spacing w:after="0" w:line="121" w:lineRule="exact"/>
              <w:rPr>
                <w:sz w:val="20"/>
                <w:szCs w:val="20"/>
                <w:color w:val="auto"/>
              </w:rPr>
            </w:pPr>
            <w:r>
              <w:rPr>
                <w:rFonts w:ascii="Arial" w:cs="Arial" w:eastAsia="Arial" w:hAnsi="Arial"/>
                <w:sz w:val="14"/>
                <w:szCs w:val="14"/>
                <w:color w:val="4D5357"/>
              </w:rPr>
              <w:t>Director</w:t>
            </w:r>
          </w:p>
        </w:tc>
        <w:tc>
          <w:tcPr>
            <w:tcW w:w="1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780" w:type="dxa"/>
            <w:vAlign w:val="bottom"/>
          </w:tcPr>
          <w:p>
            <w:pPr>
              <w:ind w:left="60"/>
              <w:spacing w:after="0"/>
              <w:rPr>
                <w:sz w:val="20"/>
                <w:szCs w:val="20"/>
                <w:color w:val="auto"/>
              </w:rPr>
            </w:pPr>
            <w:r>
              <w:rPr>
                <w:rFonts w:ascii="Arial" w:cs="Arial" w:eastAsia="Arial" w:hAnsi="Arial"/>
                <w:sz w:val="16"/>
                <w:szCs w:val="16"/>
                <w:color w:val="4D5357"/>
              </w:rPr>
              <w:t>Financial Expert</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80" w:type="dxa"/>
            <w:vAlign w:val="bottom"/>
            <w:tcBorders>
              <w:bottom w:val="single" w:sz="8" w:color="4D5357"/>
            </w:tcBorders>
          </w:tcPr>
          <w:p>
            <w:pPr>
              <w:spacing w:after="0"/>
              <w:rPr>
                <w:sz w:val="2"/>
                <w:szCs w:val="2"/>
                <w:color w:val="auto"/>
              </w:rPr>
            </w:pPr>
          </w:p>
        </w:tc>
        <w:tc>
          <w:tcPr>
            <w:tcW w:w="152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42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520" w:type="dxa"/>
            <w:vAlign w:val="bottom"/>
            <w:tcBorders>
              <w:bottom w:val="single" w:sz="8" w:color="4D5357"/>
            </w:tcBorders>
          </w:tcPr>
          <w:p>
            <w:pPr>
              <w:spacing w:after="0"/>
              <w:rPr>
                <w:sz w:val="2"/>
                <w:szCs w:val="2"/>
                <w:color w:val="auto"/>
              </w:rPr>
            </w:pPr>
          </w:p>
        </w:tc>
        <w:tc>
          <w:tcPr>
            <w:tcW w:w="1240" w:type="dxa"/>
            <w:vAlign w:val="bottom"/>
            <w:tcBorders>
              <w:bottom w:val="single" w:sz="8" w:color="4D5357"/>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1780" w:type="dxa"/>
            <w:vAlign w:val="bottom"/>
          </w:tcPr>
          <w:p>
            <w:pPr>
              <w:ind w:left="60"/>
              <w:spacing w:after="0"/>
              <w:rPr>
                <w:sz w:val="20"/>
                <w:szCs w:val="20"/>
                <w:color w:val="auto"/>
              </w:rPr>
            </w:pPr>
            <w:r>
              <w:rPr>
                <w:rFonts w:ascii="Arial" w:cs="Arial" w:eastAsia="Arial" w:hAnsi="Arial"/>
                <w:sz w:val="16"/>
                <w:szCs w:val="16"/>
                <w:b w:val="1"/>
                <w:bCs w:val="1"/>
                <w:color w:val="4D5357"/>
              </w:rPr>
              <w:t>C. Howard Nye*</w:t>
            </w:r>
          </w:p>
        </w:tc>
        <w:tc>
          <w:tcPr>
            <w:tcW w:w="1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80" w:type="dxa"/>
            <w:vAlign w:val="bottom"/>
          </w:tcPr>
          <w:p>
            <w:pPr>
              <w:jc w:val="center"/>
              <w:ind w:left="259"/>
              <w:spacing w:after="0"/>
              <w:rPr>
                <w:sz w:val="20"/>
                <w:szCs w:val="20"/>
                <w:color w:val="auto"/>
              </w:rPr>
            </w:pPr>
            <w:r>
              <w:rPr>
                <w:rFonts w:ascii="Arial" w:cs="Arial" w:eastAsia="Arial" w:hAnsi="Arial"/>
                <w:sz w:val="17"/>
                <w:szCs w:val="17"/>
                <w:color w:val="auto"/>
                <w:w w:val="98"/>
              </w:rPr>
              <w:t>Chair</w:t>
            </w:r>
          </w:p>
        </w:tc>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780" w:type="dxa"/>
            <w:vAlign w:val="bottom"/>
            <w:tcBorders>
              <w:bottom w:val="single" w:sz="8" w:color="4D5357"/>
            </w:tcBorders>
          </w:tcPr>
          <w:p>
            <w:pPr>
              <w:spacing w:after="0" w:line="20" w:lineRule="exact"/>
              <w:rPr>
                <w:sz w:val="1"/>
                <w:szCs w:val="1"/>
                <w:color w:val="auto"/>
              </w:rPr>
            </w:pPr>
          </w:p>
        </w:tc>
        <w:tc>
          <w:tcPr>
            <w:tcW w:w="1520" w:type="dxa"/>
            <w:vAlign w:val="bottom"/>
            <w:tcBorders>
              <w:bottom w:val="single" w:sz="8" w:color="4D5357"/>
            </w:tcBorders>
          </w:tcPr>
          <w:p>
            <w:pPr>
              <w:spacing w:after="0" w:line="20" w:lineRule="exact"/>
              <w:rPr>
                <w:sz w:val="1"/>
                <w:szCs w:val="1"/>
                <w:color w:val="auto"/>
              </w:rPr>
            </w:pPr>
          </w:p>
        </w:tc>
        <w:tc>
          <w:tcPr>
            <w:tcW w:w="1180" w:type="dxa"/>
            <w:vAlign w:val="bottom"/>
            <w:tcBorders>
              <w:bottom w:val="single" w:sz="8" w:color="4D5357"/>
            </w:tcBorders>
          </w:tcPr>
          <w:p>
            <w:pPr>
              <w:spacing w:after="0" w:line="20" w:lineRule="exact"/>
              <w:rPr>
                <w:sz w:val="1"/>
                <w:szCs w:val="1"/>
                <w:color w:val="auto"/>
              </w:rPr>
            </w:pPr>
          </w:p>
        </w:tc>
        <w:tc>
          <w:tcPr>
            <w:tcW w:w="1420" w:type="dxa"/>
            <w:vAlign w:val="bottom"/>
            <w:tcBorders>
              <w:bottom w:val="single" w:sz="8" w:color="4D5357"/>
            </w:tcBorders>
          </w:tcPr>
          <w:p>
            <w:pPr>
              <w:spacing w:after="0" w:line="20" w:lineRule="exact"/>
              <w:rPr>
                <w:sz w:val="1"/>
                <w:szCs w:val="1"/>
                <w:color w:val="auto"/>
              </w:rPr>
            </w:pPr>
          </w:p>
        </w:tc>
        <w:tc>
          <w:tcPr>
            <w:tcW w:w="1180" w:type="dxa"/>
            <w:vAlign w:val="bottom"/>
            <w:tcBorders>
              <w:bottom w:val="single" w:sz="8" w:color="4D5357"/>
            </w:tcBorders>
          </w:tcPr>
          <w:p>
            <w:pPr>
              <w:spacing w:after="0" w:line="20" w:lineRule="exact"/>
              <w:rPr>
                <w:sz w:val="1"/>
                <w:szCs w:val="1"/>
                <w:color w:val="auto"/>
              </w:rPr>
            </w:pPr>
          </w:p>
        </w:tc>
        <w:tc>
          <w:tcPr>
            <w:tcW w:w="1180" w:type="dxa"/>
            <w:vAlign w:val="bottom"/>
            <w:tcBorders>
              <w:bottom w:val="single" w:sz="8" w:color="4D5357"/>
            </w:tcBorders>
          </w:tcPr>
          <w:p>
            <w:pPr>
              <w:spacing w:after="0" w:line="20" w:lineRule="exact"/>
              <w:rPr>
                <w:sz w:val="1"/>
                <w:szCs w:val="1"/>
                <w:color w:val="auto"/>
              </w:rPr>
            </w:pPr>
          </w:p>
        </w:tc>
        <w:tc>
          <w:tcPr>
            <w:tcW w:w="1520" w:type="dxa"/>
            <w:vAlign w:val="bottom"/>
            <w:tcBorders>
              <w:bottom w:val="single" w:sz="8" w:color="4D5357"/>
            </w:tcBorders>
          </w:tcPr>
          <w:p>
            <w:pPr>
              <w:spacing w:after="0" w:line="20" w:lineRule="exact"/>
              <w:rPr>
                <w:sz w:val="1"/>
                <w:szCs w:val="1"/>
                <w:color w:val="auto"/>
              </w:rPr>
            </w:pPr>
          </w:p>
        </w:tc>
        <w:tc>
          <w:tcPr>
            <w:tcW w:w="1240" w:type="dxa"/>
            <w:vAlign w:val="bottom"/>
            <w:tcBorders>
              <w:bottom w:val="single" w:sz="8" w:color="4D535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1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Mary T. Mack</w:t>
            </w:r>
          </w:p>
        </w:tc>
        <w:tc>
          <w:tcPr>
            <w:tcW w:w="1520" w:type="dxa"/>
            <w:vAlign w:val="bottom"/>
            <w:tcBorders>
              <w:bottom w:val="single" w:sz="8" w:color="4D5357"/>
            </w:tcBorders>
          </w:tcPr>
          <w:p>
            <w:pPr>
              <w:ind w:left="820"/>
              <w:spacing w:after="0"/>
              <w:rPr>
                <w:sz w:val="20"/>
                <w:szCs w:val="20"/>
                <w:color w:val="auto"/>
              </w:rPr>
            </w:pPr>
            <w:r>
              <w:rPr>
                <w:rFonts w:ascii="Arial" w:cs="Arial" w:eastAsia="Arial" w:hAnsi="Arial"/>
                <w:sz w:val="17"/>
                <w:szCs w:val="17"/>
                <w:color w:val="auto"/>
              </w:rPr>
              <w:t>Yes</w:t>
            </w:r>
          </w:p>
        </w:tc>
        <w:tc>
          <w:tcPr>
            <w:tcW w:w="1180" w:type="dxa"/>
            <w:vAlign w:val="bottom"/>
            <w:tcBorders>
              <w:bottom w:val="single" w:sz="8" w:color="4D5357"/>
            </w:tcBorders>
          </w:tcPr>
          <w:p>
            <w:pPr>
              <w:spacing w:after="0"/>
              <w:rPr>
                <w:sz w:val="24"/>
                <w:szCs w:val="24"/>
                <w:color w:val="auto"/>
              </w:rPr>
            </w:pPr>
          </w:p>
        </w:tc>
        <w:tc>
          <w:tcPr>
            <w:tcW w:w="1420" w:type="dxa"/>
            <w:vAlign w:val="bottom"/>
            <w:tcBorders>
              <w:bottom w:val="single" w:sz="8" w:color="4D5357"/>
            </w:tcBorders>
          </w:tcPr>
          <w:p>
            <w:pPr>
              <w:spacing w:after="0"/>
              <w:rPr>
                <w:sz w:val="24"/>
                <w:szCs w:val="24"/>
                <w:color w:val="auto"/>
              </w:rPr>
            </w:pPr>
          </w:p>
        </w:tc>
        <w:tc>
          <w:tcPr>
            <w:tcW w:w="1180" w:type="dxa"/>
            <w:vAlign w:val="bottom"/>
            <w:tcBorders>
              <w:bottom w:val="single" w:sz="8" w:color="4D5357"/>
            </w:tcBorders>
          </w:tcPr>
          <w:p>
            <w:pPr>
              <w:spacing w:after="0"/>
              <w:rPr>
                <w:sz w:val="24"/>
                <w:szCs w:val="24"/>
                <w:color w:val="auto"/>
              </w:rPr>
            </w:pPr>
          </w:p>
        </w:tc>
        <w:tc>
          <w:tcPr>
            <w:tcW w:w="1180" w:type="dxa"/>
            <w:vAlign w:val="bottom"/>
            <w:tcBorders>
              <w:bottom w:val="single" w:sz="8" w:color="4D5357"/>
            </w:tcBorders>
          </w:tcPr>
          <w:p>
            <w:pPr>
              <w:spacing w:after="0"/>
              <w:rPr>
                <w:sz w:val="24"/>
                <w:szCs w:val="24"/>
                <w:color w:val="auto"/>
              </w:rPr>
            </w:pPr>
          </w:p>
        </w:tc>
        <w:tc>
          <w:tcPr>
            <w:tcW w:w="1520" w:type="dxa"/>
            <w:vAlign w:val="bottom"/>
            <w:tcBorders>
              <w:bottom w:val="single" w:sz="8" w:color="4D5357"/>
            </w:tcBorders>
          </w:tcPr>
          <w:p>
            <w:pPr>
              <w:jc w:val="center"/>
              <w:ind w:left="320"/>
              <w:spacing w:after="0" w:line="171" w:lineRule="exact"/>
              <w:rPr>
                <w:sz w:val="20"/>
                <w:szCs w:val="20"/>
                <w:color w:val="auto"/>
              </w:rPr>
            </w:pPr>
            <w:r>
              <w:rPr>
                <w:rFonts w:ascii="MS PGothic" w:cs="MS PGothic" w:eastAsia="MS PGothic" w:hAnsi="MS PGothic"/>
                <w:sz w:val="17"/>
                <w:szCs w:val="17"/>
                <w:color w:val="4D5357"/>
                <w:w w:val="93"/>
              </w:rPr>
              <w:t>✓</w:t>
            </w:r>
          </w:p>
        </w:tc>
        <w:tc>
          <w:tcPr>
            <w:tcW w:w="1240" w:type="dxa"/>
            <w:vAlign w:val="bottom"/>
            <w:tcBorders>
              <w:bottom w:val="single" w:sz="8" w:color="4D5357"/>
            </w:tcBorders>
          </w:tcPr>
          <w:p>
            <w:pPr>
              <w:jc w:val="center"/>
              <w:ind w:left="380"/>
              <w:spacing w:after="0" w:line="171" w:lineRule="exact"/>
              <w:rPr>
                <w:sz w:val="20"/>
                <w:szCs w:val="20"/>
                <w:color w:val="auto"/>
              </w:rPr>
            </w:pPr>
            <w:r>
              <w:rPr>
                <w:rFonts w:ascii="MS PGothic" w:cs="MS PGothic" w:eastAsia="MS PGothic" w:hAnsi="MS PGothic"/>
                <w:sz w:val="17"/>
                <w:szCs w:val="17"/>
                <w:color w:val="4D5357"/>
                <w:w w:val="82"/>
              </w:rPr>
              <w:t>✓</w:t>
            </w:r>
          </w:p>
        </w:tc>
        <w:tc>
          <w:tcPr>
            <w:tcW w:w="0" w:type="dxa"/>
            <w:vAlign w:val="bottom"/>
          </w:tcPr>
          <w:p>
            <w:pPr>
              <w:spacing w:after="0"/>
              <w:rPr>
                <w:sz w:val="1"/>
                <w:szCs w:val="1"/>
                <w:color w:val="auto"/>
              </w:rPr>
            </w:pPr>
          </w:p>
        </w:tc>
      </w:tr>
      <w:tr>
        <w:trPr>
          <w:trHeight w:val="224"/>
        </w:trPr>
        <w:tc>
          <w:tcPr>
            <w:tcW w:w="1780" w:type="dxa"/>
            <w:vAlign w:val="bottom"/>
          </w:tcPr>
          <w:p>
            <w:pPr>
              <w:ind w:left="60"/>
              <w:spacing w:after="0"/>
              <w:rPr>
                <w:sz w:val="20"/>
                <w:szCs w:val="20"/>
                <w:color w:val="auto"/>
              </w:rPr>
            </w:pPr>
            <w:r>
              <w:rPr>
                <w:rFonts w:ascii="Arial" w:cs="Arial" w:eastAsia="Arial" w:hAnsi="Arial"/>
                <w:sz w:val="16"/>
                <w:szCs w:val="16"/>
                <w:b w:val="1"/>
                <w:bCs w:val="1"/>
                <w:color w:val="4D5357"/>
              </w:rPr>
              <w:t>Laree E. Perez</w:t>
            </w:r>
          </w:p>
        </w:tc>
        <w:tc>
          <w:tcPr>
            <w:tcW w:w="1520" w:type="dxa"/>
            <w:vAlign w:val="bottom"/>
            <w:vMerge w:val="restart"/>
          </w:tcPr>
          <w:p>
            <w:pPr>
              <w:ind w:left="820"/>
              <w:spacing w:after="0"/>
              <w:rPr>
                <w:sz w:val="20"/>
                <w:szCs w:val="20"/>
                <w:color w:val="auto"/>
              </w:rPr>
            </w:pPr>
            <w:r>
              <w:rPr>
                <w:rFonts w:ascii="Arial" w:cs="Arial" w:eastAsia="Arial" w:hAnsi="Arial"/>
                <w:sz w:val="17"/>
                <w:szCs w:val="17"/>
                <w:color w:val="auto"/>
              </w:rPr>
              <w:t>Yes</w:t>
            </w:r>
          </w:p>
        </w:tc>
        <w:tc>
          <w:tcPr>
            <w:tcW w:w="1180" w:type="dxa"/>
            <w:vAlign w:val="bottom"/>
            <w:vMerge w:val="restart"/>
          </w:tcPr>
          <w:p>
            <w:pPr>
              <w:jc w:val="right"/>
              <w:ind w:right="258"/>
              <w:spacing w:after="0" w:line="171" w:lineRule="exact"/>
              <w:rPr>
                <w:sz w:val="20"/>
                <w:szCs w:val="20"/>
                <w:color w:val="auto"/>
              </w:rPr>
            </w:pPr>
            <w:r>
              <w:rPr>
                <w:rFonts w:ascii="MS PGothic" w:cs="MS PGothic" w:eastAsia="MS PGothic" w:hAnsi="MS PGothic"/>
                <w:sz w:val="17"/>
                <w:szCs w:val="17"/>
                <w:color w:val="auto"/>
              </w:rPr>
              <w:t>✓</w:t>
            </w:r>
          </w:p>
        </w:tc>
        <w:tc>
          <w:tcPr>
            <w:tcW w:w="1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vMerge w:val="restart"/>
          </w:tcPr>
          <w:p>
            <w:pPr>
              <w:jc w:val="center"/>
              <w:ind w:left="238"/>
              <w:spacing w:after="0" w:line="171" w:lineRule="exact"/>
              <w:rPr>
                <w:sz w:val="20"/>
                <w:szCs w:val="20"/>
                <w:color w:val="auto"/>
              </w:rPr>
            </w:pPr>
            <w:r>
              <w:rPr>
                <w:rFonts w:ascii="MS PGothic" w:cs="MS PGothic" w:eastAsia="MS PGothic" w:hAnsi="MS PGothic"/>
                <w:sz w:val="17"/>
                <w:szCs w:val="17"/>
                <w:color w:val="auto"/>
                <w:w w:val="82"/>
              </w:rPr>
              <w:t>✓</w:t>
            </w: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780" w:type="dxa"/>
            <w:vAlign w:val="bottom"/>
            <w:vMerge w:val="restart"/>
          </w:tcPr>
          <w:p>
            <w:pPr>
              <w:ind w:left="60"/>
              <w:spacing w:after="0"/>
              <w:rPr>
                <w:sz w:val="20"/>
                <w:szCs w:val="20"/>
                <w:color w:val="auto"/>
              </w:rPr>
            </w:pPr>
            <w:r>
              <w:rPr>
                <w:rFonts w:ascii="Arial" w:cs="Arial" w:eastAsia="Arial" w:hAnsi="Arial"/>
                <w:sz w:val="16"/>
                <w:szCs w:val="16"/>
                <w:color w:val="4D5357"/>
              </w:rPr>
              <w:t>Financial Expert</w:t>
            </w:r>
          </w:p>
        </w:tc>
        <w:tc>
          <w:tcPr>
            <w:tcW w:w="1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78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780" w:type="dxa"/>
            <w:vAlign w:val="bottom"/>
            <w:tcBorders>
              <w:bottom w:val="single" w:sz="8" w:color="4D5357"/>
            </w:tcBorders>
          </w:tcPr>
          <w:p>
            <w:pPr>
              <w:spacing w:after="0"/>
              <w:rPr>
                <w:sz w:val="2"/>
                <w:szCs w:val="2"/>
                <w:color w:val="auto"/>
              </w:rPr>
            </w:pPr>
          </w:p>
        </w:tc>
        <w:tc>
          <w:tcPr>
            <w:tcW w:w="152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42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520" w:type="dxa"/>
            <w:vAlign w:val="bottom"/>
            <w:tcBorders>
              <w:bottom w:val="single" w:sz="8" w:color="4D5357"/>
            </w:tcBorders>
          </w:tcPr>
          <w:p>
            <w:pPr>
              <w:spacing w:after="0"/>
              <w:rPr>
                <w:sz w:val="2"/>
                <w:szCs w:val="2"/>
                <w:color w:val="auto"/>
              </w:rPr>
            </w:pPr>
          </w:p>
        </w:tc>
        <w:tc>
          <w:tcPr>
            <w:tcW w:w="1240" w:type="dxa"/>
            <w:vAlign w:val="bottom"/>
            <w:tcBorders>
              <w:bottom w:val="single" w:sz="8" w:color="4D5357"/>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Thomas H. Pike</w:t>
            </w:r>
          </w:p>
        </w:tc>
        <w:tc>
          <w:tcPr>
            <w:tcW w:w="1520" w:type="dxa"/>
            <w:vAlign w:val="bottom"/>
            <w:tcBorders>
              <w:bottom w:val="single" w:sz="8" w:color="4D5357"/>
            </w:tcBorders>
          </w:tcPr>
          <w:p>
            <w:pPr>
              <w:ind w:left="820"/>
              <w:spacing w:after="0"/>
              <w:rPr>
                <w:sz w:val="20"/>
                <w:szCs w:val="20"/>
                <w:color w:val="auto"/>
              </w:rPr>
            </w:pPr>
            <w:r>
              <w:rPr>
                <w:rFonts w:ascii="Arial" w:cs="Arial" w:eastAsia="Arial" w:hAnsi="Arial"/>
                <w:sz w:val="17"/>
                <w:szCs w:val="17"/>
                <w:color w:val="auto"/>
              </w:rPr>
              <w:t>Yes</w:t>
            </w:r>
          </w:p>
        </w:tc>
        <w:tc>
          <w:tcPr>
            <w:tcW w:w="1180" w:type="dxa"/>
            <w:vAlign w:val="bottom"/>
            <w:tcBorders>
              <w:bottom w:val="single" w:sz="8" w:color="4D5357"/>
            </w:tcBorders>
          </w:tcPr>
          <w:p>
            <w:pPr>
              <w:spacing w:after="0"/>
              <w:rPr>
                <w:sz w:val="24"/>
                <w:szCs w:val="24"/>
                <w:color w:val="auto"/>
              </w:rPr>
            </w:pPr>
          </w:p>
        </w:tc>
        <w:tc>
          <w:tcPr>
            <w:tcW w:w="1420" w:type="dxa"/>
            <w:vAlign w:val="bottom"/>
            <w:tcBorders>
              <w:bottom w:val="single" w:sz="8" w:color="4D5357"/>
            </w:tcBorders>
          </w:tcPr>
          <w:p>
            <w:pPr>
              <w:spacing w:after="0"/>
              <w:rPr>
                <w:sz w:val="24"/>
                <w:szCs w:val="24"/>
                <w:color w:val="auto"/>
              </w:rPr>
            </w:pPr>
          </w:p>
        </w:tc>
        <w:tc>
          <w:tcPr>
            <w:tcW w:w="1180" w:type="dxa"/>
            <w:vAlign w:val="bottom"/>
            <w:tcBorders>
              <w:bottom w:val="single" w:sz="8" w:color="4D5357"/>
            </w:tcBorders>
          </w:tcPr>
          <w:p>
            <w:pPr>
              <w:spacing w:after="0"/>
              <w:rPr>
                <w:sz w:val="24"/>
                <w:szCs w:val="24"/>
                <w:color w:val="auto"/>
              </w:rPr>
            </w:pPr>
          </w:p>
        </w:tc>
        <w:tc>
          <w:tcPr>
            <w:tcW w:w="1180" w:type="dxa"/>
            <w:vAlign w:val="bottom"/>
            <w:tcBorders>
              <w:bottom w:val="single" w:sz="8" w:color="4D5357"/>
            </w:tcBorders>
          </w:tcPr>
          <w:p>
            <w:pPr>
              <w:jc w:val="center"/>
              <w:ind w:left="238"/>
              <w:spacing w:after="0" w:line="171" w:lineRule="exact"/>
              <w:rPr>
                <w:sz w:val="20"/>
                <w:szCs w:val="20"/>
                <w:color w:val="auto"/>
              </w:rPr>
            </w:pPr>
            <w:r>
              <w:rPr>
                <w:rFonts w:ascii="MS PGothic" w:cs="MS PGothic" w:eastAsia="MS PGothic" w:hAnsi="MS PGothic"/>
                <w:sz w:val="17"/>
                <w:szCs w:val="17"/>
                <w:color w:val="4D5357"/>
                <w:w w:val="82"/>
              </w:rPr>
              <w:t>✓</w:t>
            </w:r>
          </w:p>
        </w:tc>
        <w:tc>
          <w:tcPr>
            <w:tcW w:w="1520" w:type="dxa"/>
            <w:vAlign w:val="bottom"/>
            <w:tcBorders>
              <w:bottom w:val="single" w:sz="8" w:color="4D5357"/>
            </w:tcBorders>
          </w:tcPr>
          <w:p>
            <w:pPr>
              <w:spacing w:after="0"/>
              <w:rPr>
                <w:sz w:val="24"/>
                <w:szCs w:val="24"/>
                <w:color w:val="auto"/>
              </w:rPr>
            </w:pPr>
          </w:p>
        </w:tc>
        <w:tc>
          <w:tcPr>
            <w:tcW w:w="1240" w:type="dxa"/>
            <w:vAlign w:val="bottom"/>
            <w:tcBorders>
              <w:bottom w:val="single" w:sz="8" w:color="4D5357"/>
            </w:tcBorders>
          </w:tcPr>
          <w:p>
            <w:pPr>
              <w:jc w:val="center"/>
              <w:ind w:left="380"/>
              <w:spacing w:after="0" w:line="171" w:lineRule="exact"/>
              <w:rPr>
                <w:sz w:val="20"/>
                <w:szCs w:val="20"/>
                <w:color w:val="auto"/>
              </w:rPr>
            </w:pPr>
            <w:r>
              <w:rPr>
                <w:rFonts w:ascii="MS PGothic" w:cs="MS PGothic" w:eastAsia="MS PGothic" w:hAnsi="MS PGothic"/>
                <w:sz w:val="17"/>
                <w:szCs w:val="17"/>
                <w:color w:val="4D5357"/>
                <w:w w:val="82"/>
              </w:rPr>
              <w:t>✓</w:t>
            </w:r>
          </w:p>
        </w:tc>
        <w:tc>
          <w:tcPr>
            <w:tcW w:w="0" w:type="dxa"/>
            <w:vAlign w:val="bottom"/>
          </w:tcPr>
          <w:p>
            <w:pPr>
              <w:spacing w:after="0"/>
              <w:rPr>
                <w:sz w:val="1"/>
                <w:szCs w:val="1"/>
                <w:color w:val="auto"/>
              </w:rPr>
            </w:pPr>
          </w:p>
        </w:tc>
      </w:tr>
      <w:tr>
        <w:trPr>
          <w:trHeight w:val="291"/>
        </w:trPr>
        <w:tc>
          <w:tcPr>
            <w:tcW w:w="1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W. Slager</w:t>
            </w:r>
          </w:p>
        </w:tc>
        <w:tc>
          <w:tcPr>
            <w:tcW w:w="1520" w:type="dxa"/>
            <w:vAlign w:val="bottom"/>
            <w:tcBorders>
              <w:bottom w:val="single" w:sz="8" w:color="4D5357"/>
            </w:tcBorders>
          </w:tcPr>
          <w:p>
            <w:pPr>
              <w:ind w:left="820"/>
              <w:spacing w:after="0"/>
              <w:rPr>
                <w:sz w:val="20"/>
                <w:szCs w:val="20"/>
                <w:color w:val="auto"/>
              </w:rPr>
            </w:pPr>
            <w:r>
              <w:rPr>
                <w:rFonts w:ascii="Arial" w:cs="Arial" w:eastAsia="Arial" w:hAnsi="Arial"/>
                <w:sz w:val="17"/>
                <w:szCs w:val="17"/>
                <w:color w:val="auto"/>
              </w:rPr>
              <w:t>Yes</w:t>
            </w:r>
          </w:p>
        </w:tc>
        <w:tc>
          <w:tcPr>
            <w:tcW w:w="1180" w:type="dxa"/>
            <w:vAlign w:val="bottom"/>
            <w:tcBorders>
              <w:bottom w:val="single" w:sz="8" w:color="4D5357"/>
            </w:tcBorders>
          </w:tcPr>
          <w:p>
            <w:pPr>
              <w:spacing w:after="0"/>
              <w:rPr>
                <w:sz w:val="24"/>
                <w:szCs w:val="24"/>
                <w:color w:val="auto"/>
              </w:rPr>
            </w:pPr>
          </w:p>
        </w:tc>
        <w:tc>
          <w:tcPr>
            <w:tcW w:w="1420" w:type="dxa"/>
            <w:vAlign w:val="bottom"/>
            <w:tcBorders>
              <w:bottom w:val="single" w:sz="8" w:color="4D5357"/>
            </w:tcBorders>
          </w:tcPr>
          <w:p>
            <w:pPr>
              <w:spacing w:after="0"/>
              <w:rPr>
                <w:sz w:val="24"/>
                <w:szCs w:val="24"/>
                <w:color w:val="auto"/>
              </w:rPr>
            </w:pPr>
          </w:p>
        </w:tc>
        <w:tc>
          <w:tcPr>
            <w:tcW w:w="1180" w:type="dxa"/>
            <w:vAlign w:val="bottom"/>
            <w:tcBorders>
              <w:bottom w:val="single" w:sz="8" w:color="4D5357"/>
            </w:tcBorders>
          </w:tcPr>
          <w:p>
            <w:pPr>
              <w:jc w:val="center"/>
              <w:ind w:left="239"/>
              <w:spacing w:after="0" w:line="171" w:lineRule="exact"/>
              <w:rPr>
                <w:sz w:val="20"/>
                <w:szCs w:val="20"/>
                <w:color w:val="auto"/>
              </w:rPr>
            </w:pPr>
            <w:r>
              <w:rPr>
                <w:rFonts w:ascii="MS PGothic" w:cs="MS PGothic" w:eastAsia="MS PGothic" w:hAnsi="MS PGothic"/>
                <w:sz w:val="17"/>
                <w:szCs w:val="17"/>
                <w:color w:val="4D5357"/>
                <w:w w:val="82"/>
              </w:rPr>
              <w:t>✓</w:t>
            </w:r>
          </w:p>
        </w:tc>
        <w:tc>
          <w:tcPr>
            <w:tcW w:w="1180" w:type="dxa"/>
            <w:vAlign w:val="bottom"/>
            <w:tcBorders>
              <w:bottom w:val="single" w:sz="8" w:color="4D5357"/>
            </w:tcBorders>
          </w:tcPr>
          <w:p>
            <w:pPr>
              <w:spacing w:after="0"/>
              <w:rPr>
                <w:sz w:val="24"/>
                <w:szCs w:val="24"/>
                <w:color w:val="auto"/>
              </w:rPr>
            </w:pPr>
          </w:p>
        </w:tc>
        <w:tc>
          <w:tcPr>
            <w:tcW w:w="1520" w:type="dxa"/>
            <w:vAlign w:val="bottom"/>
            <w:tcBorders>
              <w:bottom w:val="single" w:sz="8" w:color="4D5357"/>
            </w:tcBorders>
          </w:tcPr>
          <w:p>
            <w:pPr>
              <w:jc w:val="center"/>
              <w:ind w:left="320"/>
              <w:spacing w:after="0" w:line="171" w:lineRule="exact"/>
              <w:rPr>
                <w:sz w:val="20"/>
                <w:szCs w:val="20"/>
                <w:color w:val="auto"/>
              </w:rPr>
            </w:pPr>
            <w:r>
              <w:rPr>
                <w:rFonts w:ascii="MS PGothic" w:cs="MS PGothic" w:eastAsia="MS PGothic" w:hAnsi="MS PGothic"/>
                <w:sz w:val="17"/>
                <w:szCs w:val="17"/>
                <w:color w:val="4D5357"/>
                <w:w w:val="93"/>
              </w:rPr>
              <w:t>✓</w:t>
            </w:r>
          </w:p>
        </w:tc>
        <w:tc>
          <w:tcPr>
            <w:tcW w:w="1240" w:type="dxa"/>
            <w:vAlign w:val="bottom"/>
            <w:tcBorders>
              <w:bottom w:val="single" w:sz="8" w:color="4D5357"/>
            </w:tcBorders>
          </w:tcPr>
          <w:p>
            <w:pPr>
              <w:jc w:val="center"/>
              <w:ind w:left="400"/>
              <w:spacing w:after="0"/>
              <w:rPr>
                <w:sz w:val="20"/>
                <w:szCs w:val="20"/>
                <w:color w:val="auto"/>
              </w:rPr>
            </w:pPr>
            <w:r>
              <w:rPr>
                <w:rFonts w:ascii="Arial" w:cs="Arial" w:eastAsia="Arial" w:hAnsi="Arial"/>
                <w:sz w:val="17"/>
                <w:szCs w:val="17"/>
                <w:color w:val="auto"/>
                <w:w w:val="98"/>
              </w:rPr>
              <w:t>Chair</w:t>
            </w:r>
          </w:p>
        </w:tc>
        <w:tc>
          <w:tcPr>
            <w:tcW w:w="0" w:type="dxa"/>
            <w:vAlign w:val="bottom"/>
          </w:tcPr>
          <w:p>
            <w:pPr>
              <w:spacing w:after="0"/>
              <w:rPr>
                <w:sz w:val="1"/>
                <w:szCs w:val="1"/>
                <w:color w:val="auto"/>
              </w:rPr>
            </w:pPr>
          </w:p>
        </w:tc>
      </w:tr>
      <w:tr>
        <w:trPr>
          <w:trHeight w:val="224"/>
        </w:trPr>
        <w:tc>
          <w:tcPr>
            <w:tcW w:w="1780" w:type="dxa"/>
            <w:vAlign w:val="bottom"/>
          </w:tcPr>
          <w:p>
            <w:pPr>
              <w:ind w:left="60"/>
              <w:spacing w:after="0"/>
              <w:rPr>
                <w:sz w:val="20"/>
                <w:szCs w:val="20"/>
                <w:color w:val="auto"/>
              </w:rPr>
            </w:pPr>
            <w:r>
              <w:rPr>
                <w:rFonts w:ascii="Arial" w:cs="Arial" w:eastAsia="Arial" w:hAnsi="Arial"/>
                <w:sz w:val="16"/>
                <w:szCs w:val="16"/>
                <w:b w:val="1"/>
                <w:bCs w:val="1"/>
                <w:color w:val="4D5357"/>
              </w:rPr>
              <w:t>David C. Wajsgras</w:t>
            </w:r>
          </w:p>
        </w:tc>
        <w:tc>
          <w:tcPr>
            <w:tcW w:w="1520" w:type="dxa"/>
            <w:vAlign w:val="bottom"/>
            <w:vMerge w:val="restart"/>
          </w:tcPr>
          <w:p>
            <w:pPr>
              <w:ind w:left="820"/>
              <w:spacing w:after="0"/>
              <w:rPr>
                <w:sz w:val="20"/>
                <w:szCs w:val="20"/>
                <w:color w:val="auto"/>
              </w:rPr>
            </w:pPr>
            <w:r>
              <w:rPr>
                <w:rFonts w:ascii="Arial" w:cs="Arial" w:eastAsia="Arial" w:hAnsi="Arial"/>
                <w:sz w:val="17"/>
                <w:szCs w:val="17"/>
                <w:color w:val="auto"/>
              </w:rPr>
              <w:t>Yes</w:t>
            </w:r>
          </w:p>
        </w:tc>
        <w:tc>
          <w:tcPr>
            <w:tcW w:w="1180" w:type="dxa"/>
            <w:vAlign w:val="bottom"/>
            <w:vMerge w:val="restart"/>
          </w:tcPr>
          <w:p>
            <w:pPr>
              <w:jc w:val="right"/>
              <w:ind w:right="118"/>
              <w:spacing w:after="0"/>
              <w:rPr>
                <w:sz w:val="20"/>
                <w:szCs w:val="20"/>
                <w:color w:val="auto"/>
              </w:rPr>
            </w:pPr>
            <w:r>
              <w:rPr>
                <w:rFonts w:ascii="Arial" w:cs="Arial" w:eastAsia="Arial" w:hAnsi="Arial"/>
                <w:sz w:val="17"/>
                <w:szCs w:val="17"/>
                <w:color w:val="auto"/>
              </w:rPr>
              <w:t>Chair</w:t>
            </w:r>
          </w:p>
        </w:tc>
        <w:tc>
          <w:tcPr>
            <w:tcW w:w="1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vMerge w:val="restart"/>
          </w:tcPr>
          <w:p>
            <w:pPr>
              <w:jc w:val="center"/>
              <w:ind w:left="320"/>
              <w:spacing w:after="0" w:line="171" w:lineRule="exact"/>
              <w:rPr>
                <w:sz w:val="20"/>
                <w:szCs w:val="20"/>
                <w:color w:val="auto"/>
              </w:rPr>
            </w:pPr>
            <w:r>
              <w:rPr>
                <w:rFonts w:ascii="MS PGothic" w:cs="MS PGothic" w:eastAsia="MS PGothic" w:hAnsi="MS PGothic"/>
                <w:sz w:val="17"/>
                <w:szCs w:val="17"/>
                <w:color w:val="4D5357"/>
                <w:w w:val="93"/>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780" w:type="dxa"/>
            <w:vAlign w:val="bottom"/>
            <w:vMerge w:val="restart"/>
          </w:tcPr>
          <w:p>
            <w:pPr>
              <w:ind w:left="60"/>
              <w:spacing w:after="0"/>
              <w:rPr>
                <w:sz w:val="20"/>
                <w:szCs w:val="20"/>
                <w:color w:val="auto"/>
              </w:rPr>
            </w:pPr>
            <w:r>
              <w:rPr>
                <w:rFonts w:ascii="Arial" w:cs="Arial" w:eastAsia="Arial" w:hAnsi="Arial"/>
                <w:sz w:val="16"/>
                <w:szCs w:val="16"/>
                <w:color w:val="4D5357"/>
              </w:rPr>
              <w:t>Financial Expert</w:t>
            </w:r>
          </w:p>
        </w:tc>
        <w:tc>
          <w:tcPr>
            <w:tcW w:w="15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780" w:type="dxa"/>
            <w:vAlign w:val="bottom"/>
            <w:tcBorders>
              <w:bottom w:val="single" w:sz="8" w:color="4D5357"/>
            </w:tcBorders>
          </w:tcPr>
          <w:p>
            <w:pPr>
              <w:spacing w:after="0"/>
              <w:rPr>
                <w:sz w:val="2"/>
                <w:szCs w:val="2"/>
                <w:color w:val="auto"/>
              </w:rPr>
            </w:pPr>
          </w:p>
        </w:tc>
        <w:tc>
          <w:tcPr>
            <w:tcW w:w="152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42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1520" w:type="dxa"/>
            <w:vAlign w:val="bottom"/>
            <w:tcBorders>
              <w:bottom w:val="single" w:sz="8" w:color="4D5357"/>
            </w:tcBorders>
          </w:tcPr>
          <w:p>
            <w:pPr>
              <w:spacing w:after="0"/>
              <w:rPr>
                <w:sz w:val="2"/>
                <w:szCs w:val="2"/>
                <w:color w:val="auto"/>
              </w:rPr>
            </w:pPr>
          </w:p>
        </w:tc>
        <w:tc>
          <w:tcPr>
            <w:tcW w:w="1240" w:type="dxa"/>
            <w:vAlign w:val="bottom"/>
            <w:tcBorders>
              <w:bottom w:val="single" w:sz="8" w:color="4D535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4" w:hanging="224"/>
        <w:spacing w:after="0"/>
        <w:tabs>
          <w:tab w:leader="none" w:pos="224" w:val="left"/>
        </w:tabs>
        <w:numPr>
          <w:ilvl w:val="0"/>
          <w:numId w:val="22"/>
        </w:numPr>
        <w:rPr>
          <w:rFonts w:ascii="Arial" w:cs="Arial" w:eastAsia="Arial" w:hAnsi="Arial"/>
          <w:sz w:val="13"/>
          <w:szCs w:val="13"/>
          <w:color w:val="333333"/>
        </w:rPr>
      </w:pPr>
      <w:r>
        <w:rPr>
          <w:rFonts w:ascii="Arial" w:cs="Arial" w:eastAsia="Arial" w:hAnsi="Arial"/>
          <w:sz w:val="13"/>
          <w:szCs w:val="13"/>
          <w:color w:val="333333"/>
        </w:rPr>
        <w:t>Mr. Nye is the only member of management on the Board.</w:t>
      </w:r>
    </w:p>
    <w:p>
      <w:pPr>
        <w:spacing w:after="0" w:line="97"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333333"/>
        </w:rPr>
        <w:t xml:space="preserve">The </w:t>
      </w:r>
      <w:r>
        <w:rPr>
          <w:rFonts w:ascii="Arial" w:cs="Arial" w:eastAsia="Arial" w:hAnsi="Arial"/>
          <w:sz w:val="16"/>
          <w:szCs w:val="16"/>
          <w:b w:val="1"/>
          <w:bCs w:val="1"/>
          <w:color w:val="333333"/>
        </w:rPr>
        <w:t>Executive Committee</w:t>
      </w:r>
      <w:r>
        <w:rPr>
          <w:rFonts w:ascii="Arial" w:cs="Arial" w:eastAsia="Arial" w:hAnsi="Arial"/>
          <w:sz w:val="16"/>
          <w:szCs w:val="16"/>
          <w:color w:val="333333"/>
        </w:rPr>
        <w:t xml:space="preserve"> held no meetings during 2025.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reserved to the full Board by statute, by our Articles of Incorporation, or by our Bylaws. The Executive Committee’s current members are Directors Nye (Chair), Koraleski and Slager.</w:t>
      </w:r>
    </w:p>
    <w:p>
      <w:pPr>
        <w:spacing w:after="0" w:line="35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18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315" w:right="439" w:bottom="1440" w:gutter="0" w:footer="0" w:header="0"/>
          <w:type w:val="continuous"/>
        </w:sectPr>
      </w:pPr>
    </w:p>
    <w:bookmarkStart w:id="24" w:name="page25"/>
    <w:bookmarkEnd w:id="24"/>
    <w:tbl>
      <w:tblPr>
        <w:tblLayout w:type="fixed"/>
        <w:tblInd w:w="9360" w:type="dxa"/>
        <w:tblCellMar>
          <w:top w:w="0" w:type="dxa"/>
          <w:left w:w="0" w:type="dxa"/>
          <w:bottom w:w="0" w:type="dxa"/>
          <w:right w:w="0" w:type="dxa"/>
        </w:tblCellMar>
      </w:tblPr>
      <w:tr>
        <w:trPr>
          <w:trHeight w:val="531"/>
        </w:trPr>
        <w:tc>
          <w:tcPr>
            <w:tcW w:w="300" w:type="dxa"/>
            <w:vAlign w:val="bottom"/>
            <w:shd w:val="clear" w:color="auto" w:fill="4D5357"/>
          </w:tcPr>
          <w:p>
            <w:pPr>
              <w:ind w:left="240"/>
              <w:spacing w:after="0"/>
              <w:rPr>
                <w:sz w:val="20"/>
                <w:szCs w:val="20"/>
                <w:color w:val="auto"/>
              </w:rPr>
            </w:pPr>
            <w:r>
              <w:rPr>
                <w:rFonts w:ascii="Arial" w:cs="Arial" w:eastAsia="Arial" w:hAnsi="Arial"/>
                <w:sz w:val="5"/>
                <w:szCs w:val="5"/>
                <w:b w:val="1"/>
                <w:bCs w:val="1"/>
                <w:color w:val="FFFFFF"/>
                <w:w w:val="79"/>
              </w:rPr>
              <w:t> </w:t>
            </w:r>
          </w:p>
        </w:tc>
        <w:tc>
          <w:tcPr>
            <w:tcW w:w="160" w:type="dxa"/>
            <w:vAlign w:val="bottom"/>
            <w:shd w:val="clear" w:color="auto" w:fill="4D5357"/>
          </w:tcPr>
          <w:p>
            <w:pPr>
              <w:ind w:left="80"/>
              <w:spacing w:after="0"/>
              <w:rPr>
                <w:sz w:val="20"/>
                <w:szCs w:val="20"/>
                <w:color w:val="auto"/>
              </w:rPr>
            </w:pPr>
            <w:r>
              <w:rPr>
                <w:rFonts w:ascii="Arial" w:cs="Arial" w:eastAsia="Arial" w:hAnsi="Arial"/>
                <w:sz w:val="8"/>
                <w:szCs w:val="8"/>
                <w:b w:val="1"/>
                <w:bCs w:val="1"/>
                <w:color w:val="FFFFFF"/>
                <w:w w:val="74"/>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3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300" w:type="dxa"/>
            <w:vAlign w:val="bottom"/>
            <w:shd w:val="clear" w:color="auto" w:fill="4D5357"/>
          </w:tcPr>
          <w:p>
            <w:pPr>
              <w:ind w:left="200"/>
              <w:spacing w:after="0"/>
              <w:rPr>
                <w:sz w:val="20"/>
                <w:szCs w:val="20"/>
                <w:color w:val="auto"/>
              </w:rPr>
            </w:pPr>
            <w:r>
              <w:rPr>
                <w:rFonts w:ascii="Arial" w:cs="Arial" w:eastAsia="Arial" w:hAnsi="Arial"/>
                <w:sz w:val="11"/>
                <w:szCs w:val="11"/>
                <w:b w:val="1"/>
                <w:bCs w:val="1"/>
                <w:color w:val="FFFFFF"/>
                <w:w w:val="72"/>
              </w:rPr>
              <w:t> </w:t>
            </w:r>
          </w:p>
        </w:tc>
        <w:tc>
          <w:tcPr>
            <w:tcW w:w="16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w w:val="71"/>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3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10"/>
        </w:trPr>
        <w:tc>
          <w:tcPr>
            <w:tcW w:w="300" w:type="dxa"/>
            <w:vAlign w:val="bottom"/>
            <w:shd w:val="clear" w:color="auto" w:fill="4D5357"/>
          </w:tcPr>
          <w:p>
            <w:pPr>
              <w:spacing w:after="0"/>
              <w:rPr>
                <w:sz w:val="9"/>
                <w:szCs w:val="9"/>
                <w:color w:val="auto"/>
              </w:rPr>
            </w:pPr>
          </w:p>
        </w:tc>
        <w:tc>
          <w:tcPr>
            <w:tcW w:w="160" w:type="dxa"/>
            <w:vAlign w:val="bottom"/>
            <w:shd w:val="clear" w:color="auto" w:fill="4D5357"/>
          </w:tcPr>
          <w:p>
            <w:pPr>
              <w:spacing w:after="0"/>
              <w:rPr>
                <w:sz w:val="9"/>
                <w:szCs w:val="9"/>
                <w:color w:val="auto"/>
              </w:rPr>
            </w:pPr>
          </w:p>
        </w:tc>
        <w:tc>
          <w:tcPr>
            <w:tcW w:w="900" w:type="dxa"/>
            <w:vAlign w:val="bottom"/>
            <w:shd w:val="clear" w:color="auto" w:fill="4D5357"/>
          </w:tcPr>
          <w:p>
            <w:pPr>
              <w:spacing w:after="0"/>
              <w:rPr>
                <w:sz w:val="9"/>
                <w:szCs w:val="9"/>
                <w:color w:val="auto"/>
              </w:rPr>
            </w:pPr>
          </w:p>
        </w:tc>
        <w:tc>
          <w:tcPr>
            <w:tcW w:w="30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333333"/>
        </w:rPr>
        <w:t>The primary responsibilities, membership and meeting information for our other standing Committees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166370</wp:posOffset>
            </wp:positionV>
            <wp:extent cx="411480" cy="4286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1480" cy="428625"/>
                    </a:xfrm>
                    <a:prstGeom prst="rect">
                      <a:avLst/>
                    </a:prstGeom>
                    <a:noFill/>
                  </pic:spPr>
                </pic:pic>
              </a:graphicData>
            </a:graphic>
          </wp:anchor>
        </w:drawing>
      </w:r>
    </w:p>
    <w:p>
      <w:pPr>
        <w:spacing w:after="0" w:line="367" w:lineRule="exact"/>
        <w:rPr>
          <w:sz w:val="20"/>
          <w:szCs w:val="20"/>
          <w:color w:val="auto"/>
        </w:rPr>
      </w:pPr>
    </w:p>
    <w:p>
      <w:pPr>
        <w:ind w:left="1100"/>
        <w:spacing w:after="0"/>
        <w:rPr>
          <w:sz w:val="20"/>
          <w:szCs w:val="20"/>
          <w:color w:val="auto"/>
        </w:rPr>
      </w:pPr>
      <w:r>
        <w:rPr>
          <w:rFonts w:ascii="Arial" w:cs="Arial" w:eastAsia="Arial" w:hAnsi="Arial"/>
          <w:sz w:val="31"/>
          <w:szCs w:val="31"/>
          <w:color w:val="0086CC"/>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003415" cy="55378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03415" cy="553783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86CC"/>
        </w:rPr>
        <w:t>Current Members:</w:t>
      </w:r>
    </w:p>
    <w:p>
      <w:pPr>
        <w:spacing w:after="0" w:line="12" w:lineRule="exact"/>
        <w:rPr>
          <w:sz w:val="20"/>
          <w:szCs w:val="20"/>
          <w:color w:val="auto"/>
        </w:rPr>
      </w:pPr>
    </w:p>
    <w:p>
      <w:pPr>
        <w:ind w:left="160" w:right="340"/>
        <w:spacing w:after="0" w:line="254" w:lineRule="auto"/>
        <w:rPr>
          <w:sz w:val="20"/>
          <w:szCs w:val="20"/>
          <w:color w:val="auto"/>
        </w:rPr>
      </w:pPr>
      <w:r>
        <w:rPr>
          <w:rFonts w:ascii="Arial" w:cs="Arial" w:eastAsia="Arial" w:hAnsi="Arial"/>
          <w:sz w:val="16"/>
          <w:szCs w:val="16"/>
          <w:color w:val="333333"/>
        </w:rPr>
        <w:t>David C. Wajsgras (Chair) Dorothy M. Ables John J. Koraleski Laree E. Perez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0086CC"/>
        </w:rPr>
        <w:t>Meetings in 2025</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49"/>
          <w:szCs w:val="4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0086CC"/>
        </w:rPr>
        <w:t>Average Attendance</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0086CC"/>
        </w:rPr>
        <w:t>in 2025:</w:t>
      </w:r>
    </w:p>
    <w:p>
      <w:pPr>
        <w:ind w:left="520"/>
        <w:spacing w:after="0"/>
        <w:rPr>
          <w:sz w:val="20"/>
          <w:szCs w:val="20"/>
          <w:color w:val="auto"/>
        </w:rPr>
      </w:pPr>
      <w:r>
        <w:rPr>
          <w:rFonts w:ascii="Arial" w:cs="Arial" w:eastAsia="Arial" w:hAnsi="Arial"/>
          <w:sz w:val="49"/>
          <w:szCs w:val="49"/>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86CC"/>
        </w:rPr>
        <w:t>Primary Responsibilities:</w:t>
      </w:r>
    </w:p>
    <w:p>
      <w:pPr>
        <w:spacing w:after="0" w:line="120" w:lineRule="exact"/>
        <w:rPr>
          <w:sz w:val="20"/>
          <w:szCs w:val="20"/>
          <w:color w:val="auto"/>
        </w:rPr>
      </w:pPr>
    </w:p>
    <w:p>
      <w:pPr>
        <w:ind w:left="160" w:right="180" w:hanging="153"/>
        <w:spacing w:after="0" w:line="286" w:lineRule="auto"/>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our significant accounting principles, policies and practices in reporting our financial results under generally accepted accounting principles.</w:t>
      </w:r>
    </w:p>
    <w:p>
      <w:pPr>
        <w:spacing w:after="0" w:line="7"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our annual audited financial statements and related disclosures.</w:t>
      </w:r>
    </w:p>
    <w:p>
      <w:pPr>
        <w:spacing w:after="0" w:line="72" w:lineRule="exact"/>
        <w:rPr>
          <w:rFonts w:ascii="Arial" w:cs="Arial" w:eastAsia="Arial" w:hAnsi="Arial"/>
          <w:sz w:val="16"/>
          <w:szCs w:val="16"/>
          <w:color w:val="333333"/>
        </w:rPr>
      </w:pPr>
    </w:p>
    <w:p>
      <w:pPr>
        <w:ind w:left="160" w:right="460" w:hanging="153"/>
        <w:spacing w:after="0" w:line="286" w:lineRule="auto"/>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management letters or internal control reports and reviews our system of internal control over financial reporting.</w:t>
      </w:r>
    </w:p>
    <w:p>
      <w:pPr>
        <w:spacing w:after="0" w:line="7"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Appoints, retains and oversees the work of the independent auditors.</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the effectiveness of the independent audit effort.</w:t>
      </w:r>
    </w:p>
    <w:p>
      <w:pPr>
        <w:spacing w:after="0" w:line="72" w:lineRule="exact"/>
        <w:rPr>
          <w:rFonts w:ascii="Arial" w:cs="Arial" w:eastAsia="Arial" w:hAnsi="Arial"/>
          <w:sz w:val="16"/>
          <w:szCs w:val="16"/>
          <w:color w:val="333333"/>
        </w:rPr>
      </w:pPr>
    </w:p>
    <w:p>
      <w:pPr>
        <w:ind w:left="160" w:right="560" w:hanging="153"/>
        <w:spacing w:after="0" w:line="286" w:lineRule="auto"/>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Pre-approves audit and permissible non-audit services provided by the independent registered public accounting firm.</w:t>
      </w:r>
    </w:p>
    <w:p>
      <w:pPr>
        <w:spacing w:after="0" w:line="7"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our interim financial results for each fiscal quarter.</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the qualifications and the plan and scope of work of the corporate internal audit function.</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and discusses the reports of our internal audit group.</w:t>
      </w:r>
    </w:p>
    <w:p>
      <w:pPr>
        <w:spacing w:after="0" w:line="72" w:lineRule="exact"/>
        <w:rPr>
          <w:rFonts w:ascii="Arial" w:cs="Arial" w:eastAsia="Arial" w:hAnsi="Arial"/>
          <w:sz w:val="16"/>
          <w:szCs w:val="16"/>
          <w:color w:val="333333"/>
        </w:rPr>
      </w:pPr>
    </w:p>
    <w:p>
      <w:pPr>
        <w:ind w:left="160" w:right="500" w:hanging="153"/>
        <w:spacing w:after="0" w:line="286" w:lineRule="auto"/>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and discusses management’s assessment of the effectiveness of Martin Marietta’s system of internal control over financial reporting.</w:t>
      </w:r>
    </w:p>
    <w:p>
      <w:pPr>
        <w:spacing w:after="0" w:line="7" w:lineRule="exact"/>
        <w:rPr>
          <w:rFonts w:ascii="Arial" w:cs="Arial" w:eastAsia="Arial" w:hAnsi="Arial"/>
          <w:sz w:val="16"/>
          <w:szCs w:val="16"/>
          <w:color w:val="333333"/>
        </w:rPr>
      </w:pPr>
    </w:p>
    <w:p>
      <w:pPr>
        <w:ind w:left="160" w:right="80" w:hanging="153"/>
        <w:spacing w:after="0" w:line="286" w:lineRule="auto"/>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Discusses Martin Marietta’s earnings press releases, as well as financial information and earnings guidance provided to analysts, investors and rating agencies.</w:t>
      </w:r>
    </w:p>
    <w:p>
      <w:pPr>
        <w:spacing w:after="0" w:line="7" w:lineRule="exact"/>
        <w:rPr>
          <w:rFonts w:ascii="Arial" w:cs="Arial" w:eastAsia="Arial" w:hAnsi="Arial"/>
          <w:sz w:val="16"/>
          <w:szCs w:val="16"/>
          <w:color w:val="333333"/>
        </w:rPr>
      </w:pPr>
    </w:p>
    <w:p>
      <w:pPr>
        <w:ind w:left="160" w:right="400" w:hanging="153"/>
        <w:spacing w:after="0" w:line="286" w:lineRule="auto"/>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Discusses matters related to risk assessment and risk management and how the process is handled by management.</w:t>
      </w:r>
    </w:p>
    <w:p>
      <w:pPr>
        <w:spacing w:after="0" w:line="7"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and oversees related party transactions.</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complaints regarding accounting, internal controls or auditing matters.</w:t>
      </w:r>
    </w:p>
    <w:p>
      <w:pPr>
        <w:spacing w:after="0" w:line="72" w:lineRule="exact"/>
        <w:rPr>
          <w:rFonts w:ascii="Arial" w:cs="Arial" w:eastAsia="Arial" w:hAnsi="Arial"/>
          <w:sz w:val="16"/>
          <w:szCs w:val="16"/>
          <w:color w:val="333333"/>
        </w:rPr>
      </w:pPr>
    </w:p>
    <w:p>
      <w:pPr>
        <w:ind w:left="160" w:right="400" w:hanging="153"/>
        <w:spacing w:after="0" w:line="286" w:lineRule="auto"/>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and discusses reports from the Chief Information Officer regarding technology and information security risks, including cybersecurity.</w:t>
      </w:r>
    </w:p>
    <w:p>
      <w:pPr>
        <w:spacing w:after="0" w:line="7"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Considers allegations of possible financial fraud or other financial improprieties.</w:t>
      </w:r>
    </w:p>
    <w:p>
      <w:pPr>
        <w:spacing w:after="0" w:line="72" w:lineRule="exact"/>
        <w:rPr>
          <w:rFonts w:ascii="Arial" w:cs="Arial" w:eastAsia="Arial" w:hAnsi="Arial"/>
          <w:sz w:val="16"/>
          <w:szCs w:val="16"/>
          <w:color w:val="333333"/>
        </w:rPr>
      </w:pPr>
    </w:p>
    <w:p>
      <w:pPr>
        <w:ind w:left="160" w:right="560" w:hanging="153"/>
        <w:spacing w:after="0" w:line="286" w:lineRule="auto"/>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Reviews annually the adequacy of the Committee charter and recommends proposed changes to the Board.</w:t>
      </w:r>
    </w:p>
    <w:p>
      <w:pPr>
        <w:spacing w:after="0" w:line="7" w:lineRule="exact"/>
        <w:rPr>
          <w:rFonts w:ascii="Arial" w:cs="Arial" w:eastAsia="Arial" w:hAnsi="Arial"/>
          <w:sz w:val="16"/>
          <w:szCs w:val="16"/>
          <w:color w:val="333333"/>
        </w:rPr>
      </w:pPr>
    </w:p>
    <w:p>
      <w:pPr>
        <w:ind w:left="160" w:hanging="153"/>
        <w:spacing w:after="0"/>
        <w:tabs>
          <w:tab w:leader="none" w:pos="1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Prepares the annual Audit Committee Report to be included in the Proxy Statement.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86CC"/>
        </w:rPr>
        <w:t>Other Governance Matters:</w:t>
      </w:r>
    </w:p>
    <w:p>
      <w:pPr>
        <w:spacing w:after="0" w:line="12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333333"/>
        </w:rPr>
        <w:t>All members of the Audit Committee, including the Chair, are audit committee financial experts under applicable U.S. Securities and Exchange Commission (SEC) regulations.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The Chair of the Audit Committee is an independent Director.</w:t>
      </w:r>
    </w:p>
    <w:p>
      <w:pPr>
        <w:spacing w:after="0" w:line="86"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333333"/>
        </w:rPr>
        <w:t>The Chair of the Audit Committee has experience serving as a Chair and member of other public company audit committees.</w:t>
      </w:r>
    </w:p>
    <w:p>
      <w:pPr>
        <w:spacing w:after="0" w:line="2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333333"/>
        </w:rPr>
        <w:t>All members satisfy the audit committee experience and independence standards required by the New York Stock Exchange (NYSE).</w:t>
      </w:r>
    </w:p>
    <w:p>
      <w:pPr>
        <w:spacing w:after="0" w:line="200" w:lineRule="exact"/>
        <w:rPr>
          <w:sz w:val="20"/>
          <w:szCs w:val="20"/>
          <w:color w:val="auto"/>
        </w:rPr>
      </w:pPr>
    </w:p>
    <w:p>
      <w:pPr>
        <w:sectPr>
          <w:pgSz w:w="11900" w:h="16838" w:orient="portrait"/>
          <w:cols w:equalWidth="0" w:num="2">
            <w:col w:w="2360" w:space="720"/>
            <w:col w:w="7940"/>
          </w:cols>
          <w:pgMar w:left="440" w:top="315" w:right="4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spacing w:after="0"/>
        <w:tabs>
          <w:tab w:leader="none" w:pos="4560" w:val="left"/>
          <w:tab w:leader="none" w:pos="9940"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b w:val="1"/>
          <w:bCs w:val="1"/>
          <w:color w:val="auto"/>
        </w:rPr>
        <w:t>2026 PROXY STATEMENT</w:t>
      </w:r>
      <w:r>
        <w:rPr>
          <w:sz w:val="20"/>
          <w:szCs w:val="20"/>
          <w:color w:val="auto"/>
        </w:rPr>
        <w:tab/>
      </w:r>
      <w:r>
        <w:rPr>
          <w:rFonts w:ascii="Arial" w:cs="Arial" w:eastAsia="Arial" w:hAnsi="Arial"/>
          <w:sz w:val="16"/>
          <w:szCs w:val="16"/>
          <w:b w:val="1"/>
          <w:bCs w:val="1"/>
          <w:color w:val="0086CC"/>
        </w:rPr>
        <w:t xml:space="preserve">19 </w:t>
      </w:r>
      <w:r>
        <w:rPr>
          <w:rFonts w:ascii="Arial" w:cs="Arial" w:eastAsia="Arial" w:hAnsi="Arial"/>
          <w:sz w:val="16"/>
          <w:szCs w:val="16"/>
          <w:color w:val="333333"/>
        </w:rPr>
        <w:t xml:space="preserve">               </w:t>
      </w:r>
    </w:p>
    <w:p>
      <w:pPr>
        <w:sectPr>
          <w:pgSz w:w="11900" w:h="16838" w:orient="portrait"/>
          <w:cols w:equalWidth="0" w:num="1">
            <w:col w:w="11020"/>
          </w:cols>
          <w:pgMar w:left="440" w:top="315" w:right="439" w:bottom="1440" w:gutter="0" w:footer="0" w:header="0"/>
          <w:type w:val="continuous"/>
        </w:sectPr>
      </w:pPr>
    </w:p>
    <w:bookmarkStart w:id="25" w:name="page26"/>
    <w:bookmarkEnd w:id="25"/>
    <w:tbl>
      <w:tblPr>
        <w:tblLayout w:type="fixed"/>
        <w:tblInd w:w="10" w:type="dxa"/>
        <w:tblCellMar>
          <w:top w:w="0" w:type="dxa"/>
          <w:left w:w="0" w:type="dxa"/>
          <w:bottom w:w="0" w:type="dxa"/>
          <w:right w:w="0" w:type="dxa"/>
        </w:tblCellMar>
      </w:tblPr>
      <w:tr>
        <w:trPr>
          <w:trHeight w:val="531"/>
        </w:trPr>
        <w:tc>
          <w:tcPr>
            <w:tcW w:w="160" w:type="dxa"/>
            <w:vAlign w:val="bottom"/>
            <w:tcBorders>
              <w:left w:val="single" w:sz="8" w:color="4D5357"/>
            </w:tcBorders>
            <w:shd w:val="clear" w:color="auto" w:fill="4D5357"/>
          </w:tcPr>
          <w:p>
            <w:pPr>
              <w:ind w:left="120"/>
              <w:spacing w:after="0"/>
              <w:rPr>
                <w:sz w:val="20"/>
                <w:szCs w:val="20"/>
                <w:color w:val="auto"/>
              </w:rPr>
            </w:pPr>
            <w:r>
              <w:rPr>
                <w:rFonts w:ascii="Arial" w:cs="Arial" w:eastAsia="Arial" w:hAnsi="Arial"/>
                <w:sz w:val="2"/>
                <w:szCs w:val="2"/>
                <w:b w:val="1"/>
                <w:bCs w:val="1"/>
                <w:color w:val="FFFFFF"/>
                <w:w w:val="97"/>
              </w:rPr>
              <w:t> </w:t>
            </w:r>
          </w:p>
        </w:tc>
        <w:tc>
          <w:tcPr>
            <w:tcW w:w="160" w:type="dxa"/>
            <w:vAlign w:val="bottom"/>
            <w:shd w:val="clear" w:color="auto" w:fill="4D5357"/>
          </w:tcPr>
          <w:p>
            <w:pPr>
              <w:ind w:left="100"/>
              <w:spacing w:after="0"/>
              <w:rPr>
                <w:sz w:val="20"/>
                <w:szCs w:val="20"/>
                <w:color w:val="auto"/>
              </w:rPr>
            </w:pPr>
            <w:r>
              <w:rPr>
                <w:rFonts w:ascii="Arial" w:cs="Arial" w:eastAsia="Arial" w:hAnsi="Arial"/>
                <w:sz w:val="5"/>
                <w:szCs w:val="5"/>
                <w:b w:val="1"/>
                <w:bCs w:val="1"/>
                <w:color w:val="FFFFFF"/>
                <w:w w:val="79"/>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28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Borders>
              <w:left w:val="single" w:sz="8" w:color="4D5357"/>
            </w:tcBorders>
            <w:shd w:val="clear" w:color="auto" w:fill="4D5357"/>
          </w:tcPr>
          <w:p>
            <w:pPr>
              <w:ind w:left="60"/>
              <w:spacing w:after="0"/>
              <w:rPr>
                <w:sz w:val="20"/>
                <w:szCs w:val="20"/>
                <w:color w:val="auto"/>
              </w:rPr>
            </w:pPr>
            <w:r>
              <w:rPr>
                <w:rFonts w:ascii="Arial" w:cs="Arial" w:eastAsia="Arial" w:hAnsi="Arial"/>
                <w:sz w:val="11"/>
                <w:szCs w:val="11"/>
                <w:b w:val="1"/>
                <w:bCs w:val="1"/>
                <w:color w:val="FFFFFF"/>
                <w:w w:val="72"/>
              </w:rPr>
              <w:t> </w:t>
            </w:r>
          </w:p>
        </w:tc>
        <w:tc>
          <w:tcPr>
            <w:tcW w:w="160" w:type="dxa"/>
            <w:vAlign w:val="bottom"/>
            <w:shd w:val="clear" w:color="auto" w:fill="4D5357"/>
          </w:tcPr>
          <w:p>
            <w:pPr>
              <w:ind w:left="60"/>
              <w:spacing w:after="0"/>
              <w:rPr>
                <w:sz w:val="20"/>
                <w:szCs w:val="20"/>
                <w:color w:val="auto"/>
              </w:rPr>
            </w:pPr>
            <w:r>
              <w:rPr>
                <w:rFonts w:ascii="Arial" w:cs="Arial" w:eastAsia="Arial" w:hAnsi="Arial"/>
                <w:sz w:val="11"/>
                <w:szCs w:val="11"/>
                <w:b w:val="1"/>
                <w:bCs w:val="1"/>
                <w:color w:val="FFFFFF"/>
                <w:w w:val="72"/>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2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60" w:type="dxa"/>
            <w:vAlign w:val="bottom"/>
            <w:tcBorders>
              <w:left w:val="single" w:sz="8" w:color="4D5357"/>
            </w:tcBorders>
            <w:shd w:val="clear" w:color="auto" w:fill="4D5357"/>
          </w:tcPr>
          <w:p>
            <w:pPr>
              <w:spacing w:after="0"/>
              <w:rPr>
                <w:sz w:val="9"/>
                <w:szCs w:val="9"/>
                <w:color w:val="auto"/>
              </w:rPr>
            </w:pPr>
          </w:p>
        </w:tc>
        <w:tc>
          <w:tcPr>
            <w:tcW w:w="160" w:type="dxa"/>
            <w:vAlign w:val="bottom"/>
            <w:shd w:val="clear" w:color="auto" w:fill="4D5357"/>
          </w:tcPr>
          <w:p>
            <w:pPr>
              <w:spacing w:after="0"/>
              <w:rPr>
                <w:sz w:val="9"/>
                <w:szCs w:val="9"/>
                <w:color w:val="auto"/>
              </w:rPr>
            </w:pPr>
          </w:p>
        </w:tc>
        <w:tc>
          <w:tcPr>
            <w:tcW w:w="920" w:type="dxa"/>
            <w:vAlign w:val="bottom"/>
            <w:shd w:val="clear" w:color="auto" w:fill="4D5357"/>
          </w:tcPr>
          <w:p>
            <w:pPr>
              <w:spacing w:after="0"/>
              <w:rPr>
                <w:sz w:val="9"/>
                <w:szCs w:val="9"/>
                <w:color w:val="auto"/>
              </w:rPr>
            </w:pPr>
          </w:p>
        </w:tc>
        <w:tc>
          <w:tcPr>
            <w:tcW w:w="280" w:type="dxa"/>
            <w:vAlign w:val="bottom"/>
            <w:shd w:val="clear" w:color="auto" w:fill="4D5357"/>
          </w:tcPr>
          <w:p>
            <w:pPr>
              <w:spacing w:after="0"/>
              <w:rPr>
                <w:sz w:val="9"/>
                <w:szCs w:val="9"/>
                <w:color w:val="auto"/>
              </w:rPr>
            </w:pPr>
          </w:p>
        </w:tc>
        <w:tc>
          <w:tcPr>
            <w:tcW w:w="800" w:type="dxa"/>
            <w:vAlign w:val="bottom"/>
          </w:tcPr>
          <w:p>
            <w:pPr>
              <w:spacing w:after="0"/>
              <w:rPr>
                <w:sz w:val="9"/>
                <w:szCs w:val="9"/>
                <w:color w:val="auto"/>
              </w:rPr>
            </w:pPr>
          </w:p>
        </w:tc>
        <w:tc>
          <w:tcPr>
            <w:tcW w:w="87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78"/>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0" w:type="dxa"/>
            <w:vAlign w:val="bottom"/>
            <w:gridSpan w:val="4"/>
          </w:tcPr>
          <w:p>
            <w:pPr>
              <w:ind w:left="140"/>
              <w:spacing w:after="0"/>
              <w:rPr>
                <w:sz w:val="20"/>
                <w:szCs w:val="20"/>
                <w:color w:val="auto"/>
              </w:rPr>
            </w:pPr>
            <w:r>
              <w:rPr>
                <w:rFonts w:ascii="Arial" w:cs="Arial" w:eastAsia="Arial" w:hAnsi="Arial"/>
                <w:sz w:val="31"/>
                <w:szCs w:val="31"/>
                <w:color w:val="0086CC"/>
              </w:rPr>
              <w:t>Ethics, Environment, Safety and Health Committee</w:t>
            </w:r>
          </w:p>
        </w:tc>
        <w:tc>
          <w:tcPr>
            <w:tcW w:w="0" w:type="dxa"/>
            <w:vAlign w:val="bottom"/>
          </w:tcPr>
          <w:p>
            <w:pPr>
              <w:spacing w:after="0"/>
              <w:rPr>
                <w:sz w:val="1"/>
                <w:szCs w:val="1"/>
                <w:color w:val="auto"/>
              </w:rPr>
            </w:pPr>
          </w:p>
        </w:tc>
      </w:tr>
      <w:tr>
        <w:trPr>
          <w:trHeight w:val="267"/>
        </w:trPr>
        <w:tc>
          <w:tcPr>
            <w:tcW w:w="160" w:type="dxa"/>
            <w:vAlign w:val="bottom"/>
            <w:tcBorders>
              <w:bottom w:val="single" w:sz="8" w:color="4D5357"/>
            </w:tcBorders>
          </w:tcPr>
          <w:p>
            <w:pPr>
              <w:spacing w:after="0"/>
              <w:rPr>
                <w:sz w:val="23"/>
                <w:szCs w:val="23"/>
                <w:color w:val="auto"/>
              </w:rPr>
            </w:pPr>
          </w:p>
        </w:tc>
        <w:tc>
          <w:tcPr>
            <w:tcW w:w="2160" w:type="dxa"/>
            <w:vAlign w:val="bottom"/>
            <w:tcBorders>
              <w:bottom w:val="single" w:sz="8" w:color="4D5357"/>
            </w:tcBorders>
            <w:gridSpan w:val="4"/>
          </w:tcPr>
          <w:p>
            <w:pPr>
              <w:spacing w:after="0"/>
              <w:rPr>
                <w:sz w:val="23"/>
                <w:szCs w:val="23"/>
                <w:color w:val="auto"/>
              </w:rPr>
            </w:pPr>
          </w:p>
        </w:tc>
        <w:tc>
          <w:tcPr>
            <w:tcW w:w="8720" w:type="dxa"/>
            <w:vAlign w:val="bottom"/>
            <w:tcBorders>
              <w:bottom w:val="single" w:sz="8" w:color="4D5357"/>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357"/>
        </w:trPr>
        <w:tc>
          <w:tcPr>
            <w:tcW w:w="160" w:type="dxa"/>
            <w:vAlign w:val="bottom"/>
            <w:tcBorders>
              <w:left w:val="single" w:sz="8" w:color="4D5357"/>
            </w:tcBorders>
          </w:tcPr>
          <w:p>
            <w:pPr>
              <w:spacing w:after="0"/>
              <w:rPr>
                <w:sz w:val="24"/>
                <w:szCs w:val="24"/>
                <w:color w:val="auto"/>
              </w:rPr>
            </w:pPr>
          </w:p>
        </w:tc>
        <w:tc>
          <w:tcPr>
            <w:tcW w:w="2160" w:type="dxa"/>
            <w:vAlign w:val="bottom"/>
            <w:tcBorders>
              <w:right w:val="single" w:sz="8" w:color="4D5357"/>
            </w:tcBorders>
            <w:gridSpan w:val="4"/>
          </w:tcPr>
          <w:p>
            <w:pPr>
              <w:spacing w:after="0"/>
              <w:rPr>
                <w:sz w:val="20"/>
                <w:szCs w:val="20"/>
                <w:color w:val="auto"/>
              </w:rPr>
            </w:pPr>
            <w:r>
              <w:rPr>
                <w:rFonts w:ascii="Arial" w:cs="Arial" w:eastAsia="Arial" w:hAnsi="Arial"/>
                <w:sz w:val="20"/>
                <w:szCs w:val="20"/>
                <w:b w:val="1"/>
                <w:bCs w:val="1"/>
                <w:color w:val="0086CC"/>
              </w:rPr>
              <w:t>Current Members:</w:t>
            </w:r>
          </w:p>
        </w:tc>
        <w:tc>
          <w:tcPr>
            <w:tcW w:w="8720" w:type="dxa"/>
            <w:vAlign w:val="bottom"/>
            <w:tcBorders>
              <w:right w:val="single" w:sz="8" w:color="4D5357"/>
            </w:tcBorders>
            <w:gridSpan w:val="2"/>
          </w:tcPr>
          <w:p>
            <w:pPr>
              <w:ind w:left="760"/>
              <w:spacing w:after="0"/>
              <w:rPr>
                <w:sz w:val="20"/>
                <w:szCs w:val="20"/>
                <w:color w:val="auto"/>
              </w:rPr>
            </w:pPr>
            <w:r>
              <w:rPr>
                <w:rFonts w:ascii="Arial" w:cs="Arial" w:eastAsia="Arial" w:hAnsi="Arial"/>
                <w:sz w:val="18"/>
                <w:szCs w:val="18"/>
                <w:b w:val="1"/>
                <w:bCs w:val="1"/>
                <w:i w:val="1"/>
                <w:iCs w:val="1"/>
                <w:color w:val="0086CC"/>
              </w:rPr>
              <w:t>Primary Responsibilities:</w:t>
            </w:r>
          </w:p>
        </w:tc>
        <w:tc>
          <w:tcPr>
            <w:tcW w:w="0" w:type="dxa"/>
            <w:vAlign w:val="bottom"/>
          </w:tcPr>
          <w:p>
            <w:pPr>
              <w:spacing w:after="0"/>
              <w:rPr>
                <w:sz w:val="1"/>
                <w:szCs w:val="1"/>
                <w:color w:val="auto"/>
              </w:rPr>
            </w:pPr>
          </w:p>
        </w:tc>
      </w:tr>
      <w:tr>
        <w:trPr>
          <w:trHeight w:val="189"/>
        </w:trPr>
        <w:tc>
          <w:tcPr>
            <w:tcW w:w="160" w:type="dxa"/>
            <w:vAlign w:val="bottom"/>
            <w:tcBorders>
              <w:left w:val="single" w:sz="8" w:color="4D5357"/>
            </w:tcBorders>
          </w:tcPr>
          <w:p>
            <w:pPr>
              <w:spacing w:after="0"/>
              <w:rPr>
                <w:sz w:val="16"/>
                <w:szCs w:val="16"/>
                <w:color w:val="auto"/>
              </w:rPr>
            </w:pPr>
          </w:p>
        </w:tc>
        <w:tc>
          <w:tcPr>
            <w:tcW w:w="2160" w:type="dxa"/>
            <w:vAlign w:val="bottom"/>
            <w:tcBorders>
              <w:right w:val="single" w:sz="8" w:color="4D5357"/>
            </w:tcBorders>
            <w:gridSpan w:val="4"/>
          </w:tcPr>
          <w:p>
            <w:pPr>
              <w:spacing w:after="0"/>
              <w:rPr>
                <w:sz w:val="20"/>
                <w:szCs w:val="20"/>
                <w:color w:val="auto"/>
              </w:rPr>
            </w:pPr>
            <w:r>
              <w:rPr>
                <w:rFonts w:ascii="Arial" w:cs="Arial" w:eastAsia="Arial" w:hAnsi="Arial"/>
                <w:sz w:val="16"/>
                <w:szCs w:val="16"/>
                <w:color w:val="333333"/>
              </w:rPr>
              <w:t>Dorothy M. Ables (Chair)</w:t>
            </w:r>
          </w:p>
        </w:tc>
        <w:tc>
          <w:tcPr>
            <w:tcW w:w="880" w:type="dxa"/>
            <w:vAlign w:val="bottom"/>
            <w:vMerge w:val="restart"/>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 xml:space="preserve">Monitors compliance with our </w:t>
            </w:r>
            <w:r>
              <w:rPr>
                <w:rFonts w:ascii="Arial" w:cs="Arial" w:eastAsia="Arial" w:hAnsi="Arial"/>
                <w:sz w:val="16"/>
                <w:szCs w:val="16"/>
                <w:i w:val="1"/>
                <w:iCs w:val="1"/>
                <w:color w:val="333333"/>
              </w:rPr>
              <w:t>Code of Ethical Business Conduct</w:t>
            </w:r>
            <w:r>
              <w:rPr>
                <w:rFonts w:ascii="Arial" w:cs="Arial" w:eastAsia="Arial" w:hAnsi="Arial"/>
                <w:sz w:val="16"/>
                <w:szCs w:val="16"/>
                <w:color w:val="333333"/>
              </w:rPr>
              <w:t xml:space="preserve"> and reviews all matters presented to it by</w:t>
            </w:r>
          </w:p>
        </w:tc>
        <w:tc>
          <w:tcPr>
            <w:tcW w:w="0" w:type="dxa"/>
            <w:vAlign w:val="bottom"/>
          </w:tcPr>
          <w:p>
            <w:pPr>
              <w:spacing w:after="0"/>
              <w:rPr>
                <w:sz w:val="1"/>
                <w:szCs w:val="1"/>
                <w:color w:val="auto"/>
              </w:rPr>
            </w:pPr>
          </w:p>
        </w:tc>
      </w:tr>
      <w:tr>
        <w:trPr>
          <w:trHeight w:val="108"/>
        </w:trPr>
        <w:tc>
          <w:tcPr>
            <w:tcW w:w="160" w:type="dxa"/>
            <w:vAlign w:val="bottom"/>
            <w:tcBorders>
              <w:left w:val="single" w:sz="8" w:color="4D5357"/>
            </w:tcBorders>
          </w:tcPr>
          <w:p>
            <w:pPr>
              <w:spacing w:after="0"/>
              <w:rPr>
                <w:sz w:val="9"/>
                <w:szCs w:val="9"/>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color w:val="333333"/>
              </w:rPr>
              <w:t>Sue W. Cole</w:t>
            </w:r>
          </w:p>
        </w:tc>
        <w:tc>
          <w:tcPr>
            <w:tcW w:w="280" w:type="dxa"/>
            <w:vAlign w:val="bottom"/>
          </w:tcPr>
          <w:p>
            <w:pPr>
              <w:spacing w:after="0"/>
              <w:rPr>
                <w:sz w:val="9"/>
                <w:szCs w:val="9"/>
                <w:color w:val="auto"/>
              </w:rPr>
            </w:pPr>
          </w:p>
        </w:tc>
        <w:tc>
          <w:tcPr>
            <w:tcW w:w="800" w:type="dxa"/>
            <w:vAlign w:val="bottom"/>
            <w:tcBorders>
              <w:right w:val="single" w:sz="8" w:color="4D5357"/>
            </w:tcBorders>
          </w:tcPr>
          <w:p>
            <w:pPr>
              <w:spacing w:after="0"/>
              <w:rPr>
                <w:sz w:val="9"/>
                <w:szCs w:val="9"/>
                <w:color w:val="auto"/>
              </w:rPr>
            </w:pPr>
          </w:p>
        </w:tc>
        <w:tc>
          <w:tcPr>
            <w:tcW w:w="880" w:type="dxa"/>
            <w:vAlign w:val="bottom"/>
            <w:vMerge w:val="continue"/>
          </w:tcPr>
          <w:p>
            <w:pPr>
              <w:spacing w:after="0"/>
              <w:rPr>
                <w:sz w:val="9"/>
                <w:szCs w:val="9"/>
                <w:color w:val="auto"/>
              </w:rPr>
            </w:pPr>
          </w:p>
        </w:tc>
        <w:tc>
          <w:tcPr>
            <w:tcW w:w="7840" w:type="dxa"/>
            <w:vAlign w:val="bottom"/>
            <w:tcBorders>
              <w:right w:val="single" w:sz="8" w:color="4D535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0" w:type="dxa"/>
            <w:vAlign w:val="bottom"/>
            <w:tcBorders>
              <w:left w:val="single" w:sz="8" w:color="4D5357"/>
            </w:tcBorders>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right w:val="single" w:sz="8" w:color="4D5357"/>
            </w:tcBorders>
          </w:tcPr>
          <w:p>
            <w:pPr>
              <w:spacing w:after="0"/>
              <w:rPr>
                <w:sz w:val="7"/>
                <w:szCs w:val="7"/>
                <w:color w:val="auto"/>
              </w:rPr>
            </w:pPr>
          </w:p>
        </w:tc>
        <w:tc>
          <w:tcPr>
            <w:tcW w:w="880" w:type="dxa"/>
            <w:vAlign w:val="bottom"/>
          </w:tcPr>
          <w:p>
            <w:pPr>
              <w:spacing w:after="0"/>
              <w:rPr>
                <w:sz w:val="7"/>
                <w:szCs w:val="7"/>
                <w:color w:val="auto"/>
              </w:rPr>
            </w:pP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the Corporate Ethics Officer concerning the ethical practices of Martin Marietta and its Directors, officers,</w:t>
            </w:r>
          </w:p>
        </w:tc>
        <w:tc>
          <w:tcPr>
            <w:tcW w:w="0" w:type="dxa"/>
            <w:vAlign w:val="bottom"/>
          </w:tcPr>
          <w:p>
            <w:pPr>
              <w:spacing w:after="0"/>
              <w:rPr>
                <w:sz w:val="1"/>
                <w:szCs w:val="1"/>
                <w:color w:val="auto"/>
              </w:rPr>
            </w:pPr>
          </w:p>
        </w:tc>
      </w:tr>
      <w:tr>
        <w:trPr>
          <w:trHeight w:val="108"/>
        </w:trPr>
        <w:tc>
          <w:tcPr>
            <w:tcW w:w="160" w:type="dxa"/>
            <w:vAlign w:val="bottom"/>
            <w:tcBorders>
              <w:left w:val="single" w:sz="8" w:color="4D5357"/>
            </w:tcBorders>
          </w:tcPr>
          <w:p>
            <w:pPr>
              <w:spacing w:after="0"/>
              <w:rPr>
                <w:sz w:val="9"/>
                <w:szCs w:val="9"/>
                <w:color w:val="auto"/>
              </w:rPr>
            </w:pPr>
          </w:p>
        </w:tc>
        <w:tc>
          <w:tcPr>
            <w:tcW w:w="2160" w:type="dxa"/>
            <w:vAlign w:val="bottom"/>
            <w:tcBorders>
              <w:right w:val="single" w:sz="8" w:color="4D5357"/>
            </w:tcBorders>
            <w:gridSpan w:val="4"/>
            <w:vMerge w:val="restart"/>
          </w:tcPr>
          <w:p>
            <w:pPr>
              <w:spacing w:after="0"/>
              <w:rPr>
                <w:sz w:val="20"/>
                <w:szCs w:val="20"/>
                <w:color w:val="auto"/>
              </w:rPr>
            </w:pPr>
            <w:r>
              <w:rPr>
                <w:rFonts w:ascii="Arial" w:cs="Arial" w:eastAsia="Arial" w:hAnsi="Arial"/>
                <w:sz w:val="16"/>
                <w:szCs w:val="16"/>
                <w:color w:val="333333"/>
              </w:rPr>
              <w:t>Anthony R. Foxx</w:t>
            </w:r>
          </w:p>
        </w:tc>
        <w:tc>
          <w:tcPr>
            <w:tcW w:w="880" w:type="dxa"/>
            <w:vAlign w:val="bottom"/>
          </w:tcPr>
          <w:p>
            <w:pPr>
              <w:spacing w:after="0"/>
              <w:rPr>
                <w:sz w:val="9"/>
                <w:szCs w:val="9"/>
                <w:color w:val="auto"/>
              </w:rPr>
            </w:pPr>
          </w:p>
        </w:tc>
        <w:tc>
          <w:tcPr>
            <w:tcW w:w="7840" w:type="dxa"/>
            <w:vAlign w:val="bottom"/>
            <w:tcBorders>
              <w:right w:val="single" w:sz="8" w:color="4D535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0" w:type="dxa"/>
            <w:vAlign w:val="bottom"/>
            <w:tcBorders>
              <w:left w:val="single" w:sz="8" w:color="4D5357"/>
            </w:tcBorders>
          </w:tcPr>
          <w:p>
            <w:pPr>
              <w:spacing w:after="0"/>
              <w:rPr>
                <w:sz w:val="9"/>
                <w:szCs w:val="9"/>
                <w:color w:val="auto"/>
              </w:rPr>
            </w:pPr>
          </w:p>
        </w:tc>
        <w:tc>
          <w:tcPr>
            <w:tcW w:w="2160" w:type="dxa"/>
            <w:vAlign w:val="bottom"/>
            <w:tcBorders>
              <w:right w:val="single" w:sz="8" w:color="4D5357"/>
            </w:tcBorders>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and employees, including conflicts or potential conflicts of interest between Martin Marietta and any of its</w:t>
            </w:r>
          </w:p>
        </w:tc>
        <w:tc>
          <w:tcPr>
            <w:tcW w:w="0" w:type="dxa"/>
            <w:vAlign w:val="bottom"/>
          </w:tcPr>
          <w:p>
            <w:pPr>
              <w:spacing w:after="0"/>
              <w:rPr>
                <w:sz w:val="1"/>
                <w:szCs w:val="1"/>
                <w:color w:val="auto"/>
              </w:rPr>
            </w:pPr>
          </w:p>
        </w:tc>
      </w:tr>
      <w:tr>
        <w:trPr>
          <w:trHeight w:val="82"/>
        </w:trPr>
        <w:tc>
          <w:tcPr>
            <w:tcW w:w="160" w:type="dxa"/>
            <w:vAlign w:val="bottom"/>
            <w:tcBorders>
              <w:left w:val="single" w:sz="8" w:color="4D5357"/>
            </w:tcBorders>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right w:val="single" w:sz="8" w:color="4D5357"/>
            </w:tcBorders>
          </w:tcPr>
          <w:p>
            <w:pPr>
              <w:spacing w:after="0"/>
              <w:rPr>
                <w:sz w:val="7"/>
                <w:szCs w:val="7"/>
                <w:color w:val="auto"/>
              </w:rPr>
            </w:pPr>
          </w:p>
        </w:tc>
        <w:tc>
          <w:tcPr>
            <w:tcW w:w="880" w:type="dxa"/>
            <w:vAlign w:val="bottom"/>
          </w:tcPr>
          <w:p>
            <w:pPr>
              <w:spacing w:after="0"/>
              <w:rPr>
                <w:sz w:val="7"/>
                <w:szCs w:val="7"/>
                <w:color w:val="auto"/>
              </w:rPr>
            </w:pPr>
          </w:p>
        </w:tc>
        <w:tc>
          <w:tcPr>
            <w:tcW w:w="7840" w:type="dxa"/>
            <w:vAlign w:val="bottom"/>
            <w:tcBorders>
              <w:right w:val="single" w:sz="8" w:color="4D5357"/>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0" w:type="dxa"/>
            <w:vAlign w:val="bottom"/>
            <w:tcBorders>
              <w:left w:val="single" w:sz="8" w:color="4D5357"/>
              <w:bottom w:val="single" w:sz="8" w:color="4D5357"/>
            </w:tcBorders>
          </w:tcPr>
          <w:p>
            <w:pPr>
              <w:spacing w:after="0"/>
              <w:rPr>
                <w:sz w:val="8"/>
                <w:szCs w:val="8"/>
                <w:color w:val="auto"/>
              </w:rPr>
            </w:pPr>
          </w:p>
        </w:tc>
        <w:tc>
          <w:tcPr>
            <w:tcW w:w="160" w:type="dxa"/>
            <w:vAlign w:val="bottom"/>
            <w:tcBorders>
              <w:bottom w:val="single" w:sz="8" w:color="4D5357"/>
            </w:tcBorders>
          </w:tcPr>
          <w:p>
            <w:pPr>
              <w:spacing w:after="0"/>
              <w:rPr>
                <w:sz w:val="8"/>
                <w:szCs w:val="8"/>
                <w:color w:val="auto"/>
              </w:rPr>
            </w:pPr>
          </w:p>
        </w:tc>
        <w:tc>
          <w:tcPr>
            <w:tcW w:w="920" w:type="dxa"/>
            <w:vAlign w:val="bottom"/>
            <w:tcBorders>
              <w:bottom w:val="single" w:sz="8" w:color="4D5357"/>
            </w:tcBorders>
          </w:tcPr>
          <w:p>
            <w:pPr>
              <w:spacing w:after="0"/>
              <w:rPr>
                <w:sz w:val="8"/>
                <w:szCs w:val="8"/>
                <w:color w:val="auto"/>
              </w:rPr>
            </w:pPr>
          </w:p>
        </w:tc>
        <w:tc>
          <w:tcPr>
            <w:tcW w:w="280" w:type="dxa"/>
            <w:vAlign w:val="bottom"/>
            <w:tcBorders>
              <w:bottom w:val="single" w:sz="8" w:color="4D5357"/>
            </w:tcBorders>
          </w:tcPr>
          <w:p>
            <w:pPr>
              <w:spacing w:after="0"/>
              <w:rPr>
                <w:sz w:val="8"/>
                <w:szCs w:val="8"/>
                <w:color w:val="auto"/>
              </w:rPr>
            </w:pPr>
          </w:p>
        </w:tc>
        <w:tc>
          <w:tcPr>
            <w:tcW w:w="800" w:type="dxa"/>
            <w:vAlign w:val="bottom"/>
            <w:tcBorders>
              <w:bottom w:val="single" w:sz="8" w:color="4D5357"/>
              <w:right w:val="single" w:sz="8" w:color="4D5357"/>
            </w:tcBorders>
          </w:tcPr>
          <w:p>
            <w:pPr>
              <w:spacing w:after="0"/>
              <w:rPr>
                <w:sz w:val="8"/>
                <w:szCs w:val="8"/>
                <w:color w:val="auto"/>
              </w:rPr>
            </w:pPr>
          </w:p>
        </w:tc>
        <w:tc>
          <w:tcPr>
            <w:tcW w:w="880" w:type="dxa"/>
            <w:vAlign w:val="bottom"/>
          </w:tcPr>
          <w:p>
            <w:pPr>
              <w:spacing w:after="0"/>
              <w:rPr>
                <w:sz w:val="8"/>
                <w:szCs w:val="8"/>
                <w:color w:val="auto"/>
              </w:rPr>
            </w:pP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Directors, officers, and employees.</w:t>
            </w:r>
          </w:p>
        </w:tc>
        <w:tc>
          <w:tcPr>
            <w:tcW w:w="0" w:type="dxa"/>
            <w:vAlign w:val="bottom"/>
          </w:tcPr>
          <w:p>
            <w:pPr>
              <w:spacing w:after="0"/>
              <w:rPr>
                <w:sz w:val="1"/>
                <w:szCs w:val="1"/>
                <w:color w:val="auto"/>
              </w:rPr>
            </w:pPr>
          </w:p>
        </w:tc>
      </w:tr>
      <w:tr>
        <w:trPr>
          <w:trHeight w:val="99"/>
        </w:trPr>
        <w:tc>
          <w:tcPr>
            <w:tcW w:w="160" w:type="dxa"/>
            <w:vAlign w:val="bottom"/>
            <w:tcBorders>
              <w:left w:val="single" w:sz="8" w:color="4D5357"/>
            </w:tcBorders>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right w:val="single" w:sz="8" w:color="4D5357"/>
            </w:tcBorders>
          </w:tcPr>
          <w:p>
            <w:pPr>
              <w:spacing w:after="0"/>
              <w:rPr>
                <w:sz w:val="8"/>
                <w:szCs w:val="8"/>
                <w:color w:val="auto"/>
              </w:rPr>
            </w:pPr>
          </w:p>
        </w:tc>
        <w:tc>
          <w:tcPr>
            <w:tcW w:w="880" w:type="dxa"/>
            <w:vAlign w:val="bottom"/>
          </w:tcPr>
          <w:p>
            <w:pPr>
              <w:spacing w:after="0"/>
              <w:rPr>
                <w:sz w:val="8"/>
                <w:szCs w:val="8"/>
                <w:color w:val="auto"/>
              </w:rPr>
            </w:pPr>
          </w:p>
        </w:tc>
        <w:tc>
          <w:tcPr>
            <w:tcW w:w="7840" w:type="dxa"/>
            <w:vAlign w:val="bottom"/>
            <w:tcBorders>
              <w:right w:val="single" w:sz="8" w:color="4D535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60" w:type="dxa"/>
            <w:vAlign w:val="bottom"/>
            <w:tcBorders>
              <w:left w:val="single" w:sz="8" w:color="4D5357"/>
            </w:tcBorders>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Borders>
              <w:right w:val="single" w:sz="8" w:color="4D5357"/>
            </w:tcBorders>
            <w:gridSpan w:val="3"/>
            <w:vMerge w:val="restart"/>
          </w:tcPr>
          <w:p>
            <w:pPr>
              <w:jc w:val="center"/>
              <w:ind w:right="360"/>
              <w:spacing w:after="0"/>
              <w:rPr>
                <w:sz w:val="20"/>
                <w:szCs w:val="20"/>
                <w:color w:val="auto"/>
              </w:rPr>
            </w:pPr>
            <w:r>
              <w:rPr>
                <w:rFonts w:ascii="Arial" w:cs="Arial" w:eastAsia="Arial" w:hAnsi="Arial"/>
                <w:sz w:val="20"/>
                <w:szCs w:val="20"/>
                <w:b w:val="1"/>
                <w:bCs w:val="1"/>
                <w:color w:val="0086CC"/>
                <w:w w:val="99"/>
              </w:rPr>
              <w:t>Meetings in 2025</w:t>
            </w:r>
          </w:p>
        </w:tc>
        <w:tc>
          <w:tcPr>
            <w:tcW w:w="880" w:type="dxa"/>
            <w:vAlign w:val="bottom"/>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Reviews and discusses our sustainability efforts, goals and risks, and our annual Sustainability Report.</w:t>
            </w:r>
          </w:p>
        </w:tc>
        <w:tc>
          <w:tcPr>
            <w:tcW w:w="0" w:type="dxa"/>
            <w:vAlign w:val="bottom"/>
          </w:tcPr>
          <w:p>
            <w:pPr>
              <w:spacing w:after="0"/>
              <w:rPr>
                <w:sz w:val="1"/>
                <w:szCs w:val="1"/>
                <w:color w:val="auto"/>
              </w:rPr>
            </w:pPr>
          </w:p>
        </w:tc>
      </w:tr>
      <w:tr>
        <w:trPr>
          <w:trHeight w:val="56"/>
        </w:trPr>
        <w:tc>
          <w:tcPr>
            <w:tcW w:w="160" w:type="dxa"/>
            <w:vAlign w:val="bottom"/>
            <w:tcBorders>
              <w:left w:val="single" w:sz="8" w:color="4D5357"/>
            </w:tcBorders>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Borders>
              <w:right w:val="single" w:sz="8" w:color="4D5357"/>
            </w:tcBorders>
            <w:gridSpan w:val="3"/>
            <w:vMerge w:val="continue"/>
          </w:tcPr>
          <w:p>
            <w:pPr>
              <w:spacing w:after="0"/>
              <w:rPr>
                <w:sz w:val="4"/>
                <w:szCs w:val="4"/>
                <w:color w:val="auto"/>
              </w:rPr>
            </w:pPr>
          </w:p>
        </w:tc>
        <w:tc>
          <w:tcPr>
            <w:tcW w:w="880" w:type="dxa"/>
            <w:vAlign w:val="bottom"/>
            <w:vMerge w:val="restart"/>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Reviews and monitors the adequacy of our policies and procedures and organizational structure for</w:t>
            </w:r>
          </w:p>
        </w:tc>
        <w:tc>
          <w:tcPr>
            <w:tcW w:w="0" w:type="dxa"/>
            <w:vAlign w:val="bottom"/>
          </w:tcPr>
          <w:p>
            <w:pPr>
              <w:spacing w:after="0"/>
              <w:rPr>
                <w:sz w:val="1"/>
                <w:szCs w:val="1"/>
                <w:color w:val="auto"/>
              </w:rPr>
            </w:pPr>
          </w:p>
        </w:tc>
      </w:tr>
      <w:tr>
        <w:trPr>
          <w:trHeight w:val="175"/>
        </w:trPr>
        <w:tc>
          <w:tcPr>
            <w:tcW w:w="160" w:type="dxa"/>
            <w:vAlign w:val="bottom"/>
            <w:tcBorders>
              <w:left w:val="single" w:sz="8" w:color="4D5357"/>
            </w:tcBorders>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right"/>
              <w:ind w:right="141"/>
              <w:spacing w:after="0"/>
              <w:rPr>
                <w:sz w:val="20"/>
                <w:szCs w:val="20"/>
                <w:color w:val="auto"/>
              </w:rPr>
            </w:pPr>
            <w:r>
              <w:rPr>
                <w:rFonts w:ascii="Arial" w:cs="Arial" w:eastAsia="Arial" w:hAnsi="Arial"/>
                <w:sz w:val="49"/>
                <w:szCs w:val="49"/>
                <w:color w:val="auto"/>
              </w:rPr>
              <w:t>4</w:t>
            </w:r>
          </w:p>
        </w:tc>
        <w:tc>
          <w:tcPr>
            <w:tcW w:w="800" w:type="dxa"/>
            <w:vAlign w:val="bottom"/>
            <w:tcBorders>
              <w:right w:val="single" w:sz="8" w:color="4D5357"/>
            </w:tcBorders>
          </w:tcPr>
          <w:p>
            <w:pPr>
              <w:spacing w:after="0"/>
              <w:rPr>
                <w:sz w:val="15"/>
                <w:szCs w:val="15"/>
                <w:color w:val="auto"/>
              </w:rPr>
            </w:pPr>
          </w:p>
        </w:tc>
        <w:tc>
          <w:tcPr>
            <w:tcW w:w="880" w:type="dxa"/>
            <w:vAlign w:val="bottom"/>
            <w:vMerge w:val="continue"/>
          </w:tcPr>
          <w:p>
            <w:pPr>
              <w:spacing w:after="0"/>
              <w:rPr>
                <w:sz w:val="15"/>
                <w:szCs w:val="15"/>
                <w:color w:val="auto"/>
              </w:rPr>
            </w:pPr>
          </w:p>
        </w:tc>
        <w:tc>
          <w:tcPr>
            <w:tcW w:w="7840" w:type="dxa"/>
            <w:vAlign w:val="bottom"/>
            <w:tcBorders>
              <w:right w:val="single" w:sz="8" w:color="4D535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0" w:type="dxa"/>
            <w:vAlign w:val="bottom"/>
            <w:tcBorders>
              <w:left w:val="single" w:sz="8" w:color="4D5357"/>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00" w:type="dxa"/>
            <w:vAlign w:val="bottom"/>
            <w:tcBorders>
              <w:right w:val="single" w:sz="8" w:color="4D5357"/>
            </w:tcBorders>
          </w:tcPr>
          <w:p>
            <w:pPr>
              <w:spacing w:after="0"/>
              <w:rPr>
                <w:sz w:val="18"/>
                <w:szCs w:val="18"/>
                <w:color w:val="auto"/>
              </w:rPr>
            </w:pPr>
          </w:p>
        </w:tc>
        <w:tc>
          <w:tcPr>
            <w:tcW w:w="880" w:type="dxa"/>
            <w:vAlign w:val="bottom"/>
          </w:tcPr>
          <w:p>
            <w:pPr>
              <w:spacing w:after="0"/>
              <w:rPr>
                <w:sz w:val="18"/>
                <w:szCs w:val="18"/>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ensuring compliance with environmental laws and regulations.</w:t>
            </w:r>
          </w:p>
        </w:tc>
        <w:tc>
          <w:tcPr>
            <w:tcW w:w="0" w:type="dxa"/>
            <w:vAlign w:val="bottom"/>
          </w:tcPr>
          <w:p>
            <w:pPr>
              <w:spacing w:after="0"/>
              <w:rPr>
                <w:sz w:val="1"/>
                <w:szCs w:val="1"/>
                <w:color w:val="auto"/>
              </w:rPr>
            </w:pPr>
          </w:p>
        </w:tc>
      </w:tr>
      <w:tr>
        <w:trPr>
          <w:trHeight w:val="257"/>
        </w:trPr>
        <w:tc>
          <w:tcPr>
            <w:tcW w:w="160" w:type="dxa"/>
            <w:vAlign w:val="bottom"/>
            <w:tcBorders>
              <w:left w:val="single" w:sz="8" w:color="4D5357"/>
            </w:tcBorders>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800" w:type="dxa"/>
            <w:vAlign w:val="bottom"/>
            <w:tcBorders>
              <w:right w:val="single" w:sz="8" w:color="4D5357"/>
            </w:tcBorders>
          </w:tcPr>
          <w:p>
            <w:pPr>
              <w:spacing w:after="0"/>
              <w:rPr>
                <w:sz w:val="22"/>
                <w:szCs w:val="22"/>
                <w:color w:val="auto"/>
              </w:rPr>
            </w:pPr>
          </w:p>
        </w:tc>
        <w:tc>
          <w:tcPr>
            <w:tcW w:w="880" w:type="dxa"/>
            <w:vAlign w:val="bottom"/>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Reviews matters relating to our health and safety programs and performance.</w:t>
            </w:r>
          </w:p>
        </w:tc>
        <w:tc>
          <w:tcPr>
            <w:tcW w:w="0" w:type="dxa"/>
            <w:vAlign w:val="bottom"/>
          </w:tcPr>
          <w:p>
            <w:pPr>
              <w:spacing w:after="0"/>
              <w:rPr>
                <w:sz w:val="1"/>
                <w:szCs w:val="1"/>
                <w:color w:val="auto"/>
              </w:rPr>
            </w:pPr>
          </w:p>
        </w:tc>
      </w:tr>
      <w:tr>
        <w:trPr>
          <w:trHeight w:val="151"/>
        </w:trPr>
        <w:tc>
          <w:tcPr>
            <w:tcW w:w="160" w:type="dxa"/>
            <w:vAlign w:val="bottom"/>
            <w:tcBorders>
              <w:left w:val="single" w:sz="8" w:color="4D5357"/>
              <w:bottom w:val="single" w:sz="8" w:color="4D5357"/>
            </w:tcBorders>
          </w:tcPr>
          <w:p>
            <w:pPr>
              <w:spacing w:after="0"/>
              <w:rPr>
                <w:sz w:val="13"/>
                <w:szCs w:val="13"/>
                <w:color w:val="auto"/>
              </w:rPr>
            </w:pPr>
          </w:p>
        </w:tc>
        <w:tc>
          <w:tcPr>
            <w:tcW w:w="160" w:type="dxa"/>
            <w:vAlign w:val="bottom"/>
            <w:tcBorders>
              <w:bottom w:val="single" w:sz="8" w:color="4D5357"/>
            </w:tcBorders>
          </w:tcPr>
          <w:p>
            <w:pPr>
              <w:spacing w:after="0"/>
              <w:rPr>
                <w:sz w:val="13"/>
                <w:szCs w:val="13"/>
                <w:color w:val="auto"/>
              </w:rPr>
            </w:pPr>
          </w:p>
        </w:tc>
        <w:tc>
          <w:tcPr>
            <w:tcW w:w="920" w:type="dxa"/>
            <w:vAlign w:val="bottom"/>
            <w:tcBorders>
              <w:bottom w:val="single" w:sz="8" w:color="4D5357"/>
            </w:tcBorders>
          </w:tcPr>
          <w:p>
            <w:pPr>
              <w:spacing w:after="0"/>
              <w:rPr>
                <w:sz w:val="13"/>
                <w:szCs w:val="13"/>
                <w:color w:val="auto"/>
              </w:rPr>
            </w:pPr>
          </w:p>
        </w:tc>
        <w:tc>
          <w:tcPr>
            <w:tcW w:w="280" w:type="dxa"/>
            <w:vAlign w:val="bottom"/>
            <w:tcBorders>
              <w:bottom w:val="single" w:sz="8" w:color="4D5357"/>
            </w:tcBorders>
          </w:tcPr>
          <w:p>
            <w:pPr>
              <w:spacing w:after="0"/>
              <w:rPr>
                <w:sz w:val="13"/>
                <w:szCs w:val="13"/>
                <w:color w:val="auto"/>
              </w:rPr>
            </w:pPr>
          </w:p>
        </w:tc>
        <w:tc>
          <w:tcPr>
            <w:tcW w:w="800" w:type="dxa"/>
            <w:vAlign w:val="bottom"/>
            <w:tcBorders>
              <w:bottom w:val="single" w:sz="8" w:color="4D5357"/>
              <w:right w:val="single" w:sz="8" w:color="4D5357"/>
            </w:tcBorders>
          </w:tcPr>
          <w:p>
            <w:pPr>
              <w:spacing w:after="0"/>
              <w:rPr>
                <w:sz w:val="13"/>
                <w:szCs w:val="13"/>
                <w:color w:val="auto"/>
              </w:rPr>
            </w:pPr>
          </w:p>
        </w:tc>
        <w:tc>
          <w:tcPr>
            <w:tcW w:w="880" w:type="dxa"/>
            <w:vAlign w:val="bottom"/>
            <w:vMerge w:val="restart"/>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Reviews annually the adequacy of the Committee charter and recommends proposed changes to the</w:t>
            </w:r>
          </w:p>
        </w:tc>
        <w:tc>
          <w:tcPr>
            <w:tcW w:w="0" w:type="dxa"/>
            <w:vAlign w:val="bottom"/>
          </w:tcPr>
          <w:p>
            <w:pPr>
              <w:spacing w:after="0"/>
              <w:rPr>
                <w:sz w:val="1"/>
                <w:szCs w:val="1"/>
                <w:color w:val="auto"/>
              </w:rPr>
            </w:pPr>
          </w:p>
        </w:tc>
      </w:tr>
      <w:tr>
        <w:trPr>
          <w:trHeight w:val="60"/>
        </w:trPr>
        <w:tc>
          <w:tcPr>
            <w:tcW w:w="160" w:type="dxa"/>
            <w:vAlign w:val="bottom"/>
            <w:tcBorders>
              <w:left w:val="single" w:sz="8" w:color="4D5357"/>
            </w:tcBorders>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right w:val="single" w:sz="8" w:color="4D5357"/>
            </w:tcBorders>
          </w:tcPr>
          <w:p>
            <w:pPr>
              <w:spacing w:after="0"/>
              <w:rPr>
                <w:sz w:val="5"/>
                <w:szCs w:val="5"/>
                <w:color w:val="auto"/>
              </w:rPr>
            </w:pPr>
          </w:p>
        </w:tc>
        <w:tc>
          <w:tcPr>
            <w:tcW w:w="880" w:type="dxa"/>
            <w:vAlign w:val="bottom"/>
            <w:vMerge w:val="continue"/>
          </w:tcPr>
          <w:p>
            <w:pPr>
              <w:spacing w:after="0"/>
              <w:rPr>
                <w:sz w:val="5"/>
                <w:szCs w:val="5"/>
                <w:color w:val="auto"/>
              </w:rPr>
            </w:pPr>
          </w:p>
        </w:tc>
        <w:tc>
          <w:tcPr>
            <w:tcW w:w="7840" w:type="dxa"/>
            <w:vAlign w:val="bottom"/>
            <w:tcBorders>
              <w:right w:val="single" w:sz="8" w:color="4D5357"/>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60" w:type="dxa"/>
            <w:vAlign w:val="bottom"/>
            <w:tcBorders>
              <w:left w:val="single" w:sz="8" w:color="4D5357"/>
            </w:tcBorders>
          </w:tcPr>
          <w:p>
            <w:pPr>
              <w:spacing w:after="0"/>
              <w:rPr>
                <w:sz w:val="18"/>
                <w:szCs w:val="18"/>
                <w:color w:val="auto"/>
              </w:rPr>
            </w:pPr>
          </w:p>
        </w:tc>
        <w:tc>
          <w:tcPr>
            <w:tcW w:w="2160" w:type="dxa"/>
            <w:vAlign w:val="bottom"/>
            <w:tcBorders>
              <w:right w:val="single" w:sz="8" w:color="4D5357"/>
            </w:tcBorders>
            <w:gridSpan w:val="4"/>
            <w:vMerge w:val="restart"/>
          </w:tcPr>
          <w:p>
            <w:pPr>
              <w:jc w:val="center"/>
              <w:ind w:right="200"/>
              <w:spacing w:after="0"/>
              <w:rPr>
                <w:sz w:val="20"/>
                <w:szCs w:val="20"/>
                <w:color w:val="auto"/>
              </w:rPr>
            </w:pPr>
            <w:r>
              <w:rPr>
                <w:rFonts w:ascii="Arial" w:cs="Arial" w:eastAsia="Arial" w:hAnsi="Arial"/>
                <w:sz w:val="20"/>
                <w:szCs w:val="20"/>
                <w:b w:val="1"/>
                <w:bCs w:val="1"/>
                <w:color w:val="0086CC"/>
                <w:w w:val="99"/>
              </w:rPr>
              <w:t>Average Attendance</w:t>
            </w:r>
          </w:p>
        </w:tc>
        <w:tc>
          <w:tcPr>
            <w:tcW w:w="880" w:type="dxa"/>
            <w:vAlign w:val="bottom"/>
          </w:tcPr>
          <w:p>
            <w:pPr>
              <w:spacing w:after="0"/>
              <w:rPr>
                <w:sz w:val="18"/>
                <w:szCs w:val="18"/>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Board.</w:t>
            </w:r>
          </w:p>
        </w:tc>
        <w:tc>
          <w:tcPr>
            <w:tcW w:w="0" w:type="dxa"/>
            <w:vAlign w:val="bottom"/>
          </w:tcPr>
          <w:p>
            <w:pPr>
              <w:spacing w:after="0"/>
              <w:rPr>
                <w:sz w:val="1"/>
                <w:szCs w:val="1"/>
                <w:color w:val="auto"/>
              </w:rPr>
            </w:pPr>
          </w:p>
        </w:tc>
      </w:tr>
      <w:tr>
        <w:trPr>
          <w:trHeight w:val="205"/>
        </w:trPr>
        <w:tc>
          <w:tcPr>
            <w:tcW w:w="160" w:type="dxa"/>
            <w:vAlign w:val="bottom"/>
            <w:tcBorders>
              <w:left w:val="single" w:sz="8" w:color="4D5357"/>
            </w:tcBorders>
          </w:tcPr>
          <w:p>
            <w:pPr>
              <w:spacing w:after="0"/>
              <w:rPr>
                <w:sz w:val="17"/>
                <w:szCs w:val="17"/>
                <w:color w:val="auto"/>
              </w:rPr>
            </w:pPr>
          </w:p>
        </w:tc>
        <w:tc>
          <w:tcPr>
            <w:tcW w:w="2160" w:type="dxa"/>
            <w:vAlign w:val="bottom"/>
            <w:tcBorders>
              <w:right w:val="single" w:sz="8" w:color="4D5357"/>
            </w:tcBorders>
            <w:gridSpan w:val="4"/>
            <w:vMerge w:val="continue"/>
          </w:tcPr>
          <w:p>
            <w:pPr>
              <w:spacing w:after="0"/>
              <w:rPr>
                <w:sz w:val="17"/>
                <w:szCs w:val="17"/>
                <w:color w:val="auto"/>
              </w:rPr>
            </w:pPr>
          </w:p>
        </w:tc>
        <w:tc>
          <w:tcPr>
            <w:tcW w:w="880" w:type="dxa"/>
            <w:vAlign w:val="bottom"/>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Oversees environmental performance, initiatives and results, including annual and long-term targets and</w:t>
            </w:r>
          </w:p>
        </w:tc>
        <w:tc>
          <w:tcPr>
            <w:tcW w:w="0" w:type="dxa"/>
            <w:vAlign w:val="bottom"/>
          </w:tcPr>
          <w:p>
            <w:pPr>
              <w:spacing w:after="0"/>
              <w:rPr>
                <w:sz w:val="1"/>
                <w:szCs w:val="1"/>
                <w:color w:val="auto"/>
              </w:rPr>
            </w:pPr>
          </w:p>
        </w:tc>
      </w:tr>
      <w:tr>
        <w:trPr>
          <w:trHeight w:val="189"/>
        </w:trPr>
        <w:tc>
          <w:tcPr>
            <w:tcW w:w="160" w:type="dxa"/>
            <w:vAlign w:val="bottom"/>
            <w:tcBorders>
              <w:left w:val="single" w:sz="8" w:color="4D5357"/>
            </w:tcBorders>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Borders>
              <w:right w:val="single" w:sz="8" w:color="4D5357"/>
            </w:tcBorders>
            <w:gridSpan w:val="3"/>
          </w:tcPr>
          <w:p>
            <w:pPr>
              <w:jc w:val="center"/>
              <w:ind w:right="360"/>
              <w:spacing w:after="0" w:line="189" w:lineRule="exact"/>
              <w:rPr>
                <w:sz w:val="20"/>
                <w:szCs w:val="20"/>
                <w:color w:val="auto"/>
              </w:rPr>
            </w:pPr>
            <w:r>
              <w:rPr>
                <w:rFonts w:ascii="Arial" w:cs="Arial" w:eastAsia="Arial" w:hAnsi="Arial"/>
                <w:sz w:val="20"/>
                <w:szCs w:val="20"/>
                <w:b w:val="1"/>
                <w:bCs w:val="1"/>
                <w:color w:val="0086CC"/>
                <w:w w:val="96"/>
              </w:rPr>
              <w:t>in 2025:</w:t>
            </w:r>
          </w:p>
        </w:tc>
        <w:tc>
          <w:tcPr>
            <w:tcW w:w="880" w:type="dxa"/>
            <w:vAlign w:val="bottom"/>
          </w:tcPr>
          <w:p>
            <w:pPr>
              <w:spacing w:after="0"/>
              <w:rPr>
                <w:sz w:val="16"/>
                <w:szCs w:val="16"/>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commitments.</w:t>
            </w:r>
          </w:p>
        </w:tc>
        <w:tc>
          <w:tcPr>
            <w:tcW w:w="0" w:type="dxa"/>
            <w:vAlign w:val="bottom"/>
          </w:tcPr>
          <w:p>
            <w:pPr>
              <w:spacing w:after="0"/>
              <w:rPr>
                <w:sz w:val="1"/>
                <w:szCs w:val="1"/>
                <w:color w:val="auto"/>
              </w:rPr>
            </w:pPr>
          </w:p>
        </w:tc>
      </w:tr>
      <w:tr>
        <w:trPr>
          <w:trHeight w:val="283"/>
        </w:trPr>
        <w:tc>
          <w:tcPr>
            <w:tcW w:w="160" w:type="dxa"/>
            <w:vAlign w:val="bottom"/>
            <w:tcBorders>
              <w:left w:val="single" w:sz="8" w:color="4D5357"/>
            </w:tcBorders>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Borders>
              <w:right w:val="single" w:sz="8" w:color="4D5357"/>
            </w:tcBorders>
            <w:gridSpan w:val="3"/>
            <w:vMerge w:val="restart"/>
          </w:tcPr>
          <w:p>
            <w:pPr>
              <w:jc w:val="right"/>
              <w:ind w:right="700"/>
              <w:spacing w:after="0"/>
              <w:rPr>
                <w:sz w:val="20"/>
                <w:szCs w:val="20"/>
                <w:color w:val="auto"/>
              </w:rPr>
            </w:pPr>
            <w:r>
              <w:rPr>
                <w:rFonts w:ascii="Arial" w:cs="Arial" w:eastAsia="Arial" w:hAnsi="Arial"/>
                <w:sz w:val="49"/>
                <w:szCs w:val="49"/>
                <w:color w:val="auto"/>
              </w:rPr>
              <w:t>92%</w:t>
            </w:r>
          </w:p>
        </w:tc>
        <w:tc>
          <w:tcPr>
            <w:tcW w:w="880" w:type="dxa"/>
            <w:vAlign w:val="bottom"/>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Reviews the Company’s strategy, programs, initiatives and performance with respect to climate change and</w:t>
            </w:r>
          </w:p>
        </w:tc>
        <w:tc>
          <w:tcPr>
            <w:tcW w:w="0" w:type="dxa"/>
            <w:vAlign w:val="bottom"/>
          </w:tcPr>
          <w:p>
            <w:pPr>
              <w:spacing w:after="0"/>
              <w:rPr>
                <w:sz w:val="1"/>
                <w:szCs w:val="1"/>
                <w:color w:val="auto"/>
              </w:rPr>
            </w:pPr>
          </w:p>
        </w:tc>
      </w:tr>
      <w:tr>
        <w:trPr>
          <w:trHeight w:val="361"/>
        </w:trPr>
        <w:tc>
          <w:tcPr>
            <w:tcW w:w="160" w:type="dxa"/>
            <w:vAlign w:val="bottom"/>
            <w:tcBorders>
              <w:left w:val="single" w:sz="8" w:color="4D5357"/>
            </w:tcBorders>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Borders>
              <w:right w:val="single" w:sz="8" w:color="4D5357"/>
            </w:tcBorders>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other sustainability matters.</w:t>
            </w:r>
          </w:p>
        </w:tc>
        <w:tc>
          <w:tcPr>
            <w:tcW w:w="0" w:type="dxa"/>
            <w:vAlign w:val="bottom"/>
          </w:tcPr>
          <w:p>
            <w:pPr>
              <w:spacing w:after="0"/>
              <w:rPr>
                <w:sz w:val="1"/>
                <w:szCs w:val="1"/>
                <w:color w:val="auto"/>
              </w:rPr>
            </w:pPr>
          </w:p>
        </w:tc>
      </w:tr>
      <w:tr>
        <w:trPr>
          <w:trHeight w:val="112"/>
        </w:trPr>
        <w:tc>
          <w:tcPr>
            <w:tcW w:w="160" w:type="dxa"/>
            <w:vAlign w:val="bottom"/>
            <w:tcBorders>
              <w:left w:val="single" w:sz="8" w:color="4D5357"/>
              <w:bottom w:val="single" w:sz="8" w:color="4D5357"/>
            </w:tcBorders>
          </w:tcPr>
          <w:p>
            <w:pPr>
              <w:spacing w:after="0"/>
              <w:rPr>
                <w:sz w:val="9"/>
                <w:szCs w:val="9"/>
                <w:color w:val="auto"/>
              </w:rPr>
            </w:pPr>
          </w:p>
        </w:tc>
        <w:tc>
          <w:tcPr>
            <w:tcW w:w="160" w:type="dxa"/>
            <w:vAlign w:val="bottom"/>
            <w:tcBorders>
              <w:bottom w:val="single" w:sz="8" w:color="4D5357"/>
            </w:tcBorders>
          </w:tcPr>
          <w:p>
            <w:pPr>
              <w:spacing w:after="0"/>
              <w:rPr>
                <w:sz w:val="9"/>
                <w:szCs w:val="9"/>
                <w:color w:val="auto"/>
              </w:rPr>
            </w:pPr>
          </w:p>
        </w:tc>
        <w:tc>
          <w:tcPr>
            <w:tcW w:w="920" w:type="dxa"/>
            <w:vAlign w:val="bottom"/>
            <w:tcBorders>
              <w:bottom w:val="single" w:sz="8" w:color="4D5357"/>
            </w:tcBorders>
          </w:tcPr>
          <w:p>
            <w:pPr>
              <w:spacing w:after="0"/>
              <w:rPr>
                <w:sz w:val="9"/>
                <w:szCs w:val="9"/>
                <w:color w:val="auto"/>
              </w:rPr>
            </w:pPr>
          </w:p>
        </w:tc>
        <w:tc>
          <w:tcPr>
            <w:tcW w:w="280" w:type="dxa"/>
            <w:vAlign w:val="bottom"/>
            <w:tcBorders>
              <w:bottom w:val="single" w:sz="8" w:color="4D5357"/>
            </w:tcBorders>
          </w:tcPr>
          <w:p>
            <w:pPr>
              <w:spacing w:after="0"/>
              <w:rPr>
                <w:sz w:val="9"/>
                <w:szCs w:val="9"/>
                <w:color w:val="auto"/>
              </w:rPr>
            </w:pPr>
          </w:p>
        </w:tc>
        <w:tc>
          <w:tcPr>
            <w:tcW w:w="800" w:type="dxa"/>
            <w:vAlign w:val="bottom"/>
            <w:tcBorders>
              <w:bottom w:val="single" w:sz="8" w:color="4D5357"/>
              <w:right w:val="single" w:sz="8" w:color="4D5357"/>
            </w:tcBorders>
          </w:tcPr>
          <w:p>
            <w:pPr>
              <w:spacing w:after="0"/>
              <w:rPr>
                <w:sz w:val="9"/>
                <w:szCs w:val="9"/>
                <w:color w:val="auto"/>
              </w:rPr>
            </w:pPr>
          </w:p>
        </w:tc>
        <w:tc>
          <w:tcPr>
            <w:tcW w:w="880" w:type="dxa"/>
            <w:vAlign w:val="bottom"/>
            <w:tcBorders>
              <w:bottom w:val="single" w:sz="8" w:color="4D5357"/>
            </w:tcBorders>
          </w:tcPr>
          <w:p>
            <w:pPr>
              <w:spacing w:after="0"/>
              <w:rPr>
                <w:sz w:val="9"/>
                <w:szCs w:val="9"/>
                <w:color w:val="auto"/>
              </w:rPr>
            </w:pPr>
          </w:p>
        </w:tc>
        <w:tc>
          <w:tcPr>
            <w:tcW w:w="7840" w:type="dxa"/>
            <w:vAlign w:val="bottom"/>
            <w:tcBorders>
              <w:bottom w:val="single" w:sz="8" w:color="4D5357"/>
              <w:right w:val="single" w:sz="8" w:color="4D5357"/>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-2940050</wp:posOffset>
            </wp:positionV>
            <wp:extent cx="419735" cy="428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9735" cy="42862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471170</wp:posOffset>
            </wp:positionV>
            <wp:extent cx="351155" cy="6000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11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80"/>
        <w:spacing w:after="0"/>
        <w:rPr>
          <w:sz w:val="20"/>
          <w:szCs w:val="20"/>
          <w:color w:val="auto"/>
        </w:rPr>
      </w:pPr>
      <w:r>
        <w:rPr>
          <w:rFonts w:ascii="Arial" w:cs="Arial" w:eastAsia="Arial" w:hAnsi="Arial"/>
          <w:sz w:val="31"/>
          <w:szCs w:val="31"/>
          <w:color w:val="0086CC"/>
        </w:rPr>
        <w:t>Finance Committee</w:t>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377"/>
        </w:trPr>
        <w:tc>
          <w:tcPr>
            <w:tcW w:w="2320" w:type="dxa"/>
            <w:vAlign w:val="bottom"/>
            <w:tcBorders>
              <w:top w:val="single" w:sz="8" w:color="4D5357"/>
              <w:left w:val="single" w:sz="8" w:color="4D5357"/>
              <w:right w:val="single" w:sz="8" w:color="4D5357"/>
            </w:tcBorders>
          </w:tcPr>
          <w:p>
            <w:pPr>
              <w:ind w:left="160"/>
              <w:spacing w:after="0"/>
              <w:rPr>
                <w:sz w:val="20"/>
                <w:szCs w:val="20"/>
                <w:color w:val="auto"/>
              </w:rPr>
            </w:pPr>
            <w:r>
              <w:rPr>
                <w:rFonts w:ascii="Arial" w:cs="Arial" w:eastAsia="Arial" w:hAnsi="Arial"/>
                <w:sz w:val="20"/>
                <w:szCs w:val="20"/>
                <w:b w:val="1"/>
                <w:bCs w:val="1"/>
                <w:color w:val="0086CC"/>
              </w:rPr>
              <w:t>Current Members:</w:t>
            </w:r>
          </w:p>
        </w:tc>
        <w:tc>
          <w:tcPr>
            <w:tcW w:w="8720" w:type="dxa"/>
            <w:vAlign w:val="bottom"/>
            <w:tcBorders>
              <w:top w:val="single" w:sz="8" w:color="4D5357"/>
              <w:right w:val="single" w:sz="8" w:color="4D5357"/>
            </w:tcBorders>
            <w:gridSpan w:val="2"/>
          </w:tcPr>
          <w:p>
            <w:pPr>
              <w:ind w:left="760"/>
              <w:spacing w:after="0"/>
              <w:rPr>
                <w:sz w:val="20"/>
                <w:szCs w:val="20"/>
                <w:color w:val="auto"/>
              </w:rPr>
            </w:pPr>
            <w:r>
              <w:rPr>
                <w:rFonts w:ascii="Arial" w:cs="Arial" w:eastAsia="Arial" w:hAnsi="Arial"/>
                <w:sz w:val="18"/>
                <w:szCs w:val="18"/>
                <w:b w:val="1"/>
                <w:bCs w:val="1"/>
                <w:i w:val="1"/>
                <w:iCs w:val="1"/>
                <w:color w:val="0086CC"/>
              </w:rPr>
              <w:t>Primary Responsibilities:</w:t>
            </w:r>
          </w:p>
        </w:tc>
        <w:tc>
          <w:tcPr>
            <w:tcW w:w="0" w:type="dxa"/>
            <w:vAlign w:val="bottom"/>
          </w:tcPr>
          <w:p>
            <w:pPr>
              <w:spacing w:after="0"/>
              <w:rPr>
                <w:sz w:val="1"/>
                <w:szCs w:val="1"/>
                <w:color w:val="auto"/>
              </w:rPr>
            </w:pPr>
          </w:p>
        </w:tc>
      </w:tr>
      <w:tr>
        <w:trPr>
          <w:trHeight w:val="189"/>
        </w:trPr>
        <w:tc>
          <w:tcPr>
            <w:tcW w:w="2320" w:type="dxa"/>
            <w:vAlign w:val="bottom"/>
            <w:tcBorders>
              <w:left w:val="single" w:sz="8" w:color="4D5357"/>
              <w:right w:val="single" w:sz="8" w:color="4D5357"/>
            </w:tcBorders>
          </w:tcPr>
          <w:p>
            <w:pPr>
              <w:ind w:left="160"/>
              <w:spacing w:after="0"/>
              <w:rPr>
                <w:sz w:val="20"/>
                <w:szCs w:val="20"/>
                <w:color w:val="auto"/>
              </w:rPr>
            </w:pPr>
            <w:r>
              <w:rPr>
                <w:rFonts w:ascii="Arial" w:cs="Arial" w:eastAsia="Arial" w:hAnsi="Arial"/>
                <w:sz w:val="16"/>
                <w:szCs w:val="16"/>
                <w:color w:val="333333"/>
              </w:rPr>
              <w:t>Anthony R. Foxx (Chair)</w:t>
            </w:r>
          </w:p>
        </w:tc>
        <w:tc>
          <w:tcPr>
            <w:tcW w:w="880" w:type="dxa"/>
            <w:vAlign w:val="bottom"/>
            <w:vMerge w:val="restart"/>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Provides general oversight relating to the management of our financial affairs.</w:t>
            </w:r>
          </w:p>
        </w:tc>
        <w:tc>
          <w:tcPr>
            <w:tcW w:w="0" w:type="dxa"/>
            <w:vAlign w:val="bottom"/>
          </w:tcPr>
          <w:p>
            <w:pPr>
              <w:spacing w:after="0"/>
              <w:rPr>
                <w:sz w:val="1"/>
                <w:szCs w:val="1"/>
                <w:color w:val="auto"/>
              </w:rPr>
            </w:pPr>
          </w:p>
        </w:tc>
      </w:tr>
      <w:tr>
        <w:trPr>
          <w:trHeight w:val="134"/>
        </w:trPr>
        <w:tc>
          <w:tcPr>
            <w:tcW w:w="2320" w:type="dxa"/>
            <w:vAlign w:val="bottom"/>
            <w:tcBorders>
              <w:left w:val="single" w:sz="8" w:color="4D5357"/>
              <w:right w:val="single" w:sz="8" w:color="4D5357"/>
            </w:tcBorders>
            <w:vMerge w:val="restart"/>
          </w:tcPr>
          <w:p>
            <w:pPr>
              <w:ind w:left="160"/>
              <w:spacing w:after="0"/>
              <w:rPr>
                <w:sz w:val="20"/>
                <w:szCs w:val="20"/>
                <w:color w:val="auto"/>
              </w:rPr>
            </w:pPr>
            <w:r>
              <w:rPr>
                <w:rFonts w:ascii="Arial" w:cs="Arial" w:eastAsia="Arial" w:hAnsi="Arial"/>
                <w:sz w:val="16"/>
                <w:szCs w:val="16"/>
                <w:color w:val="333333"/>
              </w:rPr>
              <w:t>Laree E. Perez</w:t>
            </w:r>
          </w:p>
        </w:tc>
        <w:tc>
          <w:tcPr>
            <w:tcW w:w="880" w:type="dxa"/>
            <w:vAlign w:val="bottom"/>
            <w:vMerge w:val="continue"/>
          </w:tcPr>
          <w:p>
            <w:pPr>
              <w:spacing w:after="0"/>
              <w:rPr>
                <w:sz w:val="11"/>
                <w:szCs w:val="11"/>
                <w:color w:val="auto"/>
              </w:rPr>
            </w:pPr>
          </w:p>
        </w:tc>
        <w:tc>
          <w:tcPr>
            <w:tcW w:w="7840" w:type="dxa"/>
            <w:vAlign w:val="bottom"/>
            <w:tcBorders>
              <w:right w:val="single" w:sz="8" w:color="4D5357"/>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4D5357"/>
              <w:right w:val="single" w:sz="8" w:color="4D5357"/>
            </w:tcBorders>
            <w:vMerge w:val="continue"/>
          </w:tcPr>
          <w:p>
            <w:pPr>
              <w:spacing w:after="0"/>
              <w:rPr>
                <w:sz w:val="4"/>
                <w:szCs w:val="4"/>
                <w:color w:val="auto"/>
              </w:rPr>
            </w:pPr>
          </w:p>
        </w:tc>
        <w:tc>
          <w:tcPr>
            <w:tcW w:w="880" w:type="dxa"/>
            <w:vAlign w:val="bottom"/>
            <w:vMerge w:val="restart"/>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Reviews and approves establishment of lines of credit or other short-term borrowing arrangements and</w:t>
            </w:r>
          </w:p>
        </w:tc>
        <w:tc>
          <w:tcPr>
            <w:tcW w:w="0" w:type="dxa"/>
            <w:vAlign w:val="bottom"/>
          </w:tcPr>
          <w:p>
            <w:pPr>
              <w:spacing w:after="0"/>
              <w:rPr>
                <w:sz w:val="1"/>
                <w:szCs w:val="1"/>
                <w:color w:val="auto"/>
              </w:rPr>
            </w:pPr>
          </w:p>
        </w:tc>
      </w:tr>
      <w:tr>
        <w:trPr>
          <w:trHeight w:val="175"/>
        </w:trPr>
        <w:tc>
          <w:tcPr>
            <w:tcW w:w="2320" w:type="dxa"/>
            <w:vAlign w:val="bottom"/>
            <w:tcBorders>
              <w:left w:val="single" w:sz="8" w:color="4D5357"/>
              <w:right w:val="single" w:sz="8" w:color="4D5357"/>
            </w:tcBorders>
          </w:tcPr>
          <w:p>
            <w:pPr>
              <w:ind w:left="160"/>
              <w:spacing w:after="0" w:line="175" w:lineRule="exact"/>
              <w:rPr>
                <w:sz w:val="20"/>
                <w:szCs w:val="20"/>
                <w:color w:val="auto"/>
              </w:rPr>
            </w:pPr>
            <w:r>
              <w:rPr>
                <w:rFonts w:ascii="Arial" w:cs="Arial" w:eastAsia="Arial" w:hAnsi="Arial"/>
                <w:sz w:val="16"/>
                <w:szCs w:val="16"/>
                <w:color w:val="333333"/>
              </w:rPr>
              <w:t>Thomas H. Pike</w:t>
            </w:r>
          </w:p>
        </w:tc>
        <w:tc>
          <w:tcPr>
            <w:tcW w:w="880" w:type="dxa"/>
            <w:vAlign w:val="bottom"/>
            <w:vMerge w:val="continue"/>
          </w:tcPr>
          <w:p>
            <w:pPr>
              <w:spacing w:after="0"/>
              <w:rPr>
                <w:sz w:val="15"/>
                <w:szCs w:val="15"/>
                <w:color w:val="auto"/>
              </w:rPr>
            </w:pPr>
          </w:p>
        </w:tc>
        <w:tc>
          <w:tcPr>
            <w:tcW w:w="7840" w:type="dxa"/>
            <w:vAlign w:val="bottom"/>
            <w:tcBorders>
              <w:right w:val="single" w:sz="8" w:color="4D535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320" w:type="dxa"/>
            <w:vAlign w:val="bottom"/>
            <w:tcBorders>
              <w:left w:val="single" w:sz="8" w:color="4D5357"/>
              <w:bottom w:val="single" w:sz="8" w:color="4D5357"/>
              <w:right w:val="single" w:sz="8" w:color="4D5357"/>
            </w:tcBorders>
          </w:tcPr>
          <w:p>
            <w:pPr>
              <w:spacing w:after="0"/>
              <w:rPr>
                <w:sz w:val="18"/>
                <w:szCs w:val="18"/>
                <w:color w:val="auto"/>
              </w:rPr>
            </w:pPr>
          </w:p>
        </w:tc>
        <w:tc>
          <w:tcPr>
            <w:tcW w:w="880" w:type="dxa"/>
            <w:vAlign w:val="bottom"/>
          </w:tcPr>
          <w:p>
            <w:pPr>
              <w:spacing w:after="0"/>
              <w:rPr>
                <w:sz w:val="18"/>
                <w:szCs w:val="18"/>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investing excess working capital funds on a short-term basis.</w:t>
            </w:r>
          </w:p>
        </w:tc>
        <w:tc>
          <w:tcPr>
            <w:tcW w:w="0" w:type="dxa"/>
            <w:vAlign w:val="bottom"/>
          </w:tcPr>
          <w:p>
            <w:pPr>
              <w:spacing w:after="0"/>
              <w:rPr>
                <w:sz w:val="1"/>
                <w:szCs w:val="1"/>
                <w:color w:val="auto"/>
              </w:rPr>
            </w:pPr>
          </w:p>
        </w:tc>
      </w:tr>
      <w:tr>
        <w:trPr>
          <w:trHeight w:val="211"/>
        </w:trPr>
        <w:tc>
          <w:tcPr>
            <w:tcW w:w="2320" w:type="dxa"/>
            <w:vAlign w:val="bottom"/>
            <w:tcBorders>
              <w:left w:val="single" w:sz="8" w:color="4D5357"/>
              <w:right w:val="single" w:sz="8" w:color="4D5357"/>
            </w:tcBorders>
          </w:tcPr>
          <w:p>
            <w:pPr>
              <w:spacing w:after="0"/>
              <w:rPr>
                <w:sz w:val="18"/>
                <w:szCs w:val="18"/>
                <w:color w:val="auto"/>
              </w:rPr>
            </w:pPr>
          </w:p>
        </w:tc>
        <w:tc>
          <w:tcPr>
            <w:tcW w:w="880" w:type="dxa"/>
            <w:vAlign w:val="bottom"/>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Reviews and makes recommendations to the Board concerning changes to capital structure, including the</w:t>
            </w:r>
          </w:p>
        </w:tc>
        <w:tc>
          <w:tcPr>
            <w:tcW w:w="0" w:type="dxa"/>
            <w:vAlign w:val="bottom"/>
          </w:tcPr>
          <w:p>
            <w:pPr>
              <w:spacing w:after="0"/>
              <w:rPr>
                <w:sz w:val="1"/>
                <w:szCs w:val="1"/>
                <w:color w:val="auto"/>
              </w:rPr>
            </w:pPr>
          </w:p>
        </w:tc>
      </w:tr>
      <w:tr>
        <w:trPr>
          <w:trHeight w:val="203"/>
        </w:trPr>
        <w:tc>
          <w:tcPr>
            <w:tcW w:w="2320" w:type="dxa"/>
            <w:vAlign w:val="bottom"/>
            <w:tcBorders>
              <w:left w:val="single" w:sz="8" w:color="4D5357"/>
              <w:right w:val="single" w:sz="8" w:color="4D5357"/>
            </w:tcBorders>
          </w:tcPr>
          <w:p>
            <w:pPr>
              <w:jc w:val="center"/>
              <w:spacing w:after="0" w:line="203" w:lineRule="exact"/>
              <w:rPr>
                <w:sz w:val="20"/>
                <w:szCs w:val="20"/>
                <w:color w:val="auto"/>
              </w:rPr>
            </w:pPr>
            <w:r>
              <w:rPr>
                <w:rFonts w:ascii="Arial" w:cs="Arial" w:eastAsia="Arial" w:hAnsi="Arial"/>
                <w:sz w:val="20"/>
                <w:szCs w:val="20"/>
                <w:b w:val="1"/>
                <w:bCs w:val="1"/>
                <w:color w:val="0086CC"/>
                <w:w w:val="99"/>
              </w:rPr>
              <w:t>Meetings in 2024</w:t>
            </w:r>
          </w:p>
        </w:tc>
        <w:tc>
          <w:tcPr>
            <w:tcW w:w="880" w:type="dxa"/>
            <w:vAlign w:val="bottom"/>
          </w:tcPr>
          <w:p>
            <w:pPr>
              <w:spacing w:after="0"/>
              <w:rPr>
                <w:sz w:val="17"/>
                <w:szCs w:val="17"/>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incurrence of long-term debt, issuance of equity securities, share repurchases, and the payment of</w:t>
            </w:r>
          </w:p>
        </w:tc>
        <w:tc>
          <w:tcPr>
            <w:tcW w:w="0" w:type="dxa"/>
            <w:vAlign w:val="bottom"/>
          </w:tcPr>
          <w:p>
            <w:pPr>
              <w:spacing w:after="0"/>
              <w:rPr>
                <w:sz w:val="1"/>
                <w:szCs w:val="1"/>
                <w:color w:val="auto"/>
              </w:rPr>
            </w:pPr>
          </w:p>
        </w:tc>
      </w:tr>
      <w:tr>
        <w:trPr>
          <w:trHeight w:val="215"/>
        </w:trPr>
        <w:tc>
          <w:tcPr>
            <w:tcW w:w="2320" w:type="dxa"/>
            <w:vAlign w:val="bottom"/>
            <w:tcBorders>
              <w:left w:val="single" w:sz="8" w:color="4D5357"/>
              <w:right w:val="single" w:sz="8" w:color="4D5357"/>
            </w:tcBorders>
            <w:vMerge w:val="restart"/>
          </w:tcPr>
          <w:p>
            <w:pPr>
              <w:jc w:val="right"/>
              <w:ind w:right="933"/>
              <w:spacing w:after="0"/>
              <w:rPr>
                <w:sz w:val="20"/>
                <w:szCs w:val="20"/>
                <w:color w:val="auto"/>
              </w:rPr>
            </w:pPr>
            <w:r>
              <w:rPr>
                <w:rFonts w:ascii="Arial" w:cs="Arial" w:eastAsia="Arial" w:hAnsi="Arial"/>
                <w:sz w:val="49"/>
                <w:szCs w:val="49"/>
                <w:color w:val="auto"/>
              </w:rPr>
              <w:t>5</w:t>
            </w:r>
          </w:p>
        </w:tc>
        <w:tc>
          <w:tcPr>
            <w:tcW w:w="880" w:type="dxa"/>
            <w:vAlign w:val="bottom"/>
          </w:tcPr>
          <w:p>
            <w:pPr>
              <w:spacing w:after="0"/>
              <w:rPr>
                <w:sz w:val="18"/>
                <w:szCs w:val="18"/>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dividends, as well as capital expenditures.</w:t>
            </w:r>
          </w:p>
        </w:tc>
        <w:tc>
          <w:tcPr>
            <w:tcW w:w="0" w:type="dxa"/>
            <w:vAlign w:val="bottom"/>
          </w:tcPr>
          <w:p>
            <w:pPr>
              <w:spacing w:after="0"/>
              <w:rPr>
                <w:sz w:val="1"/>
                <w:szCs w:val="1"/>
                <w:color w:val="auto"/>
              </w:rPr>
            </w:pPr>
          </w:p>
        </w:tc>
      </w:tr>
      <w:tr>
        <w:trPr>
          <w:trHeight w:val="217"/>
        </w:trPr>
        <w:tc>
          <w:tcPr>
            <w:tcW w:w="2320" w:type="dxa"/>
            <w:vAlign w:val="bottom"/>
            <w:tcBorders>
              <w:left w:val="single" w:sz="8" w:color="4D5357"/>
              <w:right w:val="single" w:sz="8" w:color="4D5357"/>
            </w:tcBorders>
            <w:vMerge w:val="continue"/>
          </w:tcPr>
          <w:p>
            <w:pPr>
              <w:spacing w:after="0"/>
              <w:rPr>
                <w:sz w:val="18"/>
                <w:szCs w:val="18"/>
                <w:color w:val="auto"/>
              </w:rPr>
            </w:pPr>
          </w:p>
        </w:tc>
        <w:tc>
          <w:tcPr>
            <w:tcW w:w="880" w:type="dxa"/>
            <w:vAlign w:val="bottom"/>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Reviews annually the adequacy of the Committee charter and recommends proposed changes to the</w:t>
            </w:r>
          </w:p>
        </w:tc>
        <w:tc>
          <w:tcPr>
            <w:tcW w:w="0" w:type="dxa"/>
            <w:vAlign w:val="bottom"/>
          </w:tcPr>
          <w:p>
            <w:pPr>
              <w:spacing w:after="0"/>
              <w:rPr>
                <w:sz w:val="1"/>
                <w:szCs w:val="1"/>
                <w:color w:val="auto"/>
              </w:rPr>
            </w:pPr>
          </w:p>
        </w:tc>
      </w:tr>
      <w:tr>
        <w:trPr>
          <w:trHeight w:val="215"/>
        </w:trPr>
        <w:tc>
          <w:tcPr>
            <w:tcW w:w="2320" w:type="dxa"/>
            <w:vAlign w:val="bottom"/>
            <w:tcBorders>
              <w:left w:val="single" w:sz="8" w:color="4D5357"/>
              <w:right w:val="single" w:sz="8" w:color="4D5357"/>
            </w:tcBorders>
            <w:vMerge w:val="continue"/>
          </w:tcPr>
          <w:p>
            <w:pPr>
              <w:spacing w:after="0"/>
              <w:rPr>
                <w:sz w:val="18"/>
                <w:szCs w:val="18"/>
                <w:color w:val="auto"/>
              </w:rPr>
            </w:pPr>
          </w:p>
        </w:tc>
        <w:tc>
          <w:tcPr>
            <w:tcW w:w="880" w:type="dxa"/>
            <w:vAlign w:val="bottom"/>
          </w:tcPr>
          <w:p>
            <w:pPr>
              <w:spacing w:after="0"/>
              <w:rPr>
                <w:sz w:val="18"/>
                <w:szCs w:val="18"/>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Board.</w:t>
            </w:r>
          </w:p>
        </w:tc>
        <w:tc>
          <w:tcPr>
            <w:tcW w:w="0" w:type="dxa"/>
            <w:vAlign w:val="bottom"/>
          </w:tcPr>
          <w:p>
            <w:pPr>
              <w:spacing w:after="0"/>
              <w:rPr>
                <w:sz w:val="1"/>
                <w:szCs w:val="1"/>
                <w:color w:val="auto"/>
              </w:rPr>
            </w:pPr>
          </w:p>
        </w:tc>
      </w:tr>
      <w:tr>
        <w:trPr>
          <w:trHeight w:val="150"/>
        </w:trPr>
        <w:tc>
          <w:tcPr>
            <w:tcW w:w="2320" w:type="dxa"/>
            <w:vAlign w:val="bottom"/>
            <w:tcBorders>
              <w:left w:val="single" w:sz="8" w:color="4D5357"/>
              <w:bottom w:val="single" w:sz="8" w:color="4D5357"/>
              <w:right w:val="single" w:sz="8" w:color="4D5357"/>
            </w:tcBorders>
          </w:tcPr>
          <w:p>
            <w:pPr>
              <w:spacing w:after="0"/>
              <w:rPr>
                <w:sz w:val="13"/>
                <w:szCs w:val="13"/>
                <w:color w:val="auto"/>
              </w:rPr>
            </w:pPr>
          </w:p>
        </w:tc>
        <w:tc>
          <w:tcPr>
            <w:tcW w:w="880" w:type="dxa"/>
            <w:vAlign w:val="bottom"/>
            <w:vMerge w:val="restart"/>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 xml:space="preserve">Oversees our policies and practices on political contributions, including those contained in our </w:t>
            </w:r>
            <w:r>
              <w:rPr>
                <w:rFonts w:ascii="Arial" w:cs="Arial" w:eastAsia="Arial" w:hAnsi="Arial"/>
                <w:sz w:val="16"/>
                <w:szCs w:val="16"/>
                <w:i w:val="1"/>
                <w:iCs w:val="1"/>
                <w:color w:val="333333"/>
              </w:rPr>
              <w:t>Code of</w:t>
            </w:r>
          </w:p>
        </w:tc>
        <w:tc>
          <w:tcPr>
            <w:tcW w:w="0" w:type="dxa"/>
            <w:vAlign w:val="bottom"/>
          </w:tcPr>
          <w:p>
            <w:pPr>
              <w:spacing w:after="0"/>
              <w:rPr>
                <w:sz w:val="1"/>
                <w:szCs w:val="1"/>
                <w:color w:val="auto"/>
              </w:rPr>
            </w:pPr>
          </w:p>
        </w:tc>
      </w:tr>
      <w:tr>
        <w:trPr>
          <w:trHeight w:val="60"/>
        </w:trPr>
        <w:tc>
          <w:tcPr>
            <w:tcW w:w="2320" w:type="dxa"/>
            <w:vAlign w:val="bottom"/>
            <w:tcBorders>
              <w:left w:val="single" w:sz="8" w:color="4D5357"/>
              <w:right w:val="single" w:sz="8" w:color="4D5357"/>
            </w:tcBorders>
          </w:tcPr>
          <w:p>
            <w:pPr>
              <w:spacing w:after="0"/>
              <w:rPr>
                <w:sz w:val="5"/>
                <w:szCs w:val="5"/>
                <w:color w:val="auto"/>
              </w:rPr>
            </w:pPr>
          </w:p>
        </w:tc>
        <w:tc>
          <w:tcPr>
            <w:tcW w:w="880" w:type="dxa"/>
            <w:vAlign w:val="bottom"/>
            <w:vMerge w:val="continue"/>
          </w:tcPr>
          <w:p>
            <w:pPr>
              <w:spacing w:after="0"/>
              <w:rPr>
                <w:sz w:val="5"/>
                <w:szCs w:val="5"/>
                <w:color w:val="auto"/>
              </w:rPr>
            </w:pPr>
          </w:p>
        </w:tc>
        <w:tc>
          <w:tcPr>
            <w:tcW w:w="7840" w:type="dxa"/>
            <w:vAlign w:val="bottom"/>
            <w:tcBorders>
              <w:right w:val="single" w:sz="8" w:color="4D5357"/>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4D5357"/>
              <w:right w:val="single" w:sz="8" w:color="4D5357"/>
            </w:tcBorders>
            <w:vMerge w:val="restart"/>
          </w:tcPr>
          <w:p>
            <w:pPr>
              <w:jc w:val="center"/>
              <w:spacing w:after="0"/>
              <w:rPr>
                <w:sz w:val="20"/>
                <w:szCs w:val="20"/>
                <w:color w:val="auto"/>
              </w:rPr>
            </w:pPr>
            <w:r>
              <w:rPr>
                <w:rFonts w:ascii="Arial" w:cs="Arial" w:eastAsia="Arial" w:hAnsi="Arial"/>
                <w:sz w:val="20"/>
                <w:szCs w:val="20"/>
                <w:b w:val="1"/>
                <w:bCs w:val="1"/>
                <w:color w:val="0086CC"/>
                <w:w w:val="99"/>
              </w:rPr>
              <w:t>Average Attendance</w:t>
            </w:r>
          </w:p>
        </w:tc>
        <w:tc>
          <w:tcPr>
            <w:tcW w:w="880" w:type="dxa"/>
            <w:vAlign w:val="bottom"/>
          </w:tcPr>
          <w:p>
            <w:pPr>
              <w:spacing w:after="0"/>
              <w:rPr>
                <w:sz w:val="16"/>
                <w:szCs w:val="16"/>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i w:val="1"/>
                <w:iCs w:val="1"/>
                <w:color w:val="333333"/>
              </w:rPr>
              <w:t>Ethical Business Conduct</w:t>
            </w:r>
            <w:r>
              <w:rPr>
                <w:rFonts w:ascii="Arial" w:cs="Arial" w:eastAsia="Arial" w:hAnsi="Arial"/>
                <w:sz w:val="16"/>
                <w:szCs w:val="16"/>
                <w:color w:val="333333"/>
              </w:rPr>
              <w:t>, and reviews our political activities, including lobbying and/or through trade</w:t>
            </w:r>
          </w:p>
        </w:tc>
        <w:tc>
          <w:tcPr>
            <w:tcW w:w="0" w:type="dxa"/>
            <w:vAlign w:val="bottom"/>
          </w:tcPr>
          <w:p>
            <w:pPr>
              <w:spacing w:after="0"/>
              <w:rPr>
                <w:sz w:val="1"/>
                <w:szCs w:val="1"/>
                <w:color w:val="auto"/>
              </w:rPr>
            </w:pPr>
          </w:p>
        </w:tc>
      </w:tr>
      <w:tr>
        <w:trPr>
          <w:trHeight w:val="180"/>
        </w:trPr>
        <w:tc>
          <w:tcPr>
            <w:tcW w:w="2320" w:type="dxa"/>
            <w:vAlign w:val="bottom"/>
            <w:tcBorders>
              <w:left w:val="single" w:sz="8" w:color="4D5357"/>
              <w:right w:val="single" w:sz="8" w:color="4D5357"/>
            </w:tcBorders>
            <w:vMerge w:val="continue"/>
          </w:tcPr>
          <w:p>
            <w:pPr>
              <w:spacing w:after="0"/>
              <w:rPr>
                <w:sz w:val="15"/>
                <w:szCs w:val="15"/>
                <w:color w:val="auto"/>
              </w:rPr>
            </w:pPr>
          </w:p>
        </w:tc>
        <w:tc>
          <w:tcPr>
            <w:tcW w:w="880" w:type="dxa"/>
            <w:vAlign w:val="bottom"/>
          </w:tcPr>
          <w:p>
            <w:pPr>
              <w:spacing w:after="0"/>
              <w:rPr>
                <w:sz w:val="15"/>
                <w:szCs w:val="15"/>
                <w:color w:val="auto"/>
              </w:rPr>
            </w:pPr>
          </w:p>
        </w:tc>
        <w:tc>
          <w:tcPr>
            <w:tcW w:w="7840" w:type="dxa"/>
            <w:vAlign w:val="bottom"/>
            <w:tcBorders>
              <w:right w:val="single" w:sz="8" w:color="4D5357"/>
            </w:tcBorders>
          </w:tcPr>
          <w:p>
            <w:pPr>
              <w:ind w:left="40"/>
              <w:spacing w:after="0" w:line="180" w:lineRule="exact"/>
              <w:rPr>
                <w:sz w:val="20"/>
                <w:szCs w:val="20"/>
                <w:color w:val="auto"/>
              </w:rPr>
            </w:pPr>
            <w:r>
              <w:rPr>
                <w:rFonts w:ascii="Arial" w:cs="Arial" w:eastAsia="Arial" w:hAnsi="Arial"/>
                <w:sz w:val="16"/>
                <w:szCs w:val="16"/>
                <w:color w:val="333333"/>
              </w:rPr>
              <w:t>associations of which we are a member, and expenditures, and ensure that any such activities are</w:t>
            </w:r>
          </w:p>
        </w:tc>
        <w:tc>
          <w:tcPr>
            <w:tcW w:w="0" w:type="dxa"/>
            <w:vAlign w:val="bottom"/>
          </w:tcPr>
          <w:p>
            <w:pPr>
              <w:spacing w:after="0"/>
              <w:rPr>
                <w:sz w:val="1"/>
                <w:szCs w:val="1"/>
                <w:color w:val="auto"/>
              </w:rPr>
            </w:pPr>
          </w:p>
        </w:tc>
      </w:tr>
      <w:tr>
        <w:trPr>
          <w:trHeight w:val="199"/>
        </w:trPr>
        <w:tc>
          <w:tcPr>
            <w:tcW w:w="2320" w:type="dxa"/>
            <w:vAlign w:val="bottom"/>
            <w:tcBorders>
              <w:left w:val="single" w:sz="8" w:color="4D5357"/>
              <w:right w:val="single" w:sz="8" w:color="4D5357"/>
            </w:tcBorders>
          </w:tcPr>
          <w:p>
            <w:pPr>
              <w:jc w:val="center"/>
              <w:spacing w:after="0" w:line="199" w:lineRule="exact"/>
              <w:rPr>
                <w:sz w:val="20"/>
                <w:szCs w:val="20"/>
                <w:color w:val="auto"/>
              </w:rPr>
            </w:pPr>
            <w:r>
              <w:rPr>
                <w:rFonts w:ascii="Arial" w:cs="Arial" w:eastAsia="Arial" w:hAnsi="Arial"/>
                <w:sz w:val="20"/>
                <w:szCs w:val="20"/>
                <w:b w:val="1"/>
                <w:bCs w:val="1"/>
                <w:color w:val="0086CC"/>
                <w:w w:val="96"/>
              </w:rPr>
              <w:t>in 2025:</w:t>
            </w:r>
          </w:p>
        </w:tc>
        <w:tc>
          <w:tcPr>
            <w:tcW w:w="880" w:type="dxa"/>
            <w:vAlign w:val="bottom"/>
          </w:tcPr>
          <w:p>
            <w:pPr>
              <w:spacing w:after="0"/>
              <w:rPr>
                <w:sz w:val="17"/>
                <w:szCs w:val="17"/>
                <w:color w:val="auto"/>
              </w:rPr>
            </w:pPr>
          </w:p>
        </w:tc>
        <w:tc>
          <w:tcPr>
            <w:tcW w:w="7840" w:type="dxa"/>
            <w:vAlign w:val="bottom"/>
            <w:tcBorders>
              <w:right w:val="single" w:sz="8" w:color="4D5357"/>
            </w:tcBorders>
          </w:tcPr>
          <w:p>
            <w:pPr>
              <w:ind w:left="40"/>
              <w:spacing w:after="0"/>
              <w:rPr>
                <w:sz w:val="20"/>
                <w:szCs w:val="20"/>
                <w:color w:val="auto"/>
              </w:rPr>
            </w:pPr>
            <w:r>
              <w:rPr>
                <w:rFonts w:ascii="Arial" w:cs="Arial" w:eastAsia="Arial" w:hAnsi="Arial"/>
                <w:sz w:val="16"/>
                <w:szCs w:val="16"/>
                <w:color w:val="333333"/>
              </w:rPr>
              <w:t>consistent with and serve to promote our business strategy and goals.</w:t>
            </w:r>
          </w:p>
        </w:tc>
        <w:tc>
          <w:tcPr>
            <w:tcW w:w="0" w:type="dxa"/>
            <w:vAlign w:val="bottom"/>
          </w:tcPr>
          <w:p>
            <w:pPr>
              <w:spacing w:after="0"/>
              <w:rPr>
                <w:sz w:val="1"/>
                <w:szCs w:val="1"/>
                <w:color w:val="auto"/>
              </w:rPr>
            </w:pPr>
          </w:p>
        </w:tc>
      </w:tr>
      <w:tr>
        <w:trPr>
          <w:trHeight w:val="229"/>
        </w:trPr>
        <w:tc>
          <w:tcPr>
            <w:tcW w:w="2320" w:type="dxa"/>
            <w:vAlign w:val="bottom"/>
            <w:tcBorders>
              <w:left w:val="single" w:sz="8" w:color="4D5357"/>
              <w:right w:val="single" w:sz="8" w:color="4D5357"/>
            </w:tcBorders>
          </w:tcPr>
          <w:p>
            <w:pPr>
              <w:jc w:val="right"/>
              <w:ind w:right="453"/>
              <w:spacing w:after="0" w:line="230" w:lineRule="exact"/>
              <w:rPr>
                <w:sz w:val="20"/>
                <w:szCs w:val="20"/>
                <w:color w:val="auto"/>
              </w:rPr>
            </w:pPr>
            <w:r>
              <w:rPr>
                <w:rFonts w:ascii="Arial" w:cs="Arial" w:eastAsia="Arial" w:hAnsi="Arial"/>
                <w:sz w:val="26"/>
                <w:szCs w:val="26"/>
                <w:color w:val="auto"/>
              </w:rPr>
              <w:t>100%</w:t>
            </w:r>
          </w:p>
        </w:tc>
        <w:tc>
          <w:tcPr>
            <w:tcW w:w="880" w:type="dxa"/>
            <w:vAlign w:val="bottom"/>
            <w:vMerge w:val="restart"/>
          </w:tcPr>
          <w:p>
            <w:pPr>
              <w:ind w:left="760"/>
              <w:spacing w:after="0"/>
              <w:rPr>
                <w:sz w:val="20"/>
                <w:szCs w:val="20"/>
                <w:color w:val="auto"/>
              </w:rPr>
            </w:pPr>
            <w:r>
              <w:rPr>
                <w:rFonts w:ascii="Arial" w:cs="Arial" w:eastAsia="Arial" w:hAnsi="Arial"/>
                <w:sz w:val="16"/>
                <w:szCs w:val="16"/>
                <w:color w:val="333333"/>
              </w:rPr>
              <w:t>•</w:t>
            </w:r>
          </w:p>
        </w:tc>
        <w:tc>
          <w:tcPr>
            <w:tcW w:w="7840" w:type="dxa"/>
            <w:vAlign w:val="bottom"/>
            <w:tcBorders>
              <w:right w:val="single" w:sz="8" w:color="4D5357"/>
            </w:tcBorders>
            <w:vMerge w:val="restart"/>
          </w:tcPr>
          <w:p>
            <w:pPr>
              <w:ind w:left="40"/>
              <w:spacing w:after="0"/>
              <w:rPr>
                <w:sz w:val="20"/>
                <w:szCs w:val="20"/>
                <w:color w:val="auto"/>
              </w:rPr>
            </w:pPr>
            <w:r>
              <w:rPr>
                <w:rFonts w:ascii="Arial" w:cs="Arial" w:eastAsia="Arial" w:hAnsi="Arial"/>
                <w:sz w:val="16"/>
                <w:szCs w:val="16"/>
                <w:color w:val="333333"/>
              </w:rPr>
              <w:t>Reviews and approves charitable contributions and community support budgets.</w:t>
            </w:r>
          </w:p>
        </w:tc>
        <w:tc>
          <w:tcPr>
            <w:tcW w:w="0" w:type="dxa"/>
            <w:vAlign w:val="bottom"/>
          </w:tcPr>
          <w:p>
            <w:pPr>
              <w:spacing w:after="0"/>
              <w:rPr>
                <w:sz w:val="1"/>
                <w:szCs w:val="1"/>
                <w:color w:val="auto"/>
              </w:rPr>
            </w:pPr>
          </w:p>
        </w:tc>
      </w:tr>
      <w:tr>
        <w:trPr>
          <w:trHeight w:val="52"/>
        </w:trPr>
        <w:tc>
          <w:tcPr>
            <w:tcW w:w="2320" w:type="dxa"/>
            <w:vAlign w:val="bottom"/>
            <w:tcBorders>
              <w:left w:val="single" w:sz="8" w:color="4D5357"/>
              <w:right w:val="single" w:sz="8" w:color="4D5357"/>
            </w:tcBorders>
          </w:tcPr>
          <w:p>
            <w:pPr>
              <w:spacing w:after="0"/>
              <w:rPr>
                <w:sz w:val="4"/>
                <w:szCs w:val="4"/>
                <w:color w:val="auto"/>
              </w:rPr>
            </w:pPr>
          </w:p>
        </w:tc>
        <w:tc>
          <w:tcPr>
            <w:tcW w:w="880" w:type="dxa"/>
            <w:vAlign w:val="bottom"/>
            <w:vMerge w:val="continue"/>
          </w:tcPr>
          <w:p>
            <w:pPr>
              <w:spacing w:after="0"/>
              <w:rPr>
                <w:sz w:val="4"/>
                <w:szCs w:val="4"/>
                <w:color w:val="auto"/>
              </w:rPr>
            </w:pPr>
          </w:p>
        </w:tc>
        <w:tc>
          <w:tcPr>
            <w:tcW w:w="7840" w:type="dxa"/>
            <w:vAlign w:val="bottom"/>
            <w:tcBorders>
              <w:right w:val="single" w:sz="8" w:color="4D535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5"/>
        </w:trPr>
        <w:tc>
          <w:tcPr>
            <w:tcW w:w="2320" w:type="dxa"/>
            <w:vAlign w:val="bottom"/>
            <w:tcBorders>
              <w:left w:val="single" w:sz="8" w:color="4D5357"/>
              <w:bottom w:val="single" w:sz="8" w:color="4D5357"/>
              <w:right w:val="single" w:sz="8" w:color="4D5357"/>
            </w:tcBorders>
          </w:tcPr>
          <w:p>
            <w:pPr>
              <w:spacing w:after="0"/>
              <w:rPr>
                <w:sz w:val="24"/>
                <w:szCs w:val="24"/>
                <w:color w:val="auto"/>
              </w:rPr>
            </w:pPr>
          </w:p>
        </w:tc>
        <w:tc>
          <w:tcPr>
            <w:tcW w:w="880" w:type="dxa"/>
            <w:vAlign w:val="bottom"/>
            <w:tcBorders>
              <w:bottom w:val="single" w:sz="8" w:color="4D5357"/>
            </w:tcBorders>
          </w:tcPr>
          <w:p>
            <w:pPr>
              <w:spacing w:after="0"/>
              <w:rPr>
                <w:sz w:val="24"/>
                <w:szCs w:val="24"/>
                <w:color w:val="auto"/>
              </w:rPr>
            </w:pPr>
          </w:p>
        </w:tc>
        <w:tc>
          <w:tcPr>
            <w:tcW w:w="7840" w:type="dxa"/>
            <w:vAlign w:val="bottom"/>
            <w:tcBorders>
              <w:bottom w:val="single" w:sz="8" w:color="4D5357"/>
              <w:right w:val="single" w:sz="8" w:color="4D5357"/>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20" w:type="dxa"/>
            <w:vAlign w:val="bottom"/>
          </w:tcPr>
          <w:p>
            <w:pPr>
              <w:spacing w:after="0"/>
              <w:rPr>
                <w:sz w:val="20"/>
                <w:szCs w:val="20"/>
                <w:color w:val="auto"/>
              </w:rPr>
            </w:pPr>
            <w:r>
              <w:rPr>
                <w:rFonts w:ascii="Arial" w:cs="Arial" w:eastAsia="Arial" w:hAnsi="Arial"/>
                <w:sz w:val="16"/>
                <w:szCs w:val="16"/>
                <w:color w:val="333333"/>
              </w:rPr>
              <w:t> </w:t>
            </w:r>
          </w:p>
        </w:tc>
        <w:tc>
          <w:tcPr>
            <w:tcW w:w="8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20</w:t>
            </w:r>
          </w:p>
        </w:tc>
        <w:tc>
          <w:tcPr>
            <w:tcW w:w="880" w:type="dxa"/>
            <w:vAlign w:val="bottom"/>
          </w:tcPr>
          <w:p>
            <w:pPr>
              <w:spacing w:after="0"/>
              <w:rPr>
                <w:sz w:val="19"/>
                <w:szCs w:val="19"/>
                <w:color w:val="auto"/>
              </w:rPr>
            </w:pPr>
          </w:p>
        </w:tc>
        <w:tc>
          <w:tcPr>
            <w:tcW w:w="7840" w:type="dxa"/>
            <w:vAlign w:val="bottom"/>
          </w:tcPr>
          <w:p>
            <w:pPr>
              <w:ind w:left="7040"/>
              <w:spacing w:after="0"/>
              <w:rPr>
                <w:sz w:val="20"/>
                <w:szCs w:val="20"/>
                <w:color w:val="auto"/>
              </w:rPr>
            </w:pPr>
            <w:r>
              <w:rPr>
                <w:rFonts w:ascii="Arial" w:cs="Arial" w:eastAsia="Arial" w:hAnsi="Arial"/>
                <w:sz w:val="16"/>
                <w:szCs w:val="16"/>
                <w:color w:val="333333"/>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995160" cy="6000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bookmarkStart w:id="26" w:name="page27"/>
    <w:bookmarkEnd w:id="26"/>
    <w:tbl>
      <w:tblPr>
        <w:tblLayout w:type="fixed"/>
        <w:tblInd w:w="9360" w:type="dxa"/>
        <w:tblCellMar>
          <w:top w:w="0" w:type="dxa"/>
          <w:left w:w="0" w:type="dxa"/>
          <w:bottom w:w="0" w:type="dxa"/>
          <w:right w:w="0" w:type="dxa"/>
        </w:tblCellMar>
      </w:tblPr>
      <w:tr>
        <w:trPr>
          <w:trHeight w:val="531"/>
        </w:trPr>
        <w:tc>
          <w:tcPr>
            <w:tcW w:w="300" w:type="dxa"/>
            <w:vAlign w:val="bottom"/>
            <w:shd w:val="clear" w:color="auto" w:fill="4D5357"/>
          </w:tcPr>
          <w:p>
            <w:pPr>
              <w:ind w:left="240"/>
              <w:spacing w:after="0"/>
              <w:rPr>
                <w:sz w:val="20"/>
                <w:szCs w:val="20"/>
                <w:color w:val="auto"/>
              </w:rPr>
            </w:pPr>
            <w:r>
              <w:rPr>
                <w:rFonts w:ascii="Arial" w:cs="Arial" w:eastAsia="Arial" w:hAnsi="Arial"/>
                <w:sz w:val="5"/>
                <w:szCs w:val="5"/>
                <w:b w:val="1"/>
                <w:bCs w:val="1"/>
                <w:color w:val="FFFFFF"/>
                <w:w w:val="79"/>
              </w:rPr>
              <w:t> </w:t>
            </w:r>
          </w:p>
        </w:tc>
        <w:tc>
          <w:tcPr>
            <w:tcW w:w="160" w:type="dxa"/>
            <w:vAlign w:val="bottom"/>
            <w:shd w:val="clear" w:color="auto" w:fill="4D5357"/>
          </w:tcPr>
          <w:p>
            <w:pPr>
              <w:ind w:left="80"/>
              <w:spacing w:after="0"/>
              <w:rPr>
                <w:sz w:val="20"/>
                <w:szCs w:val="20"/>
                <w:color w:val="auto"/>
              </w:rPr>
            </w:pPr>
            <w:r>
              <w:rPr>
                <w:rFonts w:ascii="Arial" w:cs="Arial" w:eastAsia="Arial" w:hAnsi="Arial"/>
                <w:sz w:val="8"/>
                <w:szCs w:val="8"/>
                <w:b w:val="1"/>
                <w:bCs w:val="1"/>
                <w:color w:val="FFFFFF"/>
                <w:w w:val="74"/>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3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300" w:type="dxa"/>
            <w:vAlign w:val="bottom"/>
            <w:shd w:val="clear" w:color="auto" w:fill="4D5357"/>
          </w:tcPr>
          <w:p>
            <w:pPr>
              <w:ind w:left="200"/>
              <w:spacing w:after="0"/>
              <w:rPr>
                <w:sz w:val="20"/>
                <w:szCs w:val="20"/>
                <w:color w:val="auto"/>
              </w:rPr>
            </w:pPr>
            <w:r>
              <w:rPr>
                <w:rFonts w:ascii="Arial" w:cs="Arial" w:eastAsia="Arial" w:hAnsi="Arial"/>
                <w:sz w:val="11"/>
                <w:szCs w:val="11"/>
                <w:b w:val="1"/>
                <w:bCs w:val="1"/>
                <w:color w:val="FFFFFF"/>
                <w:w w:val="72"/>
              </w:rPr>
              <w:t> </w:t>
            </w:r>
          </w:p>
        </w:tc>
        <w:tc>
          <w:tcPr>
            <w:tcW w:w="16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w w:val="71"/>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3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10"/>
        </w:trPr>
        <w:tc>
          <w:tcPr>
            <w:tcW w:w="300" w:type="dxa"/>
            <w:vAlign w:val="bottom"/>
            <w:shd w:val="clear" w:color="auto" w:fill="4D5357"/>
          </w:tcPr>
          <w:p>
            <w:pPr>
              <w:spacing w:after="0"/>
              <w:rPr>
                <w:sz w:val="9"/>
                <w:szCs w:val="9"/>
                <w:color w:val="auto"/>
              </w:rPr>
            </w:pPr>
          </w:p>
        </w:tc>
        <w:tc>
          <w:tcPr>
            <w:tcW w:w="160" w:type="dxa"/>
            <w:vAlign w:val="bottom"/>
            <w:shd w:val="clear" w:color="auto" w:fill="4D5357"/>
          </w:tcPr>
          <w:p>
            <w:pPr>
              <w:spacing w:after="0"/>
              <w:rPr>
                <w:sz w:val="9"/>
                <w:szCs w:val="9"/>
                <w:color w:val="auto"/>
              </w:rPr>
            </w:pPr>
          </w:p>
        </w:tc>
        <w:tc>
          <w:tcPr>
            <w:tcW w:w="900" w:type="dxa"/>
            <w:vAlign w:val="bottom"/>
            <w:shd w:val="clear" w:color="auto" w:fill="4D5357"/>
          </w:tcPr>
          <w:p>
            <w:pPr>
              <w:spacing w:after="0"/>
              <w:rPr>
                <w:sz w:val="9"/>
                <w:szCs w:val="9"/>
                <w:color w:val="auto"/>
              </w:rPr>
            </w:pPr>
          </w:p>
        </w:tc>
        <w:tc>
          <w:tcPr>
            <w:tcW w:w="300" w:type="dxa"/>
            <w:vAlign w:val="bottom"/>
            <w:shd w:val="clear" w:color="auto" w:fill="4D53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93980</wp:posOffset>
            </wp:positionV>
            <wp:extent cx="480060" cy="428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0060" cy="428625"/>
                    </a:xfrm>
                    <a:prstGeom prst="rect">
                      <a:avLst/>
                    </a:prstGeom>
                    <a:noFill/>
                  </pic:spPr>
                </pic:pic>
              </a:graphicData>
            </a:graphic>
          </wp:anchor>
        </w:drawing>
      </w:r>
    </w:p>
    <w:p>
      <w:pPr>
        <w:spacing w:after="0" w:line="254" w:lineRule="exact"/>
        <w:rPr>
          <w:sz w:val="20"/>
          <w:szCs w:val="20"/>
          <w:color w:val="auto"/>
        </w:rPr>
      </w:pPr>
    </w:p>
    <w:p>
      <w:pPr>
        <w:ind w:left="1100"/>
        <w:spacing w:after="0"/>
        <w:rPr>
          <w:sz w:val="20"/>
          <w:szCs w:val="20"/>
          <w:color w:val="auto"/>
        </w:rPr>
      </w:pPr>
      <w:r>
        <w:rPr>
          <w:rFonts w:ascii="Arial" w:cs="Arial" w:eastAsia="Arial" w:hAnsi="Arial"/>
          <w:sz w:val="31"/>
          <w:szCs w:val="31"/>
          <w:color w:val="0086CC"/>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200025</wp:posOffset>
            </wp:positionV>
            <wp:extent cx="6926580" cy="37890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6580" cy="378904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86CC"/>
        </w:rPr>
        <w:t>Current Members:</w:t>
      </w:r>
    </w:p>
    <w:p>
      <w:pPr>
        <w:spacing w:after="0" w:line="12" w:lineRule="exact"/>
        <w:rPr>
          <w:sz w:val="20"/>
          <w:szCs w:val="20"/>
          <w:color w:val="auto"/>
        </w:rPr>
      </w:pPr>
    </w:p>
    <w:p>
      <w:pPr>
        <w:ind w:left="220" w:right="400"/>
        <w:spacing w:after="0" w:line="252" w:lineRule="auto"/>
        <w:rPr>
          <w:sz w:val="20"/>
          <w:szCs w:val="20"/>
          <w:color w:val="auto"/>
        </w:rPr>
      </w:pPr>
      <w:r>
        <w:rPr>
          <w:rFonts w:ascii="Arial" w:cs="Arial" w:eastAsia="Arial" w:hAnsi="Arial"/>
          <w:sz w:val="16"/>
          <w:szCs w:val="16"/>
          <w:color w:val="333333"/>
        </w:rPr>
        <w:t>John J. Koraleski (Chair) Mary T. Mack Donald W. Slager David C. Wajsgras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86CC"/>
        </w:rPr>
        <w:t>Meetings in 2025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49"/>
          <w:szCs w:val="49"/>
          <w:color w:val="auto"/>
        </w:rPr>
        <w:t>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086CC"/>
        </w:rPr>
        <w:t>Average Attendance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86CC"/>
        </w:rPr>
        <w:t>in 2025:</w:t>
      </w:r>
    </w:p>
    <w:p>
      <w:pPr>
        <w:ind w:left="560"/>
        <w:spacing w:after="0"/>
        <w:rPr>
          <w:sz w:val="20"/>
          <w:szCs w:val="20"/>
          <w:color w:val="auto"/>
        </w:rPr>
      </w:pPr>
      <w:r>
        <w:rPr>
          <w:rFonts w:ascii="Arial" w:cs="Arial" w:eastAsia="Arial" w:hAnsi="Arial"/>
          <w:sz w:val="49"/>
          <w:szCs w:val="49"/>
          <w:color w:val="auto"/>
        </w:rPr>
        <w:t>100%</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86CC"/>
        </w:rPr>
        <w:t>Primary Responsibilities:</w:t>
      </w:r>
    </w:p>
    <w:p>
      <w:pPr>
        <w:spacing w:after="0" w:line="79" w:lineRule="exact"/>
        <w:rPr>
          <w:sz w:val="20"/>
          <w:szCs w:val="20"/>
          <w:color w:val="auto"/>
        </w:rPr>
      </w:pPr>
    </w:p>
    <w:p>
      <w:pPr>
        <w:ind w:left="160" w:right="120" w:hanging="152"/>
        <w:spacing w:after="0" w:line="28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Establishes an overall strategy with respect to compensation for officers and management to enable Martin Marietta to attract and retain qualified employees.</w:t>
      </w:r>
    </w:p>
    <w:p>
      <w:pPr>
        <w:spacing w:after="0" w:line="7" w:lineRule="exact"/>
        <w:rPr>
          <w:rFonts w:ascii="Arial" w:cs="Arial" w:eastAsia="Arial" w:hAnsi="Arial"/>
          <w:sz w:val="16"/>
          <w:szCs w:val="16"/>
          <w:color w:val="333333"/>
        </w:rPr>
      </w:pPr>
    </w:p>
    <w:p>
      <w:pPr>
        <w:ind w:left="160" w:hanging="152"/>
        <w:spacing w:after="0"/>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Reviews and oversees executive succession and management development plans.</w:t>
      </w:r>
    </w:p>
    <w:p>
      <w:pPr>
        <w:spacing w:after="0" w:line="72" w:lineRule="exact"/>
        <w:rPr>
          <w:rFonts w:ascii="Arial" w:cs="Arial" w:eastAsia="Arial" w:hAnsi="Arial"/>
          <w:sz w:val="16"/>
          <w:szCs w:val="16"/>
          <w:color w:val="333333"/>
        </w:rPr>
      </w:pPr>
    </w:p>
    <w:p>
      <w:pPr>
        <w:ind w:left="160" w:right="280" w:hanging="152"/>
        <w:spacing w:after="0" w:line="28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Reviews and approves management’s assessment of the performance of executive officers, and reviews and approves the salary, incentive compensation, and other compensation of such officers.</w:t>
      </w:r>
    </w:p>
    <w:p>
      <w:pPr>
        <w:spacing w:after="0" w:line="7" w:lineRule="exact"/>
        <w:rPr>
          <w:rFonts w:ascii="Arial" w:cs="Arial" w:eastAsia="Arial" w:hAnsi="Arial"/>
          <w:sz w:val="16"/>
          <w:szCs w:val="16"/>
          <w:color w:val="333333"/>
        </w:rPr>
      </w:pPr>
    </w:p>
    <w:p>
      <w:pPr>
        <w:ind w:left="160" w:right="740" w:hanging="152"/>
        <w:spacing w:after="0" w:line="28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Approves and administers our equity and other plans relating to compensation of Martin Marietta’s directors and executive officers.</w:t>
      </w:r>
    </w:p>
    <w:p>
      <w:pPr>
        <w:spacing w:after="0" w:line="7" w:lineRule="exact"/>
        <w:rPr>
          <w:rFonts w:ascii="Arial" w:cs="Arial" w:eastAsia="Arial" w:hAnsi="Arial"/>
          <w:sz w:val="16"/>
          <w:szCs w:val="16"/>
          <w:color w:val="333333"/>
        </w:rPr>
      </w:pPr>
    </w:p>
    <w:p>
      <w:pPr>
        <w:ind w:left="160" w:right="720" w:hanging="152"/>
        <w:spacing w:after="0" w:line="28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Reviews and discusses the Compensation Discussion and Analysis and produces a compensation committee report as required by the SEC to be included in this Proxy Statement.</w:t>
      </w:r>
    </w:p>
    <w:p>
      <w:pPr>
        <w:spacing w:after="0" w:line="7" w:lineRule="exact"/>
        <w:rPr>
          <w:rFonts w:ascii="Arial" w:cs="Arial" w:eastAsia="Arial" w:hAnsi="Arial"/>
          <w:sz w:val="16"/>
          <w:szCs w:val="16"/>
          <w:color w:val="333333"/>
        </w:rPr>
      </w:pPr>
    </w:p>
    <w:p>
      <w:pPr>
        <w:ind w:left="160" w:right="180" w:hanging="152"/>
        <w:spacing w:after="0" w:line="28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Provides oversight of our Benefit Plan Committee, which administers Martin Marietta’s defined benefit and contribution plans.</w:t>
      </w:r>
    </w:p>
    <w:p>
      <w:pPr>
        <w:spacing w:after="0" w:line="7" w:lineRule="exact"/>
        <w:rPr>
          <w:rFonts w:ascii="Arial" w:cs="Arial" w:eastAsia="Arial" w:hAnsi="Arial"/>
          <w:sz w:val="16"/>
          <w:szCs w:val="16"/>
          <w:color w:val="333333"/>
        </w:rPr>
      </w:pPr>
    </w:p>
    <w:p>
      <w:pPr>
        <w:ind w:left="160" w:right="700" w:hanging="152"/>
        <w:spacing w:after="0" w:line="26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Reviews and approves the goals and objectives for the CEO’s compensation, evaluates the CEO’s performance in light of those goals and objectives, and determines and approves the CEO’s compensation.</w:t>
      </w:r>
    </w:p>
    <w:p>
      <w:pPr>
        <w:spacing w:after="0" w:line="22" w:lineRule="exact"/>
        <w:rPr>
          <w:rFonts w:ascii="Arial" w:cs="Arial" w:eastAsia="Arial" w:hAnsi="Arial"/>
          <w:sz w:val="16"/>
          <w:szCs w:val="16"/>
          <w:color w:val="333333"/>
        </w:rPr>
      </w:pPr>
    </w:p>
    <w:p>
      <w:pPr>
        <w:ind w:left="160" w:hanging="152"/>
        <w:spacing w:after="0"/>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Makes recommendations to the Board on changes in the compensation of non-employee directors.</w:t>
      </w:r>
    </w:p>
    <w:p>
      <w:pPr>
        <w:spacing w:after="0" w:line="72" w:lineRule="exact"/>
        <w:rPr>
          <w:rFonts w:ascii="Arial" w:cs="Arial" w:eastAsia="Arial" w:hAnsi="Arial"/>
          <w:sz w:val="16"/>
          <w:szCs w:val="16"/>
          <w:color w:val="333333"/>
        </w:rPr>
      </w:pPr>
    </w:p>
    <w:p>
      <w:pPr>
        <w:ind w:left="160" w:right="540" w:hanging="152"/>
        <w:spacing w:after="0" w:line="28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Reviews annually the adequacy of the Committee charter and recommends proposed changes to the Board.</w:t>
      </w:r>
    </w:p>
    <w:p>
      <w:pPr>
        <w:spacing w:after="0" w:line="7" w:lineRule="exact"/>
        <w:rPr>
          <w:rFonts w:ascii="Arial" w:cs="Arial" w:eastAsia="Arial" w:hAnsi="Arial"/>
          <w:sz w:val="16"/>
          <w:szCs w:val="16"/>
          <w:color w:val="333333"/>
        </w:rPr>
      </w:pPr>
    </w:p>
    <w:p>
      <w:pPr>
        <w:ind w:left="160" w:right="480" w:hanging="152"/>
        <w:spacing w:after="0" w:line="28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Has the authority, in its sole discretion, to retain, pay, and terminate any consulting firm, if any, used to assist in evaluating director, CEO, or senior executive compensation.</w:t>
      </w:r>
    </w:p>
    <w:p>
      <w:pPr>
        <w:spacing w:after="0" w:line="7" w:lineRule="exact"/>
        <w:rPr>
          <w:rFonts w:ascii="Arial" w:cs="Arial" w:eastAsia="Arial" w:hAnsi="Arial"/>
          <w:sz w:val="16"/>
          <w:szCs w:val="16"/>
          <w:color w:val="333333"/>
        </w:rPr>
      </w:pPr>
    </w:p>
    <w:p>
      <w:pPr>
        <w:ind w:left="160" w:right="280" w:hanging="152"/>
        <w:spacing w:after="0" w:line="286" w:lineRule="auto"/>
        <w:tabs>
          <w:tab w:leader="none" w:pos="160"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Reviews matters relating to human capital management (HCM) including talent acquisition and retention, diversity, inclusion, engagement, development, training and compensation related thereto.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86CC"/>
        </w:rPr>
        <w:t>Other Governance Matters:</w:t>
      </w:r>
    </w:p>
    <w:p>
      <w:pPr>
        <w:spacing w:after="0" w:line="12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333333"/>
        </w:rPr>
        <w:t xml:space="preserve">All members are non-employee, independent Directors as required by the rules of the NYSE, the Martin Marietta </w:t>
      </w:r>
      <w:r>
        <w:rPr>
          <w:rFonts w:ascii="Arial" w:cs="Arial" w:eastAsia="Arial" w:hAnsi="Arial"/>
          <w:sz w:val="16"/>
          <w:szCs w:val="16"/>
          <w:i w:val="1"/>
          <w:iCs w:val="1"/>
          <w:color w:val="333333"/>
        </w:rPr>
        <w:t>Guidelines for Director’s Independence</w:t>
      </w:r>
      <w:r>
        <w:rPr>
          <w:rFonts w:ascii="Arial" w:cs="Arial" w:eastAsia="Arial" w:hAnsi="Arial"/>
          <w:sz w:val="16"/>
          <w:szCs w:val="16"/>
          <w:color w:val="333333"/>
        </w:rPr>
        <w:t>, applicable rules of the SEC, and the Committee’s charter.</w:t>
      </w:r>
    </w:p>
    <w:p>
      <w:pPr>
        <w:spacing w:after="0" w:line="200" w:lineRule="exact"/>
        <w:rPr>
          <w:sz w:val="20"/>
          <w:szCs w:val="20"/>
          <w:color w:val="auto"/>
        </w:rPr>
      </w:pPr>
    </w:p>
    <w:p>
      <w:pPr>
        <w:sectPr>
          <w:pgSz w:w="11900" w:h="16838" w:orient="portrait"/>
          <w:cols w:equalWidth="0" w:num="2">
            <w:col w:w="2380" w:space="720"/>
            <w:col w:w="7920"/>
          </w:cols>
          <w:pgMar w:left="440" w:top="315" w:right="4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spacing w:after="0"/>
        <w:tabs>
          <w:tab w:leader="none" w:pos="4560" w:val="left"/>
          <w:tab w:leader="none" w:pos="9940"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b w:val="1"/>
          <w:bCs w:val="1"/>
          <w:color w:val="auto"/>
        </w:rPr>
        <w:t>2026 PROXY STATEMENT</w:t>
      </w:r>
      <w:r>
        <w:rPr>
          <w:sz w:val="20"/>
          <w:szCs w:val="20"/>
          <w:color w:val="auto"/>
        </w:rPr>
        <w:tab/>
      </w:r>
      <w:r>
        <w:rPr>
          <w:rFonts w:ascii="Arial" w:cs="Arial" w:eastAsia="Arial" w:hAnsi="Arial"/>
          <w:sz w:val="16"/>
          <w:szCs w:val="16"/>
          <w:b w:val="1"/>
          <w:bCs w:val="1"/>
          <w:color w:val="0086CC"/>
        </w:rPr>
        <w:t xml:space="preserve">21 </w:t>
      </w:r>
      <w:r>
        <w:rPr>
          <w:rFonts w:ascii="Arial" w:cs="Arial" w:eastAsia="Arial" w:hAnsi="Arial"/>
          <w:sz w:val="16"/>
          <w:szCs w:val="16"/>
          <w:color w:val="333333"/>
        </w:rPr>
        <w:t xml:space="preserve">               </w:t>
      </w:r>
    </w:p>
    <w:p>
      <w:pPr>
        <w:sectPr>
          <w:pgSz w:w="11900" w:h="16838" w:orient="portrait"/>
          <w:cols w:equalWidth="0" w:num="1">
            <w:col w:w="11020"/>
          </w:cols>
          <w:pgMar w:left="440" w:top="315" w:right="4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531"/>
        </w:trPr>
        <w:tc>
          <w:tcPr>
            <w:tcW w:w="180" w:type="dxa"/>
            <w:vAlign w:val="bottom"/>
            <w:shd w:val="clear" w:color="auto" w:fill="4D5357"/>
          </w:tcPr>
          <w:p>
            <w:pPr>
              <w:ind w:left="120"/>
              <w:spacing w:after="0"/>
              <w:rPr>
                <w:sz w:val="20"/>
                <w:szCs w:val="20"/>
                <w:color w:val="auto"/>
              </w:rPr>
            </w:pPr>
            <w:r>
              <w:rPr>
                <w:rFonts w:ascii="Arial" w:cs="Arial" w:eastAsia="Arial" w:hAnsi="Arial"/>
                <w:sz w:val="5"/>
                <w:szCs w:val="5"/>
                <w:b w:val="1"/>
                <w:bCs w:val="1"/>
                <w:color w:val="FFFFFF"/>
                <w:w w:val="79"/>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28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1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w w:val="71"/>
              </w:rPr>
              <w:t> </w:t>
            </w:r>
          </w:p>
        </w:tc>
        <w:tc>
          <w:tcPr>
            <w:tcW w:w="140" w:type="dxa"/>
            <w:vAlign w:val="bottom"/>
            <w:shd w:val="clear" w:color="auto" w:fill="4D5357"/>
          </w:tcPr>
          <w:p>
            <w:pPr>
              <w:ind w:left="40"/>
              <w:spacing w:after="0"/>
              <w:rPr>
                <w:sz w:val="20"/>
                <w:szCs w:val="20"/>
                <w:color w:val="auto"/>
              </w:rPr>
            </w:pPr>
            <w:r>
              <w:rPr>
                <w:rFonts w:ascii="Arial" w:cs="Arial" w:eastAsia="Arial" w:hAnsi="Arial"/>
                <w:sz w:val="11"/>
                <w:szCs w:val="11"/>
                <w:b w:val="1"/>
                <w:bCs w:val="1"/>
                <w:color w:val="FFFFFF"/>
                <w:w w:val="72"/>
              </w:rPr>
              <w:t> </w:t>
            </w:r>
          </w:p>
        </w:tc>
        <w:tc>
          <w:tcPr>
            <w:tcW w:w="92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28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r>
      <w:tr>
        <w:trPr>
          <w:trHeight w:val="110"/>
        </w:trPr>
        <w:tc>
          <w:tcPr>
            <w:tcW w:w="180" w:type="dxa"/>
            <w:vAlign w:val="bottom"/>
            <w:shd w:val="clear" w:color="auto" w:fill="4D5357"/>
          </w:tcPr>
          <w:p>
            <w:pPr>
              <w:spacing w:after="0"/>
              <w:rPr>
                <w:sz w:val="9"/>
                <w:szCs w:val="9"/>
                <w:color w:val="auto"/>
              </w:rPr>
            </w:pPr>
          </w:p>
        </w:tc>
        <w:tc>
          <w:tcPr>
            <w:tcW w:w="140" w:type="dxa"/>
            <w:vAlign w:val="bottom"/>
            <w:shd w:val="clear" w:color="auto" w:fill="4D5357"/>
          </w:tcPr>
          <w:p>
            <w:pPr>
              <w:spacing w:after="0"/>
              <w:rPr>
                <w:sz w:val="9"/>
                <w:szCs w:val="9"/>
                <w:color w:val="auto"/>
              </w:rPr>
            </w:pPr>
          </w:p>
        </w:tc>
        <w:tc>
          <w:tcPr>
            <w:tcW w:w="920" w:type="dxa"/>
            <w:vAlign w:val="bottom"/>
            <w:shd w:val="clear" w:color="auto" w:fill="4D5357"/>
          </w:tcPr>
          <w:p>
            <w:pPr>
              <w:spacing w:after="0"/>
              <w:rPr>
                <w:sz w:val="9"/>
                <w:szCs w:val="9"/>
                <w:color w:val="auto"/>
              </w:rPr>
            </w:pPr>
          </w:p>
        </w:tc>
        <w:tc>
          <w:tcPr>
            <w:tcW w:w="280" w:type="dxa"/>
            <w:vAlign w:val="bottom"/>
            <w:shd w:val="clear" w:color="auto" w:fill="4D53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93980</wp:posOffset>
            </wp:positionV>
            <wp:extent cx="565785" cy="436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 cy="436880"/>
                    </a:xfrm>
                    <a:prstGeom prst="rect">
                      <a:avLst/>
                    </a:prstGeom>
                    <a:noFill/>
                  </pic:spPr>
                </pic:pic>
              </a:graphicData>
            </a:graphic>
          </wp:anchor>
        </w:drawing>
      </w:r>
    </w:p>
    <w:p>
      <w:pPr>
        <w:spacing w:after="0" w:line="267" w:lineRule="exact"/>
        <w:rPr>
          <w:sz w:val="20"/>
          <w:szCs w:val="20"/>
          <w:color w:val="auto"/>
        </w:rPr>
      </w:pPr>
    </w:p>
    <w:p>
      <w:pPr>
        <w:jc w:val="right"/>
        <w:ind w:right="2760"/>
        <w:spacing w:after="0"/>
        <w:rPr>
          <w:sz w:val="20"/>
          <w:szCs w:val="20"/>
          <w:color w:val="auto"/>
        </w:rPr>
      </w:pPr>
      <w:r>
        <w:rPr>
          <w:rFonts w:ascii="Arial" w:cs="Arial" w:eastAsia="Arial" w:hAnsi="Arial"/>
          <w:sz w:val="31"/>
          <w:szCs w:val="31"/>
          <w:color w:val="0086CC"/>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200025</wp:posOffset>
            </wp:positionV>
            <wp:extent cx="6926580" cy="26149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6580" cy="2614930"/>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86CC"/>
        </w:rPr>
        <w:t>Current Members:</w:t>
      </w:r>
    </w:p>
    <w:p>
      <w:pPr>
        <w:spacing w:after="0" w:line="12" w:lineRule="exact"/>
        <w:rPr>
          <w:sz w:val="20"/>
          <w:szCs w:val="20"/>
          <w:color w:val="auto"/>
        </w:rPr>
      </w:pPr>
    </w:p>
    <w:p>
      <w:pPr>
        <w:ind w:left="220" w:right="360"/>
        <w:spacing w:after="0" w:line="254" w:lineRule="auto"/>
        <w:rPr>
          <w:sz w:val="20"/>
          <w:szCs w:val="20"/>
          <w:color w:val="auto"/>
        </w:rPr>
      </w:pPr>
      <w:r>
        <w:rPr>
          <w:rFonts w:ascii="Arial" w:cs="Arial" w:eastAsia="Arial" w:hAnsi="Arial"/>
          <w:sz w:val="16"/>
          <w:szCs w:val="16"/>
          <w:color w:val="333333"/>
        </w:rPr>
        <w:t>Donald W. Slager (Chair) Sue W. Cole Mary T. Mack Thomas H. Pike</w:t>
      </w:r>
    </w:p>
    <w:p>
      <w:pPr>
        <w:spacing w:after="0" w:line="200" w:lineRule="exact"/>
        <w:rPr>
          <w:sz w:val="20"/>
          <w:szCs w:val="20"/>
          <w:color w:val="auto"/>
        </w:rPr>
      </w:pPr>
    </w:p>
    <w:p>
      <w:pPr>
        <w:spacing w:after="0" w:line="35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0086CC"/>
        </w:rPr>
        <w:t>Meetings in 2025</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49"/>
          <w:szCs w:val="49"/>
          <w:color w:val="auto"/>
        </w:rPr>
        <w:t>3</w:t>
      </w:r>
    </w:p>
    <w:p>
      <w:pPr>
        <w:spacing w:after="0" w:line="200" w:lineRule="exact"/>
        <w:rPr>
          <w:sz w:val="20"/>
          <w:szCs w:val="20"/>
          <w:color w:val="auto"/>
        </w:rPr>
      </w:pPr>
    </w:p>
    <w:p>
      <w:pPr>
        <w:spacing w:after="0" w:line="274" w:lineRule="exact"/>
        <w:rPr>
          <w:sz w:val="20"/>
          <w:szCs w:val="20"/>
          <w:color w:val="auto"/>
        </w:rPr>
      </w:pPr>
    </w:p>
    <w:p>
      <w:pPr>
        <w:jc w:val="center"/>
        <w:ind w:left="160"/>
        <w:spacing w:after="0"/>
        <w:rPr>
          <w:sz w:val="20"/>
          <w:szCs w:val="20"/>
          <w:color w:val="auto"/>
        </w:rPr>
      </w:pPr>
      <w:r>
        <w:rPr>
          <w:rFonts w:ascii="Arial" w:cs="Arial" w:eastAsia="Arial" w:hAnsi="Arial"/>
          <w:sz w:val="19"/>
          <w:szCs w:val="19"/>
          <w:b w:val="1"/>
          <w:bCs w:val="1"/>
          <w:color w:val="0086CC"/>
        </w:rPr>
        <w:t>Average Attendance</w:t>
      </w:r>
    </w:p>
    <w:p>
      <w:pPr>
        <w:spacing w:after="0" w:line="13"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0086CC"/>
        </w:rPr>
        <w:t>in 2025:</w:t>
      </w:r>
    </w:p>
    <w:p>
      <w:pPr>
        <w:ind w:left="560"/>
        <w:spacing w:after="0"/>
        <w:rPr>
          <w:sz w:val="20"/>
          <w:szCs w:val="20"/>
          <w:color w:val="auto"/>
        </w:rPr>
      </w:pPr>
      <w:r>
        <w:rPr>
          <w:rFonts w:ascii="Arial" w:cs="Arial" w:eastAsia="Arial" w:hAnsi="Arial"/>
          <w:sz w:val="49"/>
          <w:szCs w:val="49"/>
          <w:color w:val="auto"/>
        </w:rPr>
        <w:t>100%</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86CC"/>
        </w:rPr>
        <w:t>Primary Responsibilities:</w:t>
      </w:r>
    </w:p>
    <w:p>
      <w:pPr>
        <w:spacing w:after="0" w:line="120" w:lineRule="exact"/>
        <w:rPr>
          <w:sz w:val="20"/>
          <w:szCs w:val="20"/>
          <w:color w:val="auto"/>
        </w:rPr>
      </w:pPr>
    </w:p>
    <w:p>
      <w:pPr>
        <w:ind w:left="160" w:right="180" w:hanging="152"/>
        <w:spacing w:after="0" w:line="286" w:lineRule="auto"/>
        <w:tabs>
          <w:tab w:leader="none" w:pos="16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Develops criteria for nominating and appointing directors, including Board size and composition, corporate governance policies, and individual director expertise, attributes and skills.</w:t>
      </w:r>
    </w:p>
    <w:p>
      <w:pPr>
        <w:spacing w:after="0" w:line="7" w:lineRule="exact"/>
        <w:rPr>
          <w:rFonts w:ascii="Arial" w:cs="Arial" w:eastAsia="Arial" w:hAnsi="Arial"/>
          <w:sz w:val="16"/>
          <w:szCs w:val="16"/>
          <w:color w:val="333333"/>
        </w:rPr>
      </w:pPr>
    </w:p>
    <w:p>
      <w:pPr>
        <w:ind w:left="160" w:hanging="152"/>
        <w:spacing w:after="0"/>
        <w:tabs>
          <w:tab w:leader="none" w:pos="16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Recommends to the Board the individuals to be nominated as directors.</w:t>
      </w:r>
    </w:p>
    <w:p>
      <w:pPr>
        <w:spacing w:after="0" w:line="72" w:lineRule="exact"/>
        <w:rPr>
          <w:rFonts w:ascii="Arial" w:cs="Arial" w:eastAsia="Arial" w:hAnsi="Arial"/>
          <w:sz w:val="16"/>
          <w:szCs w:val="16"/>
          <w:color w:val="333333"/>
        </w:rPr>
      </w:pPr>
    </w:p>
    <w:p>
      <w:pPr>
        <w:ind w:left="160" w:hanging="152"/>
        <w:spacing w:after="0"/>
        <w:tabs>
          <w:tab w:leader="none" w:pos="16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Recommends to the Board the appointees to be selected for service on the Board Committees.</w:t>
      </w:r>
    </w:p>
    <w:p>
      <w:pPr>
        <w:spacing w:after="0" w:line="72" w:lineRule="exact"/>
        <w:rPr>
          <w:rFonts w:ascii="Arial" w:cs="Arial" w:eastAsia="Arial" w:hAnsi="Arial"/>
          <w:sz w:val="16"/>
          <w:szCs w:val="16"/>
          <w:color w:val="333333"/>
        </w:rPr>
      </w:pPr>
    </w:p>
    <w:p>
      <w:pPr>
        <w:ind w:left="160" w:hanging="152"/>
        <w:spacing w:after="0"/>
        <w:tabs>
          <w:tab w:leader="none" w:pos="16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Oversees an annual review of the performance of the Board and each Committee.</w:t>
      </w:r>
    </w:p>
    <w:p>
      <w:pPr>
        <w:spacing w:after="0" w:line="72" w:lineRule="exact"/>
        <w:rPr>
          <w:rFonts w:ascii="Arial" w:cs="Arial" w:eastAsia="Arial" w:hAnsi="Arial"/>
          <w:sz w:val="16"/>
          <w:szCs w:val="16"/>
          <w:color w:val="333333"/>
        </w:rPr>
      </w:pPr>
    </w:p>
    <w:p>
      <w:pPr>
        <w:ind w:left="160" w:right="540" w:hanging="152"/>
        <w:spacing w:after="0" w:line="286" w:lineRule="auto"/>
        <w:tabs>
          <w:tab w:leader="none" w:pos="16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Reviews annually the adequacy of the Committee charter and recommends proposed changes to the Board.</w:t>
      </w:r>
    </w:p>
    <w:p>
      <w:pPr>
        <w:spacing w:after="0" w:line="7" w:lineRule="exact"/>
        <w:rPr>
          <w:rFonts w:ascii="Arial" w:cs="Arial" w:eastAsia="Arial" w:hAnsi="Arial"/>
          <w:sz w:val="16"/>
          <w:szCs w:val="16"/>
          <w:color w:val="333333"/>
        </w:rPr>
      </w:pPr>
    </w:p>
    <w:p>
      <w:pPr>
        <w:ind w:left="160" w:right="300" w:hanging="152"/>
        <w:spacing w:after="0" w:line="286" w:lineRule="auto"/>
        <w:tabs>
          <w:tab w:leader="none" w:pos="16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Oversees the development and implementation of a set of corporate governance principles applicable to Martin Marietta.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86CC"/>
        </w:rPr>
        <w:t>Other Governance Matters: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333333"/>
        </w:rPr>
        <w:t>All members are non-employee, independent Directors as required by the rules of the NYSE.</w:t>
      </w:r>
    </w:p>
    <w:p>
      <w:pPr>
        <w:spacing w:after="0" w:line="86"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333333"/>
        </w:rPr>
        <w:t xml:space="preserve">Upon recommendation of this Committee, the Board of Directors has adopted a set of </w:t>
      </w:r>
      <w:r>
        <w:rPr>
          <w:rFonts w:ascii="Arial" w:cs="Arial" w:eastAsia="Arial" w:hAnsi="Arial"/>
          <w:sz w:val="16"/>
          <w:szCs w:val="16"/>
          <w:i w:val="1"/>
          <w:iCs w:val="1"/>
          <w:color w:val="333333"/>
        </w:rPr>
        <w:t>Corporate</w:t>
      </w:r>
      <w:r>
        <w:rPr>
          <w:rFonts w:ascii="Arial" w:cs="Arial" w:eastAsia="Arial" w:hAnsi="Arial"/>
          <w:sz w:val="16"/>
          <w:szCs w:val="16"/>
          <w:color w:val="333333"/>
        </w:rPr>
        <w:t xml:space="preserve"> </w:t>
      </w:r>
      <w:r>
        <w:rPr>
          <w:rFonts w:ascii="Arial" w:cs="Arial" w:eastAsia="Arial" w:hAnsi="Arial"/>
          <w:sz w:val="16"/>
          <w:szCs w:val="16"/>
          <w:i w:val="1"/>
          <w:iCs w:val="1"/>
          <w:color w:val="333333"/>
        </w:rPr>
        <w:t xml:space="preserve">Governance Guidelines </w:t>
      </w:r>
      <w:r>
        <w:rPr>
          <w:rFonts w:ascii="Arial" w:cs="Arial" w:eastAsia="Arial" w:hAnsi="Arial"/>
          <w:sz w:val="16"/>
          <w:szCs w:val="16"/>
          <w:color w:val="333333"/>
        </w:rPr>
        <w:t>for Martin Marietta. The Guidelines are posted and available for public viewing on</w:t>
      </w:r>
      <w:r>
        <w:rPr>
          <w:rFonts w:ascii="Arial" w:cs="Arial" w:eastAsia="Arial" w:hAnsi="Arial"/>
          <w:sz w:val="16"/>
          <w:szCs w:val="16"/>
          <w:i w:val="1"/>
          <w:iCs w:val="1"/>
          <w:color w:val="333333"/>
        </w:rPr>
        <w:t xml:space="preserve"> </w:t>
      </w:r>
      <w:r>
        <w:rPr>
          <w:rFonts w:ascii="Arial" w:cs="Arial" w:eastAsia="Arial" w:hAnsi="Arial"/>
          <w:sz w:val="16"/>
          <w:szCs w:val="16"/>
          <w:color w:val="333333"/>
        </w:rPr>
        <w:t xml:space="preserve">our website at </w:t>
      </w:r>
      <w:r>
        <w:rPr>
          <w:rFonts w:ascii="Arial" w:cs="Arial" w:eastAsia="Arial" w:hAnsi="Arial"/>
          <w:sz w:val="16"/>
          <w:szCs w:val="16"/>
          <w:i w:val="1"/>
          <w:iCs w:val="1"/>
          <w:color w:val="333333"/>
        </w:rPr>
        <w:t>https://ir.martinmarietta.com/corporate-governance.</w:t>
      </w:r>
      <w:r>
        <w:rPr>
          <w:rFonts w:ascii="Arial" w:cs="Arial" w:eastAsia="Arial" w:hAnsi="Arial"/>
          <w:sz w:val="16"/>
          <w:szCs w:val="16"/>
          <w:color w:val="333333"/>
        </w:rPr>
        <w:t xml:space="preserve"> A copy may also be obtained upon request from Martin Marietta’s Corporate Secretary.</w:t>
      </w:r>
    </w:p>
    <w:p>
      <w:pPr>
        <w:spacing w:after="0" w:line="200" w:lineRule="exact"/>
        <w:rPr>
          <w:sz w:val="20"/>
          <w:szCs w:val="20"/>
          <w:color w:val="auto"/>
        </w:rPr>
      </w:pPr>
    </w:p>
    <w:p>
      <w:pPr>
        <w:sectPr>
          <w:pgSz w:w="11900" w:h="16838" w:orient="portrait"/>
          <w:cols w:equalWidth="0" w:num="2">
            <w:col w:w="2380" w:space="720"/>
            <w:col w:w="7920"/>
          </w:cols>
          <w:pgMar w:left="440" w:top="315" w:right="439" w:bottom="1440" w:gutter="0" w:footer="0" w:header="0"/>
          <w:type w:val="continuous"/>
        </w:sect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spacing w:after="0"/>
        <w:tabs>
          <w:tab w:leader="none" w:pos="10220" w:val="left"/>
        </w:tabs>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22</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0"/>
          </w:cols>
          <w:pgMar w:left="440" w:top="315" w:right="439" w:bottom="1440" w:gutter="0" w:footer="0" w:header="0"/>
          <w:type w:val="continuous"/>
        </w:sectPr>
      </w:pPr>
    </w:p>
    <w:bookmarkStart w:id="28" w:name="page29"/>
    <w:bookmarkEnd w:id="28"/>
    <w:tbl>
      <w:tblPr>
        <w:tblLayout w:type="fixed"/>
        <w:tblInd w:w="9360" w:type="dxa"/>
        <w:tblCellMar>
          <w:top w:w="0" w:type="dxa"/>
          <w:left w:w="0" w:type="dxa"/>
          <w:bottom w:w="0" w:type="dxa"/>
          <w:right w:w="0" w:type="dxa"/>
        </w:tblCellMar>
      </w:tblPr>
      <w:tr>
        <w:trPr>
          <w:trHeight w:val="531"/>
        </w:trPr>
        <w:tc>
          <w:tcPr>
            <w:tcW w:w="300" w:type="dxa"/>
            <w:vAlign w:val="bottom"/>
            <w:shd w:val="clear" w:color="auto" w:fill="4D5357"/>
          </w:tcPr>
          <w:p>
            <w:pPr>
              <w:ind w:left="240"/>
              <w:spacing w:after="0"/>
              <w:rPr>
                <w:sz w:val="20"/>
                <w:szCs w:val="20"/>
                <w:color w:val="auto"/>
              </w:rPr>
            </w:pPr>
            <w:r>
              <w:rPr>
                <w:rFonts w:ascii="Arial" w:cs="Arial" w:eastAsia="Arial" w:hAnsi="Arial"/>
                <w:sz w:val="5"/>
                <w:szCs w:val="5"/>
                <w:b w:val="1"/>
                <w:bCs w:val="1"/>
                <w:color w:val="FFFFFF"/>
                <w:w w:val="79"/>
              </w:rPr>
              <w:t> </w:t>
            </w:r>
          </w:p>
        </w:tc>
        <w:tc>
          <w:tcPr>
            <w:tcW w:w="160" w:type="dxa"/>
            <w:vAlign w:val="bottom"/>
            <w:shd w:val="clear" w:color="auto" w:fill="4D5357"/>
          </w:tcPr>
          <w:p>
            <w:pPr>
              <w:ind w:left="80"/>
              <w:spacing w:after="0"/>
              <w:rPr>
                <w:sz w:val="20"/>
                <w:szCs w:val="20"/>
                <w:color w:val="auto"/>
              </w:rPr>
            </w:pPr>
            <w:r>
              <w:rPr>
                <w:rFonts w:ascii="Arial" w:cs="Arial" w:eastAsia="Arial" w:hAnsi="Arial"/>
                <w:sz w:val="8"/>
                <w:szCs w:val="8"/>
                <w:b w:val="1"/>
                <w:bCs w:val="1"/>
                <w:color w:val="FFFFFF"/>
                <w:w w:val="74"/>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The Board </w:t>
            </w:r>
          </w:p>
        </w:tc>
        <w:tc>
          <w:tcPr>
            <w:tcW w:w="3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300" w:type="dxa"/>
            <w:vAlign w:val="bottom"/>
            <w:shd w:val="clear" w:color="auto" w:fill="4D5357"/>
          </w:tcPr>
          <w:p>
            <w:pPr>
              <w:ind w:left="200"/>
              <w:spacing w:after="0"/>
              <w:rPr>
                <w:sz w:val="20"/>
                <w:szCs w:val="20"/>
                <w:color w:val="auto"/>
              </w:rPr>
            </w:pPr>
            <w:r>
              <w:rPr>
                <w:rFonts w:ascii="Arial" w:cs="Arial" w:eastAsia="Arial" w:hAnsi="Arial"/>
                <w:sz w:val="11"/>
                <w:szCs w:val="11"/>
                <w:b w:val="1"/>
                <w:bCs w:val="1"/>
                <w:color w:val="FFFFFF"/>
                <w:w w:val="72"/>
              </w:rPr>
              <w:t> </w:t>
            </w:r>
          </w:p>
        </w:tc>
        <w:tc>
          <w:tcPr>
            <w:tcW w:w="16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w w:val="71"/>
              </w:rPr>
              <w:t> </w:t>
            </w:r>
          </w:p>
        </w:tc>
        <w:tc>
          <w:tcPr>
            <w:tcW w:w="9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0"/>
              </w:rPr>
              <w:t>of Directors </w:t>
            </w:r>
          </w:p>
        </w:tc>
        <w:tc>
          <w:tcPr>
            <w:tcW w:w="3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10"/>
        </w:trPr>
        <w:tc>
          <w:tcPr>
            <w:tcW w:w="300" w:type="dxa"/>
            <w:vAlign w:val="bottom"/>
            <w:shd w:val="clear" w:color="auto" w:fill="4D5357"/>
          </w:tcPr>
          <w:p>
            <w:pPr>
              <w:spacing w:after="0"/>
              <w:rPr>
                <w:sz w:val="9"/>
                <w:szCs w:val="9"/>
                <w:color w:val="auto"/>
              </w:rPr>
            </w:pPr>
          </w:p>
        </w:tc>
        <w:tc>
          <w:tcPr>
            <w:tcW w:w="160" w:type="dxa"/>
            <w:vAlign w:val="bottom"/>
            <w:shd w:val="clear" w:color="auto" w:fill="4D5357"/>
          </w:tcPr>
          <w:p>
            <w:pPr>
              <w:spacing w:after="0"/>
              <w:rPr>
                <w:sz w:val="9"/>
                <w:szCs w:val="9"/>
                <w:color w:val="auto"/>
              </w:rPr>
            </w:pPr>
          </w:p>
        </w:tc>
        <w:tc>
          <w:tcPr>
            <w:tcW w:w="900" w:type="dxa"/>
            <w:vAlign w:val="bottom"/>
            <w:shd w:val="clear" w:color="auto" w:fill="4D5357"/>
          </w:tcPr>
          <w:p>
            <w:pPr>
              <w:spacing w:after="0"/>
              <w:rPr>
                <w:sz w:val="9"/>
                <w:szCs w:val="9"/>
                <w:color w:val="auto"/>
              </w:rPr>
            </w:pPr>
          </w:p>
        </w:tc>
        <w:tc>
          <w:tcPr>
            <w:tcW w:w="300" w:type="dxa"/>
            <w:vAlign w:val="bottom"/>
            <w:shd w:val="clear" w:color="auto" w:fill="4D53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029450" cy="86410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29450" cy="864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589"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23 </w:t>
      </w:r>
      <w:r>
        <w:rPr>
          <w:rFonts w:ascii="Arial" w:cs="Arial" w:eastAsia="Arial" w:hAnsi="Arial"/>
          <w:sz w:val="16"/>
          <w:szCs w:val="16"/>
          <w:color w:val="333333"/>
        </w:rPr>
        <w:t xml:space="preserve">               </w:t>
      </w:r>
    </w:p>
    <w:p>
      <w:pPr>
        <w:sectPr>
          <w:pgSz w:w="11900" w:h="16838" w:orient="portrait"/>
          <w:cols w:equalWidth="0" w:num="3">
            <w:col w:w="3860" w:space="720"/>
            <w:col w:w="4660" w:space="720"/>
            <w:col w:w="1060"/>
          </w:cols>
          <w:pgMar w:left="440" w:top="315" w:right="439" w:bottom="589"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 w:right="160"/>
        <w:spacing w:after="0" w:line="264" w:lineRule="auto"/>
        <w:rPr>
          <w:sz w:val="20"/>
          <w:szCs w:val="20"/>
          <w:color w:val="auto"/>
        </w:rPr>
      </w:pPr>
      <w:r>
        <w:rPr>
          <w:rFonts w:ascii="Arial" w:cs="Arial" w:eastAsia="Arial" w:hAnsi="Arial"/>
          <w:sz w:val="15"/>
          <w:szCs w:val="15"/>
          <w:color w:val="333333"/>
        </w:rPr>
        <w:t>The following sets forth the age, experience, key attributes and other biographical information for each nominee for election as a director for a one-year term until the 2027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29450" cy="2339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2945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1" w:lineRule="exact"/>
        <w:rPr>
          <w:sz w:val="20"/>
          <w:szCs w:val="20"/>
          <w:color w:val="auto"/>
        </w:rPr>
      </w:pPr>
    </w:p>
    <w:p>
      <w:pPr>
        <w:ind w:left="4" w:right="40"/>
        <w:spacing w:after="0" w:line="228" w:lineRule="auto"/>
        <w:rPr>
          <w:sz w:val="20"/>
          <w:szCs w:val="20"/>
          <w:color w:val="auto"/>
        </w:rPr>
      </w:pPr>
      <w:r>
        <w:rPr>
          <w:rFonts w:ascii="Arial" w:cs="Arial" w:eastAsia="Arial" w:hAnsi="Arial"/>
          <w:sz w:val="15"/>
          <w:szCs w:val="15"/>
          <w:color w:val="333333"/>
        </w:rPr>
        <w:t>Ms. Ables joined the Martin Marietta Board in November 2018. Ms. Ables held a number of executive positions with Spectra Energy and predecessor companies, including serving as the Chief Administrative Officer of Spectra Energy Corp. where she was responsible for human resources, information technology, support services, community relations and audit services. Prior to that, she served as Vice President of Audit Services and Chief Ethics and Compliance Officer for Spectra Energy, Vice President and Chief Compliance Officer for Duke Energy Corporation, an American electric power holding company, and Senior Vice President and Chief Financial Officer for Duke Energy Gas Transmission. Spectra Energy was a Fortune 500 Company and one of North America’s leading pipeline and midstream companies prior to its acquisition by Enbridge Inc. (NYSE: ENB) in 2017. Ms. Ables started her career in the audit department of Peat, Marwick, Mitchell &amp; Co. Ms. Ables serves on the Board of Directors, and as Chair of the Audit Committee and a member of the Environment, Health &amp; Safety Committee and former member of the Governance and Social Responsibility committee of Coterra Energy (NYSE: CTRA), an independent oil and gas company, which is the result of the merger of Cabot Oil &amp; Gas Corporation (NYSE: COG) and Cimerex Energy Co. in October 2021. Ms. Ables served as an Independent Director of Cabot, an independent oil and gas company, where she was Chair of the Audit Committee from 2019 to 2021 and a member of the Audit and Compensation Committees from 2015 to 2021. She served as a Director of Spectra Energy Partners, an affiliate of Spectra Energy Corp., from 2013 to 2017. Ms. Ables attended the University of Texas at Austin where she earned a Bachelor of Business Administration degree in Accounting.</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ind w:left="224" w:hanging="224"/>
        <w:spacing w:after="0"/>
        <w:tabs>
          <w:tab w:leader="none" w:pos="224" w:val="left"/>
        </w:tabs>
        <w:numPr>
          <w:ilvl w:val="0"/>
          <w:numId w:val="26"/>
        </w:numPr>
        <w:rPr>
          <w:rFonts w:ascii="Arial" w:cs="Arial" w:eastAsia="Arial" w:hAnsi="Arial"/>
          <w:sz w:val="15"/>
          <w:szCs w:val="15"/>
          <w:color w:val="333333"/>
        </w:rPr>
      </w:pPr>
      <w:r>
        <w:rPr>
          <w:rFonts w:ascii="Arial" w:cs="Arial" w:eastAsia="Arial" w:hAnsi="Arial"/>
          <w:sz w:val="15"/>
          <w:szCs w:val="15"/>
          <w:color w:val="333333"/>
        </w:rPr>
        <w:t>More than eight years of C-Suite experience</w:t>
      </w:r>
    </w:p>
    <w:p>
      <w:pPr>
        <w:ind w:left="224" w:right="120" w:hanging="224"/>
        <w:spacing w:after="0" w:line="225" w:lineRule="auto"/>
        <w:tabs>
          <w:tab w:leader="none" w:pos="224" w:val="left"/>
        </w:tabs>
        <w:numPr>
          <w:ilvl w:val="0"/>
          <w:numId w:val="26"/>
        </w:numPr>
        <w:rPr>
          <w:rFonts w:ascii="Arial" w:cs="Arial" w:eastAsia="Arial" w:hAnsi="Arial"/>
          <w:sz w:val="15"/>
          <w:szCs w:val="15"/>
          <w:color w:val="333333"/>
        </w:rPr>
      </w:pPr>
      <w:r>
        <w:rPr>
          <w:rFonts w:ascii="Arial" w:cs="Arial" w:eastAsia="Arial" w:hAnsi="Arial"/>
          <w:sz w:val="15"/>
          <w:szCs w:val="15"/>
          <w:color w:val="333333"/>
        </w:rPr>
        <w:t>Financial expertise acquired through serving as CFO of Duke Energy Gas Transmission and as Vice President of Audit Services and Chief Compliance Officer of Spectra Energy Corp. and Duke Energy Corporation</w:t>
      </w:r>
    </w:p>
    <w:p>
      <w:pPr>
        <w:ind w:left="224" w:hanging="224"/>
        <w:spacing w:after="0" w:line="225" w:lineRule="auto"/>
        <w:tabs>
          <w:tab w:leader="none" w:pos="224" w:val="left"/>
        </w:tabs>
        <w:numPr>
          <w:ilvl w:val="0"/>
          <w:numId w:val="26"/>
        </w:numPr>
        <w:rPr>
          <w:rFonts w:ascii="Arial" w:cs="Arial" w:eastAsia="Arial" w:hAnsi="Arial"/>
          <w:sz w:val="15"/>
          <w:szCs w:val="15"/>
          <w:color w:val="333333"/>
        </w:rPr>
      </w:pPr>
      <w:r>
        <w:rPr>
          <w:rFonts w:ascii="Arial" w:cs="Arial" w:eastAsia="Arial" w:hAnsi="Arial"/>
          <w:sz w:val="15"/>
          <w:szCs w:val="15"/>
          <w:color w:val="333333"/>
        </w:rPr>
        <w:t>Valuable business leadership in human resources, information technology, community relations, finance and financial statements</w:t>
      </w:r>
    </w:p>
    <w:p>
      <w:pPr>
        <w:ind w:left="224" w:hanging="224"/>
        <w:spacing w:after="0"/>
        <w:tabs>
          <w:tab w:leader="none" w:pos="224" w:val="left"/>
        </w:tabs>
        <w:numPr>
          <w:ilvl w:val="0"/>
          <w:numId w:val="26"/>
        </w:numPr>
        <w:rPr>
          <w:rFonts w:ascii="Arial" w:cs="Arial" w:eastAsia="Arial" w:hAnsi="Arial"/>
          <w:sz w:val="15"/>
          <w:szCs w:val="15"/>
          <w:color w:val="333333"/>
        </w:rPr>
      </w:pPr>
      <w:r>
        <w:rPr>
          <w:rFonts w:ascii="Arial" w:cs="Arial" w:eastAsia="Arial" w:hAnsi="Arial"/>
          <w:sz w:val="15"/>
          <w:szCs w:val="15"/>
          <w:color w:val="333333"/>
        </w:rPr>
        <w:t>Strong leadership skills and familiarity with Texas, an important state for the Company</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216" w:lineRule="exact"/>
        <w:rPr>
          <w:sz w:val="20"/>
          <w:szCs w:val="20"/>
          <w:color w:val="auto"/>
        </w:rPr>
      </w:pPr>
    </w:p>
    <w:p>
      <w:pPr>
        <w:ind w:left="374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-64135</wp:posOffset>
            </wp:positionV>
            <wp:extent cx="29972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-107315</wp:posOffset>
            </wp:positionV>
            <wp:extent cx="377190" cy="3854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7190" cy="3854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224" w:type="dxa"/>
        <w:tblCellMar>
          <w:top w:w="0" w:type="dxa"/>
          <w:left w:w="0" w:type="dxa"/>
          <w:bottom w:w="0" w:type="dxa"/>
          <w:right w:w="0" w:type="dxa"/>
        </w:tblCellMar>
      </w:tblPr>
      <w:tr>
        <w:trPr>
          <w:trHeight w:val="162"/>
        </w:trPr>
        <w:tc>
          <w:tcPr>
            <w:tcW w:w="1760" w:type="dxa"/>
            <w:vAlign w:val="bottom"/>
          </w:tcPr>
          <w:p>
            <w:pPr>
              <w:jc w:val="center"/>
              <w:ind w:right="368"/>
              <w:spacing w:after="0"/>
              <w:rPr>
                <w:sz w:val="20"/>
                <w:szCs w:val="20"/>
                <w:color w:val="auto"/>
              </w:rPr>
            </w:pPr>
            <w:r>
              <w:rPr>
                <w:rFonts w:ascii="Arial" w:cs="Arial" w:eastAsia="Arial" w:hAnsi="Arial"/>
                <w:sz w:val="14"/>
                <w:szCs w:val="14"/>
                <w:color w:val="333333"/>
              </w:rPr>
              <w:t>Ethics, Environment,</w:t>
            </w:r>
          </w:p>
        </w:tc>
        <w:tc>
          <w:tcPr>
            <w:tcW w:w="1140" w:type="dxa"/>
            <w:vAlign w:val="bottom"/>
          </w:tcPr>
          <w:p>
            <w:pPr>
              <w:jc w:val="center"/>
              <w:ind w:left="348"/>
              <w:spacing w:after="0"/>
              <w:rPr>
                <w:sz w:val="20"/>
                <w:szCs w:val="20"/>
                <w:color w:val="auto"/>
              </w:rPr>
            </w:pPr>
            <w:r>
              <w:rPr>
                <w:rFonts w:ascii="Arial" w:cs="Arial" w:eastAsia="Arial" w:hAnsi="Arial"/>
                <w:sz w:val="14"/>
                <w:szCs w:val="14"/>
                <w:color w:val="333333"/>
              </w:rPr>
              <w:t>Audit</w:t>
            </w:r>
          </w:p>
        </w:tc>
      </w:tr>
      <w:tr>
        <w:trPr>
          <w:trHeight w:val="176"/>
        </w:trPr>
        <w:tc>
          <w:tcPr>
            <w:tcW w:w="1760" w:type="dxa"/>
            <w:vAlign w:val="bottom"/>
          </w:tcPr>
          <w:p>
            <w:pPr>
              <w:jc w:val="center"/>
              <w:ind w:right="368"/>
              <w:spacing w:after="0"/>
              <w:rPr>
                <w:sz w:val="20"/>
                <w:szCs w:val="20"/>
                <w:color w:val="auto"/>
              </w:rPr>
            </w:pPr>
            <w:r>
              <w:rPr>
                <w:rFonts w:ascii="Arial" w:cs="Arial" w:eastAsia="Arial" w:hAnsi="Arial"/>
                <w:sz w:val="14"/>
                <w:szCs w:val="14"/>
                <w:color w:val="333333"/>
              </w:rPr>
              <w:t>Safety &amp; Health</w:t>
            </w:r>
          </w:p>
        </w:tc>
        <w:tc>
          <w:tcPr>
            <w:tcW w:w="1140" w:type="dxa"/>
            <w:vAlign w:val="bottom"/>
          </w:tcPr>
          <w:p>
            <w:pPr>
              <w:jc w:val="center"/>
              <w:ind w:left="368"/>
              <w:spacing w:after="0"/>
              <w:rPr>
                <w:sz w:val="20"/>
                <w:szCs w:val="20"/>
                <w:color w:val="auto"/>
              </w:rPr>
            </w:pPr>
            <w:r>
              <w:rPr>
                <w:rFonts w:ascii="Arial" w:cs="Arial" w:eastAsia="Arial" w:hAnsi="Arial"/>
                <w:sz w:val="14"/>
                <w:szCs w:val="14"/>
                <w:color w:val="333333"/>
              </w:rPr>
              <w:t>Committee</w:t>
            </w:r>
          </w:p>
        </w:tc>
      </w:tr>
      <w:tr>
        <w:trPr>
          <w:trHeight w:val="162"/>
        </w:trPr>
        <w:tc>
          <w:tcPr>
            <w:tcW w:w="1760" w:type="dxa"/>
            <w:vAlign w:val="bottom"/>
          </w:tcPr>
          <w:p>
            <w:pPr>
              <w:jc w:val="center"/>
              <w:ind w:right="368"/>
              <w:spacing w:after="0"/>
              <w:rPr>
                <w:sz w:val="20"/>
                <w:szCs w:val="20"/>
                <w:color w:val="auto"/>
              </w:rPr>
            </w:pPr>
            <w:r>
              <w:rPr>
                <w:rFonts w:ascii="Arial" w:cs="Arial" w:eastAsia="Arial" w:hAnsi="Arial"/>
                <w:sz w:val="14"/>
                <w:szCs w:val="14"/>
                <w:color w:val="333333"/>
              </w:rPr>
              <w:t>Committee</w:t>
            </w:r>
          </w:p>
        </w:tc>
        <w:tc>
          <w:tcPr>
            <w:tcW w:w="1140" w:type="dxa"/>
            <w:vAlign w:val="bottom"/>
          </w:tcPr>
          <w:p>
            <w:pPr>
              <w:spacing w:after="0"/>
              <w:rPr>
                <w:sz w:val="14"/>
                <w:szCs w:val="14"/>
                <w:color w:val="auto"/>
              </w:rPr>
            </w:pPr>
          </w:p>
        </w:tc>
      </w:tr>
      <w:tr>
        <w:trPr>
          <w:trHeight w:val="190"/>
        </w:trPr>
        <w:tc>
          <w:tcPr>
            <w:tcW w:w="1760" w:type="dxa"/>
            <w:vAlign w:val="bottom"/>
          </w:tcPr>
          <w:p>
            <w:pPr>
              <w:jc w:val="center"/>
              <w:ind w:right="368"/>
              <w:spacing w:after="0"/>
              <w:rPr>
                <w:sz w:val="20"/>
                <w:szCs w:val="20"/>
                <w:color w:val="auto"/>
              </w:rPr>
            </w:pPr>
            <w:r>
              <w:rPr>
                <w:rFonts w:ascii="Arial" w:cs="Arial" w:eastAsia="Arial" w:hAnsi="Arial"/>
                <w:sz w:val="14"/>
                <w:szCs w:val="14"/>
                <w:color w:val="333333"/>
              </w:rPr>
              <w:t>(Chair)</w:t>
            </w:r>
          </w:p>
        </w:tc>
        <w:tc>
          <w:tcPr>
            <w:tcW w:w="1140" w:type="dxa"/>
            <w:vAlign w:val="bottom"/>
          </w:tcPr>
          <w:p>
            <w:pPr>
              <w:spacing w:after="0"/>
              <w:rPr>
                <w:sz w:val="16"/>
                <w:szCs w:val="16"/>
                <w:color w:val="auto"/>
              </w:rPr>
            </w:pPr>
          </w:p>
        </w:tc>
      </w:tr>
    </w:tbl>
    <w:p>
      <w:pPr>
        <w:spacing w:after="0" w:line="38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1440"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24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1440" w:right="439" w:bottom="1440" w:gutter="0" w:footer="0" w:header="0"/>
          <w:type w:val="continuous"/>
        </w:sectPr>
      </w:pPr>
    </w:p>
    <w:bookmarkStart w:id="30" w:name="page31"/>
    <w:bookmarkEnd w:id="30"/>
    <w:tbl>
      <w:tblPr>
        <w:tblLayout w:type="fixed"/>
        <w:tblInd w:w="8704" w:type="dxa"/>
        <w:tblCellMar>
          <w:top w:w="0" w:type="dxa"/>
          <w:left w:w="0" w:type="dxa"/>
          <w:bottom w:w="0" w:type="dxa"/>
          <w:right w:w="0" w:type="dxa"/>
        </w:tblCellMar>
      </w:tblPr>
      <w:tr>
        <w:trPr>
          <w:trHeight w:val="531"/>
        </w:trPr>
        <w:tc>
          <w:tcPr>
            <w:tcW w:w="500" w:type="dxa"/>
            <w:vAlign w:val="bottom"/>
            <w:shd w:val="clear" w:color="auto" w:fill="4D5357"/>
          </w:tcPr>
          <w:p>
            <w:pPr>
              <w:ind w:left="460"/>
              <w:spacing w:after="0"/>
              <w:rPr>
                <w:sz w:val="20"/>
                <w:szCs w:val="20"/>
                <w:color w:val="auto"/>
              </w:rPr>
            </w:pPr>
            <w:r>
              <w:rPr>
                <w:rFonts w:ascii="Arial" w:cs="Arial" w:eastAsia="Arial" w:hAnsi="Arial"/>
                <w:sz w:val="2"/>
                <w:szCs w:val="2"/>
                <w:b w:val="1"/>
                <w:bCs w:val="1"/>
                <w:color w:val="FFFFFF"/>
                <w:w w:val="97"/>
              </w:rPr>
              <w:t> </w:t>
            </w:r>
          </w:p>
        </w:tc>
        <w:tc>
          <w:tcPr>
            <w:tcW w:w="182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500" w:type="dxa"/>
            <w:vAlign w:val="bottom"/>
            <w:shd w:val="clear" w:color="auto" w:fill="4D5357"/>
          </w:tcPr>
          <w:p>
            <w:pPr>
              <w:ind w:left="220"/>
              <w:spacing w:after="0"/>
              <w:rPr>
                <w:sz w:val="20"/>
                <w:szCs w:val="20"/>
                <w:color w:val="auto"/>
              </w:rPr>
            </w:pPr>
            <w:r>
              <w:rPr>
                <w:rFonts w:ascii="Arial" w:cs="Arial" w:eastAsia="Arial" w:hAnsi="Arial"/>
                <w:sz w:val="14"/>
                <w:szCs w:val="14"/>
                <w:b w:val="1"/>
                <w:bCs w:val="1"/>
                <w:color w:val="FFFFFF"/>
              </w:rPr>
              <w:t xml:space="preserve">    </w:t>
            </w:r>
          </w:p>
        </w:tc>
        <w:tc>
          <w:tcPr>
            <w:tcW w:w="182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10"/>
        </w:trPr>
        <w:tc>
          <w:tcPr>
            <w:tcW w:w="500" w:type="dxa"/>
            <w:vAlign w:val="bottom"/>
            <w:shd w:val="clear" w:color="auto" w:fill="4D5357"/>
          </w:tcPr>
          <w:p>
            <w:pPr>
              <w:spacing w:after="0"/>
              <w:rPr>
                <w:sz w:val="9"/>
                <w:szCs w:val="9"/>
                <w:color w:val="auto"/>
              </w:rPr>
            </w:pPr>
          </w:p>
        </w:tc>
        <w:tc>
          <w:tcPr>
            <w:tcW w:w="1820" w:type="dxa"/>
            <w:vAlign w:val="bottom"/>
            <w:shd w:val="clear" w:color="auto" w:fill="4D53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029450" cy="2348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2945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ind w:left="4" w:right="300"/>
        <w:spacing w:after="0" w:line="250" w:lineRule="auto"/>
        <w:rPr>
          <w:sz w:val="20"/>
          <w:szCs w:val="20"/>
          <w:color w:val="auto"/>
        </w:rPr>
      </w:pPr>
      <w:r>
        <w:rPr>
          <w:rFonts w:ascii="Arial" w:cs="Arial" w:eastAsia="Arial" w:hAnsi="Arial"/>
          <w:sz w:val="16"/>
          <w:szCs w:val="16"/>
          <w:color w:val="333333"/>
        </w:rPr>
        <w:t>Ms. Delly is the former Chief Executive Officer of Benchmark Electronics, Inc., a solutions provider for high-technology OEM customers (NYSE: BHE), from 2012 until her retirement in 2016. She previously held several senior leadership roles at Benchmark, including President from 2006 to 2011, Executive Vice President and Chief Financial Officer from 2001 to 2006, and Corporate Controller and Treasurer from 1995 to 2001. Prior to joining Benchmark, Ms. Delly was a senior Audit Manager at KPMG. She is a certified public accountant and holds a bachelor’s degree in accounting from Samford University. Ms. Delly currently serves on the board of directors of Broadcom Inc. (NASDAQ: AVGO) and Flowserve Corporation (NYSE: FLS) and previously served on the board of directors of National Instruments Corporation, until its acquisition in 2023.</w:t>
      </w:r>
    </w:p>
    <w:p>
      <w:pPr>
        <w:spacing w:after="0" w:line="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27"/>
        </w:numPr>
        <w:rPr>
          <w:rFonts w:ascii="Arial" w:cs="Arial" w:eastAsia="Arial" w:hAnsi="Arial"/>
          <w:sz w:val="16"/>
          <w:szCs w:val="16"/>
          <w:color w:val="333333"/>
        </w:rPr>
      </w:pPr>
      <w:r>
        <w:rPr>
          <w:rFonts w:ascii="Arial" w:cs="Arial" w:eastAsia="Arial" w:hAnsi="Arial"/>
          <w:sz w:val="16"/>
          <w:szCs w:val="16"/>
          <w:color w:val="333333"/>
        </w:rPr>
        <w:t>Deep financial leadership and capital markets credibility</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27"/>
        </w:numPr>
        <w:rPr>
          <w:rFonts w:ascii="Arial" w:cs="Arial" w:eastAsia="Arial" w:hAnsi="Arial"/>
          <w:sz w:val="16"/>
          <w:szCs w:val="16"/>
          <w:color w:val="333333"/>
        </w:rPr>
      </w:pPr>
      <w:r>
        <w:rPr>
          <w:rFonts w:ascii="Arial" w:cs="Arial" w:eastAsia="Arial" w:hAnsi="Arial"/>
          <w:sz w:val="16"/>
          <w:szCs w:val="16"/>
          <w:color w:val="333333"/>
        </w:rPr>
        <w:t>Seasoned public-company director with long-tenured governance experience across multiple NYSE/Nasdaq issuers</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27"/>
        </w:numPr>
        <w:rPr>
          <w:rFonts w:ascii="Arial" w:cs="Arial" w:eastAsia="Arial" w:hAnsi="Arial"/>
          <w:sz w:val="16"/>
          <w:szCs w:val="16"/>
          <w:color w:val="333333"/>
        </w:rPr>
      </w:pPr>
      <w:r>
        <w:rPr>
          <w:rFonts w:ascii="Arial" w:cs="Arial" w:eastAsia="Arial" w:hAnsi="Arial"/>
          <w:sz w:val="16"/>
          <w:szCs w:val="16"/>
          <w:color w:val="333333"/>
        </w:rPr>
        <w:t>Audit committee and risk oversight experience</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27"/>
        </w:numPr>
        <w:rPr>
          <w:rFonts w:ascii="Arial" w:cs="Arial" w:eastAsia="Arial" w:hAnsi="Arial"/>
          <w:sz w:val="16"/>
          <w:szCs w:val="16"/>
          <w:color w:val="333333"/>
        </w:rPr>
      </w:pPr>
      <w:r>
        <w:rPr>
          <w:rFonts w:ascii="Arial" w:cs="Arial" w:eastAsia="Arial" w:hAnsi="Arial"/>
          <w:sz w:val="16"/>
          <w:szCs w:val="16"/>
          <w:color w:val="333333"/>
        </w:rPr>
        <w:t>Strong leadership skills across technology and industrial end markets</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4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To be determined after election to the Board of Directors.</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25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315" w:right="439" w:bottom="1440" w:gutter="0" w:footer="0" w:header="0"/>
          <w:type w:val="continuous"/>
        </w:sectPr>
      </w:pPr>
    </w:p>
    <w:bookmarkStart w:id="31" w:name="page32"/>
    <w:bookmarkEnd w:id="31"/>
    <w:tbl>
      <w:tblPr>
        <w:tblLayout w:type="fixed"/>
        <w:tblInd w:w="4" w:type="dxa"/>
        <w:tblCellMar>
          <w:top w:w="0" w:type="dxa"/>
          <w:left w:w="0" w:type="dxa"/>
          <w:bottom w:w="0" w:type="dxa"/>
          <w:right w:w="0" w:type="dxa"/>
        </w:tblCellMar>
      </w:tblPr>
      <w:tr>
        <w:trPr>
          <w:trHeight w:val="355"/>
        </w:trPr>
        <w:tc>
          <w:tcPr>
            <w:tcW w:w="380" w:type="dxa"/>
            <w:vAlign w:val="bottom"/>
            <w:shd w:val="clear" w:color="auto" w:fill="4D5357"/>
          </w:tcPr>
          <w:p>
            <w:pPr>
              <w:ind w:left="340"/>
              <w:spacing w:after="0"/>
              <w:rPr>
                <w:sz w:val="20"/>
                <w:szCs w:val="20"/>
                <w:color w:val="auto"/>
              </w:rPr>
            </w:pPr>
            <w:r>
              <w:rPr>
                <w:rFonts w:ascii="Arial" w:cs="Arial" w:eastAsia="Arial" w:hAnsi="Arial"/>
                <w:sz w:val="2"/>
                <w:szCs w:val="2"/>
                <w:b w:val="1"/>
                <w:bCs w:val="1"/>
                <w:color w:val="FFFFFF"/>
                <w:w w:val="97"/>
              </w:rPr>
              <w:t> </w:t>
            </w:r>
          </w:p>
        </w:tc>
        <w:tc>
          <w:tcPr>
            <w:tcW w:w="180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38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w:t>
            </w:r>
          </w:p>
        </w:tc>
        <w:tc>
          <w:tcPr>
            <w:tcW w:w="180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91"/>
        </w:trPr>
        <w:tc>
          <w:tcPr>
            <w:tcW w:w="380" w:type="dxa"/>
            <w:vAlign w:val="bottom"/>
            <w:shd w:val="clear" w:color="auto" w:fill="4D5357"/>
          </w:tcPr>
          <w:p>
            <w:pPr>
              <w:spacing w:after="0"/>
              <w:rPr>
                <w:sz w:val="16"/>
                <w:szCs w:val="16"/>
                <w:color w:val="auto"/>
              </w:rPr>
            </w:pPr>
          </w:p>
        </w:tc>
        <w:tc>
          <w:tcPr>
            <w:tcW w:w="1800" w:type="dxa"/>
            <w:vAlign w:val="bottom"/>
            <w:shd w:val="clear" w:color="auto" w:fill="4D5357"/>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029450" cy="23571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2945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jc w:val="both"/>
        <w:ind w:left="4" w:right="160"/>
        <w:spacing w:after="0" w:line="246" w:lineRule="auto"/>
        <w:rPr>
          <w:sz w:val="20"/>
          <w:szCs w:val="20"/>
          <w:color w:val="auto"/>
        </w:rPr>
      </w:pPr>
      <w:r>
        <w:rPr>
          <w:rFonts w:ascii="Arial" w:cs="Arial" w:eastAsia="Arial" w:hAnsi="Arial"/>
          <w:sz w:val="16"/>
          <w:szCs w:val="16"/>
          <w:color w:val="333333"/>
        </w:rPr>
        <w:t>Mr. Foxx served from October 2018 to January 2022 as Chief Policy Officer and advisor to the President and Chief Executive Officer of Lyft, Inc. Prior to joining Lyft, he served as the seventeenth United States Secretary of Transportation from 2013 to 2017, where he led an agency with more than 55,000 employees and a $70 billion budget, whose primary goal was to ensure that America maintains the world’s safest, most efficient transportation system.</w:t>
      </w:r>
    </w:p>
    <w:p>
      <w:pPr>
        <w:spacing w:after="0" w:line="1" w:lineRule="exact"/>
        <w:rPr>
          <w:sz w:val="20"/>
          <w:szCs w:val="20"/>
          <w:color w:val="auto"/>
        </w:rPr>
      </w:pPr>
    </w:p>
    <w:p>
      <w:pPr>
        <w:ind w:left="4" w:right="160"/>
        <w:spacing w:after="0" w:line="251" w:lineRule="auto"/>
        <w:rPr>
          <w:sz w:val="20"/>
          <w:szCs w:val="20"/>
          <w:color w:val="auto"/>
        </w:rPr>
      </w:pPr>
      <w:r>
        <w:rPr>
          <w:rFonts w:ascii="Arial" w:cs="Arial" w:eastAsia="Arial" w:hAnsi="Arial"/>
          <w:sz w:val="16"/>
          <w:szCs w:val="16"/>
          <w:color w:val="333333"/>
        </w:rPr>
        <w:t>Previously, Mr. Foxx served as the Mayor of Charlotte, North Carolina, from 2009 to 2013. Since January 2021, Mr. Foxx also serves as an independent director and member of the Audit Committee and Nominating and Governance Committee of CDW Corporation (NASDAQ: CDW), a leading multi-brand technology solutions provider to business, government, education, and healthcare customers, and since May 2021, Mr. Foxx has served as an independent director for NXP Semiconductors (Nasdaq: NXPI), a world leader in secure connectivity solutions for embedded applications. Mr. Foxx earned his Bachelor’s degree at Davidson College and his Juris Doctor degree at New York University Law School.</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28"/>
        </w:numPr>
        <w:rPr>
          <w:rFonts w:ascii="Arial" w:cs="Arial" w:eastAsia="Arial" w:hAnsi="Arial"/>
          <w:sz w:val="16"/>
          <w:szCs w:val="16"/>
          <w:color w:val="333333"/>
        </w:rPr>
      </w:pPr>
      <w:r>
        <w:rPr>
          <w:rFonts w:ascii="Arial" w:cs="Arial" w:eastAsia="Arial" w:hAnsi="Arial"/>
          <w:sz w:val="16"/>
          <w:szCs w:val="16"/>
          <w:color w:val="333333"/>
        </w:rPr>
        <w:t>Extensive experience in legal, compliance and corporate governance</w:t>
      </w:r>
    </w:p>
    <w:p>
      <w:pPr>
        <w:spacing w:after="0" w:line="5" w:lineRule="exact"/>
        <w:rPr>
          <w:rFonts w:ascii="Arial" w:cs="Arial" w:eastAsia="Arial" w:hAnsi="Arial"/>
          <w:sz w:val="16"/>
          <w:szCs w:val="16"/>
          <w:color w:val="333333"/>
        </w:rPr>
      </w:pPr>
    </w:p>
    <w:p>
      <w:pPr>
        <w:ind w:left="224" w:right="40" w:hanging="224"/>
        <w:spacing w:after="0" w:line="246" w:lineRule="auto"/>
        <w:tabs>
          <w:tab w:leader="none" w:pos="224" w:val="left"/>
        </w:tabs>
        <w:numPr>
          <w:ilvl w:val="0"/>
          <w:numId w:val="28"/>
        </w:numPr>
        <w:rPr>
          <w:rFonts w:ascii="Arial" w:cs="Arial" w:eastAsia="Arial" w:hAnsi="Arial"/>
          <w:sz w:val="16"/>
          <w:szCs w:val="16"/>
          <w:color w:val="333333"/>
        </w:rPr>
      </w:pPr>
      <w:r>
        <w:rPr>
          <w:rFonts w:ascii="Arial" w:cs="Arial" w:eastAsia="Arial" w:hAnsi="Arial"/>
          <w:sz w:val="16"/>
          <w:szCs w:val="16"/>
          <w:color w:val="333333"/>
        </w:rPr>
        <w:t>Brings valuable experience from his elected position as Mayor of Charlotte, North Carolina and as United States Secretary of Transportation relating to leadership, finance matters, corporate governance, legal, governmental and regulatory issues, safety, health and environmental matters</w:t>
      </w:r>
    </w:p>
    <w:p>
      <w:pPr>
        <w:ind w:left="224" w:hanging="224"/>
        <w:spacing w:after="0"/>
        <w:tabs>
          <w:tab w:leader="none" w:pos="224" w:val="left"/>
        </w:tabs>
        <w:numPr>
          <w:ilvl w:val="0"/>
          <w:numId w:val="28"/>
        </w:numPr>
        <w:rPr>
          <w:rFonts w:ascii="Arial" w:cs="Arial" w:eastAsia="Arial" w:hAnsi="Arial"/>
          <w:sz w:val="16"/>
          <w:szCs w:val="16"/>
          <w:color w:val="333333"/>
        </w:rPr>
      </w:pPr>
      <w:r>
        <w:rPr>
          <w:rFonts w:ascii="Arial" w:cs="Arial" w:eastAsia="Arial" w:hAnsi="Arial"/>
          <w:sz w:val="16"/>
          <w:szCs w:val="16"/>
          <w:color w:val="333333"/>
        </w:rPr>
        <w:t>Brings additional perspective to the Board on diversity and corporate citizenship</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146050</wp:posOffset>
            </wp:positionV>
            <wp:extent cx="248285" cy="428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8285" cy="42862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274955</wp:posOffset>
            </wp:positionV>
            <wp:extent cx="291465" cy="3175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1465" cy="317500"/>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84"/>
        <w:spacing w:after="0"/>
        <w:rPr>
          <w:sz w:val="20"/>
          <w:szCs w:val="20"/>
          <w:color w:val="auto"/>
        </w:rPr>
      </w:pPr>
      <w:r>
        <w:rPr>
          <w:rFonts w:ascii="Arial" w:cs="Arial" w:eastAsia="Arial" w:hAnsi="Arial"/>
          <w:sz w:val="14"/>
          <w:szCs w:val="14"/>
          <w:color w:val="333333"/>
        </w:rPr>
        <w:t>Finance</w:t>
      </w:r>
    </w:p>
    <w:p>
      <w:pPr>
        <w:spacing w:after="0" w:line="15" w:lineRule="exact"/>
        <w:rPr>
          <w:sz w:val="20"/>
          <w:szCs w:val="20"/>
          <w:color w:val="auto"/>
        </w:rPr>
      </w:pPr>
    </w:p>
    <w:p>
      <w:pPr>
        <w:jc w:val="center"/>
        <w:ind w:left="384"/>
        <w:spacing w:after="0"/>
        <w:rPr>
          <w:sz w:val="20"/>
          <w:szCs w:val="20"/>
          <w:color w:val="auto"/>
        </w:rPr>
      </w:pPr>
      <w:r>
        <w:rPr>
          <w:rFonts w:ascii="Arial" w:cs="Arial" w:eastAsia="Arial" w:hAnsi="Arial"/>
          <w:sz w:val="14"/>
          <w:szCs w:val="14"/>
          <w:color w:val="333333"/>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600"/>
        <w:spacing w:after="0"/>
        <w:rPr>
          <w:sz w:val="20"/>
          <w:szCs w:val="20"/>
          <w:color w:val="auto"/>
        </w:rPr>
      </w:pPr>
      <w:r>
        <w:rPr>
          <w:rFonts w:ascii="Arial" w:cs="Arial" w:eastAsia="Arial" w:hAnsi="Arial"/>
          <w:sz w:val="14"/>
          <w:szCs w:val="14"/>
          <w:color w:val="333333"/>
        </w:rPr>
        <w:t>Ethics, Environment,</w:t>
      </w:r>
    </w:p>
    <w:p>
      <w:pPr>
        <w:spacing w:after="0" w:line="15" w:lineRule="exact"/>
        <w:rPr>
          <w:sz w:val="20"/>
          <w:szCs w:val="20"/>
          <w:color w:val="auto"/>
        </w:rPr>
      </w:pPr>
    </w:p>
    <w:p>
      <w:pPr>
        <w:jc w:val="center"/>
        <w:ind w:right="7600"/>
        <w:spacing w:after="0"/>
        <w:rPr>
          <w:sz w:val="20"/>
          <w:szCs w:val="20"/>
          <w:color w:val="auto"/>
        </w:rPr>
      </w:pPr>
      <w:r>
        <w:rPr>
          <w:rFonts w:ascii="Arial" w:cs="Arial" w:eastAsia="Arial" w:hAnsi="Arial"/>
          <w:sz w:val="14"/>
          <w:szCs w:val="14"/>
          <w:color w:val="333333"/>
        </w:rPr>
        <w:t>Safety &amp; Health</w:t>
      </w:r>
    </w:p>
    <w:p>
      <w:pPr>
        <w:spacing w:after="0" w:line="1" w:lineRule="exact"/>
        <w:rPr>
          <w:sz w:val="20"/>
          <w:szCs w:val="20"/>
          <w:color w:val="auto"/>
        </w:rPr>
      </w:pPr>
    </w:p>
    <w:p>
      <w:pPr>
        <w:jc w:val="center"/>
        <w:ind w:right="7600"/>
        <w:spacing w:after="0"/>
        <w:rPr>
          <w:sz w:val="20"/>
          <w:szCs w:val="20"/>
          <w:color w:val="auto"/>
        </w:rPr>
      </w:pPr>
      <w:r>
        <w:rPr>
          <w:rFonts w:ascii="Arial" w:cs="Arial" w:eastAsia="Arial" w:hAnsi="Arial"/>
          <w:sz w:val="14"/>
          <w:szCs w:val="14"/>
          <w:color w:val="333333"/>
        </w:rPr>
        <w:t>Committee</w:t>
      </w:r>
    </w:p>
    <w:p>
      <w:pPr>
        <w:spacing w:after="0" w:line="200" w:lineRule="exact"/>
        <w:rPr>
          <w:sz w:val="20"/>
          <w:szCs w:val="20"/>
          <w:color w:val="auto"/>
        </w:rPr>
      </w:pPr>
    </w:p>
    <w:p>
      <w:pPr>
        <w:sectPr>
          <w:pgSz w:w="11900" w:h="16838" w:orient="portrait"/>
          <w:cols w:equalWidth="0" w:num="2">
            <w:col w:w="1384" w:space="720"/>
            <w:col w:w="8920"/>
          </w:cols>
          <w:pgMar w:left="436" w:top="315" w:right="439" w:bottom="1440" w:gutter="0" w:footer="0" w:header="0"/>
          <w:type w:val="continuous"/>
        </w:sect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995160" cy="6000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type w:val="continuous"/>
        </w:sectPr>
      </w:pP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26</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315" w:right="439" w:bottom="1440" w:gutter="0" w:footer="0" w:header="0"/>
          <w:type w:val="continuous"/>
        </w:sectPr>
      </w:pPr>
    </w:p>
    <w:bookmarkStart w:id="32" w:name="page33"/>
    <w:bookmarkEnd w:id="32"/>
    <w:tbl>
      <w:tblPr>
        <w:tblLayout w:type="fixed"/>
        <w:tblInd w:w="8704" w:type="dxa"/>
        <w:tblCellMar>
          <w:top w:w="0" w:type="dxa"/>
          <w:left w:w="0" w:type="dxa"/>
          <w:bottom w:w="0" w:type="dxa"/>
          <w:right w:w="0" w:type="dxa"/>
        </w:tblCellMar>
      </w:tblPr>
      <w:tr>
        <w:trPr>
          <w:trHeight w:val="531"/>
        </w:trPr>
        <w:tc>
          <w:tcPr>
            <w:tcW w:w="500" w:type="dxa"/>
            <w:vAlign w:val="bottom"/>
            <w:shd w:val="clear" w:color="auto" w:fill="4D5357"/>
          </w:tcPr>
          <w:p>
            <w:pPr>
              <w:ind w:left="460"/>
              <w:spacing w:after="0"/>
              <w:rPr>
                <w:sz w:val="20"/>
                <w:szCs w:val="20"/>
                <w:color w:val="auto"/>
              </w:rPr>
            </w:pPr>
            <w:r>
              <w:rPr>
                <w:rFonts w:ascii="Arial" w:cs="Arial" w:eastAsia="Arial" w:hAnsi="Arial"/>
                <w:sz w:val="2"/>
                <w:szCs w:val="2"/>
                <w:b w:val="1"/>
                <w:bCs w:val="1"/>
                <w:color w:val="FFFFFF"/>
                <w:w w:val="97"/>
              </w:rPr>
              <w:t> </w:t>
            </w:r>
          </w:p>
        </w:tc>
        <w:tc>
          <w:tcPr>
            <w:tcW w:w="182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500" w:type="dxa"/>
            <w:vAlign w:val="bottom"/>
            <w:shd w:val="clear" w:color="auto" w:fill="4D5357"/>
          </w:tcPr>
          <w:p>
            <w:pPr>
              <w:ind w:left="220"/>
              <w:spacing w:after="0"/>
              <w:rPr>
                <w:sz w:val="20"/>
                <w:szCs w:val="20"/>
                <w:color w:val="auto"/>
              </w:rPr>
            </w:pPr>
            <w:r>
              <w:rPr>
                <w:rFonts w:ascii="Arial" w:cs="Arial" w:eastAsia="Arial" w:hAnsi="Arial"/>
                <w:sz w:val="14"/>
                <w:szCs w:val="14"/>
                <w:b w:val="1"/>
                <w:bCs w:val="1"/>
                <w:color w:val="FFFFFF"/>
              </w:rPr>
              <w:t xml:space="preserve">    </w:t>
            </w:r>
          </w:p>
        </w:tc>
        <w:tc>
          <w:tcPr>
            <w:tcW w:w="182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10"/>
        </w:trPr>
        <w:tc>
          <w:tcPr>
            <w:tcW w:w="500" w:type="dxa"/>
            <w:vAlign w:val="bottom"/>
            <w:shd w:val="clear" w:color="auto" w:fill="4D5357"/>
          </w:tcPr>
          <w:p>
            <w:pPr>
              <w:spacing w:after="0"/>
              <w:rPr>
                <w:sz w:val="9"/>
                <w:szCs w:val="9"/>
                <w:color w:val="auto"/>
              </w:rPr>
            </w:pPr>
          </w:p>
        </w:tc>
        <w:tc>
          <w:tcPr>
            <w:tcW w:w="1820" w:type="dxa"/>
            <w:vAlign w:val="bottom"/>
            <w:shd w:val="clear" w:color="auto" w:fill="4D53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029450" cy="2348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2945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ind w:left="4" w:right="80"/>
        <w:spacing w:after="0" w:line="248" w:lineRule="auto"/>
        <w:rPr>
          <w:sz w:val="20"/>
          <w:szCs w:val="20"/>
          <w:color w:val="auto"/>
        </w:rPr>
      </w:pPr>
      <w:r>
        <w:rPr>
          <w:rFonts w:ascii="Arial" w:cs="Arial" w:eastAsia="Arial" w:hAnsi="Arial"/>
          <w:sz w:val="16"/>
          <w:szCs w:val="16"/>
          <w:color w:val="333333"/>
        </w:rPr>
        <w:t>Mr. Lyons has served as President and Chief Executive Officer of Ameren Corporation (NYSE: AEE) since January 2022 and was elected Chairman, President and Chief Executive Officer in November 2023. He joined Ameren in 2001 as Controller of Ameren and certain of its subsidiaries and was elected Vice President of the Company and certain of its subsidiaries in 2003. In 2007, Mr. Lyons was elected Vice President and Principal Accounting Officer, and in 2008, he was elected Senior Vice President and Principal Accounting Officer of Ameren and its subsidiaries. In 2009, he was elected Senior Vice President and Chief Financial Officer, while remaining Principal Accounting Officer of the Company and its subsidiaries. In 2013, Mr. Lyons was elected Executive Vice President and Chief Financial Officer of the Company and its subsidiaries and relinquished his duties as Principal Accounting Officer. In 2016, he was also elected Chairman and President of Ameren Services, In December 2019, Mr. Lyons was elected Chairman and President of Ameren Missouri. Mr. Lyons earned his Bachelor’s degree in Business Administration from St. Louis University and his Master’s degree in Business Administration from Washington University.</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29"/>
        </w:numPr>
        <w:rPr>
          <w:rFonts w:ascii="Arial" w:cs="Arial" w:eastAsia="Arial" w:hAnsi="Arial"/>
          <w:sz w:val="16"/>
          <w:szCs w:val="16"/>
          <w:color w:val="333333"/>
        </w:rPr>
      </w:pPr>
      <w:r>
        <w:rPr>
          <w:rFonts w:ascii="Arial" w:cs="Arial" w:eastAsia="Arial" w:hAnsi="Arial"/>
          <w:sz w:val="16"/>
          <w:szCs w:val="16"/>
          <w:color w:val="333333"/>
        </w:rPr>
        <w:t>Brings deep accounting and financial expertise from a career foundation in accounting and financial leadership</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29"/>
        </w:numPr>
        <w:rPr>
          <w:rFonts w:ascii="Arial" w:cs="Arial" w:eastAsia="Arial" w:hAnsi="Arial"/>
          <w:sz w:val="16"/>
          <w:szCs w:val="16"/>
          <w:color w:val="333333"/>
        </w:rPr>
      </w:pPr>
      <w:r>
        <w:rPr>
          <w:rFonts w:ascii="Arial" w:cs="Arial" w:eastAsia="Arial" w:hAnsi="Arial"/>
          <w:sz w:val="16"/>
          <w:szCs w:val="16"/>
          <w:color w:val="333333"/>
        </w:rPr>
        <w:t>Capital allocation, capital markets, and enterprise risk management oversight</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29"/>
        </w:numPr>
        <w:rPr>
          <w:rFonts w:ascii="Arial" w:cs="Arial" w:eastAsia="Arial" w:hAnsi="Arial"/>
          <w:sz w:val="16"/>
          <w:szCs w:val="16"/>
          <w:color w:val="333333"/>
        </w:rPr>
      </w:pPr>
      <w:r>
        <w:rPr>
          <w:rFonts w:ascii="Arial" w:cs="Arial" w:eastAsia="Arial" w:hAnsi="Arial"/>
          <w:sz w:val="16"/>
          <w:szCs w:val="16"/>
          <w:color w:val="333333"/>
        </w:rPr>
        <w:t>Operational leadership in regulated utility environments and stakeholder engagement</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29"/>
        </w:numPr>
        <w:rPr>
          <w:rFonts w:ascii="Arial" w:cs="Arial" w:eastAsia="Arial" w:hAnsi="Arial"/>
          <w:sz w:val="16"/>
          <w:szCs w:val="16"/>
          <w:color w:val="333333"/>
        </w:rPr>
      </w:pPr>
      <w:r>
        <w:rPr>
          <w:rFonts w:ascii="Arial" w:cs="Arial" w:eastAsia="Arial" w:hAnsi="Arial"/>
          <w:sz w:val="16"/>
          <w:szCs w:val="16"/>
          <w:color w:val="333333"/>
        </w:rPr>
        <w:t>Brings strategic insight on capital allocation, operational performance, customer outcomes and safety</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4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To be determined after election to the Board of Directors.</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27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315" w:right="439" w:bottom="1440" w:gutter="0" w:footer="0" w:header="0"/>
          <w:type w:val="continuous"/>
        </w:sectPr>
      </w:pPr>
    </w:p>
    <w:bookmarkStart w:id="33" w:name="page34"/>
    <w:bookmarkEnd w:id="33"/>
    <w:tbl>
      <w:tblPr>
        <w:tblLayout w:type="fixed"/>
        <w:tblInd w:w="4" w:type="dxa"/>
        <w:tblCellMar>
          <w:top w:w="0" w:type="dxa"/>
          <w:left w:w="0" w:type="dxa"/>
          <w:bottom w:w="0" w:type="dxa"/>
          <w:right w:w="0" w:type="dxa"/>
        </w:tblCellMar>
      </w:tblPr>
      <w:tr>
        <w:trPr>
          <w:trHeight w:val="355"/>
        </w:trPr>
        <w:tc>
          <w:tcPr>
            <w:tcW w:w="380" w:type="dxa"/>
            <w:vAlign w:val="bottom"/>
            <w:shd w:val="clear" w:color="auto" w:fill="4D5357"/>
          </w:tcPr>
          <w:p>
            <w:pPr>
              <w:ind w:left="340"/>
              <w:spacing w:after="0"/>
              <w:rPr>
                <w:sz w:val="20"/>
                <w:szCs w:val="20"/>
                <w:color w:val="auto"/>
              </w:rPr>
            </w:pPr>
            <w:r>
              <w:rPr>
                <w:rFonts w:ascii="Arial" w:cs="Arial" w:eastAsia="Arial" w:hAnsi="Arial"/>
                <w:sz w:val="2"/>
                <w:szCs w:val="2"/>
                <w:b w:val="1"/>
                <w:bCs w:val="1"/>
                <w:color w:val="FFFFFF"/>
                <w:w w:val="97"/>
              </w:rPr>
              <w:t> </w:t>
            </w:r>
          </w:p>
        </w:tc>
        <w:tc>
          <w:tcPr>
            <w:tcW w:w="180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38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w:t>
            </w:r>
          </w:p>
        </w:tc>
        <w:tc>
          <w:tcPr>
            <w:tcW w:w="180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91"/>
        </w:trPr>
        <w:tc>
          <w:tcPr>
            <w:tcW w:w="380" w:type="dxa"/>
            <w:vAlign w:val="bottom"/>
            <w:shd w:val="clear" w:color="auto" w:fill="4D5357"/>
          </w:tcPr>
          <w:p>
            <w:pPr>
              <w:spacing w:after="0"/>
              <w:rPr>
                <w:sz w:val="16"/>
                <w:szCs w:val="16"/>
                <w:color w:val="auto"/>
              </w:rPr>
            </w:pPr>
          </w:p>
        </w:tc>
        <w:tc>
          <w:tcPr>
            <w:tcW w:w="1800" w:type="dxa"/>
            <w:vAlign w:val="bottom"/>
            <w:shd w:val="clear" w:color="auto" w:fill="4D5357"/>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029450" cy="23571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2945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333333"/>
        </w:rPr>
        <w:t>Ms. Mack is the retired Chief Executive Officer of Consumer and Small Business Banking (CSBB) for Wells Fargo &amp; Company, a leading financial services company (NYSE: WFC). In her role leading CSBB, Ms. Mack oversaw Branch Banking, Small Business Banking, Chief Administrative Office, CSBB Marketing, Consumer Data and Engagement Platforms, Strategy and Innovation, Deposit Products, Diverse Customer Segments, Physical Distribution Strategies, and the Affluent Customer Segment. She also had accountability for CSBB Operations and CSBB Control Management functions. Ms. Mack began her banking career with First Union, a predecessor of Wells Fargo, in 1984 and during her time with Wells Fargo held numerous leadership positions, including CEO and president of Wells Fargo Advisors, LLC, one of the nation’s largest full-service retail brokerage organizations. Ms. Mack is an Independent Director of Barclays PLC, a diversified bank with comprehensive UK consumer, corporate and wealth and private banking franchises, a leading investment bank and a strong, specialist US consumer bank. Ms. Mack is a graduate of Davidson College with a Bachelor’s degree in International Political Economy and serves on the college’s board of trustees. She is a board member of Habitat for Humanity International.</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30"/>
        </w:numPr>
        <w:rPr>
          <w:rFonts w:ascii="Arial" w:cs="Arial" w:eastAsia="Arial" w:hAnsi="Arial"/>
          <w:sz w:val="16"/>
          <w:szCs w:val="16"/>
          <w:color w:val="333333"/>
        </w:rPr>
      </w:pPr>
      <w:r>
        <w:rPr>
          <w:rFonts w:ascii="Arial" w:cs="Arial" w:eastAsia="Arial" w:hAnsi="Arial"/>
          <w:sz w:val="16"/>
          <w:szCs w:val="16"/>
          <w:color w:val="333333"/>
        </w:rPr>
        <w:t>Significant brokerage / advisory, banking, finance and corporate and investment banking experience</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0"/>
        </w:numPr>
        <w:rPr>
          <w:rFonts w:ascii="Arial" w:cs="Arial" w:eastAsia="Arial" w:hAnsi="Arial"/>
          <w:sz w:val="16"/>
          <w:szCs w:val="16"/>
          <w:color w:val="333333"/>
        </w:rPr>
      </w:pPr>
      <w:r>
        <w:rPr>
          <w:rFonts w:ascii="Arial" w:cs="Arial" w:eastAsia="Arial" w:hAnsi="Arial"/>
          <w:sz w:val="16"/>
          <w:szCs w:val="16"/>
          <w:color w:val="333333"/>
        </w:rPr>
        <w:t>Insight into financial affairs, including corporate borrowings, capitalization, and liquidity</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0"/>
        </w:numPr>
        <w:rPr>
          <w:rFonts w:ascii="Arial" w:cs="Arial" w:eastAsia="Arial" w:hAnsi="Arial"/>
          <w:sz w:val="16"/>
          <w:szCs w:val="16"/>
          <w:color w:val="333333"/>
        </w:rPr>
      </w:pPr>
      <w:r>
        <w:rPr>
          <w:rFonts w:ascii="Arial" w:cs="Arial" w:eastAsia="Arial" w:hAnsi="Arial"/>
          <w:sz w:val="16"/>
          <w:szCs w:val="16"/>
          <w:color w:val="333333"/>
        </w:rPr>
        <w:t>Expertise with respect to financial statements, corporate finance, accounting and capital markets, mergers and acquisitions, and strategic analysis</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0"/>
        </w:numPr>
        <w:rPr>
          <w:rFonts w:ascii="Arial" w:cs="Arial" w:eastAsia="Arial" w:hAnsi="Arial"/>
          <w:sz w:val="16"/>
          <w:szCs w:val="16"/>
          <w:color w:val="333333"/>
        </w:rPr>
      </w:pPr>
      <w:r>
        <w:rPr>
          <w:rFonts w:ascii="Arial" w:cs="Arial" w:eastAsia="Arial" w:hAnsi="Arial"/>
          <w:sz w:val="16"/>
          <w:szCs w:val="16"/>
          <w:color w:val="333333"/>
        </w:rPr>
        <w:t>Deep understanding of financial management, risk management and corporate governance</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146050</wp:posOffset>
            </wp:positionV>
            <wp:extent cx="351155" cy="308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1155" cy="308610"/>
                    </a:xfrm>
                    <a:prstGeom prst="rect">
                      <a:avLst/>
                    </a:prstGeom>
                    <a:noFill/>
                  </pic:spPr>
                </pic:pic>
              </a:graphicData>
            </a:graphic>
          </wp:anchor>
        </w:drawing>
        <w:drawing>
          <wp:anchor simplePos="0" relativeHeight="251657728" behindDoc="1" locked="0" layoutInCell="0" allowOverlap="1">
            <wp:simplePos x="0" y="0"/>
            <wp:positionH relativeFrom="column">
              <wp:posOffset>1551305</wp:posOffset>
            </wp:positionH>
            <wp:positionV relativeFrom="paragraph">
              <wp:posOffset>146050</wp:posOffset>
            </wp:positionV>
            <wp:extent cx="411480" cy="325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14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4" w:type="dxa"/>
        <w:tblCellMar>
          <w:top w:w="0" w:type="dxa"/>
          <w:left w:w="0" w:type="dxa"/>
          <w:bottom w:w="0" w:type="dxa"/>
          <w:right w:w="0" w:type="dxa"/>
        </w:tblCellMar>
      </w:tblPr>
      <w:tr>
        <w:trPr>
          <w:trHeight w:val="171"/>
        </w:trPr>
        <w:tc>
          <w:tcPr>
            <w:tcW w:w="1980" w:type="dxa"/>
            <w:vAlign w:val="bottom"/>
          </w:tcPr>
          <w:p>
            <w:pPr>
              <w:jc w:val="center"/>
              <w:ind w:right="228"/>
              <w:spacing w:after="0"/>
              <w:rPr>
                <w:sz w:val="20"/>
                <w:szCs w:val="20"/>
                <w:color w:val="auto"/>
              </w:rPr>
            </w:pPr>
            <w:r>
              <w:rPr>
                <w:rFonts w:ascii="Arial" w:cs="Arial" w:eastAsia="Arial" w:hAnsi="Arial"/>
                <w:sz w:val="14"/>
                <w:szCs w:val="14"/>
                <w:color w:val="333333"/>
              </w:rPr>
              <w:t>Management</w:t>
            </w:r>
          </w:p>
        </w:tc>
        <w:tc>
          <w:tcPr>
            <w:tcW w:w="1180" w:type="dxa"/>
            <w:vAlign w:val="bottom"/>
          </w:tcPr>
          <w:p>
            <w:pPr>
              <w:jc w:val="center"/>
              <w:ind w:left="248"/>
              <w:spacing w:after="0"/>
              <w:rPr>
                <w:sz w:val="20"/>
                <w:szCs w:val="20"/>
                <w:color w:val="auto"/>
              </w:rPr>
            </w:pPr>
            <w:r>
              <w:rPr>
                <w:rFonts w:ascii="Arial" w:cs="Arial" w:eastAsia="Arial" w:hAnsi="Arial"/>
                <w:sz w:val="14"/>
                <w:szCs w:val="14"/>
                <w:color w:val="333333"/>
              </w:rPr>
              <w:t>Nominating &amp;</w:t>
            </w:r>
          </w:p>
        </w:tc>
      </w:tr>
      <w:tr>
        <w:trPr>
          <w:trHeight w:val="162"/>
        </w:trPr>
        <w:tc>
          <w:tcPr>
            <w:tcW w:w="1980" w:type="dxa"/>
            <w:vAlign w:val="bottom"/>
          </w:tcPr>
          <w:p>
            <w:pPr>
              <w:jc w:val="center"/>
              <w:ind w:right="228"/>
              <w:spacing w:after="0"/>
              <w:rPr>
                <w:sz w:val="20"/>
                <w:szCs w:val="20"/>
                <w:color w:val="auto"/>
              </w:rPr>
            </w:pPr>
            <w:r>
              <w:rPr>
                <w:rFonts w:ascii="Arial" w:cs="Arial" w:eastAsia="Arial" w:hAnsi="Arial"/>
                <w:sz w:val="14"/>
                <w:szCs w:val="14"/>
                <w:color w:val="333333"/>
              </w:rPr>
              <w:t>Development &amp;</w:t>
            </w:r>
          </w:p>
        </w:tc>
        <w:tc>
          <w:tcPr>
            <w:tcW w:w="1180" w:type="dxa"/>
            <w:vAlign w:val="bottom"/>
          </w:tcPr>
          <w:p>
            <w:pPr>
              <w:jc w:val="center"/>
              <w:ind w:left="228"/>
              <w:spacing w:after="0"/>
              <w:rPr>
                <w:sz w:val="20"/>
                <w:szCs w:val="20"/>
                <w:color w:val="auto"/>
              </w:rPr>
            </w:pPr>
            <w:r>
              <w:rPr>
                <w:rFonts w:ascii="Arial" w:cs="Arial" w:eastAsia="Arial" w:hAnsi="Arial"/>
                <w:sz w:val="14"/>
                <w:szCs w:val="14"/>
                <w:color w:val="333333"/>
              </w:rPr>
              <w:t>Corporate</w:t>
            </w:r>
          </w:p>
        </w:tc>
      </w:tr>
      <w:tr>
        <w:trPr>
          <w:trHeight w:val="180"/>
        </w:trPr>
        <w:tc>
          <w:tcPr>
            <w:tcW w:w="1980" w:type="dxa"/>
            <w:vAlign w:val="bottom"/>
          </w:tcPr>
          <w:p>
            <w:pPr>
              <w:jc w:val="center"/>
              <w:ind w:right="228"/>
              <w:spacing w:after="0"/>
              <w:rPr>
                <w:sz w:val="20"/>
                <w:szCs w:val="20"/>
                <w:color w:val="auto"/>
              </w:rPr>
            </w:pPr>
            <w:r>
              <w:rPr>
                <w:rFonts w:ascii="Arial" w:cs="Arial" w:eastAsia="Arial" w:hAnsi="Arial"/>
                <w:sz w:val="14"/>
                <w:szCs w:val="14"/>
                <w:color w:val="333333"/>
              </w:rPr>
              <w:t>Compensation Committee</w:t>
            </w:r>
          </w:p>
        </w:tc>
        <w:tc>
          <w:tcPr>
            <w:tcW w:w="1180" w:type="dxa"/>
            <w:vAlign w:val="bottom"/>
          </w:tcPr>
          <w:p>
            <w:pPr>
              <w:jc w:val="center"/>
              <w:ind w:left="248"/>
              <w:spacing w:after="0"/>
              <w:rPr>
                <w:sz w:val="20"/>
                <w:szCs w:val="20"/>
                <w:color w:val="auto"/>
              </w:rPr>
            </w:pPr>
            <w:r>
              <w:rPr>
                <w:rFonts w:ascii="Arial" w:cs="Arial" w:eastAsia="Arial" w:hAnsi="Arial"/>
                <w:sz w:val="14"/>
                <w:szCs w:val="14"/>
                <w:color w:val="333333"/>
              </w:rPr>
              <w:t>Governance</w:t>
            </w:r>
          </w:p>
        </w:tc>
      </w:tr>
      <w:tr>
        <w:trPr>
          <w:trHeight w:val="190"/>
        </w:trPr>
        <w:tc>
          <w:tcPr>
            <w:tcW w:w="1980" w:type="dxa"/>
            <w:vAlign w:val="bottom"/>
          </w:tcPr>
          <w:p>
            <w:pPr>
              <w:spacing w:after="0"/>
              <w:rPr>
                <w:sz w:val="16"/>
                <w:szCs w:val="16"/>
                <w:color w:val="auto"/>
              </w:rPr>
            </w:pPr>
          </w:p>
        </w:tc>
        <w:tc>
          <w:tcPr>
            <w:tcW w:w="1180" w:type="dxa"/>
            <w:vAlign w:val="bottom"/>
          </w:tcPr>
          <w:p>
            <w:pPr>
              <w:jc w:val="center"/>
              <w:ind w:left="248"/>
              <w:spacing w:after="0"/>
              <w:rPr>
                <w:sz w:val="20"/>
                <w:szCs w:val="20"/>
                <w:color w:val="auto"/>
              </w:rPr>
            </w:pPr>
            <w:r>
              <w:rPr>
                <w:rFonts w:ascii="Arial" w:cs="Arial" w:eastAsia="Arial" w:hAnsi="Arial"/>
                <w:sz w:val="14"/>
                <w:szCs w:val="14"/>
                <w:color w:val="333333"/>
              </w:rPr>
              <w:t>Committee</w:t>
            </w:r>
          </w:p>
        </w:tc>
      </w:tr>
    </w:tbl>
    <w:p>
      <w:pPr>
        <w:spacing w:after="0" w:line="38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28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315" w:right="439" w:bottom="1440" w:gutter="0" w:footer="0" w:header="0"/>
          <w:type w:val="continuous"/>
        </w:sectPr>
      </w:pPr>
    </w:p>
    <w:bookmarkStart w:id="34" w:name="page35"/>
    <w:bookmarkEnd w:id="34"/>
    <w:tbl>
      <w:tblPr>
        <w:tblLayout w:type="fixed"/>
        <w:tblInd w:w="8704" w:type="dxa"/>
        <w:tblCellMar>
          <w:top w:w="0" w:type="dxa"/>
          <w:left w:w="0" w:type="dxa"/>
          <w:bottom w:w="0" w:type="dxa"/>
          <w:right w:w="0" w:type="dxa"/>
        </w:tblCellMar>
      </w:tblPr>
      <w:tr>
        <w:trPr>
          <w:trHeight w:val="531"/>
        </w:trPr>
        <w:tc>
          <w:tcPr>
            <w:tcW w:w="500" w:type="dxa"/>
            <w:vAlign w:val="bottom"/>
            <w:shd w:val="clear" w:color="auto" w:fill="4D5357"/>
          </w:tcPr>
          <w:p>
            <w:pPr>
              <w:ind w:left="460"/>
              <w:spacing w:after="0"/>
              <w:rPr>
                <w:sz w:val="20"/>
                <w:szCs w:val="20"/>
                <w:color w:val="auto"/>
              </w:rPr>
            </w:pPr>
            <w:r>
              <w:rPr>
                <w:rFonts w:ascii="Arial" w:cs="Arial" w:eastAsia="Arial" w:hAnsi="Arial"/>
                <w:sz w:val="2"/>
                <w:szCs w:val="2"/>
                <w:b w:val="1"/>
                <w:bCs w:val="1"/>
                <w:color w:val="FFFFFF"/>
                <w:w w:val="97"/>
              </w:rPr>
              <w:t> </w:t>
            </w:r>
          </w:p>
        </w:tc>
        <w:tc>
          <w:tcPr>
            <w:tcW w:w="182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500" w:type="dxa"/>
            <w:vAlign w:val="bottom"/>
            <w:shd w:val="clear" w:color="auto" w:fill="4D5357"/>
          </w:tcPr>
          <w:p>
            <w:pPr>
              <w:ind w:left="220"/>
              <w:spacing w:after="0"/>
              <w:rPr>
                <w:sz w:val="20"/>
                <w:szCs w:val="20"/>
                <w:color w:val="auto"/>
              </w:rPr>
            </w:pPr>
            <w:r>
              <w:rPr>
                <w:rFonts w:ascii="Arial" w:cs="Arial" w:eastAsia="Arial" w:hAnsi="Arial"/>
                <w:sz w:val="14"/>
                <w:szCs w:val="14"/>
                <w:b w:val="1"/>
                <w:bCs w:val="1"/>
                <w:color w:val="FFFFFF"/>
              </w:rPr>
              <w:t xml:space="preserve">    </w:t>
            </w:r>
          </w:p>
        </w:tc>
        <w:tc>
          <w:tcPr>
            <w:tcW w:w="182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10"/>
        </w:trPr>
        <w:tc>
          <w:tcPr>
            <w:tcW w:w="500" w:type="dxa"/>
            <w:vAlign w:val="bottom"/>
            <w:shd w:val="clear" w:color="auto" w:fill="4D5357"/>
          </w:tcPr>
          <w:p>
            <w:pPr>
              <w:spacing w:after="0"/>
              <w:rPr>
                <w:sz w:val="9"/>
                <w:szCs w:val="9"/>
                <w:color w:val="auto"/>
              </w:rPr>
            </w:pPr>
          </w:p>
        </w:tc>
        <w:tc>
          <w:tcPr>
            <w:tcW w:w="1820" w:type="dxa"/>
            <w:vAlign w:val="bottom"/>
            <w:shd w:val="clear" w:color="auto" w:fill="4D53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029450" cy="2348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2945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333333"/>
        </w:rPr>
        <w:t>Mr. Nye has served as Chair of the Board of Martin Marietta since 2014, as President since 2006 and as Chief Executive Officer and a Director since 2010. Mr. Nye previously served as Chief Operating Officer from 2006 to 2009. Prior to joining Martin Marietta in 2006, Mr. Nye spent nearly 13 years in a series of increasingly responsible positions with Hanson PLC, an international building materials company. In addition to his educational, professional, executive and related roles, Mr. Nye is a past Chairman of the Board of each of the National Stone, Sand &amp; Gravel Association (NSSGA), the American Road &amp; Transportation Builders Association (ARTBA), and the North Carolina Chamber. Mr. Nye is also a member of the Board of Directors and the Executive Committee of the United States Chamber of Commerce, the world’s largest business organization. Since 2018, Mr. Nye has been a member of the Board of Directors of General Dynamics Corporation (NYSE: GD), a global aerospace and defense company. Mr. Nye has been recognized by Forbes magazine as one of America’s Most Innovative Leaders; he was previously recognized by both Aggregates Manager and Pit &amp; Quarry magazines, as Aggman of the Year and a Hall of Fame inductee, respectively. Mr. Nye has also served on numerous other state, local and/or philanthropic organizations including the boards of directors of the University of North Carolina Health System and the Research Triangle Foundation, as well as the Board of Governors of the Research Triangle Institute. He also served as Co-Chair of the NC FIRST Commission (evaluating North Carolina’s current and future transportation investment needs). Mr. Nye received a Bachelor’s degree from Duke University and a Juris Doctor degree from Wake Forest University.</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31"/>
        </w:numPr>
        <w:rPr>
          <w:rFonts w:ascii="Arial" w:cs="Arial" w:eastAsia="Arial" w:hAnsi="Arial"/>
          <w:sz w:val="16"/>
          <w:szCs w:val="16"/>
          <w:color w:val="333333"/>
        </w:rPr>
      </w:pPr>
      <w:r>
        <w:rPr>
          <w:rFonts w:ascii="Arial" w:cs="Arial" w:eastAsia="Arial" w:hAnsi="Arial"/>
          <w:sz w:val="16"/>
          <w:szCs w:val="16"/>
          <w:color w:val="333333"/>
        </w:rPr>
        <w:t>Extensive knowledge of the building materials industry</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1"/>
        </w:numPr>
        <w:rPr>
          <w:rFonts w:ascii="Arial" w:cs="Arial" w:eastAsia="Arial" w:hAnsi="Arial"/>
          <w:sz w:val="16"/>
          <w:szCs w:val="16"/>
          <w:color w:val="333333"/>
        </w:rPr>
      </w:pPr>
      <w:r>
        <w:rPr>
          <w:rFonts w:ascii="Arial" w:cs="Arial" w:eastAsia="Arial" w:hAnsi="Arial"/>
          <w:sz w:val="16"/>
          <w:szCs w:val="16"/>
          <w:color w:val="333333"/>
        </w:rPr>
        <w:t>Extensive leadership, business, operating, marketing, mergers and acquisitions, legal, customer-relations, and safety and environmental experience</w:t>
      </w:r>
    </w:p>
    <w:p>
      <w:pPr>
        <w:spacing w:after="0" w:line="5" w:lineRule="exact"/>
        <w:rPr>
          <w:rFonts w:ascii="Arial" w:cs="Arial" w:eastAsia="Arial" w:hAnsi="Arial"/>
          <w:sz w:val="16"/>
          <w:szCs w:val="16"/>
          <w:color w:val="333333"/>
        </w:rPr>
      </w:pPr>
    </w:p>
    <w:p>
      <w:pPr>
        <w:ind w:left="224" w:right="560" w:hanging="224"/>
        <w:spacing w:after="0" w:line="246" w:lineRule="auto"/>
        <w:tabs>
          <w:tab w:leader="none" w:pos="224" w:val="left"/>
        </w:tabs>
        <w:numPr>
          <w:ilvl w:val="0"/>
          <w:numId w:val="31"/>
        </w:numPr>
        <w:rPr>
          <w:rFonts w:ascii="Arial" w:cs="Arial" w:eastAsia="Arial" w:hAnsi="Arial"/>
          <w:sz w:val="16"/>
          <w:szCs w:val="16"/>
          <w:color w:val="333333"/>
        </w:rPr>
      </w:pPr>
      <w:r>
        <w:rPr>
          <w:rFonts w:ascii="Arial" w:cs="Arial" w:eastAsia="Arial" w:hAnsi="Arial"/>
          <w:sz w:val="16"/>
          <w:szCs w:val="16"/>
          <w:color w:val="333333"/>
        </w:rPr>
        <w:t>Understands the competitive nature of the business and has strong management skills, broad executive experience, and corporate governance expertise</w:t>
      </w:r>
    </w:p>
    <w:p>
      <w:pPr>
        <w:ind w:left="224" w:hanging="224"/>
        <w:spacing w:after="0"/>
        <w:tabs>
          <w:tab w:leader="none" w:pos="224" w:val="left"/>
        </w:tabs>
        <w:numPr>
          <w:ilvl w:val="0"/>
          <w:numId w:val="31"/>
        </w:numPr>
        <w:rPr>
          <w:rFonts w:ascii="Arial" w:cs="Arial" w:eastAsia="Arial" w:hAnsi="Arial"/>
          <w:sz w:val="16"/>
          <w:szCs w:val="16"/>
          <w:color w:val="333333"/>
        </w:rPr>
      </w:pPr>
      <w:r>
        <w:rPr>
          <w:rFonts w:ascii="Arial" w:cs="Arial" w:eastAsia="Arial" w:hAnsi="Arial"/>
          <w:sz w:val="16"/>
          <w:szCs w:val="16"/>
          <w:color w:val="333333"/>
        </w:rPr>
        <w:t>Broad strategic vision for the future growth of Martin Marietta</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146050</wp:posOffset>
            </wp:positionV>
            <wp:extent cx="265430" cy="299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543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256"/>
        <w:spacing w:after="0"/>
        <w:rPr>
          <w:sz w:val="20"/>
          <w:szCs w:val="20"/>
          <w:color w:val="auto"/>
        </w:rPr>
      </w:pPr>
      <w:r>
        <w:rPr>
          <w:rFonts w:ascii="Arial" w:cs="Arial" w:eastAsia="Arial" w:hAnsi="Arial"/>
          <w:sz w:val="14"/>
          <w:szCs w:val="14"/>
          <w:color w:val="333333"/>
        </w:rPr>
        <w:t>Executive</w:t>
      </w:r>
    </w:p>
    <w:p>
      <w:pPr>
        <w:spacing w:after="0" w:line="15" w:lineRule="exact"/>
        <w:rPr>
          <w:sz w:val="20"/>
          <w:szCs w:val="20"/>
          <w:color w:val="auto"/>
        </w:rPr>
      </w:pPr>
    </w:p>
    <w:p>
      <w:pPr>
        <w:jc w:val="center"/>
        <w:ind w:right="9256"/>
        <w:spacing w:after="0"/>
        <w:rPr>
          <w:sz w:val="20"/>
          <w:szCs w:val="20"/>
          <w:color w:val="auto"/>
        </w:rPr>
      </w:pPr>
      <w:r>
        <w:rPr>
          <w:rFonts w:ascii="Arial" w:cs="Arial" w:eastAsia="Arial" w:hAnsi="Arial"/>
          <w:sz w:val="14"/>
          <w:szCs w:val="14"/>
          <w:color w:val="333333"/>
        </w:rPr>
        <w:t>Committee</w:t>
      </w:r>
    </w:p>
    <w:p>
      <w:pPr>
        <w:spacing w:after="0" w:line="1" w:lineRule="exact"/>
        <w:rPr>
          <w:sz w:val="20"/>
          <w:szCs w:val="20"/>
          <w:color w:val="auto"/>
        </w:rPr>
      </w:pPr>
    </w:p>
    <w:p>
      <w:pPr>
        <w:jc w:val="center"/>
        <w:ind w:right="9256"/>
        <w:spacing w:after="0"/>
        <w:rPr>
          <w:sz w:val="20"/>
          <w:szCs w:val="20"/>
          <w:color w:val="auto"/>
        </w:rPr>
      </w:pPr>
      <w:r>
        <w:rPr>
          <w:rFonts w:ascii="Arial" w:cs="Arial" w:eastAsia="Arial" w:hAnsi="Arial"/>
          <w:sz w:val="14"/>
          <w:szCs w:val="14"/>
          <w:color w:val="333333"/>
        </w:rPr>
        <w:t>(Chair)</w:t>
      </w: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29 </w:t>
      </w:r>
      <w:r>
        <w:rPr>
          <w:rFonts w:ascii="Arial" w:cs="Arial" w:eastAsia="Arial" w:hAnsi="Arial"/>
          <w:sz w:val="16"/>
          <w:szCs w:val="16"/>
          <w:color w:val="333333"/>
        </w:rPr>
        <w:t xml:space="preserve">               </w:t>
      </w:r>
    </w:p>
    <w:p>
      <w:pPr>
        <w:sectPr>
          <w:pgSz w:w="11900" w:h="16838" w:orient="portrait"/>
          <w:cols w:equalWidth="0" w:num="3">
            <w:col w:w="3864" w:space="720"/>
            <w:col w:w="4660" w:space="720"/>
            <w:col w:w="1060"/>
          </w:cols>
          <w:pgMar w:left="436" w:top="315" w:right="439" w:bottom="1440" w:gutter="0" w:footer="0" w:header="0"/>
          <w:type w:val="continuous"/>
        </w:sectPr>
      </w:pPr>
    </w:p>
    <w:bookmarkStart w:id="35" w:name="page36"/>
    <w:bookmarkEnd w:id="35"/>
    <w:tbl>
      <w:tblPr>
        <w:tblLayout w:type="fixed"/>
        <w:tblInd w:w="4" w:type="dxa"/>
        <w:tblCellMar>
          <w:top w:w="0" w:type="dxa"/>
          <w:left w:w="0" w:type="dxa"/>
          <w:bottom w:w="0" w:type="dxa"/>
          <w:right w:w="0" w:type="dxa"/>
        </w:tblCellMar>
      </w:tblPr>
      <w:tr>
        <w:trPr>
          <w:trHeight w:val="355"/>
        </w:trPr>
        <w:tc>
          <w:tcPr>
            <w:tcW w:w="380" w:type="dxa"/>
            <w:vAlign w:val="bottom"/>
            <w:shd w:val="clear" w:color="auto" w:fill="4D5357"/>
          </w:tcPr>
          <w:p>
            <w:pPr>
              <w:ind w:left="340"/>
              <w:spacing w:after="0"/>
              <w:rPr>
                <w:sz w:val="20"/>
                <w:szCs w:val="20"/>
                <w:color w:val="auto"/>
              </w:rPr>
            </w:pPr>
            <w:r>
              <w:rPr>
                <w:rFonts w:ascii="Arial" w:cs="Arial" w:eastAsia="Arial" w:hAnsi="Arial"/>
                <w:sz w:val="2"/>
                <w:szCs w:val="2"/>
                <w:b w:val="1"/>
                <w:bCs w:val="1"/>
                <w:color w:val="FFFFFF"/>
                <w:w w:val="97"/>
              </w:rPr>
              <w:t> </w:t>
            </w:r>
          </w:p>
        </w:tc>
        <w:tc>
          <w:tcPr>
            <w:tcW w:w="180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38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w:t>
            </w:r>
          </w:p>
        </w:tc>
        <w:tc>
          <w:tcPr>
            <w:tcW w:w="180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91"/>
        </w:trPr>
        <w:tc>
          <w:tcPr>
            <w:tcW w:w="380" w:type="dxa"/>
            <w:vAlign w:val="bottom"/>
            <w:shd w:val="clear" w:color="auto" w:fill="4D5357"/>
          </w:tcPr>
          <w:p>
            <w:pPr>
              <w:spacing w:after="0"/>
              <w:rPr>
                <w:sz w:val="16"/>
                <w:szCs w:val="16"/>
                <w:color w:val="auto"/>
              </w:rPr>
            </w:pPr>
          </w:p>
        </w:tc>
        <w:tc>
          <w:tcPr>
            <w:tcW w:w="1800" w:type="dxa"/>
            <w:vAlign w:val="bottom"/>
            <w:shd w:val="clear" w:color="auto" w:fill="4D5357"/>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029450" cy="23742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2945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333333"/>
        </w:rPr>
        <w:t>Ms. Perez is an investment consultant with DeRoy &amp; Devereaux, an independent investment adviser, where she has provided client consulting services since 2015. She was previously Owner and Managing Partner of The Medallion Company, LLC, a consulting firm, from 2003 to 2015. Ms. Perez was previously a Director of GenOn Energy, Inc. (NYSE: GEN),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32"/>
        </w:numPr>
        <w:rPr>
          <w:rFonts w:ascii="Arial" w:cs="Arial" w:eastAsia="Arial" w:hAnsi="Arial"/>
          <w:sz w:val="16"/>
          <w:szCs w:val="16"/>
          <w:color w:val="333333"/>
        </w:rPr>
      </w:pPr>
      <w:r>
        <w:rPr>
          <w:rFonts w:ascii="Arial" w:cs="Arial" w:eastAsia="Arial" w:hAnsi="Arial"/>
          <w:sz w:val="16"/>
          <w:szCs w:val="16"/>
          <w:color w:val="333333"/>
        </w:rPr>
        <w:t>Significant business, financial and private investment experience</w:t>
      </w:r>
    </w:p>
    <w:p>
      <w:pPr>
        <w:spacing w:after="0" w:line="5" w:lineRule="exact"/>
        <w:rPr>
          <w:rFonts w:ascii="Arial" w:cs="Arial" w:eastAsia="Arial" w:hAnsi="Arial"/>
          <w:sz w:val="16"/>
          <w:szCs w:val="16"/>
          <w:color w:val="333333"/>
        </w:rPr>
      </w:pPr>
    </w:p>
    <w:p>
      <w:pPr>
        <w:ind w:left="224" w:right="220" w:hanging="224"/>
        <w:spacing w:after="0" w:line="246" w:lineRule="auto"/>
        <w:tabs>
          <w:tab w:leader="none" w:pos="224" w:val="left"/>
        </w:tabs>
        <w:numPr>
          <w:ilvl w:val="0"/>
          <w:numId w:val="32"/>
        </w:numPr>
        <w:rPr>
          <w:rFonts w:ascii="Arial" w:cs="Arial" w:eastAsia="Arial" w:hAnsi="Arial"/>
          <w:sz w:val="16"/>
          <w:szCs w:val="16"/>
          <w:color w:val="333333"/>
        </w:rPr>
      </w:pPr>
      <w:r>
        <w:rPr>
          <w:rFonts w:ascii="Arial" w:cs="Arial" w:eastAsia="Arial" w:hAnsi="Arial"/>
          <w:sz w:val="16"/>
          <w:szCs w:val="16"/>
          <w:color w:val="333333"/>
        </w:rPr>
        <w:t>Significant expertise with respect to financial statements, corporate finance, accounting and capital markets, mergers and acquisitions, and strategic analysis</w:t>
      </w:r>
    </w:p>
    <w:p>
      <w:pPr>
        <w:ind w:left="224" w:hanging="224"/>
        <w:spacing w:after="0"/>
        <w:tabs>
          <w:tab w:leader="none" w:pos="224" w:val="left"/>
        </w:tabs>
        <w:numPr>
          <w:ilvl w:val="0"/>
          <w:numId w:val="32"/>
        </w:numPr>
        <w:rPr>
          <w:rFonts w:ascii="Arial" w:cs="Arial" w:eastAsia="Arial" w:hAnsi="Arial"/>
          <w:sz w:val="16"/>
          <w:szCs w:val="16"/>
          <w:color w:val="333333"/>
        </w:rPr>
      </w:pPr>
      <w:r>
        <w:rPr>
          <w:rFonts w:ascii="Arial" w:cs="Arial" w:eastAsia="Arial" w:hAnsi="Arial"/>
          <w:sz w:val="16"/>
          <w:szCs w:val="16"/>
          <w:color w:val="333333"/>
        </w:rPr>
        <w:t>Insight into auditing best practices</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2"/>
        </w:numPr>
        <w:rPr>
          <w:rFonts w:ascii="Arial" w:cs="Arial" w:eastAsia="Arial" w:hAnsi="Arial"/>
          <w:sz w:val="16"/>
          <w:szCs w:val="16"/>
          <w:color w:val="333333"/>
        </w:rPr>
      </w:pPr>
      <w:r>
        <w:rPr>
          <w:rFonts w:ascii="Arial" w:cs="Arial" w:eastAsia="Arial" w:hAnsi="Arial"/>
          <w:sz w:val="16"/>
          <w:szCs w:val="16"/>
          <w:color w:val="333333"/>
        </w:rPr>
        <w:t>Familiarity with the southwestern United States</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189230</wp:posOffset>
            </wp:positionV>
            <wp:extent cx="368300" cy="3854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8300" cy="385445"/>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146050</wp:posOffset>
            </wp:positionV>
            <wp:extent cx="240030" cy="428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0030" cy="42862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64"/>
        <w:spacing w:after="0"/>
        <w:rPr>
          <w:sz w:val="20"/>
          <w:szCs w:val="20"/>
          <w:color w:val="auto"/>
        </w:rPr>
      </w:pPr>
      <w:r>
        <w:rPr>
          <w:rFonts w:ascii="Arial" w:cs="Arial" w:eastAsia="Arial" w:hAnsi="Arial"/>
          <w:sz w:val="14"/>
          <w:szCs w:val="14"/>
          <w:color w:val="333333"/>
        </w:rPr>
        <w:t>Audit</w:t>
      </w:r>
    </w:p>
    <w:p>
      <w:pPr>
        <w:spacing w:after="0" w:line="15" w:lineRule="exact"/>
        <w:rPr>
          <w:sz w:val="20"/>
          <w:szCs w:val="20"/>
          <w:color w:val="auto"/>
        </w:rPr>
      </w:pPr>
    </w:p>
    <w:p>
      <w:pPr>
        <w:jc w:val="center"/>
        <w:ind w:left="64"/>
        <w:spacing w:after="0"/>
        <w:rPr>
          <w:sz w:val="20"/>
          <w:szCs w:val="20"/>
          <w:color w:val="auto"/>
        </w:rPr>
      </w:pPr>
      <w:r>
        <w:rPr>
          <w:rFonts w:ascii="Arial" w:cs="Arial" w:eastAsia="Arial" w:hAnsi="Arial"/>
          <w:sz w:val="14"/>
          <w:szCs w:val="14"/>
          <w:color w:val="333333"/>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00"/>
        <w:spacing w:after="0"/>
        <w:rPr>
          <w:sz w:val="20"/>
          <w:szCs w:val="20"/>
          <w:color w:val="auto"/>
        </w:rPr>
      </w:pPr>
      <w:r>
        <w:rPr>
          <w:rFonts w:ascii="Arial" w:cs="Arial" w:eastAsia="Arial" w:hAnsi="Arial"/>
          <w:sz w:val="14"/>
          <w:szCs w:val="14"/>
          <w:color w:val="333333"/>
        </w:rPr>
        <w:t>Finance</w:t>
      </w:r>
    </w:p>
    <w:p>
      <w:pPr>
        <w:spacing w:after="0" w:line="15" w:lineRule="exact"/>
        <w:rPr>
          <w:sz w:val="20"/>
          <w:szCs w:val="20"/>
          <w:color w:val="auto"/>
        </w:rPr>
      </w:pPr>
    </w:p>
    <w:p>
      <w:pPr>
        <w:jc w:val="center"/>
        <w:ind w:right="7900"/>
        <w:spacing w:after="0"/>
        <w:rPr>
          <w:sz w:val="20"/>
          <w:szCs w:val="20"/>
          <w:color w:val="auto"/>
        </w:rPr>
      </w:pPr>
      <w:r>
        <w:rPr>
          <w:rFonts w:ascii="Arial" w:cs="Arial" w:eastAsia="Arial" w:hAnsi="Arial"/>
          <w:sz w:val="14"/>
          <w:szCs w:val="14"/>
          <w:color w:val="333333"/>
        </w:rPr>
        <w:t>Committee</w:t>
      </w:r>
    </w:p>
    <w:p>
      <w:pPr>
        <w:spacing w:after="0" w:line="200" w:lineRule="exact"/>
        <w:rPr>
          <w:sz w:val="20"/>
          <w:szCs w:val="20"/>
          <w:color w:val="auto"/>
        </w:rPr>
      </w:pPr>
    </w:p>
    <w:p>
      <w:pPr>
        <w:sectPr>
          <w:pgSz w:w="11900" w:h="16838" w:orient="portrait"/>
          <w:cols w:equalWidth="0" w:num="2">
            <w:col w:w="1704" w:space="720"/>
            <w:col w:w="8600"/>
          </w:cols>
          <w:pgMar w:left="436" w:top="315" w:right="439" w:bottom="1440" w:gutter="0" w:footer="0" w:header="0"/>
          <w:type w:val="continuous"/>
        </w:sect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995160" cy="6000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type w:val="continuous"/>
        </w:sectPr>
      </w:pP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30</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315" w:right="439" w:bottom="1440" w:gutter="0" w:footer="0" w:header="0"/>
          <w:type w:val="continuous"/>
        </w:sectPr>
      </w:pPr>
    </w:p>
    <w:bookmarkStart w:id="36" w:name="page37"/>
    <w:bookmarkEnd w:id="36"/>
    <w:tbl>
      <w:tblPr>
        <w:tblLayout w:type="fixed"/>
        <w:tblInd w:w="8704" w:type="dxa"/>
        <w:tblCellMar>
          <w:top w:w="0" w:type="dxa"/>
          <w:left w:w="0" w:type="dxa"/>
          <w:bottom w:w="0" w:type="dxa"/>
          <w:right w:w="0" w:type="dxa"/>
        </w:tblCellMar>
      </w:tblPr>
      <w:tr>
        <w:trPr>
          <w:trHeight w:val="531"/>
        </w:trPr>
        <w:tc>
          <w:tcPr>
            <w:tcW w:w="500" w:type="dxa"/>
            <w:vAlign w:val="bottom"/>
            <w:shd w:val="clear" w:color="auto" w:fill="4D5357"/>
          </w:tcPr>
          <w:p>
            <w:pPr>
              <w:ind w:left="460"/>
              <w:spacing w:after="0"/>
              <w:rPr>
                <w:sz w:val="20"/>
                <w:szCs w:val="20"/>
                <w:color w:val="auto"/>
              </w:rPr>
            </w:pPr>
            <w:r>
              <w:rPr>
                <w:rFonts w:ascii="Arial" w:cs="Arial" w:eastAsia="Arial" w:hAnsi="Arial"/>
                <w:sz w:val="2"/>
                <w:szCs w:val="2"/>
                <w:b w:val="1"/>
                <w:bCs w:val="1"/>
                <w:color w:val="FFFFFF"/>
                <w:w w:val="97"/>
              </w:rPr>
              <w:t> </w:t>
            </w:r>
          </w:p>
        </w:tc>
        <w:tc>
          <w:tcPr>
            <w:tcW w:w="182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500" w:type="dxa"/>
            <w:vAlign w:val="bottom"/>
            <w:shd w:val="clear" w:color="auto" w:fill="4D5357"/>
          </w:tcPr>
          <w:p>
            <w:pPr>
              <w:ind w:left="220"/>
              <w:spacing w:after="0"/>
              <w:rPr>
                <w:sz w:val="20"/>
                <w:szCs w:val="20"/>
                <w:color w:val="auto"/>
              </w:rPr>
            </w:pPr>
            <w:r>
              <w:rPr>
                <w:rFonts w:ascii="Arial" w:cs="Arial" w:eastAsia="Arial" w:hAnsi="Arial"/>
                <w:sz w:val="14"/>
                <w:szCs w:val="14"/>
                <w:b w:val="1"/>
                <w:bCs w:val="1"/>
                <w:color w:val="FFFFFF"/>
              </w:rPr>
              <w:t xml:space="preserve">    </w:t>
            </w:r>
          </w:p>
        </w:tc>
        <w:tc>
          <w:tcPr>
            <w:tcW w:w="182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10"/>
        </w:trPr>
        <w:tc>
          <w:tcPr>
            <w:tcW w:w="500" w:type="dxa"/>
            <w:vAlign w:val="bottom"/>
            <w:shd w:val="clear" w:color="auto" w:fill="4D5357"/>
          </w:tcPr>
          <w:p>
            <w:pPr>
              <w:spacing w:after="0"/>
              <w:rPr>
                <w:sz w:val="9"/>
                <w:szCs w:val="9"/>
                <w:color w:val="auto"/>
              </w:rPr>
            </w:pPr>
          </w:p>
        </w:tc>
        <w:tc>
          <w:tcPr>
            <w:tcW w:w="1820" w:type="dxa"/>
            <w:vAlign w:val="bottom"/>
            <w:shd w:val="clear" w:color="auto" w:fill="4D53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029450" cy="2339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2945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333333"/>
        </w:rPr>
        <w:t>Mr. Pike joined the Martin Marietta Board in July 2019. Until his retirement in May 2025, Mr. Pike served as the Chairman and Chief Executive Officer of Fortrea (Nasdaq: FTRE). Mr. Pike joined Fortrea as President and Chief Executive Officer in January 2023 during its spinoff from its parent company Labcorp (NYSE: LH). Mr. Pike has more than 30 years of leadership experience in global services, most notably in the pharmaceutical industry. Previously, Mr. Pike served as Chief Executive Officer and a member of the Board of Directors of Quintiles Transnational Holdings, Inc. (Quintiles) from April 2012 until its merger with IMS Health in December 2016 to create IQVIA (NYSE:IQV). Mr. Pike led Quintiles through a successful public offering and helped it grow into a Fortune 500 company. Prior to Quintiles, Mr. Pike spent 22 years at Accenture (NYSE: ACN), a leading global professional services company, providing a broad range of services and solutions in strategy, consulting, digital, technology and operations, until December 2009. At Accenture, Mr. Pike’s roles included serving as Chief Risk Officer and Managing Director of the North America Health and Products business areas. He previously served as the global Chief Operating Officer for Accenture’s Resources operating group and had also served as Accenture’s Chief Strategy Officer. After leaving Accenture in 2009 and until joining Quintiles in 2012, Mr. Pike was involved with a number of start-ups in the technology and healthcare sectors. Early in his career Mr. Pike was a consultant with McKinsey &amp; Company. Mr. Pike earned his Bachelor’s degree in accounting from the University of Delaware.</w:t>
      </w:r>
    </w:p>
    <w:p>
      <w:pPr>
        <w:spacing w:after="0" w:line="26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33"/>
        </w:numPr>
        <w:rPr>
          <w:rFonts w:ascii="Arial" w:cs="Arial" w:eastAsia="Arial" w:hAnsi="Arial"/>
          <w:sz w:val="16"/>
          <w:szCs w:val="16"/>
          <w:color w:val="333333"/>
        </w:rPr>
      </w:pPr>
      <w:r>
        <w:rPr>
          <w:rFonts w:ascii="Arial" w:cs="Arial" w:eastAsia="Arial" w:hAnsi="Arial"/>
          <w:sz w:val="16"/>
          <w:szCs w:val="16"/>
          <w:color w:val="333333"/>
        </w:rPr>
        <w:t>More than 15 years of C-Suite experience</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3"/>
        </w:numPr>
        <w:rPr>
          <w:rFonts w:ascii="Arial" w:cs="Arial" w:eastAsia="Arial" w:hAnsi="Arial"/>
          <w:sz w:val="16"/>
          <w:szCs w:val="16"/>
          <w:color w:val="333333"/>
        </w:rPr>
      </w:pPr>
      <w:r>
        <w:rPr>
          <w:rFonts w:ascii="Arial" w:cs="Arial" w:eastAsia="Arial" w:hAnsi="Arial"/>
          <w:sz w:val="16"/>
          <w:szCs w:val="16"/>
          <w:color w:val="333333"/>
        </w:rPr>
        <w:t>Broad strategic and financial experience</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3"/>
        </w:numPr>
        <w:rPr>
          <w:rFonts w:ascii="Arial" w:cs="Arial" w:eastAsia="Arial" w:hAnsi="Arial"/>
          <w:sz w:val="16"/>
          <w:szCs w:val="16"/>
          <w:color w:val="333333"/>
        </w:rPr>
      </w:pPr>
      <w:r>
        <w:rPr>
          <w:rFonts w:ascii="Arial" w:cs="Arial" w:eastAsia="Arial" w:hAnsi="Arial"/>
          <w:sz w:val="16"/>
          <w:szCs w:val="16"/>
          <w:color w:val="333333"/>
        </w:rPr>
        <w:t>Extensive experience in mergers and acquisitions, integration, and strategic development and analysis</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3"/>
        </w:numPr>
        <w:rPr>
          <w:rFonts w:ascii="Arial" w:cs="Arial" w:eastAsia="Arial" w:hAnsi="Arial"/>
          <w:sz w:val="16"/>
          <w:szCs w:val="16"/>
          <w:color w:val="333333"/>
        </w:rPr>
      </w:pPr>
      <w:r>
        <w:rPr>
          <w:rFonts w:ascii="Arial" w:cs="Arial" w:eastAsia="Arial" w:hAnsi="Arial"/>
          <w:sz w:val="16"/>
          <w:szCs w:val="16"/>
          <w:color w:val="333333"/>
        </w:rPr>
        <w:t>Significant mentorship, business and operating experience in a public company</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3"/>
        </w:numPr>
        <w:rPr>
          <w:rFonts w:ascii="Arial" w:cs="Arial" w:eastAsia="Arial" w:hAnsi="Arial"/>
          <w:sz w:val="16"/>
          <w:szCs w:val="16"/>
          <w:color w:val="333333"/>
        </w:rPr>
      </w:pPr>
      <w:r>
        <w:rPr>
          <w:rFonts w:ascii="Arial" w:cs="Arial" w:eastAsia="Arial" w:hAnsi="Arial"/>
          <w:sz w:val="16"/>
          <w:szCs w:val="16"/>
          <w:color w:val="333333"/>
        </w:rPr>
        <w:t>Valuable knowledge of financial system management, public company accounting, disclosure requirements and financial markets</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146050</wp:posOffset>
            </wp:positionV>
            <wp:extent cx="248285" cy="428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8285" cy="428625"/>
                    </a:xfrm>
                    <a:prstGeom prst="rect">
                      <a:avLst/>
                    </a:prstGeom>
                    <a:noFill/>
                  </pic:spPr>
                </pic:pic>
              </a:graphicData>
            </a:graphic>
          </wp:anchor>
        </w:drawing>
        <w:drawing>
          <wp:anchor simplePos="0" relativeHeight="251657728" behindDoc="1" locked="0" layoutInCell="0" allowOverlap="1">
            <wp:simplePos x="0" y="0"/>
            <wp:positionH relativeFrom="column">
              <wp:posOffset>1551305</wp:posOffset>
            </wp:positionH>
            <wp:positionV relativeFrom="paragraph">
              <wp:posOffset>248920</wp:posOffset>
            </wp:positionV>
            <wp:extent cx="411480" cy="3257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1480" cy="32575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84"/>
        <w:spacing w:after="0"/>
        <w:rPr>
          <w:sz w:val="20"/>
          <w:szCs w:val="20"/>
          <w:color w:val="auto"/>
        </w:rPr>
      </w:pPr>
      <w:r>
        <w:rPr>
          <w:rFonts w:ascii="Arial" w:cs="Arial" w:eastAsia="Arial" w:hAnsi="Arial"/>
          <w:sz w:val="14"/>
          <w:szCs w:val="14"/>
          <w:color w:val="333333"/>
        </w:rPr>
        <w:t>Finance</w:t>
      </w:r>
    </w:p>
    <w:p>
      <w:pPr>
        <w:spacing w:after="0" w:line="15" w:lineRule="exact"/>
        <w:rPr>
          <w:sz w:val="20"/>
          <w:szCs w:val="20"/>
          <w:color w:val="auto"/>
        </w:rPr>
      </w:pPr>
    </w:p>
    <w:p>
      <w:pPr>
        <w:jc w:val="center"/>
        <w:ind w:left="484"/>
        <w:spacing w:after="0"/>
        <w:rPr>
          <w:sz w:val="20"/>
          <w:szCs w:val="20"/>
          <w:color w:val="auto"/>
        </w:rPr>
      </w:pPr>
      <w:r>
        <w:rPr>
          <w:rFonts w:ascii="Arial" w:cs="Arial" w:eastAsia="Arial" w:hAnsi="Arial"/>
          <w:sz w:val="14"/>
          <w:szCs w:val="14"/>
          <w:color w:val="333333"/>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333333"/>
        </w:rPr>
        <w:t>Nominating &amp; Corporate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Governance Committee</w:t>
      </w:r>
    </w:p>
    <w:p>
      <w:pPr>
        <w:spacing w:after="0" w:line="200" w:lineRule="exact"/>
        <w:rPr>
          <w:sz w:val="20"/>
          <w:szCs w:val="20"/>
          <w:color w:val="auto"/>
        </w:rPr>
      </w:pPr>
    </w:p>
    <w:p>
      <w:pPr>
        <w:sectPr>
          <w:pgSz w:w="11900" w:h="16838" w:orient="portrait"/>
          <w:cols w:equalWidth="0" w:num="2">
            <w:col w:w="1284" w:space="720"/>
            <w:col w:w="9020"/>
          </w:cols>
          <w:pgMar w:left="436" w:top="315" w:right="439" w:bottom="1440" w:gutter="0" w:footer="0" w:header="0"/>
          <w:type w:val="continuous"/>
        </w:sect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995160" cy="6000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type w:val="continuous"/>
        </w:sectPr>
      </w:pP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31 </w:t>
      </w:r>
      <w:r>
        <w:rPr>
          <w:rFonts w:ascii="Arial" w:cs="Arial" w:eastAsia="Arial" w:hAnsi="Arial"/>
          <w:sz w:val="16"/>
          <w:szCs w:val="16"/>
          <w:color w:val="333333"/>
        </w:rPr>
        <w:t xml:space="preserve">               </w:t>
      </w:r>
    </w:p>
    <w:p>
      <w:pPr>
        <w:sectPr>
          <w:pgSz w:w="11900" w:h="16838" w:orient="portrait"/>
          <w:cols w:equalWidth="0" w:num="3">
            <w:col w:w="3864" w:space="720"/>
            <w:col w:w="4660" w:space="720"/>
            <w:col w:w="1060"/>
          </w:cols>
          <w:pgMar w:left="436" w:top="315" w:right="439" w:bottom="1440" w:gutter="0" w:footer="0" w:header="0"/>
          <w:type w:val="continuous"/>
        </w:sectPr>
      </w:pPr>
    </w:p>
    <w:bookmarkStart w:id="37" w:name="page38"/>
    <w:bookmarkEnd w:id="37"/>
    <w:tbl>
      <w:tblPr>
        <w:tblLayout w:type="fixed"/>
        <w:tblInd w:w="4" w:type="dxa"/>
        <w:tblCellMar>
          <w:top w:w="0" w:type="dxa"/>
          <w:left w:w="0" w:type="dxa"/>
          <w:bottom w:w="0" w:type="dxa"/>
          <w:right w:w="0" w:type="dxa"/>
        </w:tblCellMar>
      </w:tblPr>
      <w:tr>
        <w:trPr>
          <w:trHeight w:val="355"/>
        </w:trPr>
        <w:tc>
          <w:tcPr>
            <w:tcW w:w="380" w:type="dxa"/>
            <w:vAlign w:val="bottom"/>
            <w:shd w:val="clear" w:color="auto" w:fill="4D5357"/>
          </w:tcPr>
          <w:p>
            <w:pPr>
              <w:ind w:left="340"/>
              <w:spacing w:after="0"/>
              <w:rPr>
                <w:sz w:val="20"/>
                <w:szCs w:val="20"/>
                <w:color w:val="auto"/>
              </w:rPr>
            </w:pPr>
            <w:r>
              <w:rPr>
                <w:rFonts w:ascii="Arial" w:cs="Arial" w:eastAsia="Arial" w:hAnsi="Arial"/>
                <w:sz w:val="2"/>
                <w:szCs w:val="2"/>
                <w:b w:val="1"/>
                <w:bCs w:val="1"/>
                <w:color w:val="FFFFFF"/>
                <w:w w:val="97"/>
              </w:rPr>
              <w:t> </w:t>
            </w:r>
          </w:p>
        </w:tc>
        <w:tc>
          <w:tcPr>
            <w:tcW w:w="180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38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w:t>
            </w:r>
          </w:p>
        </w:tc>
        <w:tc>
          <w:tcPr>
            <w:tcW w:w="180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91"/>
        </w:trPr>
        <w:tc>
          <w:tcPr>
            <w:tcW w:w="380" w:type="dxa"/>
            <w:vAlign w:val="bottom"/>
            <w:shd w:val="clear" w:color="auto" w:fill="4D5357"/>
          </w:tcPr>
          <w:p>
            <w:pPr>
              <w:spacing w:after="0"/>
              <w:rPr>
                <w:sz w:val="16"/>
                <w:szCs w:val="16"/>
                <w:color w:val="auto"/>
              </w:rPr>
            </w:pPr>
          </w:p>
        </w:tc>
        <w:tc>
          <w:tcPr>
            <w:tcW w:w="1800" w:type="dxa"/>
            <w:vAlign w:val="bottom"/>
            <w:shd w:val="clear" w:color="auto" w:fill="4D5357"/>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029450" cy="2348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2945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333333"/>
        </w:rPr>
        <w:t>Mr. Slager was President and Chief Executive Officer of Republic Services, Inc. (Republic) (NYSE: RSG), a service provider in the non-hazardous solid waste industry, holding this position from 2011 through his retirement in 2021. Prior to this, he served as President and Chief Operating Officer of Republic from December 2008 until his promotion to CEO. Prior to that, Mr. Slager served in the same capacity for Allied Waste Industries, Inc. (Allied Waste) from 2005 to 2008, prior to its merger with Republic. Mr. Slager was Executive Vice President and Chief Operating Officer of Allied Waste between 2003 and 2004. Prior to that, Mr. Slager held varying positions of increasing responsibility with Allied Waste. Mr. Slager also served as a Director of Republic from 2010 until 2021. Mr. Slager serves as an Independent Director and as a member of the Audit Committee, Finance Committee and Environmental, Safety &amp; Sustainability Committee at Eastman Chemical Company (NYSE: EMN), a global specialty materials company that produces a broad range of products found in items people use every day. Mr. Slager previously served as an Independent Director of UTi Worldwide Inc. (UTi) from 2009 to January 2016, where he served as Chairman of the Nominating and Corporate Governance Committee and as a member of both the Compensation and Risk Committees. UTi, a former NYSE listed company, was an international, non-asset-based supply chain services and solutions company providing air and ocean freight forwarding and other supply chain management services. Mr. Slager also serves as a director on the Board for the Phoenix Children’s Hospital.</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6"/>
          <w:szCs w:val="16"/>
          <w:color w:val="333333"/>
        </w:rPr>
        <w:t>Mr. Slager will become the Lead Independent Director upon the retirement of Mr. Koraleski at the 2026 Annual Meeting of Shareholders.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More than 16 years of C-Suite experience</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More than 29 years of general management experience in a complex, capital intensive and logistics business</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Extensive experience in mergers and acquisitions, integration, and strategic development and analysis</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Valuable experience from his membership on the boards of directors of two publicly-traded companies</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146050</wp:posOffset>
            </wp:positionV>
            <wp:extent cx="419735" cy="3257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9735" cy="325755"/>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146050</wp:posOffset>
            </wp:positionV>
            <wp:extent cx="351790" cy="3086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1790" cy="30861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146050</wp:posOffset>
            </wp:positionV>
            <wp:extent cx="266065" cy="300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606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4" w:type="dxa"/>
        <w:tblCellMar>
          <w:top w:w="0" w:type="dxa"/>
          <w:left w:w="0" w:type="dxa"/>
          <w:bottom w:w="0" w:type="dxa"/>
          <w:right w:w="0" w:type="dxa"/>
        </w:tblCellMar>
      </w:tblPr>
      <w:tr>
        <w:trPr>
          <w:trHeight w:val="185"/>
        </w:trPr>
        <w:tc>
          <w:tcPr>
            <w:tcW w:w="1860" w:type="dxa"/>
            <w:vAlign w:val="bottom"/>
          </w:tcPr>
          <w:p>
            <w:pPr>
              <w:jc w:val="center"/>
              <w:ind w:right="228"/>
              <w:spacing w:after="0"/>
              <w:rPr>
                <w:sz w:val="20"/>
                <w:szCs w:val="20"/>
                <w:color w:val="auto"/>
              </w:rPr>
            </w:pPr>
            <w:r>
              <w:rPr>
                <w:rFonts w:ascii="Arial" w:cs="Arial" w:eastAsia="Arial" w:hAnsi="Arial"/>
                <w:sz w:val="14"/>
                <w:szCs w:val="14"/>
                <w:color w:val="333333"/>
              </w:rPr>
              <w:t>Nominating &amp; Corporate</w:t>
            </w:r>
          </w:p>
        </w:tc>
        <w:tc>
          <w:tcPr>
            <w:tcW w:w="1660" w:type="dxa"/>
            <w:vAlign w:val="bottom"/>
          </w:tcPr>
          <w:p>
            <w:pPr>
              <w:jc w:val="center"/>
              <w:spacing w:after="0"/>
              <w:rPr>
                <w:sz w:val="20"/>
                <w:szCs w:val="20"/>
                <w:color w:val="auto"/>
              </w:rPr>
            </w:pPr>
            <w:r>
              <w:rPr>
                <w:rFonts w:ascii="Arial" w:cs="Arial" w:eastAsia="Arial" w:hAnsi="Arial"/>
                <w:sz w:val="14"/>
                <w:szCs w:val="14"/>
                <w:color w:val="333333"/>
              </w:rPr>
              <w:t>Management</w:t>
            </w:r>
          </w:p>
        </w:tc>
        <w:tc>
          <w:tcPr>
            <w:tcW w:w="1040" w:type="dxa"/>
            <w:vAlign w:val="bottom"/>
          </w:tcPr>
          <w:p>
            <w:pPr>
              <w:jc w:val="center"/>
              <w:ind w:left="268"/>
              <w:spacing w:after="0"/>
              <w:rPr>
                <w:sz w:val="20"/>
                <w:szCs w:val="20"/>
                <w:color w:val="auto"/>
              </w:rPr>
            </w:pPr>
            <w:r>
              <w:rPr>
                <w:rFonts w:ascii="Arial" w:cs="Arial" w:eastAsia="Arial" w:hAnsi="Arial"/>
                <w:sz w:val="14"/>
                <w:szCs w:val="14"/>
                <w:color w:val="333333"/>
              </w:rPr>
              <w:t>Executive</w:t>
            </w:r>
          </w:p>
        </w:tc>
      </w:tr>
      <w:tr>
        <w:trPr>
          <w:trHeight w:val="162"/>
        </w:trPr>
        <w:tc>
          <w:tcPr>
            <w:tcW w:w="1860" w:type="dxa"/>
            <w:vAlign w:val="bottom"/>
          </w:tcPr>
          <w:p>
            <w:pPr>
              <w:jc w:val="center"/>
              <w:ind w:right="228"/>
              <w:spacing w:after="0"/>
              <w:rPr>
                <w:sz w:val="20"/>
                <w:szCs w:val="20"/>
                <w:color w:val="auto"/>
              </w:rPr>
            </w:pPr>
            <w:r>
              <w:rPr>
                <w:rFonts w:ascii="Arial" w:cs="Arial" w:eastAsia="Arial" w:hAnsi="Arial"/>
                <w:sz w:val="14"/>
                <w:szCs w:val="14"/>
                <w:color w:val="333333"/>
              </w:rPr>
              <w:t>Governance Committee</w:t>
            </w:r>
          </w:p>
        </w:tc>
        <w:tc>
          <w:tcPr>
            <w:tcW w:w="1660" w:type="dxa"/>
            <w:vAlign w:val="bottom"/>
          </w:tcPr>
          <w:p>
            <w:pPr>
              <w:jc w:val="center"/>
              <w:spacing w:after="0"/>
              <w:rPr>
                <w:sz w:val="20"/>
                <w:szCs w:val="20"/>
                <w:color w:val="auto"/>
              </w:rPr>
            </w:pPr>
            <w:r>
              <w:rPr>
                <w:rFonts w:ascii="Arial" w:cs="Arial" w:eastAsia="Arial" w:hAnsi="Arial"/>
                <w:sz w:val="14"/>
                <w:szCs w:val="14"/>
                <w:color w:val="333333"/>
              </w:rPr>
              <w:t>Development &amp;</w:t>
            </w:r>
          </w:p>
        </w:tc>
        <w:tc>
          <w:tcPr>
            <w:tcW w:w="1040" w:type="dxa"/>
            <w:vAlign w:val="bottom"/>
          </w:tcPr>
          <w:p>
            <w:pPr>
              <w:jc w:val="center"/>
              <w:ind w:left="268"/>
              <w:spacing w:after="0"/>
              <w:rPr>
                <w:sz w:val="20"/>
                <w:szCs w:val="20"/>
                <w:color w:val="auto"/>
              </w:rPr>
            </w:pPr>
            <w:r>
              <w:rPr>
                <w:rFonts w:ascii="Arial" w:cs="Arial" w:eastAsia="Arial" w:hAnsi="Arial"/>
                <w:sz w:val="14"/>
                <w:szCs w:val="14"/>
                <w:color w:val="333333"/>
              </w:rPr>
              <w:t>Committee</w:t>
            </w:r>
          </w:p>
        </w:tc>
      </w:tr>
      <w:tr>
        <w:trPr>
          <w:trHeight w:val="162"/>
        </w:trPr>
        <w:tc>
          <w:tcPr>
            <w:tcW w:w="1860" w:type="dxa"/>
            <w:vAlign w:val="bottom"/>
          </w:tcPr>
          <w:p>
            <w:pPr>
              <w:jc w:val="center"/>
              <w:ind w:right="228"/>
              <w:spacing w:after="0"/>
              <w:rPr>
                <w:sz w:val="20"/>
                <w:szCs w:val="20"/>
                <w:color w:val="auto"/>
              </w:rPr>
            </w:pPr>
            <w:r>
              <w:rPr>
                <w:rFonts w:ascii="Arial" w:cs="Arial" w:eastAsia="Arial" w:hAnsi="Arial"/>
                <w:sz w:val="14"/>
                <w:szCs w:val="14"/>
                <w:color w:val="333333"/>
              </w:rPr>
              <w:t>(Chair)</w:t>
            </w:r>
          </w:p>
        </w:tc>
        <w:tc>
          <w:tcPr>
            <w:tcW w:w="1660" w:type="dxa"/>
            <w:vAlign w:val="bottom"/>
          </w:tcPr>
          <w:p>
            <w:pPr>
              <w:jc w:val="center"/>
              <w:spacing w:after="0"/>
              <w:rPr>
                <w:sz w:val="20"/>
                <w:szCs w:val="20"/>
                <w:color w:val="auto"/>
              </w:rPr>
            </w:pPr>
            <w:r>
              <w:rPr>
                <w:rFonts w:ascii="Arial" w:cs="Arial" w:eastAsia="Arial" w:hAnsi="Arial"/>
                <w:sz w:val="14"/>
                <w:szCs w:val="14"/>
                <w:color w:val="333333"/>
              </w:rPr>
              <w:t>Compensation</w:t>
            </w:r>
          </w:p>
        </w:tc>
        <w:tc>
          <w:tcPr>
            <w:tcW w:w="1040" w:type="dxa"/>
            <w:vAlign w:val="bottom"/>
          </w:tcPr>
          <w:p>
            <w:pPr>
              <w:spacing w:after="0"/>
              <w:rPr>
                <w:sz w:val="14"/>
                <w:szCs w:val="14"/>
                <w:color w:val="auto"/>
              </w:rPr>
            </w:pPr>
          </w:p>
        </w:tc>
      </w:tr>
      <w:tr>
        <w:trPr>
          <w:trHeight w:val="190"/>
        </w:trPr>
        <w:tc>
          <w:tcPr>
            <w:tcW w:w="1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333333"/>
              </w:rPr>
              <w:t>Committee</w:t>
            </w:r>
          </w:p>
        </w:tc>
        <w:tc>
          <w:tcPr>
            <w:tcW w:w="1040" w:type="dxa"/>
            <w:vAlign w:val="bottom"/>
          </w:tcPr>
          <w:p>
            <w:pPr>
              <w:spacing w:after="0"/>
              <w:rPr>
                <w:sz w:val="16"/>
                <w:szCs w:val="16"/>
                <w:color w:val="auto"/>
              </w:rPr>
            </w:pPr>
          </w:p>
        </w:tc>
      </w:tr>
    </w:tbl>
    <w:p>
      <w:pPr>
        <w:spacing w:after="0" w:line="376"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32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315" w:right="439" w:bottom="1440" w:gutter="0" w:footer="0" w:header="0"/>
          <w:type w:val="continuous"/>
        </w:sectPr>
      </w:pPr>
    </w:p>
    <w:bookmarkStart w:id="38" w:name="page39"/>
    <w:bookmarkEnd w:id="38"/>
    <w:tbl>
      <w:tblPr>
        <w:tblLayout w:type="fixed"/>
        <w:tblInd w:w="8704" w:type="dxa"/>
        <w:tblCellMar>
          <w:top w:w="0" w:type="dxa"/>
          <w:left w:w="0" w:type="dxa"/>
          <w:bottom w:w="0" w:type="dxa"/>
          <w:right w:w="0" w:type="dxa"/>
        </w:tblCellMar>
      </w:tblPr>
      <w:tr>
        <w:trPr>
          <w:trHeight w:val="531"/>
        </w:trPr>
        <w:tc>
          <w:tcPr>
            <w:tcW w:w="500" w:type="dxa"/>
            <w:vAlign w:val="bottom"/>
            <w:shd w:val="clear" w:color="auto" w:fill="4D5357"/>
          </w:tcPr>
          <w:p>
            <w:pPr>
              <w:ind w:left="460"/>
              <w:spacing w:after="0"/>
              <w:rPr>
                <w:sz w:val="20"/>
                <w:szCs w:val="20"/>
                <w:color w:val="auto"/>
              </w:rPr>
            </w:pPr>
            <w:r>
              <w:rPr>
                <w:rFonts w:ascii="Arial" w:cs="Arial" w:eastAsia="Arial" w:hAnsi="Arial"/>
                <w:sz w:val="2"/>
                <w:szCs w:val="2"/>
                <w:b w:val="1"/>
                <w:bCs w:val="1"/>
                <w:color w:val="FFFFFF"/>
                <w:w w:val="97"/>
              </w:rPr>
              <w:t> </w:t>
            </w:r>
          </w:p>
        </w:tc>
        <w:tc>
          <w:tcPr>
            <w:tcW w:w="182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500" w:type="dxa"/>
            <w:vAlign w:val="bottom"/>
            <w:shd w:val="clear" w:color="auto" w:fill="4D5357"/>
          </w:tcPr>
          <w:p>
            <w:pPr>
              <w:ind w:left="220"/>
              <w:spacing w:after="0"/>
              <w:rPr>
                <w:sz w:val="20"/>
                <w:szCs w:val="20"/>
                <w:color w:val="auto"/>
              </w:rPr>
            </w:pPr>
            <w:r>
              <w:rPr>
                <w:rFonts w:ascii="Arial" w:cs="Arial" w:eastAsia="Arial" w:hAnsi="Arial"/>
                <w:sz w:val="14"/>
                <w:szCs w:val="14"/>
                <w:b w:val="1"/>
                <w:bCs w:val="1"/>
                <w:color w:val="FFFFFF"/>
              </w:rPr>
              <w:t xml:space="preserve">    </w:t>
            </w:r>
          </w:p>
        </w:tc>
        <w:tc>
          <w:tcPr>
            <w:tcW w:w="182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10"/>
        </w:trPr>
        <w:tc>
          <w:tcPr>
            <w:tcW w:w="500" w:type="dxa"/>
            <w:vAlign w:val="bottom"/>
            <w:shd w:val="clear" w:color="auto" w:fill="4D5357"/>
          </w:tcPr>
          <w:p>
            <w:pPr>
              <w:spacing w:after="0"/>
              <w:rPr>
                <w:sz w:val="9"/>
                <w:szCs w:val="9"/>
                <w:color w:val="auto"/>
              </w:rPr>
            </w:pPr>
          </w:p>
        </w:tc>
        <w:tc>
          <w:tcPr>
            <w:tcW w:w="1820" w:type="dxa"/>
            <w:vAlign w:val="bottom"/>
            <w:shd w:val="clear" w:color="auto" w:fill="4D535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029450" cy="2339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2945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EXPERIENCE &amp; QUALIFICATIONS:</w:t>
      </w:r>
    </w:p>
    <w:p>
      <w:pPr>
        <w:spacing w:after="0" w:line="16" w:lineRule="exact"/>
        <w:rPr>
          <w:sz w:val="20"/>
          <w:szCs w:val="20"/>
          <w:color w:val="auto"/>
        </w:rPr>
      </w:pPr>
    </w:p>
    <w:p>
      <w:pPr>
        <w:ind w:left="4" w:right="120"/>
        <w:spacing w:after="0" w:line="247" w:lineRule="auto"/>
        <w:rPr>
          <w:sz w:val="20"/>
          <w:szCs w:val="20"/>
          <w:color w:val="auto"/>
        </w:rPr>
      </w:pPr>
      <w:r>
        <w:rPr>
          <w:rFonts w:ascii="Arial" w:cs="Arial" w:eastAsia="Arial" w:hAnsi="Arial"/>
          <w:sz w:val="16"/>
          <w:szCs w:val="16"/>
          <w:color w:val="333333"/>
        </w:rPr>
        <w:t>Mr. Wajsgras is Chairman and Chief Executive Officer of Everfox, a leading global cybersecurity company. From April 2022 until July 2025, Mr. Wajsgras served as Chief Executive Officer of Intelsat, operator of the world’s first globalized network and leader in integrated satellite communications, leading it through its merger with SES to create a multi-orbit global satellite operator. He previously served from March 2015 to April 2020 as president of the Intelligence, Information and Services (IIS) business of the former Raytheon Company, now part of Raytheon Technologies (RTX). Raytheon is a major U.S. defense contractor and industrial corporation. IIS provides a full range of technical and professional services to intelligence, defense, federal and commercial customers worldwide. The business specializes in global intelligence, surveillance and reconnaissance; navigation; Department of Defense space and weather solutions; cybersecurity; analytics; training; logistics; mission support; engineering; automation and sustainment solutions; and international and domestic Air Traffic Management systems. Prior to this role, he was senior vice president and chief financial officer (CFO) of Raytheon from March 2006 to March 2015. Mr. Wajsgras is also an Independent Director and a member of the Audit Committee and Compensation Committee at Parsons Corporation (NYSE: PSN), a digitally enabled solutions provider focused on the defense, intelligence, and critical infrastructure markets, and an Independent Director at Wesco International, Inc., a leading provider of business-to-business distribution, logistics services, and supply chain solutions. He was named Federal Computer Week’s prestigious Industry Eagle Award winner in 2018 for his pivotal role in the U.S. government Information Technology community. In 2012, Mr. Wajsgras was named one of the Wall Street Journal’s 25 Best CFOs among the larger companies in the Standard &amp; Poor’s 500 Index. Mr. Wajsgras earned his Bachelor’s degree in accounting from the University of Maryland. He has a Master’s in Business Administration from American University.</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KEY ATTRIBUTES EXPERIENCE AND SKILLS:</w:t>
      </w:r>
    </w:p>
    <w:p>
      <w:pPr>
        <w:spacing w:after="0" w:line="16" w:lineRule="exact"/>
        <w:rPr>
          <w:sz w:val="20"/>
          <w:szCs w:val="20"/>
          <w:color w:val="auto"/>
        </w:rPr>
      </w:pPr>
    </w:p>
    <w:p>
      <w:pPr>
        <w:ind w:left="224" w:hanging="224"/>
        <w:spacing w:after="0"/>
        <w:tabs>
          <w:tab w:leader="none" w:pos="224" w:val="left"/>
        </w:tabs>
        <w:numPr>
          <w:ilvl w:val="0"/>
          <w:numId w:val="35"/>
        </w:numPr>
        <w:rPr>
          <w:rFonts w:ascii="Arial" w:cs="Arial" w:eastAsia="Arial" w:hAnsi="Arial"/>
          <w:sz w:val="16"/>
          <w:szCs w:val="16"/>
          <w:color w:val="333333"/>
        </w:rPr>
      </w:pPr>
      <w:r>
        <w:rPr>
          <w:rFonts w:ascii="Arial" w:cs="Arial" w:eastAsia="Arial" w:hAnsi="Arial"/>
          <w:sz w:val="16"/>
          <w:szCs w:val="16"/>
          <w:color w:val="333333"/>
        </w:rPr>
        <w:t>Extensive financial and operating experience</w:t>
      </w:r>
    </w:p>
    <w:p>
      <w:pPr>
        <w:spacing w:after="0" w:line="5" w:lineRule="exact"/>
        <w:rPr>
          <w:rFonts w:ascii="Arial" w:cs="Arial" w:eastAsia="Arial" w:hAnsi="Arial"/>
          <w:sz w:val="16"/>
          <w:szCs w:val="16"/>
          <w:color w:val="333333"/>
        </w:rPr>
      </w:pPr>
    </w:p>
    <w:p>
      <w:pPr>
        <w:ind w:left="224" w:hanging="224"/>
        <w:spacing w:after="0"/>
        <w:tabs>
          <w:tab w:leader="none" w:pos="224" w:val="left"/>
        </w:tabs>
        <w:numPr>
          <w:ilvl w:val="0"/>
          <w:numId w:val="35"/>
        </w:numPr>
        <w:rPr>
          <w:rFonts w:ascii="Arial" w:cs="Arial" w:eastAsia="Arial" w:hAnsi="Arial"/>
          <w:sz w:val="16"/>
          <w:szCs w:val="16"/>
          <w:color w:val="333333"/>
        </w:rPr>
      </w:pPr>
      <w:r>
        <w:rPr>
          <w:rFonts w:ascii="Arial" w:cs="Arial" w:eastAsia="Arial" w:hAnsi="Arial"/>
          <w:sz w:val="16"/>
          <w:szCs w:val="16"/>
          <w:color w:val="333333"/>
        </w:rPr>
        <w:t>Knowledge of corporate finance, strategic planning and risk management processes</w:t>
      </w:r>
    </w:p>
    <w:p>
      <w:pPr>
        <w:spacing w:after="0" w:line="5" w:lineRule="exact"/>
        <w:rPr>
          <w:rFonts w:ascii="Arial" w:cs="Arial" w:eastAsia="Arial" w:hAnsi="Arial"/>
          <w:sz w:val="16"/>
          <w:szCs w:val="16"/>
          <w:color w:val="333333"/>
        </w:rPr>
      </w:pPr>
    </w:p>
    <w:p>
      <w:pPr>
        <w:ind w:left="224" w:right="140" w:hanging="224"/>
        <w:spacing w:after="0" w:line="246" w:lineRule="auto"/>
        <w:tabs>
          <w:tab w:leader="none" w:pos="224" w:val="left"/>
        </w:tabs>
        <w:numPr>
          <w:ilvl w:val="0"/>
          <w:numId w:val="35"/>
        </w:numPr>
        <w:rPr>
          <w:rFonts w:ascii="Arial" w:cs="Arial" w:eastAsia="Arial" w:hAnsi="Arial"/>
          <w:sz w:val="16"/>
          <w:szCs w:val="16"/>
          <w:color w:val="333333"/>
        </w:rPr>
      </w:pPr>
      <w:r>
        <w:rPr>
          <w:rFonts w:ascii="Arial" w:cs="Arial" w:eastAsia="Arial" w:hAnsi="Arial"/>
          <w:sz w:val="16"/>
          <w:szCs w:val="16"/>
          <w:color w:val="333333"/>
        </w:rPr>
        <w:t>Experience as a public company CFO, as well as expansive knowledge of accounting principles and practices, auditing, internal control over financial reporting, and risk management processes</w:t>
      </w:r>
    </w:p>
    <w:p>
      <w:pPr>
        <w:ind w:left="224" w:hanging="224"/>
        <w:spacing w:after="0"/>
        <w:tabs>
          <w:tab w:leader="none" w:pos="224" w:val="left"/>
        </w:tabs>
        <w:numPr>
          <w:ilvl w:val="0"/>
          <w:numId w:val="35"/>
        </w:numPr>
        <w:rPr>
          <w:rFonts w:ascii="Arial" w:cs="Arial" w:eastAsia="Arial" w:hAnsi="Arial"/>
          <w:sz w:val="16"/>
          <w:szCs w:val="16"/>
          <w:color w:val="333333"/>
        </w:rPr>
      </w:pPr>
      <w:r>
        <w:rPr>
          <w:rFonts w:ascii="Arial" w:cs="Arial" w:eastAsia="Arial" w:hAnsi="Arial"/>
          <w:sz w:val="16"/>
          <w:szCs w:val="16"/>
          <w:color w:val="333333"/>
        </w:rPr>
        <w:t>Expertise in cybersecurity products and services</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86CC"/>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146050</wp:posOffset>
            </wp:positionV>
            <wp:extent cx="368300" cy="3860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8300" cy="386080"/>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223520</wp:posOffset>
            </wp:positionV>
            <wp:extent cx="342900" cy="308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544" w:type="dxa"/>
        <w:tblCellMar>
          <w:top w:w="0" w:type="dxa"/>
          <w:left w:w="0" w:type="dxa"/>
          <w:bottom w:w="0" w:type="dxa"/>
          <w:right w:w="0" w:type="dxa"/>
        </w:tblCellMar>
      </w:tblPr>
      <w:tr>
        <w:trPr>
          <w:trHeight w:val="162"/>
        </w:trPr>
        <w:tc>
          <w:tcPr>
            <w:tcW w:w="1020" w:type="dxa"/>
            <w:vAlign w:val="bottom"/>
          </w:tcPr>
          <w:p>
            <w:pPr>
              <w:jc w:val="center"/>
              <w:ind w:right="268"/>
              <w:spacing w:after="0"/>
              <w:rPr>
                <w:sz w:val="20"/>
                <w:szCs w:val="20"/>
                <w:color w:val="auto"/>
              </w:rPr>
            </w:pPr>
            <w:r>
              <w:rPr>
                <w:rFonts w:ascii="Arial" w:cs="Arial" w:eastAsia="Arial" w:hAnsi="Arial"/>
                <w:sz w:val="14"/>
                <w:szCs w:val="14"/>
                <w:color w:val="333333"/>
              </w:rPr>
              <w:t>Audit</w:t>
            </w:r>
          </w:p>
        </w:tc>
        <w:tc>
          <w:tcPr>
            <w:tcW w:w="2060" w:type="dxa"/>
            <w:vAlign w:val="bottom"/>
          </w:tcPr>
          <w:p>
            <w:pPr>
              <w:jc w:val="center"/>
              <w:ind w:left="268"/>
              <w:spacing w:after="0"/>
              <w:rPr>
                <w:sz w:val="20"/>
                <w:szCs w:val="20"/>
                <w:color w:val="auto"/>
              </w:rPr>
            </w:pPr>
            <w:r>
              <w:rPr>
                <w:rFonts w:ascii="Arial" w:cs="Arial" w:eastAsia="Arial" w:hAnsi="Arial"/>
                <w:sz w:val="14"/>
                <w:szCs w:val="14"/>
                <w:color w:val="333333"/>
              </w:rPr>
              <w:t>Management Development</w:t>
            </w:r>
          </w:p>
        </w:tc>
      </w:tr>
      <w:tr>
        <w:trPr>
          <w:trHeight w:val="162"/>
        </w:trPr>
        <w:tc>
          <w:tcPr>
            <w:tcW w:w="1020" w:type="dxa"/>
            <w:vAlign w:val="bottom"/>
          </w:tcPr>
          <w:p>
            <w:pPr>
              <w:jc w:val="center"/>
              <w:ind w:right="268"/>
              <w:spacing w:after="0"/>
              <w:rPr>
                <w:sz w:val="20"/>
                <w:szCs w:val="20"/>
                <w:color w:val="auto"/>
              </w:rPr>
            </w:pPr>
            <w:r>
              <w:rPr>
                <w:rFonts w:ascii="Arial" w:cs="Arial" w:eastAsia="Arial" w:hAnsi="Arial"/>
                <w:sz w:val="14"/>
                <w:szCs w:val="14"/>
                <w:color w:val="333333"/>
              </w:rPr>
              <w:t>Committee</w:t>
            </w:r>
          </w:p>
        </w:tc>
        <w:tc>
          <w:tcPr>
            <w:tcW w:w="2060" w:type="dxa"/>
            <w:vAlign w:val="bottom"/>
          </w:tcPr>
          <w:p>
            <w:pPr>
              <w:jc w:val="center"/>
              <w:ind w:left="288"/>
              <w:spacing w:after="0"/>
              <w:rPr>
                <w:sz w:val="20"/>
                <w:szCs w:val="20"/>
                <w:color w:val="auto"/>
              </w:rPr>
            </w:pPr>
            <w:r>
              <w:rPr>
                <w:rFonts w:ascii="Arial" w:cs="Arial" w:eastAsia="Arial" w:hAnsi="Arial"/>
                <w:sz w:val="14"/>
                <w:szCs w:val="14"/>
                <w:color w:val="333333"/>
              </w:rPr>
              <w:t>&amp; Compensation</w:t>
            </w:r>
          </w:p>
        </w:tc>
      </w:tr>
      <w:tr>
        <w:trPr>
          <w:trHeight w:val="190"/>
        </w:trPr>
        <w:tc>
          <w:tcPr>
            <w:tcW w:w="1020" w:type="dxa"/>
            <w:vAlign w:val="bottom"/>
          </w:tcPr>
          <w:p>
            <w:pPr>
              <w:jc w:val="center"/>
              <w:ind w:right="268"/>
              <w:spacing w:after="0"/>
              <w:rPr>
                <w:sz w:val="20"/>
                <w:szCs w:val="20"/>
                <w:color w:val="auto"/>
              </w:rPr>
            </w:pPr>
            <w:r>
              <w:rPr>
                <w:rFonts w:ascii="Arial" w:cs="Arial" w:eastAsia="Arial" w:hAnsi="Arial"/>
                <w:sz w:val="14"/>
                <w:szCs w:val="14"/>
                <w:color w:val="333333"/>
              </w:rPr>
              <w:t>(Chair)</w:t>
            </w:r>
          </w:p>
        </w:tc>
        <w:tc>
          <w:tcPr>
            <w:tcW w:w="2060" w:type="dxa"/>
            <w:vAlign w:val="bottom"/>
          </w:tcPr>
          <w:p>
            <w:pPr>
              <w:jc w:val="center"/>
              <w:ind w:left="288"/>
              <w:spacing w:after="0"/>
              <w:rPr>
                <w:sz w:val="20"/>
                <w:szCs w:val="20"/>
                <w:color w:val="auto"/>
              </w:rPr>
            </w:pPr>
            <w:r>
              <w:rPr>
                <w:rFonts w:ascii="Arial" w:cs="Arial" w:eastAsia="Arial" w:hAnsi="Arial"/>
                <w:sz w:val="14"/>
                <w:szCs w:val="14"/>
                <w:color w:val="333333"/>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325755" cy="300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93" w:lineRule="exact"/>
        <w:rPr>
          <w:sz w:val="20"/>
          <w:szCs w:val="20"/>
          <w:color w:val="auto"/>
        </w:rPr>
      </w:pPr>
    </w:p>
    <w:p>
      <w:pPr>
        <w:ind w:left="784"/>
        <w:spacing w:after="0"/>
        <w:rPr>
          <w:sz w:val="20"/>
          <w:szCs w:val="20"/>
          <w:color w:val="auto"/>
        </w:rPr>
      </w:pPr>
      <w:r>
        <w:rPr>
          <w:rFonts w:ascii="Arial" w:cs="Arial" w:eastAsia="Arial" w:hAnsi="Arial"/>
          <w:sz w:val="18"/>
          <w:szCs w:val="18"/>
          <w:color w:val="0086CC"/>
        </w:rPr>
        <w:t xml:space="preserve">The Board Unanimously Recommends a Vote </w:t>
      </w:r>
      <w:r>
        <w:rPr>
          <w:rFonts w:ascii="Arial" w:cs="Arial" w:eastAsia="Arial" w:hAnsi="Arial"/>
          <w:sz w:val="18"/>
          <w:szCs w:val="18"/>
          <w:b w:val="1"/>
          <w:bCs w:val="1"/>
          <w:color w:val="0086CC"/>
        </w:rPr>
        <w:t>“FOR”</w:t>
      </w:r>
      <w:r>
        <w:rPr>
          <w:rFonts w:ascii="Arial" w:cs="Arial" w:eastAsia="Arial" w:hAnsi="Arial"/>
          <w:sz w:val="18"/>
          <w:szCs w:val="18"/>
          <w:color w:val="0086CC"/>
        </w:rPr>
        <w:t xml:space="preserve"> all Nominees for Election to the Board of Directors on this Proposal 1</w:t>
      </w:r>
    </w:p>
    <w:p>
      <w:pPr>
        <w:ind w:left="504"/>
        <w:spacing w:after="0"/>
        <w:rPr>
          <w:sz w:val="20"/>
          <w:szCs w:val="20"/>
          <w:color w:val="auto"/>
        </w:rPr>
      </w:pPr>
      <w:r>
        <w:rPr>
          <w:rFonts w:ascii="Arial" w:cs="Arial" w:eastAsia="Arial" w:hAnsi="Arial"/>
          <w:sz w:val="18"/>
          <w:szCs w:val="18"/>
          <w:color w:val="4D5357"/>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-1905</wp:posOffset>
            </wp:positionV>
            <wp:extent cx="649795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97955" cy="1289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33 </w:t>
      </w:r>
      <w:r>
        <w:rPr>
          <w:rFonts w:ascii="Arial" w:cs="Arial" w:eastAsia="Arial" w:hAnsi="Arial"/>
          <w:sz w:val="16"/>
          <w:szCs w:val="16"/>
          <w:color w:val="333333"/>
        </w:rPr>
        <w:t xml:space="preserve">               </w:t>
      </w:r>
    </w:p>
    <w:p>
      <w:pPr>
        <w:sectPr>
          <w:pgSz w:w="11900" w:h="16838" w:orient="portrait"/>
          <w:cols w:equalWidth="0" w:num="3">
            <w:col w:w="3864" w:space="720"/>
            <w:col w:w="4660" w:space="720"/>
            <w:col w:w="1060"/>
          </w:cols>
          <w:pgMar w:left="436" w:top="315" w:right="439" w:bottom="1440" w:gutter="0" w:footer="0" w:header="0"/>
          <w:type w:val="continuous"/>
        </w:sectPr>
      </w:pPr>
    </w:p>
    <w:bookmarkStart w:id="39" w:name="page40"/>
    <w:bookmarkEnd w:id="39"/>
    <w:tbl>
      <w:tblPr>
        <w:tblLayout w:type="fixed"/>
        <w:tblInd w:w="4" w:type="dxa"/>
        <w:tblCellMar>
          <w:top w:w="0" w:type="dxa"/>
          <w:left w:w="0" w:type="dxa"/>
          <w:bottom w:w="0" w:type="dxa"/>
          <w:right w:w="0" w:type="dxa"/>
        </w:tblCellMar>
      </w:tblPr>
      <w:tr>
        <w:trPr>
          <w:trHeight w:val="355"/>
        </w:trPr>
        <w:tc>
          <w:tcPr>
            <w:tcW w:w="380" w:type="dxa"/>
            <w:vAlign w:val="bottom"/>
            <w:shd w:val="clear" w:color="auto" w:fill="4D5357"/>
          </w:tcPr>
          <w:p>
            <w:pPr>
              <w:ind w:left="340"/>
              <w:spacing w:after="0"/>
              <w:rPr>
                <w:sz w:val="20"/>
                <w:szCs w:val="20"/>
                <w:color w:val="auto"/>
              </w:rPr>
            </w:pPr>
            <w:r>
              <w:rPr>
                <w:rFonts w:ascii="Arial" w:cs="Arial" w:eastAsia="Arial" w:hAnsi="Arial"/>
                <w:sz w:val="2"/>
                <w:szCs w:val="2"/>
                <w:b w:val="1"/>
                <w:bCs w:val="1"/>
                <w:color w:val="FFFFFF"/>
                <w:w w:val="97"/>
              </w:rPr>
              <w:t> </w:t>
            </w:r>
          </w:p>
        </w:tc>
        <w:tc>
          <w:tcPr>
            <w:tcW w:w="180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38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w:t>
            </w:r>
          </w:p>
        </w:tc>
        <w:tc>
          <w:tcPr>
            <w:tcW w:w="180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91"/>
        </w:trPr>
        <w:tc>
          <w:tcPr>
            <w:tcW w:w="380" w:type="dxa"/>
            <w:vAlign w:val="bottom"/>
            <w:shd w:val="clear" w:color="auto" w:fill="4D5357"/>
          </w:tcPr>
          <w:p>
            <w:pPr>
              <w:spacing w:after="0"/>
              <w:rPr>
                <w:sz w:val="16"/>
                <w:szCs w:val="16"/>
                <w:color w:val="auto"/>
              </w:rPr>
            </w:pPr>
          </w:p>
        </w:tc>
        <w:tc>
          <w:tcPr>
            <w:tcW w:w="1800" w:type="dxa"/>
            <w:vAlign w:val="bottom"/>
            <w:shd w:val="clear" w:color="auto" w:fill="4D5357"/>
          </w:tcPr>
          <w:p>
            <w:pPr>
              <w:spacing w:after="0"/>
              <w:rPr>
                <w:sz w:val="16"/>
                <w:szCs w:val="16"/>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spacing w:after="0"/>
        <w:rPr>
          <w:sz w:val="20"/>
          <w:szCs w:val="20"/>
          <w:color w:val="auto"/>
        </w:rPr>
      </w:pPr>
      <w:r>
        <w:rPr>
          <w:rFonts w:ascii="Arial" w:cs="Arial" w:eastAsia="Arial" w:hAnsi="Arial"/>
          <w:sz w:val="27"/>
          <w:szCs w:val="27"/>
          <w:b w:val="1"/>
          <w:bCs w:val="1"/>
          <w:color w:val="0086CC"/>
        </w:rPr>
        <w:t>Director Compensation</w:t>
      </w:r>
    </w:p>
    <w:p>
      <w:pPr>
        <w:spacing w:after="0" w:line="123" w:lineRule="exact"/>
        <w:rPr>
          <w:sz w:val="20"/>
          <w:szCs w:val="20"/>
          <w:color w:val="auto"/>
        </w:rPr>
      </w:pPr>
    </w:p>
    <w:p>
      <w:pPr>
        <w:ind w:left="4" w:right="40"/>
        <w:spacing w:after="0" w:line="256" w:lineRule="auto"/>
        <w:rPr>
          <w:sz w:val="20"/>
          <w:szCs w:val="20"/>
          <w:color w:val="auto"/>
        </w:rPr>
      </w:pPr>
      <w:r>
        <w:rPr>
          <w:rFonts w:ascii="Arial" w:cs="Arial" w:eastAsia="Arial" w:hAnsi="Arial"/>
          <w:sz w:val="16"/>
          <w:szCs w:val="16"/>
          <w:color w:val="333333"/>
        </w:rPr>
        <w:t>Martin Marietta uses a combination of cash and stock-based compensation to attract and retain qualified candidates to serve on the Board of Directors. In setting Director compensation, Martin Marietta considers the significant amount of time that Directors expend in fulfilling their duties to Martin Marietta as well as the skill level required by Martin Marietta of members of the Board. The Board determines reasonable compensation for Directors upon recommendation of the Management Development and Compensation Committee of the Board, which retains an independent compensation consultant to assist it in making each recommendation.</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Cash Compensation Paid to Non-Employee Board Members</w:t>
      </w:r>
    </w:p>
    <w:p>
      <w:pPr>
        <w:spacing w:after="0" w:line="79"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333333"/>
        </w:rPr>
        <w:t>The cash-based elements of annual Director compensation for fiscal year 2025 paid in quarterly installments, measured from the end of the month during which the 2025 Annual Meeting of Shareholders was held, were as follows.</w:t>
      </w:r>
    </w:p>
    <w:p>
      <w:pPr>
        <w:spacing w:after="0" w:line="183" w:lineRule="exact"/>
        <w:rPr>
          <w:sz w:val="20"/>
          <w:szCs w:val="20"/>
          <w:color w:val="auto"/>
        </w:rPr>
      </w:pPr>
    </w:p>
    <w:p>
      <w:pPr>
        <w:ind w:left="64"/>
        <w:spacing w:after="0"/>
        <w:rPr>
          <w:sz w:val="20"/>
          <w:szCs w:val="20"/>
          <w:color w:val="auto"/>
        </w:rPr>
      </w:pPr>
      <w:r>
        <w:rPr>
          <w:rFonts w:ascii="Arial" w:cs="Arial" w:eastAsia="Arial" w:hAnsi="Arial"/>
          <w:sz w:val="16"/>
          <w:szCs w:val="16"/>
          <w:b w:val="1"/>
          <w:bCs w:val="1"/>
          <w:color w:val="0086CC"/>
        </w:rPr>
        <w:t>CASH COMPONENT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0"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81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Annual Board Cash retainer</w:t>
            </w:r>
          </w:p>
        </w:tc>
        <w:tc>
          <w:tcPr>
            <w:tcW w:w="20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82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125,000</w:t>
            </w:r>
          </w:p>
        </w:tc>
      </w:tr>
      <w:tr>
        <w:trPr>
          <w:trHeight w:val="267"/>
        </w:trPr>
        <w:tc>
          <w:tcPr>
            <w:tcW w:w="8180" w:type="dxa"/>
            <w:vAlign w:val="bottom"/>
            <w:tcBorders>
              <w:bottom w:val="single" w:sz="8" w:color="4D5357"/>
            </w:tcBorders>
          </w:tcPr>
          <w:p>
            <w:pPr>
              <w:ind w:left="60"/>
              <w:spacing w:after="0" w:line="267" w:lineRule="exact"/>
              <w:rPr>
                <w:sz w:val="20"/>
                <w:szCs w:val="20"/>
                <w:color w:val="auto"/>
              </w:rPr>
            </w:pPr>
            <w:r>
              <w:rPr>
                <w:rFonts w:ascii="Arial" w:cs="Arial" w:eastAsia="Arial" w:hAnsi="Arial"/>
                <w:sz w:val="16"/>
                <w:szCs w:val="16"/>
                <w:b w:val="1"/>
                <w:bCs w:val="1"/>
                <w:color w:val="4D5357"/>
              </w:rPr>
              <w:t>Annual Audit Committee chair retainer</w:t>
            </w:r>
            <w:r>
              <w:rPr>
                <w:rFonts w:ascii="Arial" w:cs="Arial" w:eastAsia="Arial" w:hAnsi="Arial"/>
                <w:sz w:val="24"/>
                <w:szCs w:val="24"/>
                <w:b w:val="1"/>
                <w:bCs w:val="1"/>
                <w:color w:val="4D5357"/>
                <w:vertAlign w:val="superscript"/>
              </w:rPr>
              <w:t>1</w:t>
            </w:r>
          </w:p>
        </w:tc>
        <w:tc>
          <w:tcPr>
            <w:tcW w:w="20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82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20,000</w:t>
            </w:r>
          </w:p>
        </w:tc>
      </w:tr>
      <w:tr>
        <w:trPr>
          <w:trHeight w:val="264"/>
        </w:trPr>
        <w:tc>
          <w:tcPr>
            <w:tcW w:w="818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Annual Management Development and Compensation Committee chair retainer</w:t>
            </w:r>
            <w:r>
              <w:rPr>
                <w:rFonts w:ascii="Arial" w:cs="Arial" w:eastAsia="Arial" w:hAnsi="Arial"/>
                <w:sz w:val="24"/>
                <w:szCs w:val="24"/>
                <w:b w:val="1"/>
                <w:bCs w:val="1"/>
                <w:color w:val="4D5357"/>
                <w:vertAlign w:val="superscript"/>
              </w:rPr>
              <w:t>2</w:t>
            </w:r>
          </w:p>
        </w:tc>
        <w:tc>
          <w:tcPr>
            <w:tcW w:w="20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82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20,000</w:t>
            </w:r>
          </w:p>
        </w:tc>
      </w:tr>
      <w:tr>
        <w:trPr>
          <w:trHeight w:val="263"/>
        </w:trPr>
        <w:tc>
          <w:tcPr>
            <w:tcW w:w="818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Annual Finance Committee chair retainer</w:t>
            </w:r>
            <w:r>
              <w:rPr>
                <w:rFonts w:ascii="Arial" w:cs="Arial" w:eastAsia="Arial" w:hAnsi="Arial"/>
                <w:sz w:val="24"/>
                <w:szCs w:val="24"/>
                <w:b w:val="1"/>
                <w:bCs w:val="1"/>
                <w:color w:val="4D5357"/>
                <w:vertAlign w:val="superscript"/>
              </w:rPr>
              <w:t>2</w:t>
            </w:r>
          </w:p>
        </w:tc>
        <w:tc>
          <w:tcPr>
            <w:tcW w:w="20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82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15,000</w:t>
            </w:r>
          </w:p>
        </w:tc>
      </w:tr>
      <w:tr>
        <w:trPr>
          <w:trHeight w:val="263"/>
        </w:trPr>
        <w:tc>
          <w:tcPr>
            <w:tcW w:w="818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Annual Nominating and Corporate Governance Committee chair retainer</w:t>
            </w:r>
            <w:r>
              <w:rPr>
                <w:rFonts w:ascii="Arial" w:cs="Arial" w:eastAsia="Arial" w:hAnsi="Arial"/>
                <w:sz w:val="24"/>
                <w:szCs w:val="24"/>
                <w:b w:val="1"/>
                <w:bCs w:val="1"/>
                <w:color w:val="4D5357"/>
                <w:vertAlign w:val="superscript"/>
              </w:rPr>
              <w:t>2</w:t>
            </w:r>
          </w:p>
        </w:tc>
        <w:tc>
          <w:tcPr>
            <w:tcW w:w="20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82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15,000</w:t>
            </w:r>
          </w:p>
        </w:tc>
      </w:tr>
      <w:tr>
        <w:trPr>
          <w:trHeight w:val="263"/>
        </w:trPr>
        <w:tc>
          <w:tcPr>
            <w:tcW w:w="818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Annual Ethics, Environment, Safety and Health Committee chair retainer</w:t>
            </w:r>
            <w:r>
              <w:rPr>
                <w:rFonts w:ascii="Arial" w:cs="Arial" w:eastAsia="Arial" w:hAnsi="Arial"/>
                <w:sz w:val="24"/>
                <w:szCs w:val="24"/>
                <w:b w:val="1"/>
                <w:bCs w:val="1"/>
                <w:color w:val="4D5357"/>
                <w:vertAlign w:val="superscript"/>
              </w:rPr>
              <w:t>2</w:t>
            </w:r>
          </w:p>
        </w:tc>
        <w:tc>
          <w:tcPr>
            <w:tcW w:w="20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82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15,000</w:t>
            </w:r>
          </w:p>
        </w:tc>
      </w:tr>
      <w:tr>
        <w:trPr>
          <w:trHeight w:val="263"/>
        </w:trPr>
        <w:tc>
          <w:tcPr>
            <w:tcW w:w="818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Annual Audit Committee member retainer</w:t>
            </w:r>
            <w:r>
              <w:rPr>
                <w:rFonts w:ascii="Arial" w:cs="Arial" w:eastAsia="Arial" w:hAnsi="Arial"/>
                <w:sz w:val="24"/>
                <w:szCs w:val="24"/>
                <w:b w:val="1"/>
                <w:bCs w:val="1"/>
                <w:color w:val="4D5357"/>
                <w:vertAlign w:val="superscript"/>
              </w:rPr>
              <w:t>2</w:t>
            </w:r>
          </w:p>
        </w:tc>
        <w:tc>
          <w:tcPr>
            <w:tcW w:w="20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82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5,000</w:t>
            </w:r>
          </w:p>
        </w:tc>
      </w:tr>
      <w:tr>
        <w:trPr>
          <w:trHeight w:val="263"/>
        </w:trPr>
        <w:tc>
          <w:tcPr>
            <w:tcW w:w="818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Annual Lead Independent Director retainer</w:t>
            </w:r>
            <w:r>
              <w:rPr>
                <w:rFonts w:ascii="Arial" w:cs="Arial" w:eastAsia="Arial" w:hAnsi="Arial"/>
                <w:sz w:val="24"/>
                <w:szCs w:val="24"/>
                <w:b w:val="1"/>
                <w:bCs w:val="1"/>
                <w:color w:val="4D5357"/>
                <w:vertAlign w:val="superscript"/>
              </w:rPr>
              <w:t>3</w:t>
            </w:r>
          </w:p>
        </w:tc>
        <w:tc>
          <w:tcPr>
            <w:tcW w:w="20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82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35,000</w:t>
            </w:r>
          </w:p>
        </w:tc>
      </w:tr>
    </w:tbl>
    <w:p>
      <w:pPr>
        <w:spacing w:after="0" w:line="198" w:lineRule="exact"/>
        <w:rPr>
          <w:sz w:val="20"/>
          <w:szCs w:val="20"/>
          <w:color w:val="auto"/>
        </w:rPr>
      </w:pPr>
    </w:p>
    <w:p>
      <w:pPr>
        <w:ind w:left="224" w:hanging="224"/>
        <w:spacing w:after="0"/>
        <w:tabs>
          <w:tab w:leader="none" w:pos="224"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This is in addition to the annual retainer and the annual Audit Committee member retainer in view of increased responsibilities</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2  This is in addition to the annual retainer in view of increased responsibilities</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3  This is in addition to the annual retainer, Audit Committee member retainer and the annual Committee chair retainers in view of increased responsibilities</w:t>
      </w:r>
    </w:p>
    <w:p>
      <w:pPr>
        <w:spacing w:after="0" w:line="97" w:lineRule="exact"/>
        <w:rPr>
          <w:sz w:val="20"/>
          <w:szCs w:val="20"/>
          <w:color w:val="auto"/>
        </w:rPr>
      </w:pPr>
    </w:p>
    <w:p>
      <w:pPr>
        <w:ind w:left="4" w:right="20"/>
        <w:spacing w:after="0" w:line="266" w:lineRule="auto"/>
        <w:rPr>
          <w:sz w:val="20"/>
          <w:szCs w:val="20"/>
          <w:color w:val="auto"/>
        </w:rPr>
      </w:pPr>
      <w:r>
        <w:rPr>
          <w:rFonts w:ascii="Arial" w:cs="Arial" w:eastAsia="Arial" w:hAnsi="Arial"/>
          <w:sz w:val="16"/>
          <w:szCs w:val="16"/>
          <w:color w:val="333333"/>
        </w:rPr>
        <w:t>The Company reimburses Directors for the travel expenses of, or provides transportation on Company aircraft for, Board and Committee meetings, meetings with management or independent consultants or advisors, and other Company-related events, such as Investor Day and meetings with potential Board candidates. No non-employee Directors received personal use of Martin Marietta’s aircraft or other perquisites or personal benefits in 2025.</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Equity Compensation Paid to Non-Employee Board Members</w:t>
      </w:r>
    </w:p>
    <w:p>
      <w:pPr>
        <w:spacing w:after="0" w:line="79" w:lineRule="exact"/>
        <w:rPr>
          <w:sz w:val="20"/>
          <w:szCs w:val="20"/>
          <w:color w:val="auto"/>
        </w:rPr>
      </w:pPr>
    </w:p>
    <w:p>
      <w:pPr>
        <w:ind w:left="4" w:right="40"/>
        <w:spacing w:after="0" w:line="250" w:lineRule="auto"/>
        <w:rPr>
          <w:sz w:val="20"/>
          <w:szCs w:val="20"/>
          <w:color w:val="auto"/>
        </w:rPr>
      </w:pPr>
      <w:r>
        <w:rPr>
          <w:rFonts w:ascii="Arial" w:cs="Arial" w:eastAsia="Arial" w:hAnsi="Arial"/>
          <w:sz w:val="16"/>
          <w:szCs w:val="16"/>
          <w:color w:val="333333"/>
        </w:rPr>
        <w:t>Non-employee Directors received an award of restricted stock units (RSUs) with a value of $170,000 (rounded up to the nearest RSU) based on the closing price as of the date of grant, which was following the 2025 Annual Meeting of Shareholders in May 2025. In May 2025, this award was 308 RSUs. The RSUs granted to the Directors in 2025 were fully vested upon award. Directors are required to defer at least 50% of the RSUs until retirement from the Board. Directors may choose to voluntarily defer an additional portion of their RSUs, and any RSUs that are not so deferred are settled in shares of common stock of Martin Marietta as soon as practicable following the grant date. The RSUs were awarded under the Martin Marietta Amended and Restated Stock-Based Award Plan, which was approved by shareholders on May 19, 2016 (the 2016 Stock Plan). The 2016 Stock Plan provides that, during any calendar year, no non-employee Director may be granted (i) restricted shares and other full-value stock-based awards, including RSUs, in respect of more than 7,000 shares of common stock of Martin Marietta or (ii) options or stock appreciation rights in respect of more than 20,000 shares of common stock of Martin Marietta. We are asking approval from our shareholders to amend and restate the 2016 Stock Plan in this proxy statement. The amended and restated Stock-Based Award Plan provides that no non-employee Director can be granted an aggregate amount of cash compensation and equity awards valued at greater than $750,000 in the aggregate in any calendar year, subject to certain limited exceptions that are subject to a limit of $1,000,000. The Directors do not have voting or investment power for their respective RSUs.</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Deferred Compensation Program for Non-Employee Board Members</w:t>
      </w:r>
    </w:p>
    <w:p>
      <w:pPr>
        <w:spacing w:after="0" w:line="79" w:lineRule="exact"/>
        <w:rPr>
          <w:sz w:val="20"/>
          <w:szCs w:val="20"/>
          <w:color w:val="auto"/>
        </w:rPr>
      </w:pPr>
    </w:p>
    <w:p>
      <w:pPr>
        <w:jc w:val="both"/>
        <w:ind w:left="4" w:right="220"/>
        <w:spacing w:after="0" w:line="259" w:lineRule="auto"/>
        <w:rPr>
          <w:sz w:val="20"/>
          <w:szCs w:val="20"/>
          <w:color w:val="auto"/>
        </w:rPr>
      </w:pPr>
      <w:r>
        <w:rPr>
          <w:rFonts w:ascii="Arial" w:cs="Arial" w:eastAsia="Arial" w:hAnsi="Arial"/>
          <w:sz w:val="16"/>
          <w:szCs w:val="16"/>
          <w:color w:val="333333"/>
        </w:rPr>
        <w:t>The Common Stock Purchase Plan for Directors provides that non-employee Directors may elect to receive all or a portion of their cash compensation earned in 2025 in the form of Martin Marietta common stock units. If deferral is elected, there is a mandatory minimum deferral time of three years with, subject to certain restrictions, re-deferrals at each Director’s election up to the date the person ceases to be a Director or the date that is one year and one month following the date that the person ceases to be a Director. Directors may elect</w:t>
      </w:r>
    </w:p>
    <w:p>
      <w:pPr>
        <w:spacing w:after="0" w:line="35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34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315" w:right="439" w:bottom="1440" w:gutter="0" w:footer="0" w:header="0"/>
          <w:type w:val="continuous"/>
        </w:sectPr>
      </w:pPr>
    </w:p>
    <w:bookmarkStart w:id="40" w:name="page41"/>
    <w:bookmarkEnd w:id="40"/>
    <w:tbl>
      <w:tblPr>
        <w:tblLayout w:type="fixed"/>
        <w:tblInd w:w="8704" w:type="dxa"/>
        <w:tblCellMar>
          <w:top w:w="0" w:type="dxa"/>
          <w:left w:w="0" w:type="dxa"/>
          <w:bottom w:w="0" w:type="dxa"/>
          <w:right w:w="0" w:type="dxa"/>
        </w:tblCellMar>
      </w:tblPr>
      <w:tr>
        <w:trPr>
          <w:trHeight w:val="531"/>
        </w:trPr>
        <w:tc>
          <w:tcPr>
            <w:tcW w:w="500" w:type="dxa"/>
            <w:vAlign w:val="bottom"/>
            <w:shd w:val="clear" w:color="auto" w:fill="4D5357"/>
          </w:tcPr>
          <w:p>
            <w:pPr>
              <w:ind w:left="460"/>
              <w:spacing w:after="0"/>
              <w:rPr>
                <w:sz w:val="20"/>
                <w:szCs w:val="20"/>
                <w:color w:val="auto"/>
              </w:rPr>
            </w:pPr>
            <w:r>
              <w:rPr>
                <w:rFonts w:ascii="Arial" w:cs="Arial" w:eastAsia="Arial" w:hAnsi="Arial"/>
                <w:sz w:val="2"/>
                <w:szCs w:val="2"/>
                <w:b w:val="1"/>
                <w:bCs w:val="1"/>
                <w:color w:val="FFFFFF"/>
                <w:w w:val="97"/>
              </w:rPr>
              <w:t> </w:t>
            </w:r>
          </w:p>
        </w:tc>
        <w:tc>
          <w:tcPr>
            <w:tcW w:w="182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xml:space="preserve">   PROPOSAL 1    </w:t>
            </w:r>
          </w:p>
        </w:tc>
      </w:tr>
      <w:tr>
        <w:trPr>
          <w:trHeight w:val="196"/>
        </w:trPr>
        <w:tc>
          <w:tcPr>
            <w:tcW w:w="500" w:type="dxa"/>
            <w:vAlign w:val="bottom"/>
            <w:shd w:val="clear" w:color="auto" w:fill="4D5357"/>
          </w:tcPr>
          <w:p>
            <w:pPr>
              <w:ind w:left="220"/>
              <w:spacing w:after="0"/>
              <w:rPr>
                <w:sz w:val="20"/>
                <w:szCs w:val="20"/>
                <w:color w:val="auto"/>
              </w:rPr>
            </w:pPr>
            <w:r>
              <w:rPr>
                <w:rFonts w:ascii="Arial" w:cs="Arial" w:eastAsia="Arial" w:hAnsi="Arial"/>
                <w:sz w:val="14"/>
                <w:szCs w:val="14"/>
                <w:b w:val="1"/>
                <w:bCs w:val="1"/>
                <w:color w:val="FFFFFF"/>
              </w:rPr>
              <w:t xml:space="preserve">    </w:t>
            </w:r>
          </w:p>
        </w:tc>
        <w:tc>
          <w:tcPr>
            <w:tcW w:w="1820" w:type="dxa"/>
            <w:vAlign w:val="bottom"/>
            <w:shd w:val="clear" w:color="auto" w:fill="4D5357"/>
          </w:tcPr>
          <w:p>
            <w:pPr>
              <w:spacing w:after="0"/>
              <w:rPr>
                <w:sz w:val="20"/>
                <w:szCs w:val="20"/>
                <w:color w:val="auto"/>
              </w:rPr>
            </w:pPr>
            <w:r>
              <w:rPr>
                <w:rFonts w:ascii="Arial" w:cs="Arial" w:eastAsia="Arial" w:hAnsi="Arial"/>
                <w:sz w:val="14"/>
                <w:szCs w:val="14"/>
                <w:b w:val="1"/>
                <w:bCs w:val="1"/>
                <w:color w:val="FFFFFF"/>
              </w:rPr>
              <w:t xml:space="preserve">Election of Directors    </w:t>
            </w:r>
          </w:p>
        </w:tc>
      </w:tr>
      <w:tr>
        <w:trPr>
          <w:trHeight w:val="110"/>
        </w:trPr>
        <w:tc>
          <w:tcPr>
            <w:tcW w:w="500" w:type="dxa"/>
            <w:vAlign w:val="bottom"/>
            <w:shd w:val="clear" w:color="auto" w:fill="4D5357"/>
          </w:tcPr>
          <w:p>
            <w:pPr>
              <w:spacing w:after="0"/>
              <w:rPr>
                <w:sz w:val="9"/>
                <w:szCs w:val="9"/>
                <w:color w:val="auto"/>
              </w:rPr>
            </w:pPr>
          </w:p>
        </w:tc>
        <w:tc>
          <w:tcPr>
            <w:tcW w:w="182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right="80"/>
        <w:spacing w:after="0" w:line="254" w:lineRule="auto"/>
        <w:rPr>
          <w:sz w:val="20"/>
          <w:szCs w:val="20"/>
          <w:color w:val="auto"/>
        </w:rPr>
      </w:pPr>
      <w:r>
        <w:rPr>
          <w:rFonts w:ascii="Arial" w:cs="Arial" w:eastAsia="Arial" w:hAnsi="Arial"/>
          <w:sz w:val="16"/>
          <w:szCs w:val="16"/>
          <w:color w:val="333333"/>
        </w:rPr>
        <w:t>to receive payment of the deferred amount in a single lump sum or in equal annual installments for a period of up to ten years. All deferrals in common stock are credited at 100% of the fair market value of the common stock (the closing price of the common stock as reported in The Wall Street Journal). There are no matching contributions made by Martin Marietta. Dividend equivalents are paid on the units at the same rate as dividends are paid to all shareholders. The Directors do not have voting or investment power for their respective common stock units. Directors may also elect to defer their fees into a cash-based account on the same basis. Amounts deferred under the plan in cash are credited with interest at the prime rate as of January 1 of that year.</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Director Compensation Table</w:t>
      </w:r>
    </w:p>
    <w:p>
      <w:pPr>
        <w:spacing w:after="0" w:line="79" w:lineRule="exact"/>
        <w:rPr>
          <w:sz w:val="20"/>
          <w:szCs w:val="20"/>
          <w:color w:val="auto"/>
        </w:rPr>
      </w:pPr>
    </w:p>
    <w:p>
      <w:pPr>
        <w:ind w:left="4" w:right="380"/>
        <w:spacing w:after="0" w:line="286" w:lineRule="auto"/>
        <w:rPr>
          <w:sz w:val="20"/>
          <w:szCs w:val="20"/>
          <w:color w:val="auto"/>
        </w:rPr>
      </w:pPr>
      <w:r>
        <w:rPr>
          <w:rFonts w:ascii="Arial" w:cs="Arial" w:eastAsia="Arial" w:hAnsi="Arial"/>
          <w:sz w:val="16"/>
          <w:szCs w:val="16"/>
          <w:color w:val="333333"/>
        </w:rPr>
        <w:t>The table below summarizes the compensation paid by Martin Marietta to each person who served as a non-employee Director during the fiscal year ended December 31, 2025.</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086CC"/>
              </w:rPr>
              <w:t>CHANGE IN PENSION</w:t>
            </w:r>
          </w:p>
        </w:tc>
        <w:tc>
          <w:tcPr>
            <w:tcW w:w="2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086CC"/>
              </w:rPr>
              <w:t>VALUE AND</w:t>
            </w:r>
          </w:p>
        </w:tc>
        <w:tc>
          <w:tcPr>
            <w:tcW w:w="2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086CC"/>
              </w:rPr>
              <w:t>NONQUALIFIED DEFERRED</w:t>
            </w:r>
          </w:p>
        </w:tc>
        <w:tc>
          <w:tcPr>
            <w:tcW w:w="2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7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0086CC"/>
              </w:rPr>
              <w:t>FEES EARNED OR</w:t>
            </w:r>
          </w:p>
        </w:tc>
        <w:tc>
          <w:tcPr>
            <w:tcW w:w="1520" w:type="dxa"/>
            <w:vAlign w:val="bottom"/>
          </w:tcPr>
          <w:p>
            <w:pPr>
              <w:ind w:left="400"/>
              <w:spacing w:after="0"/>
              <w:rPr>
                <w:sz w:val="20"/>
                <w:szCs w:val="20"/>
                <w:color w:val="auto"/>
              </w:rPr>
            </w:pPr>
            <w:r>
              <w:rPr>
                <w:rFonts w:ascii="Arial" w:cs="Arial" w:eastAsia="Arial" w:hAnsi="Arial"/>
                <w:sz w:val="16"/>
                <w:szCs w:val="16"/>
                <w:b w:val="1"/>
                <w:bCs w:val="1"/>
                <w:color w:val="0086CC"/>
              </w:rPr>
              <w:t>STOCK</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086CC"/>
              </w:rPr>
              <w:t>COMPENSATION</w:t>
            </w:r>
          </w:p>
        </w:tc>
        <w:tc>
          <w:tcPr>
            <w:tcW w:w="2160" w:type="dxa"/>
            <w:vAlign w:val="bottom"/>
          </w:tcPr>
          <w:p>
            <w:pPr>
              <w:jc w:val="center"/>
              <w:ind w:left="60"/>
              <w:spacing w:after="0"/>
              <w:rPr>
                <w:sz w:val="20"/>
                <w:szCs w:val="20"/>
                <w:color w:val="auto"/>
              </w:rPr>
            </w:pPr>
            <w:r>
              <w:rPr>
                <w:rFonts w:ascii="Arial" w:cs="Arial" w:eastAsia="Arial" w:hAnsi="Arial"/>
                <w:sz w:val="16"/>
                <w:szCs w:val="16"/>
                <w:b w:val="1"/>
                <w:bCs w:val="1"/>
                <w:color w:val="0086CC"/>
              </w:rPr>
              <w:t>ALL OTHER</w:t>
            </w:r>
          </w:p>
        </w:tc>
        <w:tc>
          <w:tcPr>
            <w:tcW w:w="960" w:type="dxa"/>
            <w:vAlign w:val="bottom"/>
          </w:tcPr>
          <w:p>
            <w:pPr>
              <w:spacing w:after="0"/>
              <w:rPr>
                <w:sz w:val="16"/>
                <w:szCs w:val="16"/>
                <w:color w:val="auto"/>
              </w:rPr>
            </w:pPr>
          </w:p>
        </w:tc>
      </w:tr>
      <w:tr>
        <w:trPr>
          <w:trHeight w:val="189"/>
        </w:trPr>
        <w:tc>
          <w:tcPr>
            <w:tcW w:w="1700" w:type="dxa"/>
            <w:vAlign w:val="bottom"/>
          </w:tcPr>
          <w:p>
            <w:pPr>
              <w:ind w:left="60"/>
              <w:spacing w:after="0" w:line="189" w:lineRule="exact"/>
              <w:rPr>
                <w:sz w:val="20"/>
                <w:szCs w:val="20"/>
                <w:color w:val="auto"/>
              </w:rPr>
            </w:pPr>
            <w:r>
              <w:rPr>
                <w:rFonts w:ascii="Arial" w:cs="Arial" w:eastAsia="Arial" w:hAnsi="Arial"/>
                <w:sz w:val="14"/>
                <w:szCs w:val="14"/>
                <w:b w:val="1"/>
                <w:bCs w:val="1"/>
                <w:color w:val="0086CC"/>
              </w:rPr>
              <w:t>NAME</w:t>
            </w:r>
            <w:r>
              <w:rPr>
                <w:rFonts w:ascii="Arial" w:cs="Arial" w:eastAsia="Arial" w:hAnsi="Arial"/>
                <w:sz w:val="21"/>
                <w:szCs w:val="21"/>
                <w:b w:val="1"/>
                <w:bCs w:val="1"/>
                <w:color w:val="0086CC"/>
                <w:vertAlign w:val="superscript"/>
              </w:rPr>
              <w:t>1</w:t>
            </w:r>
          </w:p>
        </w:tc>
        <w:tc>
          <w:tcPr>
            <w:tcW w:w="1860" w:type="dxa"/>
            <w:vAlign w:val="bottom"/>
          </w:tcPr>
          <w:p>
            <w:pPr>
              <w:jc w:val="center"/>
              <w:spacing w:after="0" w:line="189" w:lineRule="exact"/>
              <w:rPr>
                <w:sz w:val="20"/>
                <w:szCs w:val="20"/>
                <w:color w:val="auto"/>
              </w:rPr>
            </w:pPr>
            <w:r>
              <w:rPr>
                <w:rFonts w:ascii="Arial" w:cs="Arial" w:eastAsia="Arial" w:hAnsi="Arial"/>
                <w:sz w:val="14"/>
                <w:szCs w:val="14"/>
                <w:b w:val="1"/>
                <w:bCs w:val="1"/>
                <w:color w:val="0086CC"/>
              </w:rPr>
              <w:t>PAID IN CASH ($)</w:t>
            </w:r>
            <w:r>
              <w:rPr>
                <w:rFonts w:ascii="Arial" w:cs="Arial" w:eastAsia="Arial" w:hAnsi="Arial"/>
                <w:sz w:val="21"/>
                <w:szCs w:val="21"/>
                <w:b w:val="1"/>
                <w:bCs w:val="1"/>
                <w:color w:val="0086CC"/>
                <w:vertAlign w:val="superscript"/>
              </w:rPr>
              <w:t>2</w:t>
            </w:r>
          </w:p>
        </w:tc>
        <w:tc>
          <w:tcPr>
            <w:tcW w:w="1520" w:type="dxa"/>
            <w:vAlign w:val="bottom"/>
          </w:tcPr>
          <w:p>
            <w:pPr>
              <w:ind w:left="180"/>
              <w:spacing w:after="0" w:line="189" w:lineRule="exact"/>
              <w:rPr>
                <w:sz w:val="20"/>
                <w:szCs w:val="20"/>
                <w:color w:val="auto"/>
              </w:rPr>
            </w:pPr>
            <w:r>
              <w:rPr>
                <w:rFonts w:ascii="Arial" w:cs="Arial" w:eastAsia="Arial" w:hAnsi="Arial"/>
                <w:sz w:val="14"/>
                <w:szCs w:val="14"/>
                <w:b w:val="1"/>
                <w:bCs w:val="1"/>
                <w:color w:val="0086CC"/>
              </w:rPr>
              <w:t>AWARDS ($)</w:t>
            </w:r>
            <w:r>
              <w:rPr>
                <w:rFonts w:ascii="Arial" w:cs="Arial" w:eastAsia="Arial" w:hAnsi="Arial"/>
                <w:sz w:val="21"/>
                <w:szCs w:val="21"/>
                <w:b w:val="1"/>
                <w:bCs w:val="1"/>
                <w:color w:val="0086CC"/>
                <w:vertAlign w:val="superscript"/>
              </w:rPr>
              <w:t>3</w:t>
            </w:r>
          </w:p>
        </w:tc>
        <w:tc>
          <w:tcPr>
            <w:tcW w:w="2820" w:type="dxa"/>
            <w:vAlign w:val="bottom"/>
          </w:tcPr>
          <w:p>
            <w:pPr>
              <w:jc w:val="center"/>
              <w:spacing w:after="0" w:line="189" w:lineRule="exact"/>
              <w:rPr>
                <w:sz w:val="20"/>
                <w:szCs w:val="20"/>
                <w:color w:val="auto"/>
              </w:rPr>
            </w:pPr>
            <w:r>
              <w:rPr>
                <w:rFonts w:ascii="Arial" w:cs="Arial" w:eastAsia="Arial" w:hAnsi="Arial"/>
                <w:sz w:val="14"/>
                <w:szCs w:val="14"/>
                <w:b w:val="1"/>
                <w:bCs w:val="1"/>
                <w:color w:val="0086CC"/>
              </w:rPr>
              <w:t>EARNINGS ($)</w:t>
            </w:r>
            <w:r>
              <w:rPr>
                <w:rFonts w:ascii="Arial" w:cs="Arial" w:eastAsia="Arial" w:hAnsi="Arial"/>
                <w:sz w:val="21"/>
                <w:szCs w:val="21"/>
                <w:b w:val="1"/>
                <w:bCs w:val="1"/>
                <w:color w:val="0086CC"/>
                <w:vertAlign w:val="superscript"/>
              </w:rPr>
              <w:t>4</w:t>
            </w:r>
          </w:p>
        </w:tc>
        <w:tc>
          <w:tcPr>
            <w:tcW w:w="2160" w:type="dxa"/>
            <w:vAlign w:val="bottom"/>
          </w:tcPr>
          <w:p>
            <w:pPr>
              <w:jc w:val="center"/>
              <w:ind w:left="60"/>
              <w:spacing w:after="0" w:line="189" w:lineRule="exact"/>
              <w:rPr>
                <w:sz w:val="20"/>
                <w:szCs w:val="20"/>
                <w:color w:val="auto"/>
              </w:rPr>
            </w:pPr>
            <w:r>
              <w:rPr>
                <w:rFonts w:ascii="Arial" w:cs="Arial" w:eastAsia="Arial" w:hAnsi="Arial"/>
                <w:sz w:val="14"/>
                <w:szCs w:val="14"/>
                <w:b w:val="1"/>
                <w:bCs w:val="1"/>
                <w:color w:val="0086CC"/>
              </w:rPr>
              <w:t>COMPENSATION ($)</w:t>
            </w:r>
            <w:r>
              <w:rPr>
                <w:rFonts w:ascii="Arial" w:cs="Arial" w:eastAsia="Arial" w:hAnsi="Arial"/>
                <w:sz w:val="21"/>
                <w:szCs w:val="21"/>
                <w:b w:val="1"/>
                <w:bCs w:val="1"/>
                <w:color w:val="0086CC"/>
                <w:vertAlign w:val="superscript"/>
              </w:rPr>
              <w:t>5</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086CC"/>
              </w:rPr>
              <w:t>TOTAL ($)</w:t>
            </w:r>
          </w:p>
        </w:tc>
      </w:tr>
      <w:tr>
        <w:trPr>
          <w:trHeight w:val="226"/>
        </w:trPr>
        <w:tc>
          <w:tcPr>
            <w:tcW w:w="17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(A)</w:t>
            </w:r>
          </w:p>
        </w:tc>
        <w:tc>
          <w:tcPr>
            <w:tcW w:w="186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w w:val="98"/>
              </w:rPr>
              <w:t>(B)</w:t>
            </w:r>
          </w:p>
        </w:tc>
        <w:tc>
          <w:tcPr>
            <w:tcW w:w="1520" w:type="dxa"/>
            <w:vAlign w:val="bottom"/>
            <w:tcBorders>
              <w:bottom w:val="single" w:sz="8" w:color="0086CC"/>
            </w:tcBorders>
          </w:tcPr>
          <w:p>
            <w:pPr>
              <w:ind w:left="580"/>
              <w:spacing w:after="0"/>
              <w:rPr>
                <w:sz w:val="20"/>
                <w:szCs w:val="20"/>
                <w:color w:val="auto"/>
              </w:rPr>
            </w:pPr>
            <w:r>
              <w:rPr>
                <w:rFonts w:ascii="Arial" w:cs="Arial" w:eastAsia="Arial" w:hAnsi="Arial"/>
                <w:sz w:val="16"/>
                <w:szCs w:val="16"/>
                <w:b w:val="1"/>
                <w:bCs w:val="1"/>
                <w:color w:val="0086CC"/>
              </w:rPr>
              <w:t>(C)</w:t>
            </w:r>
          </w:p>
        </w:tc>
        <w:tc>
          <w:tcPr>
            <w:tcW w:w="282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w w:val="97"/>
              </w:rPr>
              <w:t>(F)</w:t>
            </w:r>
          </w:p>
        </w:tc>
        <w:tc>
          <w:tcPr>
            <w:tcW w:w="2160" w:type="dxa"/>
            <w:vAlign w:val="bottom"/>
            <w:tcBorders>
              <w:bottom w:val="single" w:sz="8" w:color="0086CC"/>
            </w:tcBorders>
          </w:tcPr>
          <w:p>
            <w:pPr>
              <w:jc w:val="center"/>
              <w:ind w:left="60"/>
              <w:spacing w:after="0"/>
              <w:rPr>
                <w:sz w:val="20"/>
                <w:szCs w:val="20"/>
                <w:color w:val="auto"/>
              </w:rPr>
            </w:pPr>
            <w:r>
              <w:rPr>
                <w:rFonts w:ascii="Arial" w:cs="Arial" w:eastAsia="Arial" w:hAnsi="Arial"/>
                <w:sz w:val="16"/>
                <w:szCs w:val="16"/>
                <w:b w:val="1"/>
                <w:bCs w:val="1"/>
                <w:color w:val="0086CC"/>
                <w:w w:val="95"/>
              </w:rPr>
              <w:t>(G)</w:t>
            </w:r>
          </w:p>
        </w:tc>
        <w:tc>
          <w:tcPr>
            <w:tcW w:w="960" w:type="dxa"/>
            <w:vAlign w:val="bottom"/>
            <w:tcBorders>
              <w:bottom w:val="single" w:sz="8" w:color="0086CC"/>
            </w:tcBorders>
          </w:tcPr>
          <w:p>
            <w:pPr>
              <w:jc w:val="right"/>
              <w:ind w:right="199"/>
              <w:spacing w:after="0"/>
              <w:rPr>
                <w:sz w:val="20"/>
                <w:szCs w:val="20"/>
                <w:color w:val="auto"/>
              </w:rPr>
            </w:pPr>
            <w:r>
              <w:rPr>
                <w:rFonts w:ascii="Arial" w:cs="Arial" w:eastAsia="Arial" w:hAnsi="Arial"/>
                <w:sz w:val="16"/>
                <w:szCs w:val="16"/>
                <w:b w:val="1"/>
                <w:bCs w:val="1"/>
                <w:color w:val="0086CC"/>
              </w:rPr>
              <w:t>(H)</w:t>
            </w:r>
          </w:p>
        </w:tc>
      </w:tr>
      <w:tr>
        <w:trPr>
          <w:trHeight w:val="263"/>
        </w:trPr>
        <w:tc>
          <w:tcPr>
            <w:tcW w:w="17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Dorothy M. Ables</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145,000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3,915</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12,041</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331,237</w:t>
            </w:r>
          </w:p>
        </w:tc>
      </w:tr>
      <w:tr>
        <w:trPr>
          <w:trHeight w:val="267"/>
        </w:trPr>
        <w:tc>
          <w:tcPr>
            <w:tcW w:w="1700" w:type="dxa"/>
            <w:vAlign w:val="bottom"/>
            <w:tcBorders>
              <w:bottom w:val="single" w:sz="8" w:color="4D5357"/>
            </w:tcBorders>
          </w:tcPr>
          <w:p>
            <w:pPr>
              <w:ind w:left="60"/>
              <w:spacing w:after="0" w:line="267" w:lineRule="exact"/>
              <w:rPr>
                <w:sz w:val="20"/>
                <w:szCs w:val="20"/>
                <w:color w:val="auto"/>
              </w:rPr>
            </w:pPr>
            <w:r>
              <w:rPr>
                <w:rFonts w:ascii="Arial" w:cs="Arial" w:eastAsia="Arial" w:hAnsi="Arial"/>
                <w:sz w:val="16"/>
                <w:szCs w:val="16"/>
                <w:b w:val="1"/>
                <w:bCs w:val="1"/>
                <w:color w:val="4D5357"/>
              </w:rPr>
              <w:t>Sue W. Cole</w:t>
            </w:r>
            <w:r>
              <w:rPr>
                <w:rFonts w:ascii="Arial" w:cs="Arial" w:eastAsia="Arial" w:hAnsi="Arial"/>
                <w:sz w:val="24"/>
                <w:szCs w:val="24"/>
                <w:b w:val="1"/>
                <w:bCs w:val="1"/>
                <w:color w:val="4D5357"/>
                <w:vertAlign w:val="superscript"/>
              </w:rPr>
              <w:t>6</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125,000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84,717</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83,101</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463,099</w:t>
            </w:r>
          </w:p>
        </w:tc>
      </w:tr>
      <w:tr>
        <w:trPr>
          <w:trHeight w:val="260"/>
        </w:trPr>
        <w:tc>
          <w:tcPr>
            <w:tcW w:w="17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Anthony R. Foxx</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140,000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15,945</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7,215</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333,441</w:t>
            </w:r>
          </w:p>
        </w:tc>
      </w:tr>
      <w:tr>
        <w:trPr>
          <w:trHeight w:val="267"/>
        </w:trPr>
        <w:tc>
          <w:tcPr>
            <w:tcW w:w="1700" w:type="dxa"/>
            <w:vAlign w:val="bottom"/>
            <w:tcBorders>
              <w:bottom w:val="single" w:sz="8" w:color="4D5357"/>
            </w:tcBorders>
          </w:tcPr>
          <w:p>
            <w:pPr>
              <w:ind w:left="60"/>
              <w:spacing w:after="0" w:line="267" w:lineRule="exact"/>
              <w:rPr>
                <w:sz w:val="20"/>
                <w:szCs w:val="20"/>
                <w:color w:val="auto"/>
              </w:rPr>
            </w:pPr>
            <w:r>
              <w:rPr>
                <w:rFonts w:ascii="Arial" w:cs="Arial" w:eastAsia="Arial" w:hAnsi="Arial"/>
                <w:sz w:val="16"/>
                <w:szCs w:val="16"/>
                <w:b w:val="1"/>
                <w:bCs w:val="1"/>
                <w:color w:val="4D5357"/>
              </w:rPr>
              <w:t>John J. Koraleski</w:t>
            </w:r>
            <w:r>
              <w:rPr>
                <w:rFonts w:ascii="Arial" w:cs="Arial" w:eastAsia="Arial" w:hAnsi="Arial"/>
                <w:sz w:val="24"/>
                <w:szCs w:val="24"/>
                <w:b w:val="1"/>
                <w:bCs w:val="1"/>
                <w:color w:val="4D5357"/>
                <w:vertAlign w:val="superscript"/>
              </w:rPr>
              <w:t>6</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185,000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9,435</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29,261</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393,977</w:t>
            </w:r>
          </w:p>
        </w:tc>
      </w:tr>
      <w:tr>
        <w:trPr>
          <w:trHeight w:val="260"/>
        </w:trPr>
        <w:tc>
          <w:tcPr>
            <w:tcW w:w="17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Mary T. Mack</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125,000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95</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1,704</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297,080</w:t>
            </w:r>
          </w:p>
        </w:tc>
      </w:tr>
      <w:tr>
        <w:trPr>
          <w:trHeight w:val="263"/>
        </w:trPr>
        <w:tc>
          <w:tcPr>
            <w:tcW w:w="17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Laree E. Perez</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130,000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44,597</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51,291</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396,169</w:t>
            </w:r>
          </w:p>
        </w:tc>
      </w:tr>
      <w:tr>
        <w:trPr>
          <w:trHeight w:val="263"/>
        </w:trPr>
        <w:tc>
          <w:tcPr>
            <w:tcW w:w="17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Thomas H. Pike</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125,000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3,495</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15,614</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314,390</w:t>
            </w:r>
          </w:p>
        </w:tc>
      </w:tr>
      <w:tr>
        <w:trPr>
          <w:trHeight w:val="264"/>
        </w:trPr>
        <w:tc>
          <w:tcPr>
            <w:tcW w:w="17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W. Slager</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140,000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5,667</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15,150</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331,098</w:t>
            </w:r>
          </w:p>
        </w:tc>
      </w:tr>
      <w:tr>
        <w:trPr>
          <w:trHeight w:val="263"/>
        </w:trPr>
        <w:tc>
          <w:tcPr>
            <w:tcW w:w="17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David C. Wajsgras</w:t>
            </w:r>
          </w:p>
        </w:tc>
        <w:tc>
          <w:tcPr>
            <w:tcW w:w="1860" w:type="dxa"/>
            <w:vAlign w:val="bottom"/>
            <w:tcBorders>
              <w:bottom w:val="single" w:sz="8" w:color="4D5357"/>
            </w:tcBorders>
          </w:tcPr>
          <w:p>
            <w:pPr>
              <w:jc w:val="right"/>
              <w:ind w:right="400"/>
              <w:spacing w:after="0"/>
              <w:rPr>
                <w:sz w:val="20"/>
                <w:szCs w:val="20"/>
                <w:color w:val="auto"/>
              </w:rPr>
            </w:pPr>
            <w:r>
              <w:rPr>
                <w:rFonts w:ascii="Arial" w:cs="Arial" w:eastAsia="Arial" w:hAnsi="Arial"/>
                <w:sz w:val="16"/>
                <w:szCs w:val="16"/>
                <w:color w:val="4D5357"/>
              </w:rPr>
              <w:t>150,000</w:t>
            </w:r>
          </w:p>
        </w:tc>
        <w:tc>
          <w:tcPr>
            <w:tcW w:w="1520" w:type="dxa"/>
            <w:vAlign w:val="bottom"/>
            <w:tcBorders>
              <w:bottom w:val="single" w:sz="8" w:color="4D5357"/>
            </w:tcBorders>
          </w:tcPr>
          <w:p>
            <w:pPr>
              <w:ind w:left="560"/>
              <w:spacing w:after="0"/>
              <w:rPr>
                <w:sz w:val="20"/>
                <w:szCs w:val="20"/>
                <w:color w:val="auto"/>
              </w:rPr>
            </w:pPr>
            <w:r>
              <w:rPr>
                <w:rFonts w:ascii="Arial" w:cs="Arial" w:eastAsia="Arial" w:hAnsi="Arial"/>
                <w:sz w:val="16"/>
                <w:szCs w:val="16"/>
                <w:color w:val="4D5357"/>
              </w:rPr>
              <w:t>170,281</w:t>
            </w:r>
          </w:p>
        </w:tc>
        <w:tc>
          <w:tcPr>
            <w:tcW w:w="2820" w:type="dxa"/>
            <w:vAlign w:val="bottom"/>
            <w:tcBorders>
              <w:bottom w:val="single" w:sz="8" w:color="4D5357"/>
            </w:tcBorders>
          </w:tcPr>
          <w:p>
            <w:pPr>
              <w:jc w:val="right"/>
              <w:ind w:right="1040"/>
              <w:spacing w:after="0"/>
              <w:rPr>
                <w:sz w:val="20"/>
                <w:szCs w:val="20"/>
                <w:color w:val="auto"/>
              </w:rPr>
            </w:pPr>
            <w:r>
              <w:rPr>
                <w:rFonts w:ascii="Arial" w:cs="Arial" w:eastAsia="Arial" w:hAnsi="Arial"/>
                <w:sz w:val="16"/>
                <w:szCs w:val="16"/>
                <w:color w:val="4D5357"/>
              </w:rPr>
              <w:t>3,278</w:t>
            </w:r>
          </w:p>
        </w:tc>
        <w:tc>
          <w:tcPr>
            <w:tcW w:w="2160" w:type="dxa"/>
            <w:vAlign w:val="bottom"/>
            <w:tcBorders>
              <w:bottom w:val="single" w:sz="8" w:color="4D5357"/>
            </w:tcBorders>
          </w:tcPr>
          <w:p>
            <w:pPr>
              <w:jc w:val="right"/>
              <w:ind w:right="580"/>
              <w:spacing w:after="0"/>
              <w:rPr>
                <w:sz w:val="20"/>
                <w:szCs w:val="20"/>
                <w:color w:val="auto"/>
              </w:rPr>
            </w:pPr>
            <w:r>
              <w:rPr>
                <w:rFonts w:ascii="Arial" w:cs="Arial" w:eastAsia="Arial" w:hAnsi="Arial"/>
                <w:sz w:val="16"/>
                <w:szCs w:val="16"/>
                <w:color w:val="4D5357"/>
              </w:rPr>
              <w:t>15,414</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338,973</w:t>
            </w:r>
          </w:p>
        </w:tc>
      </w:tr>
    </w:tbl>
    <w:p>
      <w:pPr>
        <w:spacing w:after="0" w:line="198" w:lineRule="exact"/>
        <w:rPr>
          <w:sz w:val="20"/>
          <w:szCs w:val="20"/>
          <w:color w:val="auto"/>
        </w:rPr>
      </w:pPr>
    </w:p>
    <w:p>
      <w:pPr>
        <w:ind w:left="224" w:right="100" w:hanging="224"/>
        <w:spacing w:after="0" w:line="243" w:lineRule="auto"/>
        <w:tabs>
          <w:tab w:leader="none" w:pos="224" w:val="left"/>
        </w:tabs>
        <w:numPr>
          <w:ilvl w:val="0"/>
          <w:numId w:val="37"/>
        </w:numPr>
        <w:rPr>
          <w:rFonts w:ascii="Arial" w:cs="Arial" w:eastAsia="Arial" w:hAnsi="Arial"/>
          <w:sz w:val="13"/>
          <w:szCs w:val="13"/>
          <w:color w:val="333333"/>
        </w:rPr>
      </w:pPr>
      <w:r>
        <w:rPr>
          <w:rFonts w:ascii="Arial" w:cs="Arial" w:eastAsia="Arial" w:hAnsi="Arial"/>
          <w:sz w:val="13"/>
          <w:szCs w:val="13"/>
          <w:color w:val="333333"/>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77.</w:t>
      </w:r>
    </w:p>
    <w:p>
      <w:pPr>
        <w:spacing w:after="0" w:line="35" w:lineRule="exact"/>
        <w:rPr>
          <w:sz w:val="20"/>
          <w:szCs w:val="20"/>
          <w:color w:val="auto"/>
        </w:rPr>
      </w:pPr>
    </w:p>
    <w:p>
      <w:pPr>
        <w:ind w:left="224" w:right="100" w:hanging="224"/>
        <w:spacing w:after="0" w:line="225" w:lineRule="auto"/>
        <w:tabs>
          <w:tab w:leader="none" w:pos="224"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The amounts in column (B) reflect fees earned in 2025. Some of these fees were deferred pursuant to the Common Stock Purchase Plan for Directors in the form of common stock units. The number of units of common stock credited in 2025 to each of the Directors under the Common Stock Purchase Plan for Directors and the grant date fair value for these awards determined in accordance with FASB ASC Topic 718, are as follows: Ms. Ables, 0; Ms. Cole, 0; Mr. Foxx, 0; Mr. Koraleski, 332 units and $186,513 in value, respectively; Ms. Mack, 0; Ms. Perez, 0; Mr. Pike, 225 units and $126,384 in value, respectively; Mr. Slager, 0; and Mr. Wajsgras, 269 units and $151,084 in value, respectively. The number of units credited to each of the Directors as of December 31, 2025, including units accumulated under the plan for all years of service as a Director, is as follows: Ms. Ables, 0; Ms. Cole, 13,867; Mr. Foxx,0; Mr. Koraleski, 4,041; Ms. Mack, 0; Ms. Perez, 5,258; Mr. Pike, 1,402; Mr. Slager, 0; and Mr. Wajsgras, 2,026.</w:t>
      </w:r>
    </w:p>
    <w:p>
      <w:pPr>
        <w:spacing w:after="0" w:line="37" w:lineRule="exact"/>
        <w:rPr>
          <w:sz w:val="20"/>
          <w:szCs w:val="20"/>
          <w:color w:val="auto"/>
        </w:rPr>
      </w:pPr>
    </w:p>
    <w:p>
      <w:pPr>
        <w:ind w:left="224" w:right="80" w:hanging="224"/>
        <w:spacing w:after="0"/>
        <w:tabs>
          <w:tab w:leader="none" w:pos="224" w:val="left"/>
        </w:tabs>
        <w:numPr>
          <w:ilvl w:val="0"/>
          <w:numId w:val="39"/>
        </w:numPr>
        <w:rPr>
          <w:rFonts w:ascii="Arial" w:cs="Arial" w:eastAsia="Arial" w:hAnsi="Arial"/>
          <w:sz w:val="12"/>
          <w:szCs w:val="12"/>
          <w:color w:val="333333"/>
        </w:rPr>
      </w:pPr>
      <w:r>
        <w:rPr>
          <w:rFonts w:ascii="Arial" w:cs="Arial" w:eastAsia="Arial" w:hAnsi="Arial"/>
          <w:sz w:val="12"/>
          <w:szCs w:val="12"/>
          <w:color w:val="333333"/>
        </w:rPr>
        <w:t>Each Director who was serving immediately following the 2025 Annual Meeting of Shareholders received 308 RSUs in May 2025. The amounts in column (C) reflect the grant date fair value for these awards determined in accordance with FASB ASC Topic 718. The RSUs fully vested upon award and will be distributed to the Director upon retirement, except Ms. Ables, Ms. Cole and Ms. Perez, who each received a distribution of 154 unrestricted shares of common stock and deferred the distribution of 154 RSUs until retirement. As of December 31, 2025, each Director held RSUs in the amounts as follows: Ms. Ables, 3,754; Ms. Cole, 11,819; Mr. Foxx, 2,302; Mr. Koraleski, 4,712; Ms. Mack, 601; Ms. Perez, 10,610; Mr. Pike, 3,142; Mr. Slager, 4,751; and</w:t>
      </w:r>
    </w:p>
    <w:p>
      <w:pPr>
        <w:ind w:left="224"/>
        <w:spacing w:after="0"/>
        <w:rPr>
          <w:rFonts w:ascii="Arial" w:cs="Arial" w:eastAsia="Arial" w:hAnsi="Arial"/>
          <w:sz w:val="12"/>
          <w:szCs w:val="12"/>
          <w:color w:val="333333"/>
        </w:rPr>
      </w:pPr>
      <w:r>
        <w:rPr>
          <w:rFonts w:ascii="Arial" w:cs="Arial" w:eastAsia="Arial" w:hAnsi="Arial"/>
          <w:sz w:val="13"/>
          <w:szCs w:val="13"/>
          <w:color w:val="333333"/>
        </w:rPr>
        <w:t>Mr. Wajsgras, 2,564. As of December 31, 2025, none of the Directors held options for common stock.</w:t>
      </w:r>
    </w:p>
    <w:p>
      <w:pPr>
        <w:spacing w:after="0" w:line="41" w:lineRule="exact"/>
        <w:rPr>
          <w:sz w:val="20"/>
          <w:szCs w:val="20"/>
          <w:color w:val="auto"/>
        </w:rPr>
      </w:pPr>
    </w:p>
    <w:p>
      <w:pPr>
        <w:ind w:left="224" w:hanging="224"/>
        <w:spacing w:after="0"/>
        <w:tabs>
          <w:tab w:leader="none" w:pos="224" w:val="left"/>
        </w:tabs>
        <w:numPr>
          <w:ilvl w:val="0"/>
          <w:numId w:val="40"/>
        </w:numPr>
        <w:rPr>
          <w:rFonts w:ascii="Arial" w:cs="Arial" w:eastAsia="Arial" w:hAnsi="Arial"/>
          <w:sz w:val="13"/>
          <w:szCs w:val="13"/>
          <w:color w:val="333333"/>
        </w:rPr>
      </w:pPr>
      <w:r>
        <w:rPr>
          <w:rFonts w:ascii="Arial" w:cs="Arial" w:eastAsia="Arial" w:hAnsi="Arial"/>
          <w:sz w:val="13"/>
          <w:szCs w:val="13"/>
          <w:color w:val="333333"/>
        </w:rPr>
        <w:t>The amounts in column (F) reflect interest paid on fees deferred in cash under the Common Stock Purchase Plan for Directors.</w:t>
      </w:r>
    </w:p>
    <w:p>
      <w:pPr>
        <w:spacing w:after="0" w:line="53" w:lineRule="exact"/>
        <w:rPr>
          <w:sz w:val="20"/>
          <w:szCs w:val="20"/>
          <w:color w:val="auto"/>
        </w:rPr>
      </w:pPr>
    </w:p>
    <w:p>
      <w:pPr>
        <w:ind w:left="224" w:right="100" w:hanging="224"/>
        <w:spacing w:after="0" w:line="243" w:lineRule="auto"/>
        <w:tabs>
          <w:tab w:leader="none" w:pos="224" w:val="left"/>
        </w:tabs>
        <w:numPr>
          <w:ilvl w:val="0"/>
          <w:numId w:val="41"/>
        </w:numPr>
        <w:rPr>
          <w:rFonts w:ascii="Arial" w:cs="Arial" w:eastAsia="Arial" w:hAnsi="Arial"/>
          <w:sz w:val="13"/>
          <w:szCs w:val="13"/>
          <w:color w:val="333333"/>
        </w:rPr>
      </w:pPr>
      <w:r>
        <w:rPr>
          <w:rFonts w:ascii="Arial" w:cs="Arial" w:eastAsia="Arial" w:hAnsi="Arial"/>
          <w:sz w:val="13"/>
          <w:szCs w:val="13"/>
          <w:color w:val="333333"/>
        </w:rPr>
        <w:t>The amounts in column (G) reflect for each Director the dollar value of dividend equivalents paid in 2025 on common stock units held under the Common Stock Purchase Plan for Directors. The non-employee Directors did not receive perquisites or other personal benefits in 2025.</w:t>
      </w:r>
    </w:p>
    <w:p>
      <w:pPr>
        <w:spacing w:after="0" w:line="35" w:lineRule="exact"/>
        <w:rPr>
          <w:sz w:val="20"/>
          <w:szCs w:val="20"/>
          <w:color w:val="auto"/>
        </w:rPr>
      </w:pPr>
    </w:p>
    <w:p>
      <w:pPr>
        <w:ind w:left="224" w:right="200" w:hanging="224"/>
        <w:spacing w:after="0" w:line="281" w:lineRule="auto"/>
        <w:tabs>
          <w:tab w:leader="none" w:pos="224" w:val="left"/>
        </w:tabs>
        <w:numPr>
          <w:ilvl w:val="0"/>
          <w:numId w:val="42"/>
        </w:numPr>
        <w:rPr>
          <w:rFonts w:ascii="Arial" w:cs="Arial" w:eastAsia="Arial" w:hAnsi="Arial"/>
          <w:sz w:val="13"/>
          <w:szCs w:val="13"/>
          <w:color w:val="333333"/>
        </w:rPr>
      </w:pPr>
      <w:r>
        <w:rPr>
          <w:rFonts w:ascii="Arial" w:cs="Arial" w:eastAsia="Arial" w:hAnsi="Arial"/>
          <w:sz w:val="13"/>
          <w:szCs w:val="13"/>
          <w:color w:val="333333"/>
        </w:rPr>
        <w:t>Ms. Cole and Mr. Koraleski will retire at the 2026 Annual Meeting of Shareholders in accordance with the Bylaws that provide for retirement of a Director at the annual meeting of shareholders following the Director’s 75</w:t>
      </w:r>
      <w:r>
        <w:rPr>
          <w:rFonts w:ascii="Arial" w:cs="Arial" w:eastAsia="Arial" w:hAnsi="Arial"/>
          <w:sz w:val="18"/>
          <w:szCs w:val="18"/>
          <w:color w:val="333333"/>
          <w:vertAlign w:val="superscript"/>
        </w:rPr>
        <w:t>th</w:t>
      </w:r>
      <w:r>
        <w:rPr>
          <w:rFonts w:ascii="Arial" w:cs="Arial" w:eastAsia="Arial" w:hAnsi="Arial"/>
          <w:sz w:val="13"/>
          <w:szCs w:val="13"/>
          <w:color w:val="333333"/>
        </w:rPr>
        <w:t xml:space="preserve"> birthday.</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35 </w:t>
      </w:r>
      <w:r>
        <w:rPr>
          <w:rFonts w:ascii="Arial" w:cs="Arial" w:eastAsia="Arial" w:hAnsi="Arial"/>
          <w:sz w:val="16"/>
          <w:szCs w:val="16"/>
          <w:color w:val="333333"/>
        </w:rPr>
        <w:t xml:space="preserve">               </w:t>
      </w:r>
    </w:p>
    <w:p>
      <w:pPr>
        <w:sectPr>
          <w:pgSz w:w="11900" w:h="16838" w:orient="portrait"/>
          <w:cols w:equalWidth="0" w:num="4">
            <w:col w:w="44" w:space="120"/>
            <w:col w:w="3700" w:space="720"/>
            <w:col w:w="4660" w:space="720"/>
            <w:col w:w="1060"/>
          </w:cols>
          <w:pgMar w:left="436" w:top="315" w:right="439" w:bottom="1440" w:gutter="0" w:footer="0" w:header="0"/>
          <w:type w:val="continuous"/>
        </w:sectPr>
      </w:pPr>
    </w:p>
    <w:bookmarkStart w:id="41" w:name="page42"/>
    <w:bookmarkEnd w:id="41"/>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Beneficial Owners and Management</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Stock Ownership</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How much stock do Martin Marietta’s Directors, nominees and executive officers own?</w:t>
      </w:r>
    </w:p>
    <w:p>
      <w:pPr>
        <w:spacing w:after="0" w:line="108" w:lineRule="exact"/>
        <w:rPr>
          <w:sz w:val="20"/>
          <w:szCs w:val="20"/>
          <w:color w:val="auto"/>
        </w:rPr>
      </w:pPr>
    </w:p>
    <w:p>
      <w:pPr>
        <w:ind w:left="4" w:right="260"/>
        <w:spacing w:after="0" w:line="259" w:lineRule="auto"/>
        <w:rPr>
          <w:sz w:val="20"/>
          <w:szCs w:val="20"/>
          <w:color w:val="auto"/>
        </w:rPr>
      </w:pPr>
      <w:r>
        <w:rPr>
          <w:rFonts w:ascii="Arial" w:cs="Arial" w:eastAsia="Arial" w:hAnsi="Arial"/>
          <w:sz w:val="16"/>
          <w:szCs w:val="16"/>
          <w:color w:val="333333"/>
        </w:rPr>
        <w:t>The following table sets forth information as of March 6, 2026 with respect to the shares of common stock that are beneficially owned by the Directors, other nominees for election as Directors, the Chief Executive Officer, each person who served as Chief Financial Officer during 2025, and the other named executive officers who are listed in the Summary Compensation Table on page 77 of this Proxy Statement, individually, and by all Directors and executive officers of Martin Marietta as a group. The address of each beneficial owner below is Martin Marietta’s principal executive office.</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3440" w:type="dxa"/>
            <w:vAlign w:val="bottom"/>
          </w:tcPr>
          <w:p>
            <w:pPr>
              <w:ind w:left="60"/>
              <w:spacing w:after="0"/>
              <w:rPr>
                <w:sz w:val="20"/>
                <w:szCs w:val="20"/>
                <w:color w:val="auto"/>
              </w:rPr>
            </w:pPr>
            <w:r>
              <w:rPr>
                <w:rFonts w:ascii="Arial" w:cs="Arial" w:eastAsia="Arial" w:hAnsi="Arial"/>
                <w:sz w:val="16"/>
                <w:szCs w:val="16"/>
                <w:b w:val="1"/>
                <w:bCs w:val="1"/>
                <w:color w:val="0086CC"/>
              </w:rPr>
              <w:t>NAME OF</w:t>
            </w:r>
          </w:p>
        </w:tc>
        <w:tc>
          <w:tcPr>
            <w:tcW w:w="3620" w:type="dxa"/>
            <w:vAlign w:val="bottom"/>
          </w:tcPr>
          <w:p>
            <w:pPr>
              <w:jc w:val="right"/>
              <w:ind w:right="779"/>
              <w:spacing w:after="0"/>
              <w:rPr>
                <w:sz w:val="20"/>
                <w:szCs w:val="20"/>
                <w:color w:val="auto"/>
              </w:rPr>
            </w:pPr>
            <w:r>
              <w:rPr>
                <w:rFonts w:ascii="Arial" w:cs="Arial" w:eastAsia="Arial" w:hAnsi="Arial"/>
                <w:sz w:val="16"/>
                <w:szCs w:val="16"/>
                <w:b w:val="1"/>
                <w:bCs w:val="1"/>
                <w:color w:val="0086CC"/>
              </w:rPr>
              <w:t>AMOUNT AND NATURE</w:t>
            </w:r>
          </w:p>
        </w:tc>
        <w:tc>
          <w:tcPr>
            <w:tcW w:w="2720" w:type="dxa"/>
            <w:vAlign w:val="bottom"/>
          </w:tcPr>
          <w:p>
            <w:pPr>
              <w:jc w:val="right"/>
              <w:ind w:right="599"/>
              <w:spacing w:after="0"/>
              <w:rPr>
                <w:sz w:val="20"/>
                <w:szCs w:val="20"/>
                <w:color w:val="auto"/>
              </w:rPr>
            </w:pPr>
            <w:r>
              <w:rPr>
                <w:rFonts w:ascii="Arial" w:cs="Arial" w:eastAsia="Arial" w:hAnsi="Arial"/>
                <w:sz w:val="16"/>
                <w:szCs w:val="16"/>
                <w:b w:val="1"/>
                <w:bCs w:val="1"/>
                <w:color w:val="0086CC"/>
              </w:rPr>
              <w:t>DEFERRED AND</w:t>
            </w:r>
          </w:p>
        </w:tc>
        <w:tc>
          <w:tcPr>
            <w:tcW w:w="1240" w:type="dxa"/>
            <w:vAlign w:val="bottom"/>
          </w:tcPr>
          <w:p>
            <w:pPr>
              <w:spacing w:after="0"/>
              <w:rPr>
                <w:sz w:val="16"/>
                <w:szCs w:val="16"/>
                <w:color w:val="auto"/>
              </w:rPr>
            </w:pPr>
          </w:p>
        </w:tc>
      </w:tr>
      <w:tr>
        <w:trPr>
          <w:trHeight w:val="244"/>
        </w:trPr>
        <w:tc>
          <w:tcPr>
            <w:tcW w:w="344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BENEFICIAL OWNER</w:t>
            </w:r>
          </w:p>
        </w:tc>
        <w:tc>
          <w:tcPr>
            <w:tcW w:w="3620" w:type="dxa"/>
            <w:vAlign w:val="bottom"/>
            <w:tcBorders>
              <w:bottom w:val="single" w:sz="8" w:color="0086CC"/>
            </w:tcBorders>
          </w:tcPr>
          <w:p>
            <w:pPr>
              <w:jc w:val="right"/>
              <w:ind w:right="499"/>
              <w:spacing w:after="0" w:line="243" w:lineRule="exact"/>
              <w:rPr>
                <w:sz w:val="20"/>
                <w:szCs w:val="20"/>
                <w:color w:val="auto"/>
              </w:rPr>
            </w:pPr>
            <w:r>
              <w:rPr>
                <w:rFonts w:ascii="Arial" w:cs="Arial" w:eastAsia="Arial" w:hAnsi="Arial"/>
                <w:sz w:val="16"/>
                <w:szCs w:val="16"/>
                <w:b w:val="1"/>
                <w:bCs w:val="1"/>
                <w:color w:val="0086CC"/>
              </w:rPr>
              <w:t>OF BENEFICIAL OWNERSHIP</w:t>
            </w:r>
            <w:r>
              <w:rPr>
                <w:rFonts w:ascii="Arial" w:cs="Arial" w:eastAsia="Arial" w:hAnsi="Arial"/>
                <w:sz w:val="24"/>
                <w:szCs w:val="24"/>
                <w:b w:val="1"/>
                <w:bCs w:val="1"/>
                <w:color w:val="0086CC"/>
                <w:vertAlign w:val="superscript"/>
              </w:rPr>
              <w:t>1</w:t>
            </w:r>
          </w:p>
        </w:tc>
        <w:tc>
          <w:tcPr>
            <w:tcW w:w="2720" w:type="dxa"/>
            <w:vAlign w:val="bottom"/>
            <w:tcBorders>
              <w:bottom w:val="single" w:sz="8" w:color="0086CC"/>
            </w:tcBorders>
          </w:tcPr>
          <w:p>
            <w:pPr>
              <w:jc w:val="right"/>
              <w:ind w:right="419"/>
              <w:spacing w:after="0" w:line="243" w:lineRule="exact"/>
              <w:rPr>
                <w:sz w:val="20"/>
                <w:szCs w:val="20"/>
                <w:color w:val="auto"/>
              </w:rPr>
            </w:pPr>
            <w:r>
              <w:rPr>
                <w:rFonts w:ascii="Arial" w:cs="Arial" w:eastAsia="Arial" w:hAnsi="Arial"/>
                <w:sz w:val="16"/>
                <w:szCs w:val="16"/>
                <w:b w:val="1"/>
                <w:bCs w:val="1"/>
                <w:color w:val="0086CC"/>
              </w:rPr>
              <w:t>RESTRICTED UNITS</w:t>
            </w:r>
            <w:r>
              <w:rPr>
                <w:rFonts w:ascii="Arial" w:cs="Arial" w:eastAsia="Arial" w:hAnsi="Arial"/>
                <w:sz w:val="24"/>
                <w:szCs w:val="24"/>
                <w:b w:val="1"/>
                <w:bCs w:val="1"/>
                <w:color w:val="0086CC"/>
                <w:vertAlign w:val="superscript"/>
              </w:rPr>
              <w:t>6</w:t>
            </w:r>
          </w:p>
        </w:tc>
        <w:tc>
          <w:tcPr>
            <w:tcW w:w="1240" w:type="dxa"/>
            <w:vAlign w:val="bottom"/>
            <w:tcBorders>
              <w:bottom w:val="single" w:sz="8" w:color="0086CC"/>
            </w:tcBorders>
          </w:tcPr>
          <w:p>
            <w:pPr>
              <w:jc w:val="right"/>
              <w:ind w:right="99"/>
              <w:spacing w:after="0"/>
              <w:rPr>
                <w:sz w:val="20"/>
                <w:szCs w:val="20"/>
                <w:color w:val="auto"/>
              </w:rPr>
            </w:pPr>
            <w:r>
              <w:rPr>
                <w:rFonts w:ascii="Arial" w:cs="Arial" w:eastAsia="Arial" w:hAnsi="Arial"/>
                <w:sz w:val="16"/>
                <w:szCs w:val="16"/>
                <w:b w:val="1"/>
                <w:bCs w:val="1"/>
                <w:color w:val="0086CC"/>
              </w:rPr>
              <w:t>TOTAL</w:t>
            </w:r>
          </w:p>
        </w:tc>
      </w:tr>
      <w:tr>
        <w:trPr>
          <w:trHeight w:val="263"/>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Dorothy M. Ables</w:t>
            </w:r>
          </w:p>
        </w:tc>
        <w:tc>
          <w:tcPr>
            <w:tcW w:w="3620" w:type="dxa"/>
            <w:vAlign w:val="bottom"/>
            <w:tcBorders>
              <w:bottom w:val="single" w:sz="8" w:color="4D5357"/>
            </w:tcBorders>
          </w:tcPr>
          <w:p>
            <w:pPr>
              <w:jc w:val="right"/>
              <w:ind w:right="1279"/>
              <w:spacing w:after="0" w:line="264" w:lineRule="exact"/>
              <w:rPr>
                <w:sz w:val="20"/>
                <w:szCs w:val="20"/>
                <w:color w:val="auto"/>
              </w:rPr>
            </w:pPr>
            <w:r>
              <w:rPr>
                <w:rFonts w:ascii="Arial" w:cs="Arial" w:eastAsia="Arial" w:hAnsi="Arial"/>
                <w:sz w:val="16"/>
                <w:szCs w:val="16"/>
                <w:color w:val="4D5357"/>
              </w:rPr>
              <w:t>3,908</w:t>
            </w:r>
            <w:r>
              <w:rPr>
                <w:rFonts w:ascii="Arial" w:cs="Arial" w:eastAsia="Arial" w:hAnsi="Arial"/>
                <w:sz w:val="24"/>
                <w:szCs w:val="24"/>
                <w:color w:val="4D5357"/>
                <w:vertAlign w:val="superscript"/>
              </w:rPr>
              <w:t>2</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3,908</w:t>
            </w:r>
          </w:p>
        </w:tc>
      </w:tr>
      <w:tr>
        <w:trPr>
          <w:trHeight w:val="260"/>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Robert J. Cardin</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8,144</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4,315</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12,459</w:t>
            </w:r>
          </w:p>
        </w:tc>
      </w:tr>
      <w:tr>
        <w:trPr>
          <w:trHeight w:val="267"/>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Sue W. Cole</w:t>
            </w:r>
          </w:p>
        </w:tc>
        <w:tc>
          <w:tcPr>
            <w:tcW w:w="3620" w:type="dxa"/>
            <w:vAlign w:val="bottom"/>
            <w:tcBorders>
              <w:bottom w:val="single" w:sz="8" w:color="4D5357"/>
            </w:tcBorders>
          </w:tcPr>
          <w:p>
            <w:pPr>
              <w:jc w:val="right"/>
              <w:ind w:right="1179"/>
              <w:spacing w:after="0" w:line="267" w:lineRule="exact"/>
              <w:rPr>
                <w:sz w:val="20"/>
                <w:szCs w:val="20"/>
                <w:color w:val="auto"/>
              </w:rPr>
            </w:pPr>
            <w:r>
              <w:rPr>
                <w:rFonts w:ascii="Arial" w:cs="Arial" w:eastAsia="Arial" w:hAnsi="Arial"/>
                <w:sz w:val="16"/>
                <w:szCs w:val="16"/>
                <w:color w:val="4D5357"/>
              </w:rPr>
              <w:t>30,237</w:t>
            </w:r>
            <w:r>
              <w:rPr>
                <w:rFonts w:ascii="Arial" w:cs="Arial" w:eastAsia="Arial" w:hAnsi="Arial"/>
                <w:sz w:val="24"/>
                <w:szCs w:val="24"/>
                <w:color w:val="4D5357"/>
                <w:vertAlign w:val="superscript"/>
              </w:rPr>
              <w:t>2,3</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30,237</w:t>
            </w:r>
          </w:p>
        </w:tc>
      </w:tr>
      <w:tr>
        <w:trPr>
          <w:trHeight w:val="260"/>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Gayla J. Delly</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w:t>
            </w:r>
          </w:p>
        </w:tc>
      </w:tr>
      <w:tr>
        <w:trPr>
          <w:trHeight w:val="264"/>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Jason P. Flynn</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1,053</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4,441</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5,494</w:t>
            </w:r>
          </w:p>
        </w:tc>
      </w:tr>
      <w:tr>
        <w:trPr>
          <w:trHeight w:val="267"/>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Anthony R. Foxx</w:t>
            </w:r>
          </w:p>
        </w:tc>
        <w:tc>
          <w:tcPr>
            <w:tcW w:w="3620" w:type="dxa"/>
            <w:vAlign w:val="bottom"/>
            <w:tcBorders>
              <w:bottom w:val="single" w:sz="8" w:color="4D5357"/>
            </w:tcBorders>
          </w:tcPr>
          <w:p>
            <w:pPr>
              <w:jc w:val="right"/>
              <w:ind w:right="1279"/>
              <w:spacing w:after="0" w:line="267" w:lineRule="exact"/>
              <w:rPr>
                <w:sz w:val="20"/>
                <w:szCs w:val="20"/>
                <w:color w:val="auto"/>
              </w:rPr>
            </w:pPr>
            <w:r>
              <w:rPr>
                <w:rFonts w:ascii="Arial" w:cs="Arial" w:eastAsia="Arial" w:hAnsi="Arial"/>
                <w:sz w:val="16"/>
                <w:szCs w:val="16"/>
                <w:color w:val="4D5357"/>
              </w:rPr>
              <w:t>2,302</w:t>
            </w:r>
            <w:r>
              <w:rPr>
                <w:rFonts w:ascii="Arial" w:cs="Arial" w:eastAsia="Arial" w:hAnsi="Arial"/>
                <w:sz w:val="24"/>
                <w:szCs w:val="24"/>
                <w:color w:val="4D5357"/>
                <w:vertAlign w:val="superscript"/>
              </w:rPr>
              <w:t>2</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2,302</w:t>
            </w:r>
          </w:p>
        </w:tc>
      </w:tr>
      <w:tr>
        <w:trPr>
          <w:trHeight w:val="263"/>
        </w:trPr>
        <w:tc>
          <w:tcPr>
            <w:tcW w:w="344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Bradley D. Kohn</w:t>
            </w:r>
            <w:r>
              <w:rPr>
                <w:rFonts w:ascii="Arial" w:cs="Arial" w:eastAsia="Arial" w:hAnsi="Arial"/>
                <w:sz w:val="24"/>
                <w:szCs w:val="24"/>
                <w:b w:val="1"/>
                <w:bCs w:val="1"/>
                <w:color w:val="4D5357"/>
                <w:vertAlign w:val="superscript"/>
              </w:rPr>
              <w:t>4</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197</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2,354</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2,551</w:t>
            </w:r>
          </w:p>
        </w:tc>
      </w:tr>
      <w:tr>
        <w:trPr>
          <w:trHeight w:val="277"/>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John J. Koraleski</w:t>
            </w:r>
          </w:p>
        </w:tc>
        <w:tc>
          <w:tcPr>
            <w:tcW w:w="3620" w:type="dxa"/>
            <w:vAlign w:val="bottom"/>
            <w:tcBorders>
              <w:bottom w:val="single" w:sz="8" w:color="4D5357"/>
            </w:tcBorders>
          </w:tcPr>
          <w:p>
            <w:pPr>
              <w:jc w:val="right"/>
              <w:ind w:right="1279"/>
              <w:spacing w:after="0"/>
              <w:rPr>
                <w:sz w:val="20"/>
                <w:szCs w:val="20"/>
                <w:color w:val="auto"/>
              </w:rPr>
            </w:pPr>
            <w:r>
              <w:rPr>
                <w:rFonts w:ascii="Arial" w:cs="Arial" w:eastAsia="Arial" w:hAnsi="Arial"/>
                <w:sz w:val="16"/>
                <w:szCs w:val="16"/>
                <w:color w:val="4D5357"/>
              </w:rPr>
              <w:t>15,722</w:t>
            </w:r>
            <w:r>
              <w:rPr>
                <w:rFonts w:ascii="Arial" w:cs="Arial" w:eastAsia="Arial" w:hAnsi="Arial"/>
                <w:sz w:val="24"/>
                <w:szCs w:val="24"/>
                <w:color w:val="4D5357"/>
                <w:vertAlign w:val="superscript"/>
              </w:rPr>
              <w:t>2</w:t>
            </w:r>
          </w:p>
        </w:tc>
        <w:tc>
          <w:tcPr>
            <w:tcW w:w="2720" w:type="dxa"/>
            <w:vAlign w:val="bottom"/>
            <w:tcBorders>
              <w:bottom w:val="single" w:sz="8" w:color="4D5357"/>
            </w:tcBorders>
          </w:tcPr>
          <w:p>
            <w:pPr>
              <w:spacing w:after="0"/>
              <w:rPr>
                <w:sz w:val="24"/>
                <w:szCs w:val="24"/>
                <w:color w:val="auto"/>
              </w:rPr>
            </w:pP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15,722</w:t>
            </w:r>
          </w:p>
        </w:tc>
      </w:tr>
      <w:tr>
        <w:trPr>
          <w:trHeight w:val="260"/>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Martin J. Lyons, Jr.</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w:t>
            </w:r>
          </w:p>
        </w:tc>
      </w:tr>
      <w:tr>
        <w:trPr>
          <w:trHeight w:val="264"/>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Mary T. Mack</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601</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601</w:t>
            </w:r>
          </w:p>
        </w:tc>
      </w:tr>
      <w:tr>
        <w:trPr>
          <w:trHeight w:val="263"/>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A. McCunniff</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2,253</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5,265</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7,518</w:t>
            </w:r>
          </w:p>
        </w:tc>
      </w:tr>
      <w:tr>
        <w:trPr>
          <w:trHeight w:val="267"/>
        </w:trPr>
        <w:tc>
          <w:tcPr>
            <w:tcW w:w="3440" w:type="dxa"/>
            <w:vAlign w:val="bottom"/>
            <w:tcBorders>
              <w:bottom w:val="single" w:sz="8" w:color="4D5357"/>
            </w:tcBorders>
          </w:tcPr>
          <w:p>
            <w:pPr>
              <w:ind w:left="60"/>
              <w:spacing w:after="0" w:line="267" w:lineRule="exact"/>
              <w:rPr>
                <w:sz w:val="20"/>
                <w:szCs w:val="20"/>
                <w:color w:val="auto"/>
              </w:rPr>
            </w:pPr>
            <w:r>
              <w:rPr>
                <w:rFonts w:ascii="Arial" w:cs="Arial" w:eastAsia="Arial" w:hAnsi="Arial"/>
                <w:sz w:val="16"/>
                <w:szCs w:val="16"/>
                <w:b w:val="1"/>
                <w:bCs w:val="1"/>
                <w:color w:val="4D5357"/>
              </w:rPr>
              <w:t>James A. J. Nickolas</w:t>
            </w:r>
            <w:r>
              <w:rPr>
                <w:rFonts w:ascii="Arial" w:cs="Arial" w:eastAsia="Arial" w:hAnsi="Arial"/>
                <w:sz w:val="24"/>
                <w:szCs w:val="24"/>
                <w:b w:val="1"/>
                <w:bCs w:val="1"/>
                <w:color w:val="4D5357"/>
                <w:vertAlign w:val="superscript"/>
              </w:rPr>
              <w:t>5</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23,449</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w:t>
            </w:r>
          </w:p>
        </w:tc>
      </w:tr>
      <w:tr>
        <w:trPr>
          <w:trHeight w:val="260"/>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 Howard Nye</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219,235</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27,203</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246,438</w:t>
            </w:r>
          </w:p>
        </w:tc>
      </w:tr>
      <w:tr>
        <w:trPr>
          <w:trHeight w:val="267"/>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Laree E. Perez</w:t>
            </w:r>
          </w:p>
        </w:tc>
        <w:tc>
          <w:tcPr>
            <w:tcW w:w="3620" w:type="dxa"/>
            <w:vAlign w:val="bottom"/>
            <w:tcBorders>
              <w:bottom w:val="single" w:sz="8" w:color="4D5357"/>
            </w:tcBorders>
          </w:tcPr>
          <w:p>
            <w:pPr>
              <w:jc w:val="right"/>
              <w:ind w:right="1279"/>
              <w:spacing w:after="0" w:line="267" w:lineRule="exact"/>
              <w:rPr>
                <w:sz w:val="20"/>
                <w:szCs w:val="20"/>
                <w:color w:val="auto"/>
              </w:rPr>
            </w:pPr>
            <w:r>
              <w:rPr>
                <w:rFonts w:ascii="Arial" w:cs="Arial" w:eastAsia="Arial" w:hAnsi="Arial"/>
                <w:sz w:val="16"/>
                <w:szCs w:val="16"/>
                <w:color w:val="4D5357"/>
              </w:rPr>
              <w:t>15,868</w:t>
            </w:r>
            <w:r>
              <w:rPr>
                <w:rFonts w:ascii="Arial" w:cs="Arial" w:eastAsia="Arial" w:hAnsi="Arial"/>
                <w:sz w:val="24"/>
                <w:szCs w:val="24"/>
                <w:color w:val="4D5357"/>
                <w:vertAlign w:val="superscript"/>
              </w:rPr>
              <w:t>2</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15,868</w:t>
            </w:r>
          </w:p>
        </w:tc>
      </w:tr>
      <w:tr>
        <w:trPr>
          <w:trHeight w:val="260"/>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Michael J. Petro</w:t>
            </w:r>
          </w:p>
        </w:tc>
        <w:tc>
          <w:tcPr>
            <w:tcW w:w="3620" w:type="dxa"/>
            <w:vAlign w:val="bottom"/>
            <w:tcBorders>
              <w:bottom w:val="single" w:sz="8" w:color="4D5357"/>
            </w:tcBorders>
          </w:tcPr>
          <w:p>
            <w:pPr>
              <w:jc w:val="right"/>
              <w:ind w:right="1359"/>
              <w:spacing w:after="0"/>
              <w:rPr>
                <w:sz w:val="20"/>
                <w:szCs w:val="20"/>
                <w:color w:val="auto"/>
              </w:rPr>
            </w:pPr>
            <w:r>
              <w:rPr>
                <w:rFonts w:ascii="Arial" w:cs="Arial" w:eastAsia="Arial" w:hAnsi="Arial"/>
                <w:sz w:val="16"/>
                <w:szCs w:val="16"/>
                <w:color w:val="4D5357"/>
              </w:rPr>
              <w:t>6,469</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8,890</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15,359</w:t>
            </w:r>
          </w:p>
        </w:tc>
      </w:tr>
      <w:tr>
        <w:trPr>
          <w:trHeight w:val="267"/>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Thomas H. Pike</w:t>
            </w:r>
          </w:p>
        </w:tc>
        <w:tc>
          <w:tcPr>
            <w:tcW w:w="3620" w:type="dxa"/>
            <w:vAlign w:val="bottom"/>
            <w:tcBorders>
              <w:bottom w:val="single" w:sz="8" w:color="4D5357"/>
            </w:tcBorders>
          </w:tcPr>
          <w:p>
            <w:pPr>
              <w:jc w:val="right"/>
              <w:ind w:right="1279"/>
              <w:spacing w:after="0" w:line="267" w:lineRule="exact"/>
              <w:rPr>
                <w:sz w:val="20"/>
                <w:szCs w:val="20"/>
                <w:color w:val="auto"/>
              </w:rPr>
            </w:pPr>
            <w:r>
              <w:rPr>
                <w:rFonts w:ascii="Arial" w:cs="Arial" w:eastAsia="Arial" w:hAnsi="Arial"/>
                <w:sz w:val="16"/>
                <w:szCs w:val="16"/>
                <w:color w:val="4D5357"/>
              </w:rPr>
              <w:t>4,591</w:t>
            </w:r>
            <w:r>
              <w:rPr>
                <w:rFonts w:ascii="Arial" w:cs="Arial" w:eastAsia="Arial" w:hAnsi="Arial"/>
                <w:sz w:val="24"/>
                <w:szCs w:val="24"/>
                <w:color w:val="4D5357"/>
                <w:vertAlign w:val="superscript"/>
              </w:rPr>
              <w:t>2</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4,591</w:t>
            </w:r>
          </w:p>
        </w:tc>
      </w:tr>
      <w:tr>
        <w:trPr>
          <w:trHeight w:val="264"/>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W. Slager</w:t>
            </w:r>
          </w:p>
        </w:tc>
        <w:tc>
          <w:tcPr>
            <w:tcW w:w="3620" w:type="dxa"/>
            <w:vAlign w:val="bottom"/>
            <w:tcBorders>
              <w:bottom w:val="single" w:sz="8" w:color="4D5357"/>
            </w:tcBorders>
          </w:tcPr>
          <w:p>
            <w:pPr>
              <w:jc w:val="right"/>
              <w:ind w:right="1279"/>
              <w:spacing w:after="0" w:line="264" w:lineRule="exact"/>
              <w:rPr>
                <w:sz w:val="20"/>
                <w:szCs w:val="20"/>
                <w:color w:val="auto"/>
              </w:rPr>
            </w:pPr>
            <w:r>
              <w:rPr>
                <w:rFonts w:ascii="Arial" w:cs="Arial" w:eastAsia="Arial" w:hAnsi="Arial"/>
                <w:sz w:val="16"/>
                <w:szCs w:val="16"/>
                <w:color w:val="4D5357"/>
              </w:rPr>
              <w:t>4,751</w:t>
            </w:r>
            <w:r>
              <w:rPr>
                <w:rFonts w:ascii="Arial" w:cs="Arial" w:eastAsia="Arial" w:hAnsi="Arial"/>
                <w:sz w:val="24"/>
                <w:szCs w:val="24"/>
                <w:color w:val="4D5357"/>
                <w:vertAlign w:val="superscript"/>
              </w:rPr>
              <w:t>2</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4,751</w:t>
            </w:r>
          </w:p>
        </w:tc>
      </w:tr>
      <w:tr>
        <w:trPr>
          <w:trHeight w:val="263"/>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David C. Wajsgras</w:t>
            </w:r>
          </w:p>
        </w:tc>
        <w:tc>
          <w:tcPr>
            <w:tcW w:w="3620" w:type="dxa"/>
            <w:vAlign w:val="bottom"/>
            <w:tcBorders>
              <w:bottom w:val="single" w:sz="8" w:color="4D5357"/>
            </w:tcBorders>
          </w:tcPr>
          <w:p>
            <w:pPr>
              <w:jc w:val="right"/>
              <w:ind w:right="1279"/>
              <w:spacing w:after="0" w:line="264" w:lineRule="exact"/>
              <w:rPr>
                <w:sz w:val="20"/>
                <w:szCs w:val="20"/>
                <w:color w:val="auto"/>
              </w:rPr>
            </w:pPr>
            <w:r>
              <w:rPr>
                <w:rFonts w:ascii="Arial" w:cs="Arial" w:eastAsia="Arial" w:hAnsi="Arial"/>
                <w:sz w:val="16"/>
                <w:szCs w:val="16"/>
                <w:color w:val="4D5357"/>
              </w:rPr>
              <w:t>4,646</w:t>
            </w:r>
            <w:r>
              <w:rPr>
                <w:rFonts w:ascii="Arial" w:cs="Arial" w:eastAsia="Arial" w:hAnsi="Arial"/>
                <w:sz w:val="24"/>
                <w:szCs w:val="24"/>
                <w:color w:val="4D5357"/>
                <w:vertAlign w:val="superscript"/>
              </w:rPr>
              <w:t>2</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4,646</w:t>
            </w:r>
          </w:p>
        </w:tc>
      </w:tr>
      <w:tr>
        <w:trPr>
          <w:trHeight w:val="222"/>
        </w:trPr>
        <w:tc>
          <w:tcPr>
            <w:tcW w:w="3440" w:type="dxa"/>
            <w:vAlign w:val="bottom"/>
          </w:tcPr>
          <w:p>
            <w:pPr>
              <w:ind w:left="60"/>
              <w:spacing w:after="0"/>
              <w:rPr>
                <w:sz w:val="20"/>
                <w:szCs w:val="20"/>
                <w:color w:val="auto"/>
              </w:rPr>
            </w:pPr>
            <w:r>
              <w:rPr>
                <w:rFonts w:ascii="Arial" w:cs="Arial" w:eastAsia="Arial" w:hAnsi="Arial"/>
                <w:sz w:val="16"/>
                <w:szCs w:val="16"/>
                <w:b w:val="1"/>
                <w:bCs w:val="1"/>
                <w:color w:val="4D5357"/>
              </w:rPr>
              <w:t>All current Directors and executive</w:t>
            </w:r>
          </w:p>
        </w:tc>
        <w:tc>
          <w:tcPr>
            <w:tcW w:w="3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9"/>
        </w:trPr>
        <w:tc>
          <w:tcPr>
            <w:tcW w:w="3440" w:type="dxa"/>
            <w:vAlign w:val="bottom"/>
          </w:tcPr>
          <w:p>
            <w:pPr>
              <w:ind w:left="60"/>
              <w:spacing w:after="0"/>
              <w:rPr>
                <w:sz w:val="20"/>
                <w:szCs w:val="20"/>
                <w:color w:val="auto"/>
              </w:rPr>
            </w:pPr>
            <w:r>
              <w:rPr>
                <w:rFonts w:ascii="Arial" w:cs="Arial" w:eastAsia="Arial" w:hAnsi="Arial"/>
                <w:sz w:val="16"/>
                <w:szCs w:val="16"/>
                <w:b w:val="1"/>
                <w:bCs w:val="1"/>
                <w:color w:val="4D5357"/>
              </w:rPr>
              <w:t>officers as a group</w:t>
            </w:r>
          </w:p>
        </w:tc>
        <w:tc>
          <w:tcPr>
            <w:tcW w:w="36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3440" w:type="dxa"/>
            <w:vAlign w:val="bottom"/>
          </w:tcPr>
          <w:p>
            <w:pPr>
              <w:ind w:left="60"/>
              <w:spacing w:after="0"/>
              <w:rPr>
                <w:sz w:val="20"/>
                <w:szCs w:val="20"/>
                <w:color w:val="auto"/>
              </w:rPr>
            </w:pPr>
            <w:r>
              <w:rPr>
                <w:rFonts w:ascii="Arial" w:cs="Arial" w:eastAsia="Arial" w:hAnsi="Arial"/>
                <w:sz w:val="16"/>
                <w:szCs w:val="16"/>
                <w:color w:val="4D5357"/>
              </w:rPr>
              <w:t>(17 individuals including those named</w:t>
            </w:r>
          </w:p>
        </w:tc>
        <w:tc>
          <w:tcPr>
            <w:tcW w:w="36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4"/>
        </w:trPr>
        <w:tc>
          <w:tcPr>
            <w:tcW w:w="344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4D5357"/>
              </w:rPr>
              <w:t>above)</w:t>
            </w:r>
          </w:p>
        </w:tc>
        <w:tc>
          <w:tcPr>
            <w:tcW w:w="3620" w:type="dxa"/>
            <w:vAlign w:val="bottom"/>
            <w:tcBorders>
              <w:bottom w:val="single" w:sz="8" w:color="4D5357"/>
            </w:tcBorders>
          </w:tcPr>
          <w:p>
            <w:pPr>
              <w:jc w:val="right"/>
              <w:ind w:right="1279"/>
              <w:spacing w:after="0" w:line="243" w:lineRule="exact"/>
              <w:rPr>
                <w:sz w:val="20"/>
                <w:szCs w:val="20"/>
                <w:color w:val="auto"/>
              </w:rPr>
            </w:pPr>
            <w:r>
              <w:rPr>
                <w:rFonts w:ascii="Arial" w:cs="Arial" w:eastAsia="Arial" w:hAnsi="Arial"/>
                <w:sz w:val="16"/>
                <w:szCs w:val="16"/>
                <w:color w:val="4D5357"/>
              </w:rPr>
              <w:t>319,780</w:t>
            </w:r>
            <w:r>
              <w:rPr>
                <w:rFonts w:ascii="Arial" w:cs="Arial" w:eastAsia="Arial" w:hAnsi="Arial"/>
                <w:sz w:val="24"/>
                <w:szCs w:val="24"/>
                <w:color w:val="4D5357"/>
                <w:vertAlign w:val="superscript"/>
              </w:rPr>
              <w:t>3</w:t>
            </w:r>
          </w:p>
        </w:tc>
        <w:tc>
          <w:tcPr>
            <w:tcW w:w="2720" w:type="dxa"/>
            <w:vAlign w:val="bottom"/>
            <w:tcBorders>
              <w:bottom w:val="single" w:sz="8" w:color="4D5357"/>
            </w:tcBorders>
          </w:tcPr>
          <w:p>
            <w:pPr>
              <w:jc w:val="right"/>
              <w:ind w:right="959"/>
              <w:spacing w:after="0"/>
              <w:rPr>
                <w:sz w:val="20"/>
                <w:szCs w:val="20"/>
                <w:color w:val="auto"/>
              </w:rPr>
            </w:pPr>
            <w:r>
              <w:rPr>
                <w:rFonts w:ascii="Arial" w:cs="Arial" w:eastAsia="Arial" w:hAnsi="Arial"/>
                <w:sz w:val="16"/>
                <w:szCs w:val="16"/>
                <w:color w:val="4D5357"/>
              </w:rPr>
              <w:t>73,787</w:t>
            </w:r>
          </w:p>
        </w:tc>
        <w:tc>
          <w:tcPr>
            <w:tcW w:w="124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393,567</w:t>
            </w:r>
          </w:p>
        </w:tc>
      </w:tr>
    </w:tbl>
    <w:p>
      <w:pPr>
        <w:spacing w:after="0" w:line="198" w:lineRule="exact"/>
        <w:rPr>
          <w:sz w:val="20"/>
          <w:szCs w:val="20"/>
          <w:color w:val="auto"/>
        </w:rPr>
      </w:pPr>
    </w:p>
    <w:p>
      <w:pPr>
        <w:ind w:left="224" w:right="40" w:hanging="224"/>
        <w:spacing w:after="0" w:line="233" w:lineRule="auto"/>
        <w:tabs>
          <w:tab w:leader="none" w:pos="224" w:val="left"/>
        </w:tabs>
        <w:numPr>
          <w:ilvl w:val="0"/>
          <w:numId w:val="43"/>
        </w:numPr>
        <w:rPr>
          <w:rFonts w:ascii="Arial" w:cs="Arial" w:eastAsia="Arial" w:hAnsi="Arial"/>
          <w:sz w:val="13"/>
          <w:szCs w:val="13"/>
          <w:color w:val="333333"/>
        </w:rPr>
      </w:pPr>
      <w:r>
        <w:rPr>
          <w:rFonts w:ascii="Arial" w:cs="Arial" w:eastAsia="Arial" w:hAnsi="Arial"/>
          <w:sz w:val="13"/>
          <w:szCs w:val="13"/>
          <w:color w:val="333333"/>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0.65% of the shares of common stock outstanding as of March 6, 2026. None of the shares reported are pledged as security.</w:t>
      </w:r>
    </w:p>
    <w:p>
      <w:pPr>
        <w:spacing w:after="0" w:line="37" w:lineRule="exact"/>
        <w:rPr>
          <w:sz w:val="20"/>
          <w:szCs w:val="20"/>
          <w:color w:val="auto"/>
        </w:rPr>
      </w:pPr>
    </w:p>
    <w:p>
      <w:pPr>
        <w:jc w:val="both"/>
        <w:ind w:left="224" w:right="40" w:hanging="224"/>
        <w:spacing w:after="0" w:line="229" w:lineRule="auto"/>
        <w:tabs>
          <w:tab w:leader="none" w:pos="224" w:val="left"/>
        </w:tabs>
        <w:numPr>
          <w:ilvl w:val="0"/>
          <w:numId w:val="44"/>
        </w:numPr>
        <w:rPr>
          <w:rFonts w:ascii="Arial" w:cs="Arial" w:eastAsia="Arial" w:hAnsi="Arial"/>
          <w:sz w:val="13"/>
          <w:szCs w:val="13"/>
          <w:color w:val="333333"/>
        </w:rPr>
      </w:pPr>
      <w:r>
        <w:rPr>
          <w:rFonts w:ascii="Arial" w:cs="Arial" w:eastAsia="Arial" w:hAnsi="Arial"/>
          <w:sz w:val="13"/>
          <w:szCs w:val="13"/>
          <w:color w:val="333333"/>
        </w:rPr>
        <w:t>Amounts reported include (1) compensation paid on an annual basis that Directors have received in common stock units that are deferred pursuant to the Amended and Restated Martin Marietta Materials, Inc. Common Stock Purchase Plan for Directors and (2) RSUs that each Director received in 2025 as part of their compensation. The Directors do not have voting or investment power for their respective common stock units and RSUs. The number of common stock units credited to each of the Directors pursuant to the Common Stock Purchase Plan as of March 6, 2026 is as follows: Ms. Ables, 0; Ms. Cole, 13,867; Mr. Foxx, 0; Mr. Koraleski, 4,110; Ms. Mack 0; Ms. Perez, 5,258; Mr. Pike, 1,449; Mr. Slager, 0; and Mr. Wajsgras, 2,082.</w:t>
      </w:r>
    </w:p>
    <w:p>
      <w:pPr>
        <w:spacing w:after="0" w:line="37" w:lineRule="exact"/>
        <w:rPr>
          <w:sz w:val="20"/>
          <w:szCs w:val="20"/>
          <w:color w:val="auto"/>
        </w:rPr>
      </w:pPr>
    </w:p>
    <w:p>
      <w:pPr>
        <w:ind w:left="224" w:hanging="224"/>
        <w:spacing w:after="0"/>
        <w:tabs>
          <w:tab w:leader="none" w:pos="224" w:val="left"/>
        </w:tabs>
        <w:numPr>
          <w:ilvl w:val="0"/>
          <w:numId w:val="45"/>
        </w:numPr>
        <w:rPr>
          <w:rFonts w:ascii="Arial" w:cs="Arial" w:eastAsia="Arial" w:hAnsi="Arial"/>
          <w:sz w:val="13"/>
          <w:szCs w:val="13"/>
          <w:color w:val="333333"/>
        </w:rPr>
      </w:pPr>
      <w:r>
        <w:rPr>
          <w:rFonts w:ascii="Arial" w:cs="Arial" w:eastAsia="Arial" w:hAnsi="Arial"/>
          <w:sz w:val="13"/>
          <w:szCs w:val="13"/>
          <w:color w:val="333333"/>
        </w:rPr>
        <w:t>Includes an approximation of the number of shares in an IRA account.</w:t>
      </w:r>
    </w:p>
    <w:p>
      <w:pPr>
        <w:spacing w:after="0" w:line="53" w:lineRule="exact"/>
        <w:rPr>
          <w:sz w:val="20"/>
          <w:szCs w:val="20"/>
          <w:color w:val="auto"/>
        </w:rPr>
      </w:pPr>
    </w:p>
    <w:p>
      <w:pPr>
        <w:ind w:left="224" w:hanging="224"/>
        <w:spacing w:after="0"/>
        <w:tabs>
          <w:tab w:leader="none" w:pos="224" w:val="left"/>
        </w:tabs>
        <w:numPr>
          <w:ilvl w:val="0"/>
          <w:numId w:val="46"/>
        </w:numPr>
        <w:rPr>
          <w:rFonts w:ascii="Arial" w:cs="Arial" w:eastAsia="Arial" w:hAnsi="Arial"/>
          <w:sz w:val="12"/>
          <w:szCs w:val="12"/>
          <w:color w:val="333333"/>
        </w:rPr>
      </w:pPr>
      <w:r>
        <w:rPr>
          <w:rFonts w:ascii="Arial" w:cs="Arial" w:eastAsia="Arial" w:hAnsi="Arial"/>
          <w:sz w:val="12"/>
          <w:szCs w:val="12"/>
          <w:color w:val="333333"/>
        </w:rPr>
        <w:t>The amounts reported reflect ownership as of February 28, 2026, the date of Mr. Kohn’s departure, and includes restricted stock awards that vested and were distributed before March 6, 2026.</w:t>
      </w:r>
    </w:p>
    <w:p>
      <w:pPr>
        <w:spacing w:after="0" w:line="64" w:lineRule="exact"/>
        <w:rPr>
          <w:rFonts w:ascii="Arial" w:cs="Arial" w:eastAsia="Arial" w:hAnsi="Arial"/>
          <w:sz w:val="12"/>
          <w:szCs w:val="12"/>
          <w:color w:val="333333"/>
        </w:rPr>
      </w:pPr>
    </w:p>
    <w:p>
      <w:pPr>
        <w:ind w:left="4"/>
        <w:spacing w:after="0"/>
        <w:rPr>
          <w:rFonts w:ascii="Arial" w:cs="Arial" w:eastAsia="Arial" w:hAnsi="Arial"/>
          <w:sz w:val="12"/>
          <w:szCs w:val="12"/>
          <w:color w:val="333333"/>
        </w:rPr>
      </w:pPr>
      <w:r>
        <w:rPr>
          <w:rFonts w:ascii="Arial" w:cs="Arial" w:eastAsia="Arial" w:hAnsi="Arial"/>
          <w:sz w:val="13"/>
          <w:szCs w:val="13"/>
          <w:color w:val="333333"/>
        </w:rPr>
        <w:t>5  The amounts reported reflect ownership as of April 11, 2025, the date of departure for Mr. Nickolas.</w:t>
      </w:r>
    </w:p>
    <w:p>
      <w:pPr>
        <w:spacing w:after="0" w:line="53" w:lineRule="exact"/>
        <w:rPr>
          <w:sz w:val="20"/>
          <w:szCs w:val="20"/>
          <w:color w:val="auto"/>
        </w:rPr>
      </w:pPr>
    </w:p>
    <w:p>
      <w:pPr>
        <w:ind w:left="224" w:right="20" w:hanging="224"/>
        <w:spacing w:after="0" w:line="225" w:lineRule="auto"/>
        <w:tabs>
          <w:tab w:leader="none" w:pos="224" w:val="left"/>
        </w:tabs>
        <w:numPr>
          <w:ilvl w:val="0"/>
          <w:numId w:val="47"/>
        </w:numPr>
        <w:rPr>
          <w:rFonts w:ascii="Arial" w:cs="Arial" w:eastAsia="Arial" w:hAnsi="Arial"/>
          <w:sz w:val="13"/>
          <w:szCs w:val="13"/>
          <w:color w:val="333333"/>
        </w:rPr>
      </w:pPr>
      <w:r>
        <w:rPr>
          <w:rFonts w:ascii="Arial" w:cs="Arial" w:eastAsia="Arial" w:hAnsi="Arial"/>
          <w:sz w:val="13"/>
          <w:szCs w:val="13"/>
          <w:color w:val="333333"/>
        </w:rPr>
        <w:t>The amounts reported include common stock units credited to each of the NEOs in connection with (i) their deferral of a portion of their cash bonus under the Martin Marietta Materials, Inc. Incentive Stock Plan, and (ii) RSUs (not including any performance-based share units (PSUs) granted under the Martin Marietta Amended and Restated Stock-Based Award Plan that are subject to forfeiture in accordance with the terms of the Stock-Based Award Plan and are scheduled to vest within 60 days of March 6, 2026), each in the following amounts: Mr. Nye, 7,714 and 19,489, respectively; Mr. Cardin, 0 and 4,315, respectively; Mr. Flynn, 1,827 and 2,614, respectively; Mr. Kohn, 0 and 2,354, respectively; Mr. McCunniff, 0 and 5,265, respectively; Mr. Nickolas, 0 and 0, respectively; Mr. Petro, 0 and 8,890, respectively; and all Directors and executive officers as a group, 9,541 and 64,246, respectively. There are no voting rights associated with the stock units or RSUs.</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28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36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44" w:space="120"/>
            <w:col w:w="620" w:space="120"/>
            <w:col w:w="8620" w:space="720"/>
            <w:col w:w="780"/>
          </w:cols>
          <w:pgMar w:left="436" w:top="285" w:right="439" w:bottom="1440" w:gutter="0" w:footer="0" w:header="0"/>
          <w:type w:val="continuous"/>
        </w:sectPr>
      </w:pPr>
    </w:p>
    <w:bookmarkStart w:id="42" w:name="page43"/>
    <w:bookmarkEnd w:id="42"/>
    <w:tbl>
      <w:tblPr>
        <w:tblLayout w:type="fixed"/>
        <w:tblInd w:w="8824" w:type="dxa"/>
        <w:tblCellMar>
          <w:top w:w="0" w:type="dxa"/>
          <w:left w:w="0" w:type="dxa"/>
          <w:bottom w:w="0" w:type="dxa"/>
          <w:right w:w="0" w:type="dxa"/>
        </w:tblCellMar>
      </w:tblPr>
      <w:tr>
        <w:trPr>
          <w:trHeight w:val="531"/>
        </w:trPr>
        <w:tc>
          <w:tcPr>
            <w:tcW w:w="340" w:type="dxa"/>
            <w:vAlign w:val="bottom"/>
            <w:shd w:val="clear" w:color="auto" w:fill="4D5357"/>
          </w:tcPr>
          <w:p>
            <w:pPr>
              <w:ind w:left="240"/>
              <w:spacing w:after="0"/>
              <w:rPr>
                <w:sz w:val="20"/>
                <w:szCs w:val="20"/>
                <w:color w:val="auto"/>
              </w:rPr>
            </w:pPr>
            <w:r>
              <w:rPr>
                <w:rFonts w:ascii="Arial" w:cs="Arial" w:eastAsia="Arial" w:hAnsi="Arial"/>
                <w:sz w:val="11"/>
                <w:szCs w:val="11"/>
                <w:b w:val="1"/>
                <w:bCs w:val="1"/>
                <w:color w:val="FFFFFF"/>
                <w:w w:val="72"/>
              </w:rPr>
              <w:t> </w:t>
            </w:r>
          </w:p>
        </w:tc>
        <w:tc>
          <w:tcPr>
            <w:tcW w:w="140" w:type="dxa"/>
            <w:vAlign w:val="bottom"/>
            <w:shd w:val="clear" w:color="auto" w:fill="4D5357"/>
          </w:tcPr>
          <w:p>
            <w:pPr>
              <w:ind w:left="40"/>
              <w:spacing w:after="0"/>
              <w:rPr>
                <w:sz w:val="20"/>
                <w:szCs w:val="20"/>
                <w:color w:val="auto"/>
              </w:rPr>
            </w:pPr>
            <w:r>
              <w:rPr>
                <w:rFonts w:ascii="Arial" w:cs="Arial" w:eastAsia="Arial" w:hAnsi="Arial"/>
                <w:sz w:val="11"/>
                <w:szCs w:val="11"/>
                <w:b w:val="1"/>
                <w:bCs w:val="1"/>
                <w:color w:val="FFFFFF"/>
                <w:w w:val="72"/>
              </w:rPr>
              <w:t> </w:t>
            </w:r>
          </w:p>
        </w:tc>
        <w:tc>
          <w:tcPr>
            <w:tcW w:w="136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4"/>
              </w:rPr>
              <w:t>Beneficial Owners </w:t>
            </w:r>
          </w:p>
        </w:tc>
        <w:tc>
          <w:tcPr>
            <w:tcW w:w="36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96"/>
        </w:trPr>
        <w:tc>
          <w:tcPr>
            <w:tcW w:w="340" w:type="dxa"/>
            <w:vAlign w:val="bottom"/>
            <w:shd w:val="clear" w:color="auto" w:fill="4D5357"/>
          </w:tcPr>
          <w:p>
            <w:pPr>
              <w:ind w:left="280"/>
              <w:spacing w:after="0"/>
              <w:rPr>
                <w:sz w:val="20"/>
                <w:szCs w:val="20"/>
                <w:color w:val="auto"/>
              </w:rPr>
            </w:pPr>
            <w:r>
              <w:rPr>
                <w:rFonts w:ascii="Arial" w:cs="Arial" w:eastAsia="Arial" w:hAnsi="Arial"/>
                <w:sz w:val="5"/>
                <w:szCs w:val="5"/>
                <w:b w:val="1"/>
                <w:bCs w:val="1"/>
                <w:color w:val="FFFFFF"/>
                <w:w w:val="79"/>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136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5"/>
              </w:rPr>
              <w:t>and Management </w:t>
            </w:r>
          </w:p>
        </w:tc>
        <w:tc>
          <w:tcPr>
            <w:tcW w:w="36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w:t>
            </w:r>
          </w:p>
        </w:tc>
      </w:tr>
      <w:tr>
        <w:trPr>
          <w:trHeight w:val="110"/>
        </w:trPr>
        <w:tc>
          <w:tcPr>
            <w:tcW w:w="340" w:type="dxa"/>
            <w:vAlign w:val="bottom"/>
            <w:shd w:val="clear" w:color="auto" w:fill="4D5357"/>
          </w:tcPr>
          <w:p>
            <w:pPr>
              <w:spacing w:after="0"/>
              <w:rPr>
                <w:sz w:val="9"/>
                <w:szCs w:val="9"/>
                <w:color w:val="auto"/>
              </w:rPr>
            </w:pPr>
          </w:p>
        </w:tc>
        <w:tc>
          <w:tcPr>
            <w:tcW w:w="140" w:type="dxa"/>
            <w:vAlign w:val="bottom"/>
            <w:shd w:val="clear" w:color="auto" w:fill="4D5357"/>
          </w:tcPr>
          <w:p>
            <w:pPr>
              <w:spacing w:after="0"/>
              <w:rPr>
                <w:sz w:val="9"/>
                <w:szCs w:val="9"/>
                <w:color w:val="auto"/>
              </w:rPr>
            </w:pPr>
          </w:p>
        </w:tc>
        <w:tc>
          <w:tcPr>
            <w:tcW w:w="1360" w:type="dxa"/>
            <w:vAlign w:val="bottom"/>
            <w:shd w:val="clear" w:color="auto" w:fill="4D5357"/>
          </w:tcPr>
          <w:p>
            <w:pPr>
              <w:spacing w:after="0"/>
              <w:rPr>
                <w:sz w:val="9"/>
                <w:szCs w:val="9"/>
                <w:color w:val="auto"/>
              </w:rPr>
            </w:pPr>
          </w:p>
        </w:tc>
        <w:tc>
          <w:tcPr>
            <w:tcW w:w="360" w:type="dxa"/>
            <w:vAlign w:val="bottom"/>
            <w:shd w:val="clear" w:color="auto" w:fill="4D5357"/>
          </w:tcPr>
          <w:p>
            <w:pPr>
              <w:spacing w:after="0"/>
              <w:rPr>
                <w:sz w:val="9"/>
                <w:szCs w:val="9"/>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333333"/>
        </w:rPr>
        <w:t>Who are the largest owners of Martin Marietta’s stock?</w:t>
      </w:r>
    </w:p>
    <w:p>
      <w:pPr>
        <w:spacing w:after="0" w:line="54"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333333"/>
        </w:rPr>
        <w:t>The following table sets forth information, based on filings with the Securities and Exchange Commission, with respect to the shares of common stock which are held by persons known to Martin Marietta to be the beneficial owners of more than 5% of such stock as of March 6, 2026. To the best of Martin Marietta’s knowledge, no person beneficially owned more than 5% of any class of Martin Marietta’s outstanding voting securities at the close of business on March 6, 2026, except for those shown below.</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780" w:type="dxa"/>
            <w:vAlign w:val="bottom"/>
          </w:tcPr>
          <w:p>
            <w:pPr>
              <w:jc w:val="right"/>
              <w:ind w:right="159"/>
              <w:spacing w:after="0"/>
              <w:rPr>
                <w:sz w:val="20"/>
                <w:szCs w:val="20"/>
                <w:color w:val="auto"/>
              </w:rPr>
            </w:pPr>
            <w:r>
              <w:rPr>
                <w:rFonts w:ascii="Arial" w:cs="Arial" w:eastAsia="Arial" w:hAnsi="Arial"/>
                <w:sz w:val="16"/>
                <w:szCs w:val="16"/>
                <w:b w:val="1"/>
                <w:bCs w:val="1"/>
                <w:color w:val="0086CC"/>
              </w:rPr>
              <w:t>AMOUNT AND NATURE OF</w:t>
            </w:r>
          </w:p>
        </w:tc>
        <w:tc>
          <w:tcPr>
            <w:tcW w:w="2040" w:type="dxa"/>
            <w:vAlign w:val="bottom"/>
          </w:tcPr>
          <w:p>
            <w:pPr>
              <w:spacing w:after="0"/>
              <w:rPr>
                <w:sz w:val="16"/>
                <w:szCs w:val="16"/>
                <w:color w:val="auto"/>
              </w:rPr>
            </w:pPr>
          </w:p>
        </w:tc>
      </w:tr>
      <w:tr>
        <w:trPr>
          <w:trHeight w:val="230"/>
        </w:trPr>
        <w:tc>
          <w:tcPr>
            <w:tcW w:w="52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NAME AND ADDRESS OF BENEFICIAL OWNER</w:t>
            </w:r>
          </w:p>
        </w:tc>
        <w:tc>
          <w:tcPr>
            <w:tcW w:w="3780" w:type="dxa"/>
            <w:vAlign w:val="bottom"/>
            <w:tcBorders>
              <w:bottom w:val="single" w:sz="8" w:color="0086CC"/>
            </w:tcBorders>
          </w:tcPr>
          <w:p>
            <w:pPr>
              <w:jc w:val="right"/>
              <w:ind w:right="119"/>
              <w:spacing w:after="0" w:line="230" w:lineRule="exact"/>
              <w:rPr>
                <w:sz w:val="20"/>
                <w:szCs w:val="20"/>
                <w:color w:val="auto"/>
              </w:rPr>
            </w:pPr>
            <w:r>
              <w:rPr>
                <w:rFonts w:ascii="Arial" w:cs="Arial" w:eastAsia="Arial" w:hAnsi="Arial"/>
                <w:sz w:val="16"/>
                <w:szCs w:val="16"/>
                <w:b w:val="1"/>
                <w:bCs w:val="1"/>
                <w:color w:val="0086CC"/>
              </w:rPr>
              <w:t>BENEFICIAL OWNERSHIP</w:t>
            </w:r>
            <w:r>
              <w:rPr>
                <w:rFonts w:ascii="Arial" w:cs="Arial" w:eastAsia="Arial" w:hAnsi="Arial"/>
                <w:sz w:val="24"/>
                <w:szCs w:val="24"/>
                <w:b w:val="1"/>
                <w:bCs w:val="1"/>
                <w:color w:val="0086CC"/>
                <w:vertAlign w:val="superscript"/>
              </w:rPr>
              <w:t>1</w:t>
            </w:r>
          </w:p>
        </w:tc>
        <w:tc>
          <w:tcPr>
            <w:tcW w:w="2040" w:type="dxa"/>
            <w:vAlign w:val="bottom"/>
            <w:tcBorders>
              <w:bottom w:val="single" w:sz="8" w:color="0086CC"/>
            </w:tcBorders>
          </w:tcPr>
          <w:p>
            <w:pPr>
              <w:jc w:val="right"/>
              <w:ind w:right="139"/>
              <w:spacing w:after="0"/>
              <w:rPr>
                <w:sz w:val="20"/>
                <w:szCs w:val="20"/>
                <w:color w:val="auto"/>
              </w:rPr>
            </w:pPr>
            <w:r>
              <w:rPr>
                <w:rFonts w:ascii="Arial" w:cs="Arial" w:eastAsia="Arial" w:hAnsi="Arial"/>
                <w:sz w:val="16"/>
                <w:szCs w:val="16"/>
                <w:b w:val="1"/>
                <w:bCs w:val="1"/>
                <w:color w:val="0086CC"/>
              </w:rPr>
              <w:t>PERCENT OF CLASS</w:t>
            </w:r>
          </w:p>
        </w:tc>
      </w:tr>
      <w:tr>
        <w:trPr>
          <w:trHeight w:val="263"/>
        </w:trPr>
        <w:tc>
          <w:tcPr>
            <w:tcW w:w="520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The Vanguard Group, Inc.</w:t>
            </w:r>
            <w:r>
              <w:rPr>
                <w:rFonts w:ascii="Arial" w:cs="Arial" w:eastAsia="Arial" w:hAnsi="Arial"/>
                <w:sz w:val="24"/>
                <w:szCs w:val="24"/>
                <w:b w:val="1"/>
                <w:bCs w:val="1"/>
                <w:color w:val="4D5357"/>
                <w:vertAlign w:val="superscript"/>
              </w:rPr>
              <w:t>2</w:t>
            </w:r>
          </w:p>
        </w:tc>
        <w:tc>
          <w:tcPr>
            <w:tcW w:w="3780" w:type="dxa"/>
            <w:vAlign w:val="bottom"/>
            <w:tcBorders>
              <w:bottom w:val="single" w:sz="8" w:color="4D5357"/>
            </w:tcBorders>
          </w:tcPr>
          <w:p>
            <w:pPr>
              <w:jc w:val="right"/>
              <w:ind w:right="659"/>
              <w:spacing w:after="0"/>
              <w:rPr>
                <w:sz w:val="20"/>
                <w:szCs w:val="20"/>
                <w:color w:val="auto"/>
              </w:rPr>
            </w:pPr>
            <w:r>
              <w:rPr>
                <w:rFonts w:ascii="Arial" w:cs="Arial" w:eastAsia="Arial" w:hAnsi="Arial"/>
                <w:sz w:val="16"/>
                <w:szCs w:val="16"/>
                <w:color w:val="4D5357"/>
              </w:rPr>
              <w:t>7,168,589</w:t>
            </w:r>
          </w:p>
        </w:tc>
        <w:tc>
          <w:tcPr>
            <w:tcW w:w="2040" w:type="dxa"/>
            <w:vAlign w:val="bottom"/>
            <w:tcBorders>
              <w:bottom w:val="single" w:sz="8" w:color="4D5357"/>
            </w:tcBorders>
          </w:tcPr>
          <w:p>
            <w:pPr>
              <w:jc w:val="right"/>
              <w:ind w:right="599"/>
              <w:spacing w:after="0"/>
              <w:rPr>
                <w:sz w:val="20"/>
                <w:szCs w:val="20"/>
                <w:color w:val="auto"/>
              </w:rPr>
            </w:pPr>
            <w:r>
              <w:rPr>
                <w:rFonts w:ascii="Arial" w:cs="Arial" w:eastAsia="Arial" w:hAnsi="Arial"/>
                <w:sz w:val="16"/>
                <w:szCs w:val="16"/>
                <w:color w:val="4D5357"/>
              </w:rPr>
              <w:t>11.9%</w:t>
            </w:r>
          </w:p>
        </w:tc>
      </w:tr>
      <w:tr>
        <w:trPr>
          <w:trHeight w:val="263"/>
        </w:trPr>
        <w:tc>
          <w:tcPr>
            <w:tcW w:w="520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BlackRock, Inc.</w:t>
            </w:r>
            <w:r>
              <w:rPr>
                <w:rFonts w:ascii="Arial" w:cs="Arial" w:eastAsia="Arial" w:hAnsi="Arial"/>
                <w:sz w:val="24"/>
                <w:szCs w:val="24"/>
                <w:b w:val="1"/>
                <w:bCs w:val="1"/>
                <w:color w:val="4D5357"/>
                <w:vertAlign w:val="superscript"/>
              </w:rPr>
              <w:t>3</w:t>
            </w:r>
          </w:p>
        </w:tc>
        <w:tc>
          <w:tcPr>
            <w:tcW w:w="3780" w:type="dxa"/>
            <w:vAlign w:val="bottom"/>
            <w:tcBorders>
              <w:bottom w:val="single" w:sz="8" w:color="4D5357"/>
            </w:tcBorders>
          </w:tcPr>
          <w:p>
            <w:pPr>
              <w:jc w:val="right"/>
              <w:ind w:right="659"/>
              <w:spacing w:after="0"/>
              <w:rPr>
                <w:sz w:val="20"/>
                <w:szCs w:val="20"/>
                <w:color w:val="auto"/>
              </w:rPr>
            </w:pPr>
            <w:r>
              <w:rPr>
                <w:rFonts w:ascii="Arial" w:cs="Arial" w:eastAsia="Arial" w:hAnsi="Arial"/>
                <w:sz w:val="16"/>
                <w:szCs w:val="16"/>
                <w:color w:val="4D5357"/>
              </w:rPr>
              <w:t>4,113,718</w:t>
            </w:r>
          </w:p>
        </w:tc>
        <w:tc>
          <w:tcPr>
            <w:tcW w:w="2040" w:type="dxa"/>
            <w:vAlign w:val="bottom"/>
            <w:tcBorders>
              <w:bottom w:val="single" w:sz="8" w:color="4D5357"/>
            </w:tcBorders>
          </w:tcPr>
          <w:p>
            <w:pPr>
              <w:jc w:val="right"/>
              <w:ind w:right="599"/>
              <w:spacing w:after="0"/>
              <w:rPr>
                <w:sz w:val="20"/>
                <w:szCs w:val="20"/>
                <w:color w:val="auto"/>
              </w:rPr>
            </w:pPr>
            <w:r>
              <w:rPr>
                <w:rFonts w:ascii="Arial" w:cs="Arial" w:eastAsia="Arial" w:hAnsi="Arial"/>
                <w:sz w:val="16"/>
                <w:szCs w:val="16"/>
                <w:color w:val="4D5357"/>
              </w:rPr>
              <w:t>7.0%</w:t>
            </w:r>
          </w:p>
        </w:tc>
      </w:tr>
    </w:tbl>
    <w:p>
      <w:pPr>
        <w:spacing w:after="0" w:line="198" w:lineRule="exact"/>
        <w:rPr>
          <w:sz w:val="20"/>
          <w:szCs w:val="20"/>
          <w:color w:val="auto"/>
        </w:rPr>
      </w:pPr>
    </w:p>
    <w:p>
      <w:pPr>
        <w:jc w:val="both"/>
        <w:ind w:left="224" w:right="260" w:hanging="224"/>
        <w:spacing w:after="0" w:line="233" w:lineRule="auto"/>
        <w:tabs>
          <w:tab w:leader="none" w:pos="224" w:val="left"/>
        </w:tabs>
        <w:numPr>
          <w:ilvl w:val="0"/>
          <w:numId w:val="48"/>
        </w:numPr>
        <w:rPr>
          <w:rFonts w:ascii="Arial" w:cs="Arial" w:eastAsia="Arial" w:hAnsi="Arial"/>
          <w:sz w:val="13"/>
          <w:szCs w:val="13"/>
          <w:color w:val="333333"/>
        </w:rPr>
      </w:pPr>
      <w:r>
        <w:rPr>
          <w:rFonts w:ascii="Arial" w:cs="Arial" w:eastAsia="Arial" w:hAnsi="Arial"/>
          <w:sz w:val="13"/>
          <w:szCs w:val="13"/>
          <w:color w:val="333333"/>
        </w:rPr>
        <w:t>Ownership amounts are based on the assumption that each such shareholder continued to beneficially own, as of March 6, 2026, the amounts reflected in its beneficial ownership report filed with the Securities and Exchange Commission described below, which is the most recent such report filed by the shareholder. Percentage ownership is based on the number of shares of our common stock outstanding on March 6, 2026.</w:t>
      </w:r>
    </w:p>
    <w:p>
      <w:pPr>
        <w:spacing w:after="0" w:line="37" w:lineRule="exact"/>
        <w:rPr>
          <w:sz w:val="20"/>
          <w:szCs w:val="20"/>
          <w:color w:val="auto"/>
        </w:rPr>
      </w:pPr>
    </w:p>
    <w:p>
      <w:pPr>
        <w:ind w:left="224" w:right="160" w:hanging="224"/>
        <w:spacing w:after="0" w:line="223" w:lineRule="auto"/>
        <w:tabs>
          <w:tab w:leader="none" w:pos="224" w:val="left"/>
        </w:tabs>
        <w:numPr>
          <w:ilvl w:val="0"/>
          <w:numId w:val="49"/>
        </w:numPr>
        <w:rPr>
          <w:rFonts w:ascii="Arial" w:cs="Arial" w:eastAsia="Arial" w:hAnsi="Arial"/>
          <w:sz w:val="13"/>
          <w:szCs w:val="13"/>
          <w:color w:val="333333"/>
        </w:rPr>
      </w:pPr>
      <w:r>
        <w:rPr>
          <w:rFonts w:ascii="Arial" w:cs="Arial" w:eastAsia="Arial" w:hAnsi="Arial"/>
          <w:sz w:val="13"/>
          <w:szCs w:val="13"/>
          <w:color w:val="333333"/>
        </w:rPr>
        <w:t>As reported in Schedule 13G/A reporting beneficial ownership as of December 31, 2023 filed with the SEC on February 13, 2024, indicating sole power to vote 0 shares, shared power to vote 81,795 shares, sole power to dispose of 6,903,108 shares, and shared power to dispose of 265,481 shares. The Vanguard Group, Inc.’s address is 100 Vanguard Blvd., Malvern, Pennsylvania 19355. In a Schedule 13G amendment filed on March 27, 2026, The Vanguard Group, Inc. reported that due to an internal realignment it no longer has, or is deemed to have, beneficial ownership over Martin Marietta common stock beneficially owned by various subsidiaries and/or business divisions of subsidiaries of The Vanguard Group Inc. In such Schedule 13G amendment, The Vanguard Group Inc. further reported that certain subsidiaries or business divisions of subsidiaries of The Vanguard Group, Inc., that formerly had, or were deemed to have, beneficial ownership with The Vanguard Group, Inc., will report beneficial ownership separately (on a disaggregated basis) from The Vanguard Group, Inc. and that these subsidiaries and/or business divisions pursue the same investment strategies as previously pursued by The Vanguard Group, Inc. prior to the realignment.</w:t>
      </w:r>
    </w:p>
    <w:p>
      <w:pPr>
        <w:spacing w:after="0" w:line="40" w:lineRule="exact"/>
        <w:rPr>
          <w:sz w:val="20"/>
          <w:szCs w:val="20"/>
          <w:color w:val="auto"/>
        </w:rPr>
      </w:pPr>
    </w:p>
    <w:p>
      <w:pPr>
        <w:ind w:left="224" w:right="180" w:hanging="224"/>
        <w:spacing w:after="0" w:line="283" w:lineRule="auto"/>
        <w:tabs>
          <w:tab w:leader="none" w:pos="224" w:val="left"/>
        </w:tabs>
        <w:numPr>
          <w:ilvl w:val="0"/>
          <w:numId w:val="50"/>
        </w:numPr>
        <w:rPr>
          <w:rFonts w:ascii="Arial" w:cs="Arial" w:eastAsia="Arial" w:hAnsi="Arial"/>
          <w:sz w:val="12"/>
          <w:szCs w:val="12"/>
          <w:color w:val="333333"/>
        </w:rPr>
      </w:pPr>
      <w:r>
        <w:rPr>
          <w:rFonts w:ascii="Arial" w:cs="Arial" w:eastAsia="Arial" w:hAnsi="Arial"/>
          <w:sz w:val="12"/>
          <w:szCs w:val="12"/>
          <w:color w:val="333333"/>
        </w:rPr>
        <w:t>As reported in Schedule 13G reporting beneficial ownership as of December 31, 2023 filed with the SEC on January 26, 2024, indicating sole power to vote 3,764,294 shares, shared power to vote 0 shares, sole power to dispose of 4,113,718 shares, and shared power to dispose of 0 shares. BlackRock, Inc.’s address is 50 Hudson Yards, New York, New York 10001.</w:t>
      </w:r>
    </w:p>
    <w:p>
      <w:pPr>
        <w:spacing w:after="0" w:line="340"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37 </w:t>
      </w:r>
      <w:r>
        <w:rPr>
          <w:rFonts w:ascii="Arial" w:cs="Arial" w:eastAsia="Arial" w:hAnsi="Arial"/>
          <w:sz w:val="16"/>
          <w:szCs w:val="16"/>
          <w:color w:val="333333"/>
        </w:rPr>
        <w:t xml:space="preserve">               </w:t>
      </w:r>
    </w:p>
    <w:p>
      <w:pPr>
        <w:sectPr>
          <w:pgSz w:w="11900" w:h="16838" w:orient="portrait"/>
          <w:cols w:equalWidth="0" w:num="4">
            <w:col w:w="44" w:space="120"/>
            <w:col w:w="3700" w:space="720"/>
            <w:col w:w="4660" w:space="720"/>
            <w:col w:w="1060"/>
          </w:cols>
          <w:pgMar w:left="436" w:top="315" w:right="4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 Matters</w:t>
      </w:r>
    </w:p>
    <w:p>
      <w:pPr>
        <w:spacing w:after="0" w:line="186"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Corporate Governance Philosophy</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333333"/>
        </w:rPr>
        <w:t xml:space="preserve">Martin Marietta has a culture dedicated to ethical business behavior and responsible corporate activity, which we believe promotes the long-term interests of shareholders. This commitment is reflected in our </w:t>
      </w:r>
      <w:r>
        <w:rPr>
          <w:rFonts w:ascii="Arial" w:cs="Arial" w:eastAsia="Arial" w:hAnsi="Arial"/>
          <w:sz w:val="16"/>
          <w:szCs w:val="16"/>
          <w:i w:val="1"/>
          <w:iCs w:val="1"/>
          <w:color w:val="333333"/>
        </w:rPr>
        <w:t>Corporate Governance Guidelines</w:t>
      </w:r>
      <w:r>
        <w:rPr>
          <w:rFonts w:ascii="Arial" w:cs="Arial" w:eastAsia="Arial" w:hAnsi="Arial"/>
          <w:sz w:val="16"/>
          <w:szCs w:val="16"/>
          <w:color w:val="333333"/>
        </w:rPr>
        <w:t>, posted and available for public viewing on Martin Marietta’s website at https://ir.martinmarietta.com/corporate-governance/governance-documents-and-charters, which set forth a flexible framework within which the Board, assisted by its Committees, directs the affairs of Martin Marietta. The Guidelines address, among other things, the composition and functions of the Board of Directors, director qualifications and independence, Chief Executive Officer performance evaluation and management succession, Board Committees and the selection of new Directors.</w:t>
      </w:r>
    </w:p>
    <w:p>
      <w:pPr>
        <w:spacing w:after="0" w:line="7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333333"/>
        </w:rPr>
        <w:t xml:space="preserve">Martin Marietta’s </w:t>
      </w:r>
      <w:r>
        <w:rPr>
          <w:rFonts w:ascii="Arial" w:cs="Arial" w:eastAsia="Arial" w:hAnsi="Arial"/>
          <w:sz w:val="16"/>
          <w:szCs w:val="16"/>
          <w:i w:val="1"/>
          <w:iCs w:val="1"/>
          <w:color w:val="333333"/>
        </w:rPr>
        <w:t>Code of Ethical Business Conduct</w:t>
      </w:r>
      <w:r>
        <w:rPr>
          <w:rFonts w:ascii="Arial" w:cs="Arial" w:eastAsia="Arial" w:hAnsi="Arial"/>
          <w:sz w:val="16"/>
          <w:szCs w:val="16"/>
          <w:color w:val="333333"/>
        </w:rPr>
        <w:t xml:space="preserve"> has been in place since the 1980s and is regularly updated. It applies to all Board members, officers, and employees, providing our policies and expectations on a number of topics, including our commitment to good citizenship, promoting a positive and safe work environment, avoiding conflicts of interest, honoring the confidentiality of sensitive information, preservation and use of Company assets, compliance with all laws, and operating with integrity in all that we do. To implement the </w:t>
      </w:r>
      <w:r>
        <w:rPr>
          <w:rFonts w:ascii="Arial" w:cs="Arial" w:eastAsia="Arial" w:hAnsi="Arial"/>
          <w:sz w:val="16"/>
          <w:szCs w:val="16"/>
          <w:i w:val="1"/>
          <w:iCs w:val="1"/>
          <w:color w:val="333333"/>
        </w:rPr>
        <w:t>Code of Ethical Business Conduct</w:t>
      </w:r>
      <w:r>
        <w:rPr>
          <w:rFonts w:ascii="Arial" w:cs="Arial" w:eastAsia="Arial" w:hAnsi="Arial"/>
          <w:sz w:val="16"/>
          <w:szCs w:val="16"/>
          <w:color w:val="333333"/>
        </w:rPr>
        <w:t xml:space="preserve">, Board members, officers, and employees participate regularly in ethics training. There have been no waivers from any provisions of our </w:t>
      </w:r>
      <w:r>
        <w:rPr>
          <w:rFonts w:ascii="Arial" w:cs="Arial" w:eastAsia="Arial" w:hAnsi="Arial"/>
          <w:sz w:val="16"/>
          <w:szCs w:val="16"/>
          <w:i w:val="1"/>
          <w:iCs w:val="1"/>
          <w:color w:val="333333"/>
        </w:rPr>
        <w:t>Code of Ethical Business Conduct</w:t>
      </w:r>
      <w:r>
        <w:rPr>
          <w:rFonts w:ascii="Arial" w:cs="Arial" w:eastAsia="Arial" w:hAnsi="Arial"/>
          <w:sz w:val="16"/>
          <w:szCs w:val="16"/>
          <w:color w:val="333333"/>
        </w:rPr>
        <w:t xml:space="preserve"> to any Board member or executive officer.</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In addition, the Board believes that accountability to shareholders is a hallmark of good governance and critical to Martin Marietta’s success. To that end, management and the Board regularly engages with shareholders on a variety of topics throughout the year, including sustainability and governance, to ensure we are addressing their questions, thoughts and concerns, to seek input and to provide perspective on Company policies and practices. See discussion of our shareholder outreach on pages 10 and 49.</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333333"/>
        </w:rPr>
        <w:t>The chart below provides a snapshot of Martin Marietta’s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166370</wp:posOffset>
            </wp:positionV>
            <wp:extent cx="7029450" cy="41490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29450" cy="414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28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38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285" w:right="439" w:bottom="1440" w:gutter="0" w:footer="0" w:header="0"/>
          <w:type w:val="continuous"/>
        </w:sectPr>
      </w:pPr>
    </w:p>
    <w:bookmarkStart w:id="44" w:name="page45"/>
    <w:bookmarkEnd w:id="44"/>
    <w:p>
      <w:pPr>
        <w:jc w:val="center"/>
        <w:ind w:left="85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Corporate Governance    </w:t>
      </w:r>
    </w:p>
    <w:p>
      <w:pPr>
        <w:spacing w:after="0" w:line="15"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FFFFFF"/>
        </w:rPr>
        <w:t xml:space="preserve">      Matters    </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Corporate Governance Board Practices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Who are Martin Marietta’s independent Directors?</w:t>
      </w:r>
    </w:p>
    <w:p>
      <w:pPr>
        <w:spacing w:after="0" w:line="10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333333"/>
        </w:rPr>
        <w:t>All of Martin Marietta’s Directors are non-employee Directors except Mr. Nye. Mr. Nye neither sits in the executive sessions of the independent Directors (unless invited to attend for a specific discussion) nor does he participate in any action of the Board relating to any executive compensation which he may receive.</w:t>
      </w:r>
    </w:p>
    <w:p>
      <w:pPr>
        <w:spacing w:after="0" w:line="6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33333"/>
        </w:rPr>
        <w:t xml:space="preserve">In assessing the independence of its members and nominees, the Board has adopted for Martin Marietta a set of </w:t>
      </w:r>
      <w:r>
        <w:rPr>
          <w:rFonts w:ascii="Arial" w:cs="Arial" w:eastAsia="Arial" w:hAnsi="Arial"/>
          <w:sz w:val="16"/>
          <w:szCs w:val="16"/>
          <w:i w:val="1"/>
          <w:iCs w:val="1"/>
          <w:color w:val="333333"/>
        </w:rPr>
        <w:t>Guidelines for Director’s Independence</w:t>
      </w:r>
      <w:r>
        <w:rPr>
          <w:rFonts w:ascii="Arial" w:cs="Arial" w:eastAsia="Arial" w:hAnsi="Arial"/>
          <w:sz w:val="16"/>
          <w:szCs w:val="16"/>
          <w:color w:val="333333"/>
        </w:rPr>
        <w:t xml:space="preserve"> (Guidelines). The Guidelines are posted and available for public viewing on Martin Marietta’s website at https://ir.martinmarietta.com/corporate-governance/governance-documents-and-charters. These Guidelines reflect the rules of the NYSE, applicable requirements of the SEC, and other standards determined by the Board to be important in assessing the independence of Board members. The Board has determined that, other than Mr. Nye, all members of the Board are “independent” under these Guidelines, resulting in 90% of the Board being independent. The Board of Directors has determined that no Director (except Mr. Nye), or any person or organization with which the Director has any affiliation, has a relationship with Martin Marietta that may interfere with his or her independence from Martin Marietta and its management. In making this “independence” determination, the Board considered other entities with which the Directors were affiliated and any business Martin Marietta had done with such entities.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Do the independent Directors ever meet without management?</w:t>
      </w:r>
    </w:p>
    <w:p>
      <w:pPr>
        <w:spacing w:after="0" w:line="54" w:lineRule="exact"/>
        <w:rPr>
          <w:sz w:val="20"/>
          <w:szCs w:val="20"/>
          <w:color w:val="auto"/>
        </w:rPr>
      </w:pPr>
    </w:p>
    <w:p>
      <w:pPr>
        <w:jc w:val="both"/>
        <w:ind w:right="180"/>
        <w:spacing w:after="0" w:line="256" w:lineRule="auto"/>
        <w:rPr>
          <w:sz w:val="20"/>
          <w:szCs w:val="20"/>
          <w:color w:val="auto"/>
        </w:rPr>
      </w:pPr>
      <w:r>
        <w:rPr>
          <w:rFonts w:ascii="Arial" w:cs="Arial" w:eastAsia="Arial" w:hAnsi="Arial"/>
          <w:sz w:val="16"/>
          <w:szCs w:val="16"/>
          <w:color w:val="333333"/>
        </w:rPr>
        <w:t xml:space="preserve">Martin Marietta’s </w:t>
      </w:r>
      <w:r>
        <w:rPr>
          <w:rFonts w:ascii="Arial" w:cs="Arial" w:eastAsia="Arial" w:hAnsi="Arial"/>
          <w:sz w:val="16"/>
          <w:szCs w:val="16"/>
          <w:i w:val="1"/>
          <w:iCs w:val="1"/>
          <w:color w:val="333333"/>
        </w:rPr>
        <w:t>Corporate Governance Guidelines</w:t>
      </w:r>
      <w:r>
        <w:rPr>
          <w:rFonts w:ascii="Arial" w:cs="Arial" w:eastAsia="Arial" w:hAnsi="Arial"/>
          <w:sz w:val="16"/>
          <w:szCs w:val="16"/>
          <w:color w:val="333333"/>
        </w:rPr>
        <w:t xml:space="preserve"> adopted by the Board provide that at least two Board meetings each year will include an executive session of the non-employee Directors to discuss such topics as they may choose, including a discussion of the performance of Martin Marietta’s Chair and Chief Executive Officer. In 2025, Martin Marietta’s independent Directors met at each regularly scheduled Board meeting, consisting of four times in executive session without management, in addition to executive sessions held by Committees of the Board. In 2025, all the independent Directors were non-employees.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What is the Board’s leadership structure?</w:t>
      </w:r>
    </w:p>
    <w:p>
      <w:pPr>
        <w:spacing w:after="0" w:line="5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333333"/>
        </w:rPr>
        <w:t xml:space="preserve">Our </w:t>
      </w:r>
      <w:r>
        <w:rPr>
          <w:rFonts w:ascii="Arial" w:cs="Arial" w:eastAsia="Arial" w:hAnsi="Arial"/>
          <w:sz w:val="16"/>
          <w:szCs w:val="16"/>
          <w:i w:val="1"/>
          <w:iCs w:val="1"/>
          <w:color w:val="333333"/>
        </w:rPr>
        <w:t>Corporate Governance Guidelines</w:t>
      </w:r>
      <w:r>
        <w:rPr>
          <w:rFonts w:ascii="Arial" w:cs="Arial" w:eastAsia="Arial" w:hAnsi="Arial"/>
          <w:sz w:val="16"/>
          <w:szCs w:val="16"/>
          <w:color w:val="333333"/>
        </w:rPr>
        <w:t xml:space="preserve"> provide that the Board’s policy as to whether the Chair and CEO positions should be separate is to adopt the practice that best serves the Company’s needs at any particular time. The Nominating and Corporate Governance Committee and the Board regularly evaluates Board leadership alternatives in connection with combining the Chair and CEO roles.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The Board believes that, at the present time, the Company is best served by allocating governance responsibilities between a combined Chair and CEO and a Lead Independent Director with robust responsibilities. This structure allows the Company to present a single face to our constituencies through the combined Chair and CEO position while at the same time providing an active role and voice for the independent directors through the Lead Independent Director.</w:t>
      </w:r>
    </w:p>
    <w:p>
      <w:pPr>
        <w:spacing w:after="0" w:line="7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333333"/>
        </w:rPr>
        <w:t>As a result of Mr. Nye’s tenure at Martin Marietta and strong performance as a leader since his election as CEO,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 and CEO is appropriate taking into consideration the size and nature of our business, Mr. Nye’s effective and careful formulation and execution of our strategic plan, his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90% of our Directors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39 </w:t>
      </w:r>
      <w:r>
        <w:rPr>
          <w:rFonts w:ascii="Arial" w:cs="Arial" w:eastAsia="Arial" w:hAnsi="Arial"/>
          <w:sz w:val="16"/>
          <w:szCs w:val="16"/>
          <w:color w:val="333333"/>
        </w:rPr>
        <w:t xml:space="preserve">               </w:t>
      </w:r>
    </w:p>
    <w:p>
      <w:pPr>
        <w:sectPr>
          <w:pgSz w:w="11900" w:h="16838" w:orient="portrait"/>
          <w:cols w:equalWidth="0" w:num="4">
            <w:col w:w="200" w:space="120"/>
            <w:col w:w="3540" w:space="720"/>
            <w:col w:w="4660" w:space="720"/>
            <w:col w:w="1060"/>
          </w:cols>
          <w:pgMar w:left="440" w:top="684" w:right="439" w:bottom="1440" w:gutter="0" w:footer="0" w:header="0"/>
          <w:type w:val="continuous"/>
        </w:sectPr>
      </w:pPr>
    </w:p>
    <w:bookmarkStart w:id="45" w:name="page46"/>
    <w:bookmarkEnd w:id="45"/>
    <w:p>
      <w:pPr>
        <w:jc w:val="center"/>
        <w:ind w:right="8716"/>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525905" cy="4718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25905" cy="471805"/>
                    </a:xfrm>
                    <a:prstGeom prst="rect">
                      <a:avLst/>
                    </a:prstGeom>
                    <a:noFill/>
                  </pic:spPr>
                </pic:pic>
              </a:graphicData>
            </a:graphic>
          </wp:anchor>
        </w:drawing>
        <w:t xml:space="preserve">      Corporate Governance    </w:t>
      </w:r>
    </w:p>
    <w:p>
      <w:pPr>
        <w:spacing w:after="0" w:line="15" w:lineRule="exact"/>
        <w:rPr>
          <w:sz w:val="20"/>
          <w:szCs w:val="20"/>
          <w:color w:val="auto"/>
        </w:rPr>
      </w:pPr>
    </w:p>
    <w:p>
      <w:pPr>
        <w:jc w:val="center"/>
        <w:ind w:right="8716"/>
        <w:spacing w:after="0"/>
        <w:rPr>
          <w:sz w:val="20"/>
          <w:szCs w:val="20"/>
          <w:color w:val="auto"/>
        </w:rPr>
      </w:pPr>
      <w:r>
        <w:rPr>
          <w:rFonts w:ascii="Arial" w:cs="Arial" w:eastAsia="Arial" w:hAnsi="Arial"/>
          <w:sz w:val="14"/>
          <w:szCs w:val="14"/>
          <w:b w:val="1"/>
          <w:bCs w:val="1"/>
          <w:color w:val="FFFFFF"/>
        </w:rPr>
        <w:t xml:space="preserve">      Matters 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226695</wp:posOffset>
            </wp:positionV>
            <wp:extent cx="6998970" cy="2310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8970" cy="231013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0086CC"/>
        </w:rPr>
        <w:t>REASONS FOR COMBINED CHAIR AND CEO</w:t>
      </w:r>
    </w:p>
    <w:p>
      <w:pPr>
        <w:spacing w:after="0" w:line="104"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333333"/>
        </w:rPr>
        <w:t>Key Highlights</w:t>
      </w:r>
    </w:p>
    <w:p>
      <w:pPr>
        <w:spacing w:after="0" w:line="284" w:lineRule="exact"/>
        <w:rPr>
          <w:sz w:val="20"/>
          <w:szCs w:val="20"/>
          <w:color w:val="auto"/>
        </w:rPr>
      </w:pPr>
    </w:p>
    <w:tbl>
      <w:tblPr>
        <w:tblLayout w:type="fixed"/>
        <w:tblInd w:w="204" w:type="dxa"/>
        <w:tblCellMar>
          <w:top w:w="0" w:type="dxa"/>
          <w:left w:w="0" w:type="dxa"/>
          <w:bottom w:w="0" w:type="dxa"/>
          <w:right w:w="0" w:type="dxa"/>
        </w:tblCellMar>
      </w:tblPr>
      <w:tr>
        <w:trPr>
          <w:trHeight w:val="189"/>
        </w:trPr>
        <w:tc>
          <w:tcPr>
            <w:tcW w:w="5340" w:type="dxa"/>
            <w:vAlign w:val="bottom"/>
          </w:tcPr>
          <w:p>
            <w:pPr>
              <w:spacing w:after="0"/>
              <w:rPr>
                <w:sz w:val="20"/>
                <w:szCs w:val="20"/>
                <w:color w:val="auto"/>
              </w:rPr>
            </w:pPr>
            <w:r>
              <w:rPr>
                <w:rFonts w:ascii="Arial" w:cs="Arial" w:eastAsia="Arial" w:hAnsi="Arial"/>
                <w:sz w:val="16"/>
                <w:szCs w:val="16"/>
                <w:color w:val="333333"/>
              </w:rPr>
              <w:t>•  The independent Board members believe that Mr. Nye has</w:t>
            </w:r>
          </w:p>
        </w:tc>
        <w:tc>
          <w:tcPr>
            <w:tcW w:w="5340" w:type="dxa"/>
            <w:vAlign w:val="bottom"/>
          </w:tcPr>
          <w:p>
            <w:pPr>
              <w:ind w:left="260"/>
              <w:spacing w:after="0"/>
              <w:rPr>
                <w:sz w:val="20"/>
                <w:szCs w:val="20"/>
                <w:color w:val="auto"/>
              </w:rPr>
            </w:pPr>
            <w:r>
              <w:rPr>
                <w:rFonts w:ascii="Arial" w:cs="Arial" w:eastAsia="Arial" w:hAnsi="Arial"/>
                <w:sz w:val="16"/>
                <w:szCs w:val="16"/>
                <w:color w:val="333333"/>
              </w:rPr>
              <w:t>•  Mr. Nye has demonstrated his leadership and vision to guide the</w:t>
            </w: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rPr>
                <w:sz w:val="20"/>
                <w:szCs w:val="20"/>
                <w:color w:val="auto"/>
              </w:rPr>
            </w:pPr>
            <w:r>
              <w:rPr>
                <w:rFonts w:ascii="Arial" w:cs="Arial" w:eastAsia="Arial" w:hAnsi="Arial"/>
                <w:sz w:val="16"/>
                <w:szCs w:val="16"/>
                <w:color w:val="333333"/>
              </w:rPr>
              <w:t>extensive experience in all facets of the building materials industry,</w:t>
            </w:r>
          </w:p>
        </w:tc>
        <w:tc>
          <w:tcPr>
            <w:tcW w:w="5340" w:type="dxa"/>
            <w:vAlign w:val="bottom"/>
          </w:tcPr>
          <w:p>
            <w:pPr>
              <w:ind w:left="480"/>
              <w:spacing w:after="0"/>
              <w:rPr>
                <w:sz w:val="20"/>
                <w:szCs w:val="20"/>
                <w:color w:val="auto"/>
              </w:rPr>
            </w:pPr>
            <w:r>
              <w:rPr>
                <w:rFonts w:ascii="Arial" w:cs="Arial" w:eastAsia="Arial" w:hAnsi="Arial"/>
                <w:sz w:val="16"/>
                <w:szCs w:val="16"/>
                <w:color w:val="333333"/>
              </w:rPr>
              <w:t>Board in its oversight of management with the development of</w:t>
            </w: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rPr>
                <w:sz w:val="20"/>
                <w:szCs w:val="20"/>
                <w:color w:val="auto"/>
              </w:rPr>
            </w:pPr>
            <w:r>
              <w:rPr>
                <w:rFonts w:ascii="Arial" w:cs="Arial" w:eastAsia="Arial" w:hAnsi="Arial"/>
                <w:sz w:val="16"/>
                <w:szCs w:val="16"/>
                <w:color w:val="333333"/>
              </w:rPr>
              <w:t>in both the U.S. and with global competitors.</w:t>
            </w:r>
          </w:p>
        </w:tc>
        <w:tc>
          <w:tcPr>
            <w:tcW w:w="5340" w:type="dxa"/>
            <w:vAlign w:val="bottom"/>
          </w:tcPr>
          <w:p>
            <w:pPr>
              <w:ind w:left="480"/>
              <w:spacing w:after="0"/>
              <w:rPr>
                <w:sz w:val="20"/>
                <w:szCs w:val="20"/>
                <w:color w:val="auto"/>
              </w:rPr>
            </w:pPr>
            <w:r>
              <w:rPr>
                <w:rFonts w:ascii="Arial" w:cs="Arial" w:eastAsia="Arial" w:hAnsi="Arial"/>
                <w:sz w:val="16"/>
                <w:szCs w:val="16"/>
                <w:color w:val="333333"/>
              </w:rPr>
              <w:t>multiple five-year strategic plans, with the current Strategic</w:t>
            </w:r>
          </w:p>
        </w:tc>
        <w:tc>
          <w:tcPr>
            <w:tcW w:w="0" w:type="dxa"/>
            <w:vAlign w:val="bottom"/>
          </w:tcPr>
          <w:p>
            <w:pPr>
              <w:spacing w:after="0"/>
              <w:rPr>
                <w:sz w:val="1"/>
                <w:szCs w:val="1"/>
                <w:color w:val="auto"/>
              </w:rPr>
            </w:pPr>
          </w:p>
        </w:tc>
      </w:tr>
      <w:tr>
        <w:trPr>
          <w:trHeight w:val="189"/>
        </w:trPr>
        <w:tc>
          <w:tcPr>
            <w:tcW w:w="5340" w:type="dxa"/>
            <w:vAlign w:val="bottom"/>
            <w:vMerge w:val="restart"/>
          </w:tcPr>
          <w:p>
            <w:pPr>
              <w:spacing w:after="0"/>
              <w:rPr>
                <w:sz w:val="20"/>
                <w:szCs w:val="20"/>
                <w:color w:val="auto"/>
              </w:rPr>
            </w:pPr>
            <w:r>
              <w:rPr>
                <w:rFonts w:ascii="Arial" w:cs="Arial" w:eastAsia="Arial" w:hAnsi="Arial"/>
                <w:sz w:val="16"/>
                <w:szCs w:val="16"/>
                <w:color w:val="333333"/>
              </w:rPr>
              <w:t>•  Mr. Nye’s experience has allowed the Company to successfully</w:t>
            </w:r>
          </w:p>
        </w:tc>
        <w:tc>
          <w:tcPr>
            <w:tcW w:w="5340" w:type="dxa"/>
            <w:vAlign w:val="bottom"/>
          </w:tcPr>
          <w:p>
            <w:pPr>
              <w:ind w:left="480"/>
              <w:spacing w:after="0"/>
              <w:rPr>
                <w:sz w:val="20"/>
                <w:szCs w:val="20"/>
                <w:color w:val="auto"/>
              </w:rPr>
            </w:pPr>
            <w:r>
              <w:rPr>
                <w:rFonts w:ascii="Arial" w:cs="Arial" w:eastAsia="Arial" w:hAnsi="Arial"/>
                <w:sz w:val="16"/>
                <w:szCs w:val="16"/>
                <w:color w:val="333333"/>
              </w:rPr>
              <w:t>Operating Analysis and Review (SOAR 2030) discussed with and</w:t>
            </w:r>
          </w:p>
        </w:tc>
        <w:tc>
          <w:tcPr>
            <w:tcW w:w="0" w:type="dxa"/>
            <w:vAlign w:val="bottom"/>
          </w:tcPr>
          <w:p>
            <w:pPr>
              <w:spacing w:after="0"/>
              <w:rPr>
                <w:sz w:val="1"/>
                <w:szCs w:val="1"/>
                <w:color w:val="auto"/>
              </w:rPr>
            </w:pPr>
          </w:p>
        </w:tc>
      </w:tr>
      <w:tr>
        <w:trPr>
          <w:trHeight w:val="68"/>
        </w:trPr>
        <w:tc>
          <w:tcPr>
            <w:tcW w:w="5340" w:type="dxa"/>
            <w:vAlign w:val="bottom"/>
            <w:vMerge w:val="continue"/>
          </w:tcPr>
          <w:p>
            <w:pPr>
              <w:spacing w:after="0"/>
              <w:rPr>
                <w:sz w:val="5"/>
                <w:szCs w:val="5"/>
                <w:color w:val="auto"/>
              </w:rPr>
            </w:pPr>
          </w:p>
        </w:tc>
        <w:tc>
          <w:tcPr>
            <w:tcW w:w="5340" w:type="dxa"/>
            <w:vAlign w:val="bottom"/>
            <w:vMerge w:val="restart"/>
          </w:tcPr>
          <w:p>
            <w:pPr>
              <w:ind w:left="480"/>
              <w:spacing w:after="0"/>
              <w:rPr>
                <w:sz w:val="20"/>
                <w:szCs w:val="20"/>
                <w:color w:val="auto"/>
              </w:rPr>
            </w:pPr>
            <w:r>
              <w:rPr>
                <w:rFonts w:ascii="Arial" w:cs="Arial" w:eastAsia="Arial" w:hAnsi="Arial"/>
                <w:sz w:val="16"/>
                <w:szCs w:val="16"/>
                <w:color w:val="333333"/>
              </w:rPr>
              <w:t>approved by the Board in August 2025.</w:t>
            </w:r>
          </w:p>
        </w:tc>
        <w:tc>
          <w:tcPr>
            <w:tcW w:w="0" w:type="dxa"/>
            <w:vAlign w:val="bottom"/>
          </w:tcPr>
          <w:p>
            <w:pPr>
              <w:spacing w:after="0"/>
              <w:rPr>
                <w:sz w:val="1"/>
                <w:szCs w:val="1"/>
                <w:color w:val="auto"/>
              </w:rPr>
            </w:pPr>
          </w:p>
        </w:tc>
      </w:tr>
      <w:tr>
        <w:trPr>
          <w:trHeight w:val="147"/>
        </w:trPr>
        <w:tc>
          <w:tcPr>
            <w:tcW w:w="5340" w:type="dxa"/>
            <w:vAlign w:val="bottom"/>
            <w:vMerge w:val="restart"/>
          </w:tcPr>
          <w:p>
            <w:pPr>
              <w:ind w:left="220"/>
              <w:spacing w:after="0"/>
              <w:rPr>
                <w:sz w:val="20"/>
                <w:szCs w:val="20"/>
                <w:color w:val="auto"/>
              </w:rPr>
            </w:pPr>
            <w:r>
              <w:rPr>
                <w:rFonts w:ascii="Arial" w:cs="Arial" w:eastAsia="Arial" w:hAnsi="Arial"/>
                <w:sz w:val="16"/>
                <w:szCs w:val="16"/>
                <w:color w:val="333333"/>
              </w:rPr>
              <w:t>navigate acute periods of duress (</w:t>
            </w:r>
            <w:r>
              <w:rPr>
                <w:rFonts w:ascii="Arial" w:cs="Arial" w:eastAsia="Arial" w:hAnsi="Arial"/>
                <w:sz w:val="16"/>
                <w:szCs w:val="16"/>
                <w:i w:val="1"/>
                <w:iCs w:val="1"/>
                <w:color w:val="333333"/>
              </w:rPr>
              <w:t>e.g.</w:t>
            </w:r>
            <w:r>
              <w:rPr>
                <w:rFonts w:ascii="Arial" w:cs="Arial" w:eastAsia="Arial" w:hAnsi="Arial"/>
                <w:sz w:val="16"/>
                <w:szCs w:val="16"/>
                <w:color w:val="333333"/>
              </w:rPr>
              <w:t>, the Great Financial Crisis</w:t>
            </w:r>
          </w:p>
        </w:tc>
        <w:tc>
          <w:tcPr>
            <w:tcW w:w="5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340" w:type="dxa"/>
            <w:vAlign w:val="bottom"/>
            <w:vMerge w:val="continue"/>
          </w:tcPr>
          <w:p>
            <w:pPr>
              <w:spacing w:after="0"/>
              <w:rPr>
                <w:sz w:val="3"/>
                <w:szCs w:val="3"/>
                <w:color w:val="auto"/>
              </w:rPr>
            </w:pPr>
          </w:p>
        </w:tc>
        <w:tc>
          <w:tcPr>
            <w:tcW w:w="5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rPr>
                <w:sz w:val="20"/>
                <w:szCs w:val="20"/>
                <w:color w:val="auto"/>
              </w:rPr>
            </w:pPr>
            <w:r>
              <w:rPr>
                <w:rFonts w:ascii="Arial" w:cs="Arial" w:eastAsia="Arial" w:hAnsi="Arial"/>
                <w:sz w:val="16"/>
                <w:szCs w:val="16"/>
                <w:color w:val="333333"/>
              </w:rPr>
              <w:t>and COVID-19).</w:t>
            </w:r>
          </w:p>
        </w:tc>
        <w:tc>
          <w:tcPr>
            <w:tcW w:w="5340" w:type="dxa"/>
            <w:vAlign w:val="bottom"/>
          </w:tcPr>
          <w:p>
            <w:pPr>
              <w:ind w:left="260"/>
              <w:spacing w:after="0"/>
              <w:rPr>
                <w:sz w:val="20"/>
                <w:szCs w:val="20"/>
                <w:color w:val="auto"/>
              </w:rPr>
            </w:pPr>
            <w:r>
              <w:rPr>
                <w:rFonts w:ascii="Arial" w:cs="Arial" w:eastAsia="Arial" w:hAnsi="Arial"/>
                <w:sz w:val="16"/>
                <w:szCs w:val="16"/>
                <w:color w:val="333333"/>
              </w:rPr>
              <w:t>•  Mr. Nye has engaged in an active investor relations program,</w:t>
            </w:r>
          </w:p>
        </w:tc>
        <w:tc>
          <w:tcPr>
            <w:tcW w:w="0" w:type="dxa"/>
            <w:vAlign w:val="bottom"/>
          </w:tcPr>
          <w:p>
            <w:pPr>
              <w:spacing w:after="0"/>
              <w:rPr>
                <w:sz w:val="1"/>
                <w:szCs w:val="1"/>
                <w:color w:val="auto"/>
              </w:rPr>
            </w:pPr>
          </w:p>
        </w:tc>
      </w:tr>
      <w:tr>
        <w:trPr>
          <w:trHeight w:val="189"/>
        </w:trPr>
        <w:tc>
          <w:tcPr>
            <w:tcW w:w="5340" w:type="dxa"/>
            <w:vAlign w:val="bottom"/>
            <w:vMerge w:val="restart"/>
          </w:tcPr>
          <w:p>
            <w:pPr>
              <w:spacing w:after="0"/>
              <w:rPr>
                <w:sz w:val="20"/>
                <w:szCs w:val="20"/>
                <w:color w:val="auto"/>
              </w:rPr>
            </w:pPr>
            <w:r>
              <w:rPr>
                <w:rFonts w:ascii="Arial" w:cs="Arial" w:eastAsia="Arial" w:hAnsi="Arial"/>
                <w:sz w:val="16"/>
                <w:szCs w:val="16"/>
                <w:color w:val="333333"/>
              </w:rPr>
              <w:t>•  Mr. Nye has been effective in creating shareholder value through</w:t>
            </w:r>
          </w:p>
        </w:tc>
        <w:tc>
          <w:tcPr>
            <w:tcW w:w="5340" w:type="dxa"/>
            <w:vAlign w:val="bottom"/>
          </w:tcPr>
          <w:p>
            <w:pPr>
              <w:ind w:left="480"/>
              <w:spacing w:after="0"/>
              <w:rPr>
                <w:sz w:val="20"/>
                <w:szCs w:val="20"/>
                <w:color w:val="auto"/>
              </w:rPr>
            </w:pPr>
            <w:r>
              <w:rPr>
                <w:rFonts w:ascii="Arial" w:cs="Arial" w:eastAsia="Arial" w:hAnsi="Arial"/>
                <w:sz w:val="16"/>
                <w:szCs w:val="16"/>
                <w:color w:val="333333"/>
              </w:rPr>
              <w:t>including the Company’s Fall Engagement Program conversations</w:t>
            </w:r>
          </w:p>
        </w:tc>
        <w:tc>
          <w:tcPr>
            <w:tcW w:w="0" w:type="dxa"/>
            <w:vAlign w:val="bottom"/>
          </w:tcPr>
          <w:p>
            <w:pPr>
              <w:spacing w:after="0"/>
              <w:rPr>
                <w:sz w:val="1"/>
                <w:szCs w:val="1"/>
                <w:color w:val="auto"/>
              </w:rPr>
            </w:pPr>
          </w:p>
        </w:tc>
      </w:tr>
      <w:tr>
        <w:trPr>
          <w:trHeight w:val="68"/>
        </w:trPr>
        <w:tc>
          <w:tcPr>
            <w:tcW w:w="5340" w:type="dxa"/>
            <w:vAlign w:val="bottom"/>
            <w:vMerge w:val="continue"/>
          </w:tcPr>
          <w:p>
            <w:pPr>
              <w:spacing w:after="0"/>
              <w:rPr>
                <w:sz w:val="5"/>
                <w:szCs w:val="5"/>
                <w:color w:val="auto"/>
              </w:rPr>
            </w:pPr>
          </w:p>
        </w:tc>
        <w:tc>
          <w:tcPr>
            <w:tcW w:w="5340" w:type="dxa"/>
            <w:vAlign w:val="bottom"/>
            <w:vMerge w:val="restart"/>
          </w:tcPr>
          <w:p>
            <w:pPr>
              <w:ind w:left="480"/>
              <w:spacing w:after="0"/>
              <w:rPr>
                <w:sz w:val="20"/>
                <w:szCs w:val="20"/>
                <w:color w:val="auto"/>
              </w:rPr>
            </w:pPr>
            <w:r>
              <w:rPr>
                <w:rFonts w:ascii="Arial" w:cs="Arial" w:eastAsia="Arial" w:hAnsi="Arial"/>
                <w:sz w:val="16"/>
                <w:szCs w:val="16"/>
                <w:color w:val="333333"/>
              </w:rPr>
              <w:t>and Capital Markets Day presentations, and helps lead the Board in</w:t>
            </w:r>
          </w:p>
        </w:tc>
        <w:tc>
          <w:tcPr>
            <w:tcW w:w="0" w:type="dxa"/>
            <w:vAlign w:val="bottom"/>
          </w:tcPr>
          <w:p>
            <w:pPr>
              <w:spacing w:after="0"/>
              <w:rPr>
                <w:sz w:val="1"/>
                <w:szCs w:val="1"/>
                <w:color w:val="auto"/>
              </w:rPr>
            </w:pPr>
          </w:p>
        </w:tc>
      </w:tr>
      <w:tr>
        <w:trPr>
          <w:trHeight w:val="122"/>
        </w:trPr>
        <w:tc>
          <w:tcPr>
            <w:tcW w:w="5340" w:type="dxa"/>
            <w:vAlign w:val="bottom"/>
            <w:vMerge w:val="restart"/>
          </w:tcPr>
          <w:p>
            <w:pPr>
              <w:ind w:left="220"/>
              <w:spacing w:after="0"/>
              <w:rPr>
                <w:sz w:val="20"/>
                <w:szCs w:val="20"/>
                <w:color w:val="auto"/>
              </w:rPr>
            </w:pPr>
            <w:r>
              <w:rPr>
                <w:rFonts w:ascii="Arial" w:cs="Arial" w:eastAsia="Arial" w:hAnsi="Arial"/>
                <w:sz w:val="16"/>
                <w:szCs w:val="16"/>
                <w:color w:val="333333"/>
              </w:rPr>
              <w:t>strategic acquisitions and divestitures, with the successful</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340" w:type="dxa"/>
            <w:vAlign w:val="bottom"/>
            <w:vMerge w:val="continue"/>
          </w:tcPr>
          <w:p>
            <w:pPr>
              <w:spacing w:after="0"/>
              <w:rPr>
                <w:sz w:val="5"/>
                <w:szCs w:val="5"/>
                <w:color w:val="auto"/>
              </w:rPr>
            </w:pPr>
          </w:p>
        </w:tc>
        <w:tc>
          <w:tcPr>
            <w:tcW w:w="5340" w:type="dxa"/>
            <w:vAlign w:val="bottom"/>
            <w:vMerge w:val="restart"/>
          </w:tcPr>
          <w:p>
            <w:pPr>
              <w:ind w:left="480"/>
              <w:spacing w:after="0"/>
              <w:rPr>
                <w:sz w:val="20"/>
                <w:szCs w:val="20"/>
                <w:color w:val="auto"/>
              </w:rPr>
            </w:pPr>
            <w:r>
              <w:rPr>
                <w:rFonts w:ascii="Arial" w:cs="Arial" w:eastAsia="Arial" w:hAnsi="Arial"/>
                <w:sz w:val="16"/>
                <w:szCs w:val="16"/>
                <w:color w:val="333333"/>
              </w:rPr>
              <w:t>understanding the perspective of the Company’s shareholders.</w:t>
            </w:r>
          </w:p>
        </w:tc>
        <w:tc>
          <w:tcPr>
            <w:tcW w:w="0" w:type="dxa"/>
            <w:vAlign w:val="bottom"/>
          </w:tcPr>
          <w:p>
            <w:pPr>
              <w:spacing w:after="0"/>
              <w:rPr>
                <w:sz w:val="1"/>
                <w:szCs w:val="1"/>
                <w:color w:val="auto"/>
              </w:rPr>
            </w:pPr>
          </w:p>
        </w:tc>
      </w:tr>
      <w:tr>
        <w:trPr>
          <w:trHeight w:val="147"/>
        </w:trPr>
        <w:tc>
          <w:tcPr>
            <w:tcW w:w="5340" w:type="dxa"/>
            <w:vAlign w:val="bottom"/>
            <w:vMerge w:val="restart"/>
          </w:tcPr>
          <w:p>
            <w:pPr>
              <w:ind w:left="220"/>
              <w:spacing w:after="0"/>
              <w:rPr>
                <w:sz w:val="20"/>
                <w:szCs w:val="20"/>
                <w:color w:val="auto"/>
              </w:rPr>
            </w:pPr>
            <w:r>
              <w:rPr>
                <w:rFonts w:ascii="Arial" w:cs="Arial" w:eastAsia="Arial" w:hAnsi="Arial"/>
                <w:sz w:val="16"/>
                <w:szCs w:val="16"/>
                <w:color w:val="333333"/>
              </w:rPr>
              <w:t>realization of expected synergies.</w:t>
            </w:r>
          </w:p>
        </w:tc>
        <w:tc>
          <w:tcPr>
            <w:tcW w:w="5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340" w:type="dxa"/>
            <w:vAlign w:val="bottom"/>
            <w:vMerge w:val="continue"/>
          </w:tcPr>
          <w:p>
            <w:pPr>
              <w:spacing w:after="0"/>
              <w:rPr>
                <w:sz w:val="5"/>
                <w:szCs w:val="5"/>
                <w:color w:val="auto"/>
              </w:rPr>
            </w:pPr>
          </w:p>
        </w:tc>
        <w:tc>
          <w:tcPr>
            <w:tcW w:w="5340" w:type="dxa"/>
            <w:vAlign w:val="bottom"/>
            <w:vMerge w:val="restart"/>
          </w:tcPr>
          <w:p>
            <w:pPr>
              <w:ind w:left="260"/>
              <w:spacing w:after="0"/>
              <w:rPr>
                <w:sz w:val="20"/>
                <w:szCs w:val="20"/>
                <w:color w:val="auto"/>
              </w:rPr>
            </w:pPr>
            <w:r>
              <w:rPr>
                <w:rFonts w:ascii="Arial" w:cs="Arial" w:eastAsia="Arial" w:hAnsi="Arial"/>
                <w:sz w:val="16"/>
                <w:szCs w:val="16"/>
                <w:color w:val="333333"/>
              </w:rPr>
              <w:t>•  Strong independent directors comprise 90% of the current Board,</w:t>
            </w:r>
          </w:p>
        </w:tc>
        <w:tc>
          <w:tcPr>
            <w:tcW w:w="0" w:type="dxa"/>
            <w:vAlign w:val="bottom"/>
          </w:tcPr>
          <w:p>
            <w:pPr>
              <w:spacing w:after="0"/>
              <w:rPr>
                <w:sz w:val="1"/>
                <w:szCs w:val="1"/>
                <w:color w:val="auto"/>
              </w:rPr>
            </w:pPr>
          </w:p>
        </w:tc>
      </w:tr>
      <w:tr>
        <w:trPr>
          <w:trHeight w:val="163"/>
        </w:trPr>
        <w:tc>
          <w:tcPr>
            <w:tcW w:w="5340" w:type="dxa"/>
            <w:vAlign w:val="bottom"/>
            <w:vMerge w:val="restart"/>
          </w:tcPr>
          <w:p>
            <w:pPr>
              <w:spacing w:after="0"/>
              <w:rPr>
                <w:sz w:val="20"/>
                <w:szCs w:val="20"/>
                <w:color w:val="auto"/>
              </w:rPr>
            </w:pPr>
            <w:r>
              <w:rPr>
                <w:rFonts w:ascii="Arial" w:cs="Arial" w:eastAsia="Arial" w:hAnsi="Arial"/>
                <w:sz w:val="16"/>
                <w:szCs w:val="16"/>
                <w:color w:val="333333"/>
              </w:rPr>
              <w:t>•  Mr. Nye has in-depth knowledge of safety, health, operational, legal,</w:t>
            </w:r>
          </w:p>
        </w:tc>
        <w:tc>
          <w:tcPr>
            <w:tcW w:w="5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340" w:type="dxa"/>
            <w:vAlign w:val="bottom"/>
            <w:vMerge w:val="continue"/>
          </w:tcPr>
          <w:p>
            <w:pPr>
              <w:spacing w:after="0"/>
              <w:rPr>
                <w:sz w:val="5"/>
                <w:szCs w:val="5"/>
                <w:color w:val="auto"/>
              </w:rPr>
            </w:pPr>
          </w:p>
        </w:tc>
        <w:tc>
          <w:tcPr>
            <w:tcW w:w="5340" w:type="dxa"/>
            <w:vAlign w:val="bottom"/>
            <w:vMerge w:val="restart"/>
          </w:tcPr>
          <w:p>
            <w:pPr>
              <w:ind w:left="480"/>
              <w:spacing w:after="0"/>
              <w:rPr>
                <w:sz w:val="20"/>
                <w:szCs w:val="20"/>
                <w:color w:val="auto"/>
              </w:rPr>
            </w:pPr>
            <w:r>
              <w:rPr>
                <w:rFonts w:ascii="Arial" w:cs="Arial" w:eastAsia="Arial" w:hAnsi="Arial"/>
                <w:sz w:val="16"/>
                <w:szCs w:val="16"/>
                <w:color w:val="333333"/>
              </w:rPr>
              <w:t>and open communications exist between Mr. Nye and the</w:t>
            </w:r>
          </w:p>
        </w:tc>
        <w:tc>
          <w:tcPr>
            <w:tcW w:w="0" w:type="dxa"/>
            <w:vAlign w:val="bottom"/>
          </w:tcPr>
          <w:p>
            <w:pPr>
              <w:spacing w:after="0"/>
              <w:rPr>
                <w:sz w:val="1"/>
                <w:szCs w:val="1"/>
                <w:color w:val="auto"/>
              </w:rPr>
            </w:pPr>
          </w:p>
        </w:tc>
      </w:tr>
      <w:tr>
        <w:trPr>
          <w:trHeight w:val="122"/>
        </w:trPr>
        <w:tc>
          <w:tcPr>
            <w:tcW w:w="5340" w:type="dxa"/>
            <w:vAlign w:val="bottom"/>
            <w:vMerge w:val="restart"/>
          </w:tcPr>
          <w:p>
            <w:pPr>
              <w:ind w:left="220"/>
              <w:spacing w:after="0"/>
              <w:rPr>
                <w:sz w:val="20"/>
                <w:szCs w:val="20"/>
                <w:color w:val="auto"/>
              </w:rPr>
            </w:pPr>
            <w:r>
              <w:rPr>
                <w:rFonts w:ascii="Arial" w:cs="Arial" w:eastAsia="Arial" w:hAnsi="Arial"/>
                <w:sz w:val="16"/>
                <w:szCs w:val="16"/>
                <w:color w:val="333333"/>
              </w:rPr>
              <w:t>environmental, regulatory and governance considerations that</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340" w:type="dxa"/>
            <w:vAlign w:val="bottom"/>
            <w:vMerge w:val="continue"/>
          </w:tcPr>
          <w:p>
            <w:pPr>
              <w:spacing w:after="0"/>
              <w:rPr>
                <w:sz w:val="5"/>
                <w:szCs w:val="5"/>
                <w:color w:val="auto"/>
              </w:rPr>
            </w:pPr>
          </w:p>
        </w:tc>
        <w:tc>
          <w:tcPr>
            <w:tcW w:w="5340" w:type="dxa"/>
            <w:vAlign w:val="bottom"/>
            <w:vMerge w:val="restart"/>
          </w:tcPr>
          <w:p>
            <w:pPr>
              <w:ind w:left="480"/>
              <w:spacing w:after="0"/>
              <w:rPr>
                <w:sz w:val="20"/>
                <w:szCs w:val="20"/>
                <w:color w:val="auto"/>
              </w:rPr>
            </w:pPr>
            <w:r>
              <w:rPr>
                <w:rFonts w:ascii="Arial" w:cs="Arial" w:eastAsia="Arial" w:hAnsi="Arial"/>
                <w:sz w:val="16"/>
                <w:szCs w:val="16"/>
                <w:color w:val="333333"/>
              </w:rPr>
              <w:t>independent directors.</w:t>
            </w:r>
          </w:p>
        </w:tc>
        <w:tc>
          <w:tcPr>
            <w:tcW w:w="0" w:type="dxa"/>
            <w:vAlign w:val="bottom"/>
          </w:tcPr>
          <w:p>
            <w:pPr>
              <w:spacing w:after="0"/>
              <w:rPr>
                <w:sz w:val="1"/>
                <w:szCs w:val="1"/>
                <w:color w:val="auto"/>
              </w:rPr>
            </w:pPr>
          </w:p>
        </w:tc>
      </w:tr>
      <w:tr>
        <w:trPr>
          <w:trHeight w:val="147"/>
        </w:trPr>
        <w:tc>
          <w:tcPr>
            <w:tcW w:w="5340" w:type="dxa"/>
            <w:vAlign w:val="bottom"/>
            <w:vMerge w:val="restart"/>
          </w:tcPr>
          <w:p>
            <w:pPr>
              <w:ind w:left="220"/>
              <w:spacing w:after="0"/>
              <w:rPr>
                <w:sz w:val="20"/>
                <w:szCs w:val="20"/>
                <w:color w:val="auto"/>
              </w:rPr>
            </w:pPr>
            <w:r>
              <w:rPr>
                <w:rFonts w:ascii="Arial" w:cs="Arial" w:eastAsia="Arial" w:hAnsi="Arial"/>
                <w:sz w:val="16"/>
                <w:szCs w:val="16"/>
                <w:color w:val="333333"/>
              </w:rPr>
              <w:t>impact the business and Board’s oversight of management.</w:t>
            </w:r>
          </w:p>
        </w:tc>
        <w:tc>
          <w:tcPr>
            <w:tcW w:w="5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340" w:type="dxa"/>
            <w:vAlign w:val="bottom"/>
            <w:vMerge w:val="continue"/>
          </w:tcPr>
          <w:p>
            <w:pPr>
              <w:spacing w:after="0"/>
              <w:rPr>
                <w:sz w:val="5"/>
                <w:szCs w:val="5"/>
                <w:color w:val="auto"/>
              </w:rPr>
            </w:pPr>
          </w:p>
        </w:tc>
        <w:tc>
          <w:tcPr>
            <w:tcW w:w="5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003415" cy="814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03415" cy="81470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344" w:right="60"/>
        <w:spacing w:after="0" w:line="246" w:lineRule="auto"/>
        <w:rPr>
          <w:sz w:val="20"/>
          <w:szCs w:val="20"/>
          <w:color w:val="auto"/>
        </w:rPr>
      </w:pPr>
      <w:r>
        <w:rPr>
          <w:rFonts w:ascii="Arial" w:cs="Arial" w:eastAsia="Arial" w:hAnsi="Arial"/>
          <w:sz w:val="18"/>
          <w:szCs w:val="18"/>
          <w:b w:val="1"/>
          <w:bCs w:val="1"/>
          <w:color w:val="333333"/>
        </w:rPr>
        <w:t>The Board believes that combining the Chair and CEO roles enhances accountability, ensures unified strategic direction, enables more efficient and informed Board leadership, particularly given the Company’s scale, complexity, and long-term strategic horizon, and that the structure is appropriately complemented by robust independent oversight, including a strong Lead Independent Director, active committee leadership, and governance practices designed to safeguard independence and protect shareholder interests.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Does the Board have a Lead Independent Director?</w:t>
      </w:r>
    </w:p>
    <w:p>
      <w:pPr>
        <w:spacing w:after="0" w:line="54"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333333"/>
        </w:rPr>
        <w:t xml:space="preserve">In deciding that a combined Chair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w:t>
      </w:r>
      <w:r>
        <w:rPr>
          <w:rFonts w:ascii="Arial" w:cs="Arial" w:eastAsia="Arial" w:hAnsi="Arial"/>
          <w:sz w:val="16"/>
          <w:szCs w:val="16"/>
          <w:i w:val="1"/>
          <w:iCs w:val="1"/>
          <w:color w:val="333333"/>
        </w:rPr>
        <w:t>Corporate Governance Guidelines</w:t>
      </w:r>
      <w:r>
        <w:rPr>
          <w:rFonts w:ascii="Arial" w:cs="Arial" w:eastAsia="Arial" w:hAnsi="Arial"/>
          <w:sz w:val="16"/>
          <w:szCs w:val="16"/>
          <w:color w:val="333333"/>
        </w:rPr>
        <w:t xml:space="preserve"> were revised to provide that in the event the Chair and Chief Executive Officer positions are held by one person, our independent Directors may designate a Lead Independent Director from among the independent Directors. The designation of the Lead Independent Director is to be made annually, with the expectation of the Board that the Lead Independent Director will be re-appointed for multiple, consecutive one-year terms. John J. Koraleski currently serves as the Lead Independent Director and Donald W. Slager will serve as the Company’s lead independent director upon Mr. Koraleski’s retirement.</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responsibilities of the Lead Independent Director include:</w:t>
      </w:r>
    </w:p>
    <w:p>
      <w:pPr>
        <w:spacing w:after="0" w:line="73" w:lineRule="exact"/>
        <w:rPr>
          <w:sz w:val="20"/>
          <w:szCs w:val="20"/>
          <w:color w:val="auto"/>
        </w:rPr>
      </w:pPr>
    </w:p>
    <w:p>
      <w:pPr>
        <w:ind w:left="224" w:hanging="224"/>
        <w:spacing w:after="0"/>
        <w:tabs>
          <w:tab w:leader="none" w:pos="224"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Presiding at Board meetings when the Chair is not present.</w:t>
      </w:r>
    </w:p>
    <w:p>
      <w:pPr>
        <w:spacing w:after="0" w:line="72" w:lineRule="exact"/>
        <w:rPr>
          <w:rFonts w:ascii="Arial" w:cs="Arial" w:eastAsia="Arial" w:hAnsi="Arial"/>
          <w:sz w:val="16"/>
          <w:szCs w:val="16"/>
          <w:color w:val="333333"/>
        </w:rPr>
      </w:pPr>
    </w:p>
    <w:p>
      <w:pPr>
        <w:ind w:left="224" w:right="340" w:hanging="224"/>
        <w:spacing w:after="0" w:line="286" w:lineRule="auto"/>
        <w:tabs>
          <w:tab w:leader="none" w:pos="224"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Presiding at executive sessions of the independent Directors, and meeting separately with the Chair after executive sessions to review the matters discussed during the executive sessions.</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Acting as a liaison between the Chair and the independent Directors.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Suggesting to the Chair agenda items for Board meetings and consulting with the Chair regarding Board meeting schedules.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Calling, where necessary, executive sessions of independent Directors.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Being available to meet with shareholders and other key constituents.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Acting as a resource for, and counsel to, the Chair.</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In addition, the Lead Independent Director attends and meets with shareholders at Company-sponsored Capital Markets Days.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How would interested parties make their concerns known to the independent Directors?</w:t>
      </w:r>
    </w:p>
    <w:p>
      <w:pPr>
        <w:spacing w:after="0" w:line="54" w:lineRule="exact"/>
        <w:rPr>
          <w:sz w:val="20"/>
          <w:szCs w:val="20"/>
          <w:color w:val="auto"/>
        </w:rPr>
      </w:pPr>
    </w:p>
    <w:p>
      <w:pPr>
        <w:jc w:val="both"/>
        <w:ind w:left="4" w:right="240"/>
        <w:spacing w:after="0" w:line="266" w:lineRule="auto"/>
        <w:rPr>
          <w:sz w:val="20"/>
          <w:szCs w:val="20"/>
          <w:color w:val="auto"/>
        </w:rPr>
      </w:pPr>
      <w:r>
        <w:rPr>
          <w:rFonts w:ascii="Arial" w:cs="Arial" w:eastAsia="Arial" w:hAnsi="Arial"/>
          <w:sz w:val="16"/>
          <w:szCs w:val="16"/>
          <w:color w:val="333333"/>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 (800) 209-4508. The Board has also designated the Corporate Secretary to facilitate communications to the Board.</w:t>
      </w:r>
    </w:p>
    <w:p>
      <w:pPr>
        <w:spacing w:after="0" w:line="34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508"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40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508" w:right="439" w:bottom="1440" w:gutter="0" w:footer="0" w:header="0"/>
          <w:type w:val="continuous"/>
        </w:sectPr>
      </w:pPr>
    </w:p>
    <w:bookmarkStart w:id="46" w:name="page47"/>
    <w:bookmarkEnd w:id="46"/>
    <w:p>
      <w:pPr>
        <w:jc w:val="center"/>
        <w:ind w:left="85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Corporate Governance    </w:t>
      </w:r>
    </w:p>
    <w:p>
      <w:pPr>
        <w:spacing w:after="0" w:line="15"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FFFFFF"/>
        </w:rPr>
        <w:t xml:space="preserve">      Matters    </w:t>
      </w:r>
    </w:p>
    <w:p>
      <w:pPr>
        <w:spacing w:after="0" w:line="266"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333333"/>
        </w:rPr>
        <w:t>Shareholders and other interested parties may communicate directly with the Board of Directors, or directly with the independent Directors, or an individual Director, including the Lead Independent Director, by writing to Martin Marietta, Attn: Corporate Secretary, 4123 Parklake Avenue, Raleigh, North Carolina 27612.</w:t>
      </w:r>
    </w:p>
    <w:p>
      <w:pPr>
        <w:spacing w:after="0" w:line="6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333333"/>
        </w:rPr>
        <w:t>All communications by shareholders or other interested parties addressed to the Board will be sent directly to Board members. While Martin Marietta’s Ethics Office and the Corporate Secretary may review, sort, and summarize these communications, all such communications will be presented to the independent Directors unless there is instruction from them to filter such communications (and in such event, any communication that has been filtered out will be made available to any independent Director who wishes to review it).</w:t>
      </w:r>
    </w:p>
    <w:p>
      <w:pPr>
        <w:spacing w:after="0" w:line="16"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333333"/>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we will identify those policies and procedures on our website at </w:t>
      </w:r>
      <w:r>
        <w:rPr>
          <w:rFonts w:ascii="Arial" w:cs="Arial" w:eastAsia="Arial" w:hAnsi="Arial"/>
          <w:sz w:val="16"/>
          <w:szCs w:val="16"/>
          <w:i w:val="1"/>
          <w:iCs w:val="1"/>
          <w:color w:val="333333"/>
        </w:rPr>
        <w:t>www.martinmarietta.com</w:t>
      </w:r>
      <w:r>
        <w:rPr>
          <w:rFonts w:ascii="Arial" w:cs="Arial" w:eastAsia="Arial" w:hAnsi="Arial"/>
          <w:sz w:val="16"/>
          <w:szCs w:val="16"/>
          <w:color w:val="333333"/>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How often did the Board meet during 2025?</w:t>
      </w:r>
    </w:p>
    <w:p>
      <w:pPr>
        <w:spacing w:after="0" w:line="54"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333333"/>
        </w:rPr>
        <w:t>Martin Marietta’s Board of Directors held four regularly scheduled meetings during 2025. There were two special meetings of the Board of Directors in 2025. There were also a total of 20 Committee meetings in 2025. In addition, management confers frequently with the Directors on an informal basis to discuss Company affairs.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How many times did Directors attend meetings of the Board and its Committees?</w:t>
      </w:r>
    </w:p>
    <w:p>
      <w:pPr>
        <w:spacing w:after="0" w:line="5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33333"/>
        </w:rPr>
        <w:t>Martin Marietta’s Directors are expected to attend 100% of the meetings of the Board and Committees of the Board on which they serve unless there is a good reason otherwise. In 2025, all Directors attended 100% of the meetings of the Board of Directors during their term of service on the Board. All Directors attended 100% of the meetings of the Committees of the Board on which they served (during the periods that they served) except one Director who missed one committee meeting due to a conflict.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Will the Directors attend the Annual Meeting?</w:t>
      </w:r>
    </w:p>
    <w:p>
      <w:pPr>
        <w:spacing w:after="0" w:line="54"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333333"/>
        </w:rPr>
        <w:t>Martin Marietta’s Directors are expected to be available to respond to questions and react to comments at Martin Marietta’s Annual Meeting of Shareholders. In 2025, all Directors attended the Annual Meeting in May.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Will the Nominating and Corporate Governance Committee consider any Director candidates recommended by shareholders?</w:t>
      </w:r>
    </w:p>
    <w:p>
      <w:pPr>
        <w:spacing w:after="0" w:line="5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333333"/>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and other requirements specified in the Bylaws of Martin Marietta. The Bylaws of Martin Marietta require advance notice for any proposal for the nomination for election as a Director at an Annual Meeting of Shareholders made by or at the direction of the Board of Directors. In general, nominations must be delivered to the Corporate Secretary of Martin Marietta at its principal executive offices, 4123 Parklake Avenue, Raleigh, North Carolina 27612,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and otherwise comply with the requirements specified in the Bylaws. Any shareholder desiring a copy of the Bylaws of Martin Marietta will be furnished a copy without charge upon written request to the Secretary of Martin Marietta. Additional information is contained in the section entitled Shareholders’ Proposals For 2027 Annual Meeting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How does the Board select nominees for the Board?</w:t>
      </w:r>
    </w:p>
    <w:p>
      <w:pPr>
        <w:spacing w:after="0" w:line="5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333333"/>
        </w:rPr>
        <w:t>The Nominating and Corporate Governance Committee will consider candidates for Board membership suggested by its members and other Board members, as well as management and shareholders. The Committee may also retain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41 </w:t>
      </w:r>
      <w:r>
        <w:rPr>
          <w:rFonts w:ascii="Arial" w:cs="Arial" w:eastAsia="Arial" w:hAnsi="Arial"/>
          <w:sz w:val="16"/>
          <w:szCs w:val="16"/>
          <w:color w:val="333333"/>
        </w:rPr>
        <w:t xml:space="preserve">               </w:t>
      </w:r>
    </w:p>
    <w:p>
      <w:pPr>
        <w:sectPr>
          <w:pgSz w:w="11900" w:h="16838" w:orient="portrait"/>
          <w:cols w:equalWidth="0" w:num="4">
            <w:col w:w="200" w:space="120"/>
            <w:col w:w="3540" w:space="720"/>
            <w:col w:w="4660" w:space="720"/>
            <w:col w:w="1060"/>
          </w:cols>
          <w:pgMar w:left="440" w:top="684" w:right="439" w:bottom="1440" w:gutter="0" w:footer="0" w:header="0"/>
          <w:type w:val="continuous"/>
        </w:sectPr>
      </w:pPr>
    </w:p>
    <w:bookmarkStart w:id="47" w:name="page48"/>
    <w:bookmarkEnd w:id="47"/>
    <w:p>
      <w:pPr>
        <w:jc w:val="center"/>
        <w:ind w:right="87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525905" cy="4718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25905" cy="471805"/>
                    </a:xfrm>
                    <a:prstGeom prst="rect">
                      <a:avLst/>
                    </a:prstGeom>
                    <a:noFill/>
                  </pic:spPr>
                </pic:pic>
              </a:graphicData>
            </a:graphic>
          </wp:anchor>
        </w:drawing>
        <w:t xml:space="preserve">      Corporate Governance    </w:t>
      </w:r>
    </w:p>
    <w:p>
      <w:pPr>
        <w:spacing w:after="0" w:line="15" w:lineRule="exact"/>
        <w:rPr>
          <w:sz w:val="20"/>
          <w:szCs w:val="20"/>
          <w:color w:val="auto"/>
        </w:rPr>
      </w:pPr>
    </w:p>
    <w:p>
      <w:pPr>
        <w:jc w:val="center"/>
        <w:ind w:right="8720"/>
        <w:spacing w:after="0"/>
        <w:rPr>
          <w:sz w:val="20"/>
          <w:szCs w:val="20"/>
          <w:color w:val="auto"/>
        </w:rPr>
      </w:pPr>
      <w:r>
        <w:rPr>
          <w:rFonts w:ascii="Arial" w:cs="Arial" w:eastAsia="Arial" w:hAnsi="Arial"/>
          <w:sz w:val="14"/>
          <w:szCs w:val="14"/>
          <w:b w:val="1"/>
          <w:bCs w:val="1"/>
          <w:color w:val="FFFFFF"/>
        </w:rPr>
        <w:t xml:space="preserve">      Matters    </w:t>
      </w:r>
    </w:p>
    <w:p>
      <w:pPr>
        <w:spacing w:after="0" w:line="347"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333333"/>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6"/>
          <w:szCs w:val="16"/>
          <w:i w:val="1"/>
          <w:iCs w:val="1"/>
          <w:color w:val="333333"/>
        </w:rPr>
        <w:t>Guidelines for Potential New Board Members</w:t>
      </w:r>
      <w:r>
        <w:rPr>
          <w:rFonts w:ascii="Arial" w:cs="Arial" w:eastAsia="Arial" w:hAnsi="Arial"/>
          <w:sz w:val="16"/>
          <w:szCs w:val="16"/>
          <w:color w:val="333333"/>
        </w:rPr>
        <w:t xml:space="preserve"> adopted by the Committee, and takes into account all other factors it considers appropriate. A copy of these Guidelines is attached to this Proxy Statement as Appendix 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Do the Board Committees have charters? How can shareholders obtain them?</w:t>
      </w:r>
    </w:p>
    <w:p>
      <w:pPr>
        <w:spacing w:after="0" w:line="5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333333"/>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and the charters of the other Committees of the Board, are posted on Martin Marietta’s website at https://ir.martinmarietta.com/corporate-governance/governance-documents-and-charters, along with copies of Martin Marietta’s </w:t>
      </w:r>
      <w:r>
        <w:rPr>
          <w:rFonts w:ascii="Arial" w:cs="Arial" w:eastAsia="Arial" w:hAnsi="Arial"/>
          <w:sz w:val="16"/>
          <w:szCs w:val="16"/>
          <w:i w:val="1"/>
          <w:iCs w:val="1"/>
          <w:color w:val="333333"/>
        </w:rPr>
        <w:t>Corporate Governance Guidelines</w:t>
      </w:r>
      <w:r>
        <w:rPr>
          <w:rFonts w:ascii="Arial" w:cs="Arial" w:eastAsia="Arial" w:hAnsi="Arial"/>
          <w:sz w:val="16"/>
          <w:szCs w:val="16"/>
          <w:color w:val="333333"/>
        </w:rPr>
        <w:t xml:space="preserve">, </w:t>
      </w:r>
      <w:r>
        <w:rPr>
          <w:rFonts w:ascii="Arial" w:cs="Arial" w:eastAsia="Arial" w:hAnsi="Arial"/>
          <w:sz w:val="16"/>
          <w:szCs w:val="16"/>
          <w:i w:val="1"/>
          <w:iCs w:val="1"/>
          <w:color w:val="333333"/>
        </w:rPr>
        <w:t>Code of Ethical Business</w:t>
      </w:r>
      <w:r>
        <w:rPr>
          <w:rFonts w:ascii="Arial" w:cs="Arial" w:eastAsia="Arial" w:hAnsi="Arial"/>
          <w:sz w:val="16"/>
          <w:szCs w:val="16"/>
          <w:color w:val="333333"/>
        </w:rPr>
        <w:t xml:space="preserve"> </w:t>
      </w:r>
      <w:r>
        <w:rPr>
          <w:rFonts w:ascii="Arial" w:cs="Arial" w:eastAsia="Arial" w:hAnsi="Arial"/>
          <w:sz w:val="16"/>
          <w:szCs w:val="16"/>
          <w:i w:val="1"/>
          <w:iCs w:val="1"/>
          <w:color w:val="333333"/>
        </w:rPr>
        <w:t>Conduct</w:t>
      </w:r>
      <w:r>
        <w:rPr>
          <w:rFonts w:ascii="Arial" w:cs="Arial" w:eastAsia="Arial" w:hAnsi="Arial"/>
          <w:sz w:val="16"/>
          <w:szCs w:val="16"/>
          <w:color w:val="333333"/>
        </w:rPr>
        <w:t>, and</w:t>
      </w:r>
      <w:r>
        <w:rPr>
          <w:rFonts w:ascii="Arial" w:cs="Arial" w:eastAsia="Arial" w:hAnsi="Arial"/>
          <w:sz w:val="16"/>
          <w:szCs w:val="16"/>
          <w:i w:val="1"/>
          <w:iCs w:val="1"/>
          <w:color w:val="333333"/>
        </w:rPr>
        <w:t xml:space="preserve"> Guidelines for Director’s Independence</w:t>
      </w:r>
      <w:r>
        <w:rPr>
          <w:rFonts w:ascii="Arial" w:cs="Arial" w:eastAsia="Arial" w:hAnsi="Arial"/>
          <w:sz w:val="16"/>
          <w:szCs w:val="16"/>
          <w:color w:val="333333"/>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How are transactions with persons related to Martin Marietta reviewed?</w:t>
      </w:r>
    </w:p>
    <w:p>
      <w:pPr>
        <w:spacing w:after="0" w:line="5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333333"/>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 Since January 1, 2025, there have been no such transactions.</w:t>
      </w:r>
    </w:p>
    <w:p>
      <w:pPr>
        <w:spacing w:after="0" w:line="70"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333333"/>
        </w:rPr>
        <w:t xml:space="preserve">Each Director, executive officer, and nominee for Director of Martin Marietta receives and agrees to abide by Martin Marietta’s </w:t>
      </w:r>
      <w:r>
        <w:rPr>
          <w:rFonts w:ascii="Arial" w:cs="Arial" w:eastAsia="Arial" w:hAnsi="Arial"/>
          <w:sz w:val="16"/>
          <w:szCs w:val="16"/>
          <w:i w:val="1"/>
          <w:iCs w:val="1"/>
          <w:color w:val="333333"/>
        </w:rPr>
        <w:t>Code of Ethical Business</w:t>
      </w:r>
      <w:r>
        <w:rPr>
          <w:rFonts w:ascii="Arial" w:cs="Arial" w:eastAsia="Arial" w:hAnsi="Arial"/>
          <w:sz w:val="16"/>
          <w:szCs w:val="16"/>
          <w:color w:val="333333"/>
        </w:rPr>
        <w:t xml:space="preserve"> </w:t>
      </w:r>
      <w:r>
        <w:rPr>
          <w:rFonts w:ascii="Arial" w:cs="Arial" w:eastAsia="Arial" w:hAnsi="Arial"/>
          <w:sz w:val="16"/>
          <w:szCs w:val="16"/>
          <w:i w:val="1"/>
          <w:iCs w:val="1"/>
          <w:color w:val="333333"/>
        </w:rPr>
        <w:t>Conduct</w:t>
      </w:r>
      <w:r>
        <w:rPr>
          <w:rFonts w:ascii="Arial" w:cs="Arial" w:eastAsia="Arial" w:hAnsi="Arial"/>
          <w:sz w:val="16"/>
          <w:szCs w:val="16"/>
          <w:color w:val="333333"/>
        </w:rPr>
        <w:t>. Martin Marietta considers that any transaction in which Martin Marietta participates and in which any related person of Martin Marietta has a</w:t>
      </w:r>
      <w:r>
        <w:rPr>
          <w:rFonts w:ascii="Arial" w:cs="Arial" w:eastAsia="Arial" w:hAnsi="Arial"/>
          <w:sz w:val="16"/>
          <w:szCs w:val="16"/>
          <w:i w:val="1"/>
          <w:iCs w:val="1"/>
          <w:color w:val="333333"/>
        </w:rPr>
        <w:t xml:space="preserve"> </w:t>
      </w:r>
      <w:r>
        <w:rPr>
          <w:rFonts w:ascii="Arial" w:cs="Arial" w:eastAsia="Arial" w:hAnsi="Arial"/>
          <w:sz w:val="16"/>
          <w:szCs w:val="16"/>
          <w:color w:val="333333"/>
        </w:rPr>
        <w:t xml:space="preserve">direct or indirect material interest will be subject to review, approval or ratification, as appropriate under the circumstances, by Martin Marietta under the standards enumerated in Martin Marietta’s </w:t>
      </w:r>
      <w:r>
        <w:rPr>
          <w:rFonts w:ascii="Arial" w:cs="Arial" w:eastAsia="Arial" w:hAnsi="Arial"/>
          <w:sz w:val="16"/>
          <w:szCs w:val="16"/>
          <w:i w:val="1"/>
          <w:iCs w:val="1"/>
          <w:color w:val="333333"/>
        </w:rPr>
        <w:t>Code of Ethical Business Conduct</w:t>
      </w:r>
      <w:r>
        <w:rPr>
          <w:rFonts w:ascii="Arial" w:cs="Arial" w:eastAsia="Arial" w:hAnsi="Arial"/>
          <w:sz w:val="16"/>
          <w:szCs w:val="16"/>
          <w:color w:val="333333"/>
        </w:rPr>
        <w:t>. If a proposed transaction is one in which a Director of Martin Marietta has an actual or potential conflict of interest, it will be subject to review by the Chair of the Board of Directors and the Chair of the Nominating and Corporate Governance Committee.</w:t>
      </w:r>
    </w:p>
    <w:p>
      <w:pPr>
        <w:spacing w:after="0" w:line="7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 xml:space="preserve">Any waivers of the </w:t>
      </w:r>
      <w:r>
        <w:rPr>
          <w:rFonts w:ascii="Arial" w:cs="Arial" w:eastAsia="Arial" w:hAnsi="Arial"/>
          <w:sz w:val="16"/>
          <w:szCs w:val="16"/>
          <w:i w:val="1"/>
          <w:iCs w:val="1"/>
          <w:color w:val="333333"/>
        </w:rPr>
        <w:t>Code of Ethical Business Conduct</w:t>
      </w:r>
      <w:r>
        <w:rPr>
          <w:rFonts w:ascii="Arial" w:cs="Arial" w:eastAsia="Arial" w:hAnsi="Arial"/>
          <w:sz w:val="16"/>
          <w:szCs w:val="16"/>
          <w:color w:val="333333"/>
        </w:rPr>
        <w:t xml:space="preserve"> for Directors and executive officers may be made only by Martin Marietta’s Board of Directors or any Committee to which it delegates that authority. Any waivers for Directors and executive officers and any amendments to the Code of Ethical Business Conduct will be promptly disclosed on our website, </w:t>
      </w:r>
      <w:r>
        <w:rPr>
          <w:rFonts w:ascii="Arial" w:cs="Arial" w:eastAsia="Arial" w:hAnsi="Arial"/>
          <w:sz w:val="16"/>
          <w:szCs w:val="16"/>
          <w:i w:val="1"/>
          <w:iCs w:val="1"/>
          <w:color w:val="333333"/>
        </w:rPr>
        <w:t>www.martinmarietta.com</w:t>
      </w:r>
      <w:r>
        <w:rPr>
          <w:rFonts w:ascii="Arial" w:cs="Arial" w:eastAsia="Arial" w:hAnsi="Arial"/>
          <w:sz w:val="16"/>
          <w:szCs w:val="16"/>
          <w:color w:val="333333"/>
        </w:rPr>
        <w:t>.</w:t>
      </w:r>
    </w:p>
    <w:p>
      <w:pPr>
        <w:spacing w:after="0" w:line="6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508"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42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508" w:right="439"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 w:right="80"/>
        <w:spacing w:after="0" w:line="254" w:lineRule="auto"/>
        <w:rPr>
          <w:sz w:val="20"/>
          <w:szCs w:val="20"/>
          <w:color w:val="auto"/>
        </w:rPr>
      </w:pPr>
      <w:r>
        <w:rPr>
          <w:rFonts w:ascii="Arial" w:cs="Arial" w:eastAsia="Arial" w:hAnsi="Arial"/>
          <w:sz w:val="16"/>
          <w:szCs w:val="16"/>
          <w:color w:val="333333"/>
        </w:rPr>
        <w:t>The Audit Committee has appointed PricewaterhouseCoopers LLP (PwC), an independent registered public accounting firm, to audit the consolidated financial statements of Martin Marietta and the effectiveness of Martin Marietta’s internal control over financial reporting for the 2026 fiscal year and the Board of Directors recommends that the shareholders ratify this appointment. The ratification of the appointment of PwC is being submitted to the shareholders because the Board of Directors believes this to be good corporate practice. Should the shareholders fail to ratify this appointment, the Audit Committee will review the matter and determine, in its sole discretion, whether PwC or another independent registered public accounting firm should be retained.</w:t>
      </w:r>
    </w:p>
    <w:p>
      <w:pPr>
        <w:spacing w:after="0" w:line="74"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333333"/>
        </w:rPr>
        <w:t>PwC served as Martin Marietta’s independent auditors for 2025 and audited the consolidated financial statements of Martin Marietta for the year ended December 31, 2025 and the effectiveness of Martin Marietta’s internal control over financial reporting as of December 31, 2025. In connection with the audit of Martin Marietta’s 2025 consolidated financial statements, Martin Marietta entered into an engagement letter with PwC that sets forth the terms by which PwC would perform audit services for Martin Marietta.</w:t>
      </w:r>
    </w:p>
    <w:p>
      <w:pPr>
        <w:spacing w:after="0" w:line="70" w:lineRule="exact"/>
        <w:rPr>
          <w:sz w:val="20"/>
          <w:szCs w:val="20"/>
          <w:color w:val="auto"/>
        </w:rPr>
      </w:pPr>
    </w:p>
    <w:p>
      <w:pPr>
        <w:ind w:left="4" w:right="280"/>
        <w:spacing w:after="0" w:line="266" w:lineRule="auto"/>
        <w:rPr>
          <w:sz w:val="20"/>
          <w:szCs w:val="20"/>
          <w:color w:val="auto"/>
        </w:rPr>
      </w:pPr>
      <w:r>
        <w:rPr>
          <w:rFonts w:ascii="Arial" w:cs="Arial" w:eastAsia="Arial" w:hAnsi="Arial"/>
          <w:sz w:val="16"/>
          <w:szCs w:val="16"/>
          <w:color w:val="333333"/>
        </w:rPr>
        <w:t>The Audit Committee is solely responsible for retaining or terminating Martin Marietta’s independent auditors. Representatives of PwC are expected to attend the Annual Meeting, will have the opportunity to make a statement if they so desire, and will be available to respond to questions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134620</wp:posOffset>
            </wp:positionV>
            <wp:extent cx="342900" cy="3346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0" cy="334645"/>
                    </a:xfrm>
                    <a:prstGeom prst="rect">
                      <a:avLst/>
                    </a:prstGeom>
                    <a:noFill/>
                  </pic:spPr>
                </pic:pic>
              </a:graphicData>
            </a:graphic>
          </wp:anchor>
        </w:drawing>
      </w:r>
    </w:p>
    <w:p>
      <w:pPr>
        <w:spacing w:after="0" w:line="270" w:lineRule="exact"/>
        <w:rPr>
          <w:sz w:val="20"/>
          <w:szCs w:val="20"/>
          <w:color w:val="auto"/>
        </w:rPr>
      </w:pPr>
    </w:p>
    <w:p>
      <w:pPr>
        <w:ind w:left="884"/>
        <w:spacing w:after="0"/>
        <w:rPr>
          <w:sz w:val="20"/>
          <w:szCs w:val="20"/>
          <w:color w:val="auto"/>
        </w:rPr>
      </w:pPr>
      <w:r>
        <w:rPr>
          <w:rFonts w:ascii="Arial" w:cs="Arial" w:eastAsia="Arial" w:hAnsi="Arial"/>
          <w:sz w:val="22"/>
          <w:szCs w:val="22"/>
          <w:color w:val="0086CC"/>
        </w:rPr>
        <w:t xml:space="preserve">The Board Unanimously Recommends a Vote </w:t>
      </w:r>
      <w:r>
        <w:rPr>
          <w:rFonts w:ascii="Arial" w:cs="Arial" w:eastAsia="Arial" w:hAnsi="Arial"/>
          <w:sz w:val="22"/>
          <w:szCs w:val="22"/>
          <w:b w:val="1"/>
          <w:bCs w:val="1"/>
          <w:color w:val="0086CC"/>
        </w:rPr>
        <w:t>“FOR”</w:t>
      </w:r>
      <w:r>
        <w:rPr>
          <w:rFonts w:ascii="Arial" w:cs="Arial" w:eastAsia="Arial" w:hAnsi="Arial"/>
          <w:sz w:val="22"/>
          <w:szCs w:val="22"/>
          <w:color w:val="0086CC"/>
        </w:rPr>
        <w:t xml:space="preserve"> on this Proposal 2 </w:t>
      </w:r>
    </w:p>
    <w:p>
      <w:pPr>
        <w:ind w:left="4"/>
        <w:spacing w:after="0"/>
        <w:rPr>
          <w:sz w:val="20"/>
          <w:szCs w:val="20"/>
          <w:color w:val="auto"/>
        </w:rPr>
      </w:pPr>
      <w:r>
        <w:rPr>
          <w:rFonts w:ascii="Arial" w:cs="Arial" w:eastAsia="Arial" w:hAnsi="Arial"/>
          <w:sz w:val="22"/>
          <w:szCs w:val="22"/>
          <w:color w:val="4D535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-1270</wp:posOffset>
            </wp:positionV>
            <wp:extent cx="642937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29375" cy="128905"/>
                    </a:xfrm>
                    <a:prstGeom prst="rect">
                      <a:avLst/>
                    </a:prstGeom>
                    <a:noFill/>
                  </pic:spPr>
                </pic:pic>
              </a:graphicData>
            </a:graphic>
          </wp:anchor>
        </w:drawing>
      </w:r>
    </w:p>
    <w:p>
      <w:pPr>
        <w:spacing w:after="0" w:line="36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Summary of Fees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following table summarizes the aggregate of fees billed for professional services rendered to Martin Marietta by PwC in 2025 and 2024.</w:t>
      </w:r>
    </w:p>
    <w:p>
      <w:pPr>
        <w:spacing w:after="0" w:line="262"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6520" w:type="dxa"/>
            <w:vAlign w:val="bottom"/>
            <w:tcBorders>
              <w:bottom w:val="single" w:sz="8" w:color="0086CC"/>
            </w:tcBorders>
          </w:tcPr>
          <w:p>
            <w:pPr>
              <w:spacing w:after="0"/>
              <w:rPr>
                <w:sz w:val="19"/>
                <w:szCs w:val="19"/>
                <w:color w:val="auto"/>
              </w:rPr>
            </w:pPr>
          </w:p>
        </w:tc>
        <w:tc>
          <w:tcPr>
            <w:tcW w:w="3300" w:type="dxa"/>
            <w:vAlign w:val="bottom"/>
            <w:tcBorders>
              <w:bottom w:val="single" w:sz="8" w:color="0086CC"/>
            </w:tcBorders>
          </w:tcPr>
          <w:p>
            <w:pPr>
              <w:jc w:val="right"/>
              <w:ind w:right="439"/>
              <w:spacing w:after="0"/>
              <w:rPr>
                <w:sz w:val="20"/>
                <w:szCs w:val="20"/>
                <w:color w:val="auto"/>
              </w:rPr>
            </w:pPr>
            <w:r>
              <w:rPr>
                <w:rFonts w:ascii="Arial" w:cs="Arial" w:eastAsia="Arial" w:hAnsi="Arial"/>
                <w:sz w:val="16"/>
                <w:szCs w:val="16"/>
                <w:b w:val="1"/>
                <w:bCs w:val="1"/>
                <w:color w:val="0086CC"/>
              </w:rPr>
              <w:t>2025</w:t>
            </w:r>
          </w:p>
        </w:tc>
        <w:tc>
          <w:tcPr>
            <w:tcW w:w="1200" w:type="dxa"/>
            <w:vAlign w:val="bottom"/>
            <w:tcBorders>
              <w:bottom w:val="single" w:sz="8" w:color="0086CC"/>
            </w:tcBorders>
          </w:tcPr>
          <w:p>
            <w:pPr>
              <w:jc w:val="right"/>
              <w:ind w:right="379"/>
              <w:spacing w:after="0"/>
              <w:rPr>
                <w:sz w:val="20"/>
                <w:szCs w:val="20"/>
                <w:color w:val="auto"/>
              </w:rPr>
            </w:pPr>
            <w:r>
              <w:rPr>
                <w:rFonts w:ascii="Arial" w:cs="Arial" w:eastAsia="Arial" w:hAnsi="Arial"/>
                <w:sz w:val="16"/>
                <w:szCs w:val="16"/>
                <w:b w:val="1"/>
                <w:bCs w:val="1"/>
                <w:color w:val="0086CC"/>
              </w:rPr>
              <w:t>2024</w:t>
            </w:r>
          </w:p>
        </w:tc>
      </w:tr>
      <w:tr>
        <w:trPr>
          <w:trHeight w:val="267"/>
        </w:trPr>
        <w:tc>
          <w:tcPr>
            <w:tcW w:w="6520" w:type="dxa"/>
            <w:vAlign w:val="bottom"/>
            <w:tcBorders>
              <w:bottom w:val="single" w:sz="8" w:color="4D5357"/>
            </w:tcBorders>
          </w:tcPr>
          <w:p>
            <w:pPr>
              <w:ind w:left="60"/>
              <w:spacing w:after="0" w:line="267" w:lineRule="exact"/>
              <w:rPr>
                <w:sz w:val="20"/>
                <w:szCs w:val="20"/>
                <w:color w:val="auto"/>
              </w:rPr>
            </w:pPr>
            <w:r>
              <w:rPr>
                <w:rFonts w:ascii="Arial" w:cs="Arial" w:eastAsia="Arial" w:hAnsi="Arial"/>
                <w:sz w:val="16"/>
                <w:szCs w:val="16"/>
                <w:b w:val="1"/>
                <w:bCs w:val="1"/>
                <w:color w:val="4D5357"/>
              </w:rPr>
              <w:t>Audit Fees</w:t>
            </w:r>
            <w:r>
              <w:rPr>
                <w:rFonts w:ascii="Arial" w:cs="Arial" w:eastAsia="Arial" w:hAnsi="Arial"/>
                <w:sz w:val="24"/>
                <w:szCs w:val="24"/>
                <w:b w:val="1"/>
                <w:bCs w:val="1"/>
                <w:color w:val="4D5357"/>
                <w:vertAlign w:val="superscript"/>
              </w:rPr>
              <w:t>1</w:t>
            </w:r>
          </w:p>
        </w:tc>
        <w:tc>
          <w:tcPr>
            <w:tcW w:w="3300" w:type="dxa"/>
            <w:vAlign w:val="bottom"/>
            <w:tcBorders>
              <w:bottom w:val="single" w:sz="8" w:color="4D5357"/>
            </w:tcBorders>
          </w:tcPr>
          <w:p>
            <w:pPr>
              <w:jc w:val="right"/>
              <w:ind w:right="199"/>
              <w:spacing w:after="0"/>
              <w:rPr>
                <w:sz w:val="20"/>
                <w:szCs w:val="20"/>
                <w:color w:val="auto"/>
              </w:rPr>
            </w:pPr>
            <w:r>
              <w:rPr>
                <w:rFonts w:ascii="Arial" w:cs="Arial" w:eastAsia="Arial" w:hAnsi="Arial"/>
                <w:sz w:val="16"/>
                <w:szCs w:val="16"/>
                <w:color w:val="4D5357"/>
              </w:rPr>
              <w:t>$4,080,000</w:t>
            </w:r>
          </w:p>
        </w:tc>
        <w:tc>
          <w:tcPr>
            <w:tcW w:w="120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$4,458,000</w:t>
            </w:r>
          </w:p>
        </w:tc>
      </w:tr>
      <w:tr>
        <w:trPr>
          <w:trHeight w:val="264"/>
        </w:trPr>
        <w:tc>
          <w:tcPr>
            <w:tcW w:w="652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Audit-Related Fees</w:t>
            </w:r>
            <w:r>
              <w:rPr>
                <w:rFonts w:ascii="Arial" w:cs="Arial" w:eastAsia="Arial" w:hAnsi="Arial"/>
                <w:sz w:val="24"/>
                <w:szCs w:val="24"/>
                <w:b w:val="1"/>
                <w:bCs w:val="1"/>
                <w:color w:val="4D5357"/>
                <w:vertAlign w:val="superscript"/>
              </w:rPr>
              <w:t>2</w:t>
            </w:r>
          </w:p>
        </w:tc>
        <w:tc>
          <w:tcPr>
            <w:tcW w:w="3300" w:type="dxa"/>
            <w:vAlign w:val="bottom"/>
            <w:tcBorders>
              <w:bottom w:val="single" w:sz="8" w:color="4D5357"/>
            </w:tcBorders>
          </w:tcPr>
          <w:p>
            <w:pPr>
              <w:jc w:val="right"/>
              <w:ind w:right="199"/>
              <w:spacing w:after="0"/>
              <w:rPr>
                <w:sz w:val="20"/>
                <w:szCs w:val="20"/>
                <w:color w:val="auto"/>
              </w:rPr>
            </w:pPr>
            <w:r>
              <w:rPr>
                <w:rFonts w:ascii="Arial" w:cs="Arial" w:eastAsia="Arial" w:hAnsi="Arial"/>
                <w:sz w:val="16"/>
                <w:szCs w:val="16"/>
                <w:color w:val="4D5357"/>
              </w:rPr>
              <w:t>110,000</w:t>
            </w:r>
          </w:p>
        </w:tc>
        <w:tc>
          <w:tcPr>
            <w:tcW w:w="120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110,000</w:t>
            </w:r>
          </w:p>
        </w:tc>
      </w:tr>
      <w:tr>
        <w:trPr>
          <w:trHeight w:val="256"/>
        </w:trPr>
        <w:tc>
          <w:tcPr>
            <w:tcW w:w="6520" w:type="dxa"/>
            <w:vAlign w:val="bottom"/>
          </w:tcPr>
          <w:p>
            <w:pPr>
              <w:ind w:left="60"/>
              <w:spacing w:after="0"/>
              <w:rPr>
                <w:sz w:val="20"/>
                <w:szCs w:val="20"/>
                <w:color w:val="auto"/>
              </w:rPr>
            </w:pPr>
            <w:r>
              <w:rPr>
                <w:rFonts w:ascii="Arial" w:cs="Arial" w:eastAsia="Arial" w:hAnsi="Arial"/>
                <w:sz w:val="16"/>
                <w:szCs w:val="16"/>
                <w:b w:val="1"/>
                <w:bCs w:val="1"/>
                <w:color w:val="4D5357"/>
              </w:rPr>
              <w:t>Tax Fees</w:t>
            </w:r>
          </w:p>
        </w:tc>
        <w:tc>
          <w:tcPr>
            <w:tcW w:w="3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
        </w:trPr>
        <w:tc>
          <w:tcPr>
            <w:tcW w:w="6520" w:type="dxa"/>
            <w:vAlign w:val="bottom"/>
            <w:tcBorders>
              <w:bottom w:val="single" w:sz="8" w:color="4D5357"/>
            </w:tcBorders>
          </w:tcPr>
          <w:p>
            <w:pPr>
              <w:spacing w:after="0" w:line="20" w:lineRule="exact"/>
              <w:rPr>
                <w:sz w:val="1"/>
                <w:szCs w:val="1"/>
                <w:color w:val="auto"/>
              </w:rPr>
            </w:pPr>
          </w:p>
        </w:tc>
        <w:tc>
          <w:tcPr>
            <w:tcW w:w="3300" w:type="dxa"/>
            <w:vAlign w:val="bottom"/>
            <w:tcBorders>
              <w:bottom w:val="single" w:sz="8" w:color="4D5357"/>
            </w:tcBorders>
          </w:tcPr>
          <w:p>
            <w:pPr>
              <w:spacing w:after="0" w:line="20" w:lineRule="exact"/>
              <w:rPr>
                <w:sz w:val="1"/>
                <w:szCs w:val="1"/>
                <w:color w:val="auto"/>
              </w:rPr>
            </w:pPr>
          </w:p>
        </w:tc>
        <w:tc>
          <w:tcPr>
            <w:tcW w:w="1200" w:type="dxa"/>
            <w:vAlign w:val="bottom"/>
            <w:tcBorders>
              <w:bottom w:val="single" w:sz="8" w:color="4D5357"/>
            </w:tcBorders>
          </w:tcPr>
          <w:p>
            <w:pPr>
              <w:spacing w:after="0" w:line="20" w:lineRule="exact"/>
              <w:rPr>
                <w:sz w:val="1"/>
                <w:szCs w:val="1"/>
                <w:color w:val="auto"/>
              </w:rPr>
            </w:pPr>
          </w:p>
        </w:tc>
      </w:tr>
      <w:tr>
        <w:trPr>
          <w:trHeight w:val="264"/>
        </w:trPr>
        <w:tc>
          <w:tcPr>
            <w:tcW w:w="652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All Other Fees</w:t>
            </w:r>
            <w:r>
              <w:rPr>
                <w:rFonts w:ascii="Arial" w:cs="Arial" w:eastAsia="Arial" w:hAnsi="Arial"/>
                <w:sz w:val="24"/>
                <w:szCs w:val="24"/>
                <w:b w:val="1"/>
                <w:bCs w:val="1"/>
                <w:color w:val="4D5357"/>
                <w:vertAlign w:val="superscript"/>
              </w:rPr>
              <w:t>3</w:t>
            </w:r>
          </w:p>
        </w:tc>
        <w:tc>
          <w:tcPr>
            <w:tcW w:w="3300" w:type="dxa"/>
            <w:vAlign w:val="bottom"/>
            <w:tcBorders>
              <w:bottom w:val="single" w:sz="8" w:color="4D5357"/>
            </w:tcBorders>
          </w:tcPr>
          <w:p>
            <w:pPr>
              <w:jc w:val="right"/>
              <w:ind w:right="199"/>
              <w:spacing w:after="0"/>
              <w:rPr>
                <w:sz w:val="20"/>
                <w:szCs w:val="20"/>
                <w:color w:val="auto"/>
              </w:rPr>
            </w:pPr>
            <w:r>
              <w:rPr>
                <w:rFonts w:ascii="Arial" w:cs="Arial" w:eastAsia="Arial" w:hAnsi="Arial"/>
                <w:sz w:val="16"/>
                <w:szCs w:val="16"/>
                <w:color w:val="4D5357"/>
              </w:rPr>
              <w:t>2,000</w:t>
            </w:r>
          </w:p>
        </w:tc>
        <w:tc>
          <w:tcPr>
            <w:tcW w:w="120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2,000</w:t>
            </w:r>
          </w:p>
        </w:tc>
      </w:tr>
      <w:tr>
        <w:trPr>
          <w:trHeight w:val="260"/>
        </w:trPr>
        <w:tc>
          <w:tcPr>
            <w:tcW w:w="6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TOTAL</w:t>
            </w:r>
          </w:p>
        </w:tc>
        <w:tc>
          <w:tcPr>
            <w:tcW w:w="3300" w:type="dxa"/>
            <w:vAlign w:val="bottom"/>
            <w:tcBorders>
              <w:bottom w:val="single" w:sz="8" w:color="4D5357"/>
            </w:tcBorders>
          </w:tcPr>
          <w:p>
            <w:pPr>
              <w:jc w:val="right"/>
              <w:ind w:right="199"/>
              <w:spacing w:after="0"/>
              <w:rPr>
                <w:sz w:val="20"/>
                <w:szCs w:val="20"/>
                <w:color w:val="auto"/>
              </w:rPr>
            </w:pPr>
            <w:r>
              <w:rPr>
                <w:rFonts w:ascii="Arial" w:cs="Arial" w:eastAsia="Arial" w:hAnsi="Arial"/>
                <w:sz w:val="16"/>
                <w:szCs w:val="16"/>
                <w:color w:val="4D5357"/>
              </w:rPr>
              <w:t>$4,192,000</w:t>
            </w:r>
          </w:p>
        </w:tc>
        <w:tc>
          <w:tcPr>
            <w:tcW w:w="120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$4,570,000</w:t>
            </w:r>
          </w:p>
        </w:tc>
      </w:tr>
      <w:tr>
        <w:trPr>
          <w:trHeight w:val="263"/>
        </w:trPr>
        <w:tc>
          <w:tcPr>
            <w:tcW w:w="6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Percentage of Audit &amp; Audit-Related Fees to Total Fees</w:t>
            </w:r>
          </w:p>
        </w:tc>
        <w:tc>
          <w:tcPr>
            <w:tcW w:w="330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99.9%</w:t>
            </w:r>
          </w:p>
        </w:tc>
        <w:tc>
          <w:tcPr>
            <w:tcW w:w="12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99.9%</w:t>
            </w:r>
          </w:p>
        </w:tc>
      </w:tr>
    </w:tbl>
    <w:p>
      <w:pPr>
        <w:spacing w:after="0" w:line="198" w:lineRule="exact"/>
        <w:rPr>
          <w:sz w:val="20"/>
          <w:szCs w:val="20"/>
          <w:color w:val="auto"/>
        </w:rPr>
      </w:pPr>
    </w:p>
    <w:p>
      <w:pPr>
        <w:ind w:left="224" w:right="60" w:hanging="224"/>
        <w:spacing w:after="0" w:line="243" w:lineRule="auto"/>
        <w:tabs>
          <w:tab w:leader="none" w:pos="224" w:val="left"/>
        </w:tabs>
        <w:numPr>
          <w:ilvl w:val="0"/>
          <w:numId w:val="52"/>
        </w:numPr>
        <w:rPr>
          <w:rFonts w:ascii="Arial" w:cs="Arial" w:eastAsia="Arial" w:hAnsi="Arial"/>
          <w:sz w:val="13"/>
          <w:szCs w:val="13"/>
          <w:color w:val="333333"/>
        </w:rPr>
      </w:pPr>
      <w:r>
        <w:rPr>
          <w:rFonts w:ascii="Arial" w:cs="Arial" w:eastAsia="Arial" w:hAnsi="Arial"/>
          <w:sz w:val="13"/>
          <w:szCs w:val="13"/>
          <w:color w:val="333333"/>
        </w:rPr>
        <w:t>Services in connection with the annual consolidated financial statement audit, the annual internal controls audit, reviews of the consolidated financial statements included in the quarterly reports, and consent.</w:t>
      </w:r>
    </w:p>
    <w:p>
      <w:pPr>
        <w:spacing w:after="0" w:line="35" w:lineRule="exact"/>
        <w:rPr>
          <w:sz w:val="20"/>
          <w:szCs w:val="20"/>
          <w:color w:val="auto"/>
        </w:rPr>
      </w:pPr>
    </w:p>
    <w:p>
      <w:pPr>
        <w:ind w:left="224" w:hanging="224"/>
        <w:spacing w:after="0"/>
        <w:tabs>
          <w:tab w:leader="none" w:pos="224" w:val="left"/>
        </w:tabs>
        <w:numPr>
          <w:ilvl w:val="0"/>
          <w:numId w:val="53"/>
        </w:numPr>
        <w:rPr>
          <w:rFonts w:ascii="Arial" w:cs="Arial" w:eastAsia="Arial" w:hAnsi="Arial"/>
          <w:sz w:val="13"/>
          <w:szCs w:val="13"/>
          <w:color w:val="333333"/>
        </w:rPr>
      </w:pPr>
      <w:r>
        <w:rPr>
          <w:rFonts w:ascii="Arial" w:cs="Arial" w:eastAsia="Arial" w:hAnsi="Arial"/>
          <w:sz w:val="13"/>
          <w:szCs w:val="13"/>
          <w:color w:val="333333"/>
        </w:rPr>
        <w:t>Services in connection with audit-related services, including agreed-upon procedures reports and subsidiary audits.</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3  Other fees include license fees for technical accounting software.</w:t>
      </w:r>
    </w:p>
    <w:p>
      <w:pPr>
        <w:spacing w:after="0" w:line="38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1440"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43 </w:t>
      </w:r>
      <w:r>
        <w:rPr>
          <w:rFonts w:ascii="Arial" w:cs="Arial" w:eastAsia="Arial" w:hAnsi="Arial"/>
          <w:sz w:val="16"/>
          <w:szCs w:val="16"/>
          <w:color w:val="333333"/>
        </w:rPr>
        <w:t xml:space="preserve">               </w:t>
      </w:r>
    </w:p>
    <w:p>
      <w:pPr>
        <w:sectPr>
          <w:pgSz w:w="11900" w:h="16838" w:orient="portrait"/>
          <w:cols w:equalWidth="0" w:num="4">
            <w:col w:w="44" w:space="120"/>
            <w:col w:w="3700" w:space="720"/>
            <w:col w:w="4660" w:space="720"/>
            <w:col w:w="1060"/>
          </w:cols>
          <w:pgMar w:left="436" w:top="1440" w:right="439" w:bottom="1440" w:gutter="0" w:footer="0" w:header="0"/>
          <w:type w:val="continuous"/>
        </w:sectPr>
      </w:pPr>
    </w:p>
    <w:bookmarkStart w:id="49" w:name="page50"/>
    <w:bookmarkEnd w:id="49"/>
    <w:p>
      <w:pPr>
        <w:jc w:val="center"/>
        <w:ind w:right="87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525905" cy="4718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25905" cy="471805"/>
                    </a:xfrm>
                    <a:prstGeom prst="rect">
                      <a:avLst/>
                    </a:prstGeom>
                    <a:noFill/>
                  </pic:spPr>
                </pic:pic>
              </a:graphicData>
            </a:graphic>
          </wp:anchor>
        </w:drawing>
        <w:t xml:space="preserve">      PROPOSAL 2    </w:t>
      </w:r>
    </w:p>
    <w:p>
      <w:pPr>
        <w:spacing w:after="0" w:line="15" w:lineRule="exact"/>
        <w:rPr>
          <w:sz w:val="20"/>
          <w:szCs w:val="20"/>
          <w:color w:val="auto"/>
        </w:rPr>
      </w:pPr>
    </w:p>
    <w:p>
      <w:pPr>
        <w:jc w:val="center"/>
        <w:ind w:right="8720"/>
        <w:spacing w:after="0"/>
        <w:rPr>
          <w:sz w:val="20"/>
          <w:szCs w:val="20"/>
          <w:color w:val="auto"/>
        </w:rPr>
      </w:pPr>
      <w:r>
        <w:rPr>
          <w:rFonts w:ascii="Arial" w:cs="Arial" w:eastAsia="Arial" w:hAnsi="Arial"/>
          <w:sz w:val="14"/>
          <w:szCs w:val="14"/>
          <w:b w:val="1"/>
          <w:bCs w:val="1"/>
          <w:color w:val="FFFFFF"/>
        </w:rPr>
        <w:t xml:space="preserve">      Independent Auditors    </w:t>
      </w:r>
    </w:p>
    <w:p>
      <w:pPr>
        <w:spacing w:after="0" w:line="331"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Pre-Approval Policies and Procedures</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33333"/>
        </w:rPr>
        <w:t>The Audit Committee has adopted a policy that requires advance approval of all audit, audit-related, tax services, and other services performed by its independent auditor. The policy provides for pre-approval by the Audit Committee of specifically defined audit and non-audit services. Unless the specific service has been previously pre-approved with respect to that year, the Audit Committee must approve the permitted service before the independent auditor is engaged to perform it. The Audit Committee has delegated to the Chair of the Audit Committee authority to approve permitted services, provided that the Chair reports any decision to the Committee at its next scheduled meeting.</w:t>
      </w:r>
    </w:p>
    <w:p>
      <w:pPr>
        <w:spacing w:after="0" w:line="124"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Audit Committee Review</w:t>
      </w:r>
    </w:p>
    <w:p>
      <w:pPr>
        <w:spacing w:after="0" w:line="12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333333"/>
        </w:rPr>
        <w:t>In connection with the Audit Committee’s review of services rendered and fees billed by the independent auditor, the Audit Committee has considered whether the provision of the non-audit related services described above is compatible with maintaining the independent auditors’ independence and has concluded that the provision of these services did not compromise such independence.</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08"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44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508" w:right="4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 Report</w:t>
      </w:r>
    </w:p>
    <w:p>
      <w:pPr>
        <w:spacing w:after="0" w:line="2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33333"/>
        </w:rPr>
        <w:t>The Audit Committee operates under a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SEC’s regulations, the NYSE listing standards, and the Guidelines for Director’s Independence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Guidelines for Director’s Independence can be viewed on Martin Marietta’s website at https://ir.martinmarietta.com/corporate-governance/governance-documents-and-charters.</w:t>
      </w:r>
    </w:p>
    <w:p>
      <w:pPr>
        <w:spacing w:after="0" w:line="7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333333"/>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6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333333"/>
        </w:rPr>
        <w:t xml:space="preserve">In the discharge of its responsibilities, the Audit Committee has reviewed and discussed with management and the independent auditors Martin Marietta’s audited consolidated financial statements for fiscal year 2025 and has discussed with the independent auditors the matters required to be discussed by the applicable requirements of the Public Company Accounting Oversight Board (PCAOB), the SEC and the NYSE. In addition, the Committee has discussed with the independent auditors matters such as the quality (in addition to acceptability), clarity, consistency, and completeness of Martin Marietta’s financial reporting, as required by Auditing Standard No. 1301, </w:t>
      </w:r>
      <w:r>
        <w:rPr>
          <w:rFonts w:ascii="Arial" w:cs="Arial" w:eastAsia="Arial" w:hAnsi="Arial"/>
          <w:sz w:val="16"/>
          <w:szCs w:val="16"/>
          <w:i w:val="1"/>
          <w:iCs w:val="1"/>
          <w:color w:val="333333"/>
        </w:rPr>
        <w:t>Communications with Audit Committees</w:t>
      </w:r>
      <w:r>
        <w:rPr>
          <w:rFonts w:ascii="Arial" w:cs="Arial" w:eastAsia="Arial" w:hAnsi="Arial"/>
          <w:sz w:val="16"/>
          <w:szCs w:val="16"/>
          <w:color w:val="333333"/>
        </w:rPr>
        <w:t>, as adopted by the PCAOB.</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33333"/>
        </w:rPr>
        <w:t>The Audit Committee has received from the independent auditors written disclosures and a letter concerning the independent auditors’ independence from Martin Marietta, as required by the PCAOB in Rule 3526, Communication with Audit Committees Concerning Independence, and has discussed with the independent auditors the independent auditors’ independence. These disclosures have been reviewed by the Committee and discussed with the independent auditors.</w:t>
      </w:r>
    </w:p>
    <w:p>
      <w:pPr>
        <w:spacing w:after="0" w:line="7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333333"/>
        </w:rPr>
        <w:t>Based on these reviews and discussions, the Audit Committee has recommended to the Board of Directors that the audited financial statements be included in Martin Marietta’s 2025 Annual Report on Form 10-K for filing with the SEC.</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333333"/>
        </w:rPr>
        <w:t>February 9, 2026</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AUDIT COMMITTEE</w:t>
      </w:r>
    </w:p>
    <w:p>
      <w:pPr>
        <w:spacing w:after="0" w:line="113" w:lineRule="exact"/>
        <w:rPr>
          <w:sz w:val="20"/>
          <w:szCs w:val="20"/>
          <w:color w:val="auto"/>
        </w:rPr>
      </w:pPr>
    </w:p>
    <w:p>
      <w:pPr>
        <w:ind w:left="5960"/>
        <w:spacing w:after="0"/>
        <w:rPr>
          <w:sz w:val="20"/>
          <w:szCs w:val="20"/>
          <w:color w:val="auto"/>
        </w:rPr>
      </w:pPr>
      <w:r>
        <w:rPr>
          <w:rFonts w:ascii="Arial" w:cs="Arial" w:eastAsia="Arial" w:hAnsi="Arial"/>
          <w:sz w:val="16"/>
          <w:szCs w:val="16"/>
          <w:color w:val="333333"/>
        </w:rPr>
        <w:t xml:space="preserve">David C. Wajsgras, </w:t>
      </w:r>
      <w:r>
        <w:rPr>
          <w:rFonts w:ascii="Arial" w:cs="Arial" w:eastAsia="Arial" w:hAnsi="Arial"/>
          <w:sz w:val="16"/>
          <w:szCs w:val="16"/>
          <w:i w:val="1"/>
          <w:iCs w:val="1"/>
          <w:color w:val="333333"/>
        </w:rPr>
        <w:t>Chair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333333"/>
        </w:rPr>
        <w:t>Dorothy M. Ables</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333333"/>
        </w:rPr>
        <w:t>John J. Koraleski</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333333"/>
        </w:rPr>
        <w:t>Laree E. Perez</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8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591820"/>
                    </a:xfrm>
                    <a:prstGeom prst="rect">
                      <a:avLst/>
                    </a:prstGeom>
                    <a:noFill/>
                  </pic:spPr>
                </pic:pic>
              </a:graphicData>
            </a:graphic>
          </wp:anchor>
        </w:drawing>
      </w:r>
    </w:p>
    <w:p>
      <w:pPr>
        <w:sectPr>
          <w:pgSz w:w="11900" w:h="16838" w:orient="portrait"/>
          <w:cols w:equalWidth="0" w:num="1">
            <w:col w:w="11020"/>
          </w:cols>
          <w:pgMar w:left="440" w:top="28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45 </w:t>
      </w:r>
      <w:r>
        <w:rPr>
          <w:rFonts w:ascii="Arial" w:cs="Arial" w:eastAsia="Arial" w:hAnsi="Arial"/>
          <w:sz w:val="16"/>
          <w:szCs w:val="16"/>
          <w:color w:val="333333"/>
        </w:rPr>
        <w:t xml:space="preserve">               </w:t>
      </w:r>
    </w:p>
    <w:p>
      <w:pPr>
        <w:sectPr>
          <w:pgSz w:w="11900" w:h="16838" w:orient="portrait"/>
          <w:cols w:equalWidth="0" w:num="4">
            <w:col w:w="200" w:space="120"/>
            <w:col w:w="3540" w:space="720"/>
            <w:col w:w="4660" w:space="720"/>
            <w:col w:w="1060"/>
          </w:cols>
          <w:pgMar w:left="440" w:top="285" w:right="4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Management Development and Compensation Committee Report</w:t>
      </w:r>
    </w:p>
    <w:p>
      <w:pPr>
        <w:spacing w:after="0" w:line="24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333333"/>
        </w:rPr>
        <w:t>The Management Development and Compensation Committee has reviewed and discussed with management the Compensation Discussion and Analysis beginning on page 48 of this Proxy Statement. Based on this review and discussion, the Management Development and Compensation Committee recommended to the Board of Directors that the Compensation Discussion and Analysis be included in Martin Marietta’s 2025 Annual Report on Form 10-K and this Proxy Statement.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333333"/>
        </w:rPr>
        <w:t>February 17, 2026</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MANAGEMENT DEVELOPMENT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COMPENSATION COMMITTEE</w:t>
      </w:r>
    </w:p>
    <w:p>
      <w:pPr>
        <w:spacing w:after="0" w:line="97" w:lineRule="exact"/>
        <w:rPr>
          <w:sz w:val="20"/>
          <w:szCs w:val="20"/>
          <w:color w:val="auto"/>
        </w:rPr>
      </w:pPr>
    </w:p>
    <w:p>
      <w:pPr>
        <w:ind w:left="5960"/>
        <w:spacing w:after="0"/>
        <w:rPr>
          <w:sz w:val="20"/>
          <w:szCs w:val="20"/>
          <w:color w:val="auto"/>
        </w:rPr>
      </w:pPr>
      <w:r>
        <w:rPr>
          <w:rFonts w:ascii="Arial" w:cs="Arial" w:eastAsia="Arial" w:hAnsi="Arial"/>
          <w:sz w:val="16"/>
          <w:szCs w:val="16"/>
          <w:color w:val="333333"/>
        </w:rPr>
        <w:t xml:space="preserve">John J. Koraleski, </w:t>
      </w:r>
      <w:r>
        <w:rPr>
          <w:rFonts w:ascii="Arial" w:cs="Arial" w:eastAsia="Arial" w:hAnsi="Arial"/>
          <w:sz w:val="16"/>
          <w:szCs w:val="16"/>
          <w:i w:val="1"/>
          <w:iCs w:val="1"/>
          <w:color w:val="333333"/>
        </w:rPr>
        <w:t>Chair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333333"/>
        </w:rPr>
        <w:t>Mary T. Mack</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333333"/>
        </w:rPr>
        <w:t>Donald W. Slager</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333333"/>
        </w:rPr>
        <w:t>David C. Wajsgras</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8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591820"/>
                    </a:xfrm>
                    <a:prstGeom prst="rect">
                      <a:avLst/>
                    </a:prstGeom>
                    <a:noFill/>
                  </pic:spPr>
                </pic:pic>
              </a:graphicData>
            </a:graphic>
          </wp:anchor>
        </w:drawing>
      </w:r>
    </w:p>
    <w:p>
      <w:pPr>
        <w:sectPr>
          <w:pgSz w:w="11900" w:h="16838" w:orient="portrait"/>
          <w:cols w:equalWidth="0" w:num="1">
            <w:col w:w="11020"/>
          </w:cols>
          <w:pgMar w:left="440" w:top="28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46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0" w:space="120"/>
            <w:col w:w="8620" w:space="720"/>
            <w:col w:w="780"/>
          </w:cols>
          <w:pgMar w:left="440" w:top="285" w:right="439" w:bottom="1440" w:gutter="0" w:footer="0" w:header="0"/>
          <w:type w:val="continuous"/>
        </w:sectPr>
      </w:pPr>
    </w:p>
    <w:bookmarkStart w:id="52" w:name="page53"/>
    <w:bookmarkEnd w:id="52"/>
    <w:p>
      <w:pPr>
        <w:ind w:right="1140"/>
        <w:spacing w:after="0" w:line="298" w:lineRule="auto"/>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Interlocks and Insider Participation in Compensation Decisions</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33333"/>
        </w:rPr>
        <w:t>The members of Martin Marietta’s Management Development and Compensation Committee are Directors Koraleski, Mack, Slager, and Wajsgras, none of whom has ever been an officer or employee of Martin Marietta or any of its subsidiaries, or had any relationship requiring disclosure by Martin Marietta under Item 404 of Regulation S-K of the SEC. There are no executive officer-Director interlocks where an executive of Martin Marietta serves on the compensation committee of another corporation that has an executive officer serving on Martin Marietta’s Board of Directors.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28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47 </w:t>
      </w:r>
      <w:r>
        <w:rPr>
          <w:rFonts w:ascii="Arial" w:cs="Arial" w:eastAsia="Arial" w:hAnsi="Arial"/>
          <w:sz w:val="16"/>
          <w:szCs w:val="16"/>
          <w:color w:val="333333"/>
        </w:rPr>
        <w:t xml:space="preserve">               </w:t>
      </w:r>
    </w:p>
    <w:p>
      <w:pPr>
        <w:sectPr>
          <w:pgSz w:w="11900" w:h="16838" w:orient="portrait"/>
          <w:cols w:equalWidth="0" w:num="3">
            <w:col w:w="3860" w:space="720"/>
            <w:col w:w="4660" w:space="720"/>
            <w:col w:w="1060"/>
          </w:cols>
          <w:pgMar w:left="440" w:top="285" w:right="4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Discussion and Analysis</w:t>
      </w:r>
    </w:p>
    <w:p>
      <w:pPr>
        <w:sectPr>
          <w:pgSz w:w="11900" w:h="16838" w:orient="portrait"/>
          <w:cols w:equalWidth="0" w:num="1">
            <w:col w:w="11020"/>
          </w:cols>
          <w:pgMar w:left="440" w:top="285" w:right="43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0000EE"/>
        </w:rPr>
        <w:t>Introduction</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0000EE"/>
        </w:rPr>
        <w:t>Summary of Our Compensation Considerations</w:t>
      </w:r>
    </w:p>
    <w:p>
      <w:pPr>
        <w:spacing w:after="0" w:line="33" w:lineRule="exact"/>
        <w:rPr>
          <w:sz w:val="20"/>
          <w:szCs w:val="20"/>
          <w:color w:val="auto"/>
        </w:rPr>
      </w:pPr>
    </w:p>
    <w:p>
      <w:pPr>
        <w:ind w:left="140"/>
        <w:spacing w:after="0" w:line="244" w:lineRule="auto"/>
        <w:rPr>
          <w:sz w:val="20"/>
          <w:szCs w:val="20"/>
          <w:color w:val="auto"/>
        </w:rPr>
      </w:pPr>
      <w:r>
        <w:rPr>
          <w:rFonts w:ascii="Arial" w:cs="Arial" w:eastAsia="Arial" w:hAnsi="Arial"/>
          <w:sz w:val="15"/>
          <w:szCs w:val="15"/>
          <w:b w:val="1"/>
          <w:bCs w:val="1"/>
          <w:u w:val="single" w:color="auto"/>
          <w:color w:val="0000EE"/>
        </w:rPr>
        <w:t>Responsiveness to Shareholders: Shareholder Engagement and Feedback on Executive Compensation Programs</w:t>
      </w:r>
    </w:p>
    <w:p>
      <w:pPr>
        <w:ind w:left="140"/>
        <w:spacing w:after="0"/>
        <w:rPr>
          <w:sz w:val="20"/>
          <w:szCs w:val="20"/>
          <w:color w:val="auto"/>
        </w:rPr>
      </w:pPr>
      <w:r>
        <w:rPr>
          <w:rFonts w:ascii="Arial" w:cs="Arial" w:eastAsia="Arial" w:hAnsi="Arial"/>
          <w:sz w:val="15"/>
          <w:szCs w:val="15"/>
          <w:b w:val="1"/>
          <w:bCs w:val="1"/>
          <w:u w:val="single" w:color="auto"/>
          <w:color w:val="0000EE"/>
        </w:rPr>
        <w:t>Our 2025 Performance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Sustainability, Safety and the Well-Being of Our Employees</w:t>
      </w:r>
    </w:p>
    <w:p>
      <w:pPr>
        <w:spacing w:after="0" w:line="17" w:lineRule="exact"/>
        <w:rPr>
          <w:sz w:val="20"/>
          <w:szCs w:val="20"/>
          <w:color w:val="auto"/>
        </w:rPr>
      </w:pPr>
    </w:p>
    <w:p>
      <w:pPr>
        <w:ind w:left="140" w:right="100"/>
        <w:spacing w:after="0" w:line="244" w:lineRule="auto"/>
        <w:rPr>
          <w:sz w:val="20"/>
          <w:szCs w:val="20"/>
          <w:color w:val="auto"/>
        </w:rPr>
      </w:pPr>
      <w:r>
        <w:rPr>
          <w:rFonts w:ascii="Arial" w:cs="Arial" w:eastAsia="Arial" w:hAnsi="Arial"/>
          <w:sz w:val="15"/>
          <w:szCs w:val="15"/>
          <w:b w:val="1"/>
          <w:bCs w:val="1"/>
          <w:u w:val="single" w:color="auto"/>
          <w:color w:val="0000EE"/>
        </w:rPr>
        <w:t>Compensation Decisions Yielding Alignment with Performance and Enhancing Our Corporate Resilience</w:t>
      </w:r>
    </w:p>
    <w:p>
      <w:pPr>
        <w:ind w:left="140" w:right="580"/>
        <w:spacing w:after="0" w:line="262" w:lineRule="auto"/>
        <w:rPr>
          <w:sz w:val="20"/>
          <w:szCs w:val="20"/>
          <w:color w:val="auto"/>
        </w:rPr>
      </w:pPr>
      <w:r>
        <w:rPr>
          <w:rFonts w:ascii="Arial" w:cs="Arial" w:eastAsia="Arial" w:hAnsi="Arial"/>
          <w:sz w:val="15"/>
          <w:szCs w:val="15"/>
          <w:b w:val="1"/>
          <w:bCs w:val="1"/>
          <w:u w:val="single" w:color="auto"/>
          <w:color w:val="0000EE"/>
        </w:rPr>
        <w:t>Pay Decisions and Compensation Governance Practices Determination of CEO Compensation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2025 Chair, President and CEO Compensation</w:t>
      </w:r>
    </w:p>
    <w:p>
      <w:pPr>
        <w:spacing w:after="0" w:line="17" w:lineRule="exact"/>
        <w:rPr>
          <w:sz w:val="20"/>
          <w:szCs w:val="20"/>
          <w:color w:val="auto"/>
        </w:rPr>
      </w:pPr>
    </w:p>
    <w:p>
      <w:pPr>
        <w:ind w:left="140" w:right="820"/>
        <w:spacing w:after="0" w:line="244" w:lineRule="auto"/>
        <w:rPr>
          <w:sz w:val="20"/>
          <w:szCs w:val="20"/>
          <w:color w:val="auto"/>
        </w:rPr>
      </w:pPr>
      <w:r>
        <w:rPr>
          <w:rFonts w:ascii="Arial" w:cs="Arial" w:eastAsia="Arial" w:hAnsi="Arial"/>
          <w:sz w:val="15"/>
          <w:szCs w:val="15"/>
          <w:b w:val="1"/>
          <w:bCs w:val="1"/>
          <w:u w:val="single" w:color="auto"/>
          <w:color w:val="0000EE"/>
        </w:rPr>
        <w:t>2025 Named Executive Officers’ Compensation – Our Compensation Strategy</w:t>
      </w:r>
    </w:p>
    <w:p>
      <w:pPr>
        <w:ind w:left="140" w:right="1280"/>
        <w:spacing w:after="0" w:line="262" w:lineRule="auto"/>
        <w:rPr>
          <w:sz w:val="20"/>
          <w:szCs w:val="20"/>
          <w:color w:val="auto"/>
        </w:rPr>
      </w:pPr>
      <w:r>
        <w:rPr>
          <w:rFonts w:ascii="Arial" w:cs="Arial" w:eastAsia="Arial" w:hAnsi="Arial"/>
          <w:sz w:val="15"/>
          <w:szCs w:val="15"/>
          <w:b w:val="1"/>
          <w:bCs w:val="1"/>
          <w:u w:val="single" w:color="auto"/>
          <w:color w:val="0000EE"/>
        </w:rPr>
        <w:t>Considerations Regarding 2025 Compensation 2025 Base Salary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2025 Annual Cash Incentive Goals and Results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2025 Actual Incentive Cash Earned</w:t>
      </w:r>
    </w:p>
    <w:p>
      <w:pPr>
        <w:spacing w:after="0" w:line="17" w:lineRule="exact"/>
        <w:rPr>
          <w:sz w:val="20"/>
          <w:szCs w:val="20"/>
          <w:color w:val="auto"/>
        </w:rPr>
      </w:pPr>
    </w:p>
    <w:p>
      <w:pPr>
        <w:ind w:left="140" w:right="980"/>
        <w:spacing w:after="0" w:line="262" w:lineRule="auto"/>
        <w:rPr>
          <w:sz w:val="20"/>
          <w:szCs w:val="20"/>
          <w:color w:val="auto"/>
        </w:rPr>
      </w:pPr>
      <w:r>
        <w:rPr>
          <w:rFonts w:ascii="Arial" w:cs="Arial" w:eastAsia="Arial" w:hAnsi="Arial"/>
          <w:sz w:val="15"/>
          <w:szCs w:val="15"/>
          <w:b w:val="1"/>
          <w:bCs w:val="1"/>
          <w:u w:val="single" w:color="auto"/>
          <w:color w:val="0000EE"/>
        </w:rPr>
        <w:t>Annual Incentive Feature: Incentive Stock Plan 2025 Long-Term Incentive Compensation Overview PSU Awards (55% of LTI Award) Selection of Relative TSR</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RSU Awards (45% of LTI Award)</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2025-2027 Performance Goals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2025 Performance Goals and Metrics</w:t>
      </w:r>
    </w:p>
    <w:p>
      <w:pPr>
        <w:spacing w:after="0" w:line="17" w:lineRule="exact"/>
        <w:rPr>
          <w:sz w:val="20"/>
          <w:szCs w:val="20"/>
          <w:color w:val="auto"/>
        </w:rPr>
      </w:pPr>
    </w:p>
    <w:p>
      <w:pPr>
        <w:ind w:right="1880" w:firstLine="144"/>
        <w:spacing w:after="0" w:line="300" w:lineRule="auto"/>
        <w:rPr>
          <w:sz w:val="20"/>
          <w:szCs w:val="20"/>
          <w:color w:val="auto"/>
        </w:rPr>
      </w:pPr>
      <w:r>
        <w:rPr>
          <w:rFonts w:ascii="Arial" w:cs="Arial" w:eastAsia="Arial" w:hAnsi="Arial"/>
          <w:sz w:val="15"/>
          <w:szCs w:val="15"/>
          <w:b w:val="1"/>
          <w:bCs w:val="1"/>
          <w:u w:val="single" w:color="auto"/>
          <w:color w:val="0000EE"/>
        </w:rPr>
        <w:t>2023-2025 PSU Award Payouts Ongoing Corporate Governance Policies Compensation Decision Process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Role of Independent Compensation Consultant</w:t>
      </w:r>
    </w:p>
    <w:p>
      <w:pPr>
        <w:spacing w:after="0" w:line="17" w:lineRule="exact"/>
        <w:rPr>
          <w:sz w:val="20"/>
          <w:szCs w:val="20"/>
          <w:color w:val="auto"/>
        </w:rPr>
      </w:pPr>
    </w:p>
    <w:p>
      <w:pPr>
        <w:ind w:left="140" w:right="780"/>
        <w:spacing w:after="0" w:line="270" w:lineRule="auto"/>
        <w:rPr>
          <w:sz w:val="20"/>
          <w:szCs w:val="20"/>
          <w:color w:val="auto"/>
        </w:rPr>
      </w:pPr>
      <w:r>
        <w:rPr>
          <w:rFonts w:ascii="Arial" w:cs="Arial" w:eastAsia="Arial" w:hAnsi="Arial"/>
          <w:sz w:val="15"/>
          <w:szCs w:val="15"/>
          <w:b w:val="1"/>
          <w:bCs w:val="1"/>
          <w:u w:val="single" w:color="auto"/>
          <w:color w:val="0000EE"/>
        </w:rPr>
        <w:t>Role of Peer Companies and Competitive Market Data Other Compensation Program Features Compensation Program Risk Assessment Stock-Based Awards Generally Stock Ownership Requirements</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Anti-Hedging and Pledging Policy</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Clawback Policy</w:t>
      </w:r>
    </w:p>
    <w:p>
      <w:pPr>
        <w:spacing w:after="0" w:line="17" w:lineRule="exact"/>
        <w:rPr>
          <w:sz w:val="20"/>
          <w:szCs w:val="20"/>
          <w:color w:val="auto"/>
        </w:rPr>
      </w:pPr>
    </w:p>
    <w:p>
      <w:pPr>
        <w:ind w:left="140" w:right="920"/>
        <w:spacing w:after="0" w:line="262" w:lineRule="auto"/>
        <w:rPr>
          <w:sz w:val="20"/>
          <w:szCs w:val="20"/>
          <w:color w:val="auto"/>
        </w:rPr>
      </w:pPr>
      <w:r>
        <w:rPr>
          <w:rFonts w:ascii="Arial" w:cs="Arial" w:eastAsia="Arial" w:hAnsi="Arial"/>
          <w:sz w:val="15"/>
          <w:szCs w:val="15"/>
          <w:b w:val="1"/>
          <w:bCs w:val="1"/>
          <w:u w:val="single" w:color="auto"/>
          <w:color w:val="0000EE"/>
        </w:rPr>
        <w:t>Our Use of Independent Compensation Consultants Practice Regarding Timing of Equity Grants Perquisites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0000EE"/>
        </w:rPr>
        <w:t>Retirement and Other Benefits</w:t>
      </w:r>
    </w:p>
    <w:p>
      <w:pPr>
        <w:spacing w:after="0" w:line="17" w:lineRule="exact"/>
        <w:rPr>
          <w:sz w:val="20"/>
          <w:szCs w:val="20"/>
          <w:color w:val="auto"/>
        </w:rPr>
      </w:pPr>
    </w:p>
    <w:p>
      <w:pPr>
        <w:ind w:left="140" w:right="380"/>
        <w:spacing w:after="0" w:line="293" w:lineRule="auto"/>
        <w:rPr>
          <w:sz w:val="20"/>
          <w:szCs w:val="20"/>
          <w:color w:val="auto"/>
        </w:rPr>
      </w:pPr>
      <w:r>
        <w:rPr>
          <w:rFonts w:ascii="Arial" w:cs="Arial" w:eastAsia="Arial" w:hAnsi="Arial"/>
          <w:sz w:val="15"/>
          <w:szCs w:val="15"/>
          <w:b w:val="1"/>
          <w:bCs w:val="1"/>
          <w:u w:val="single" w:color="auto"/>
          <w:color w:val="0000EE"/>
        </w:rPr>
        <w:t>Potential Payments upon Termination or Change of Control Tax and Accounting Implications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48</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5"/>
        <w:spacing w:after="0"/>
        <w:tabs>
          <w:tab w:leader="none" w:pos="545" w:val="left"/>
        </w:tabs>
        <w:rPr>
          <w:sz w:val="20"/>
          <w:szCs w:val="20"/>
          <w:color w:val="auto"/>
        </w:rPr>
      </w:pPr>
      <w:r>
        <w:rPr>
          <w:rFonts w:ascii="Arial" w:cs="Arial" w:eastAsia="Arial" w:hAnsi="Arial"/>
          <w:sz w:val="31"/>
          <w:szCs w:val="31"/>
          <w:b w:val="1"/>
          <w:bCs w:val="1"/>
          <w:color w:val="0086CC"/>
          <w:vertAlign w:val="superscript"/>
        </w:rPr>
        <w:t>48</w:t>
      </w:r>
      <w:r>
        <w:rPr>
          <w:sz w:val="20"/>
          <w:szCs w:val="20"/>
          <w:color w:val="auto"/>
        </w:rPr>
        <w:tab/>
      </w:r>
      <w:r>
        <w:rPr>
          <w:rFonts w:ascii="Arial" w:cs="Arial" w:eastAsia="Arial" w:hAnsi="Arial"/>
          <w:sz w:val="32"/>
          <w:szCs w:val="32"/>
          <w:b w:val="1"/>
          <w:bCs w:val="1"/>
          <w:color w:val="auto"/>
        </w:rPr>
        <w:t>Introduction</w:t>
      </w:r>
    </w:p>
    <w:p>
      <w:pPr>
        <w:ind w:left="5"/>
        <w:spacing w:after="0"/>
        <w:rPr>
          <w:sz w:val="20"/>
          <w:szCs w:val="20"/>
          <w:color w:val="auto"/>
        </w:rPr>
      </w:pPr>
      <w:r>
        <w:rPr>
          <w:rFonts w:ascii="Arial" w:cs="Arial" w:eastAsia="Arial" w:hAnsi="Arial"/>
          <w:sz w:val="15"/>
          <w:szCs w:val="15"/>
          <w:b w:val="1"/>
          <w:bCs w:val="1"/>
          <w:color w:val="0086CC"/>
        </w:rPr>
        <w:t>49</w:t>
      </w:r>
    </w:p>
    <w:p>
      <w:pPr>
        <w:ind w:left="565" w:hanging="565"/>
        <w:spacing w:after="0" w:line="187" w:lineRule="auto"/>
        <w:tabs>
          <w:tab w:leader="none" w:pos="565" w:val="left"/>
        </w:tabs>
        <w:numPr>
          <w:ilvl w:val="0"/>
          <w:numId w:val="54"/>
        </w:numPr>
        <w:rPr>
          <w:rFonts w:ascii="Arial" w:cs="Arial" w:eastAsia="Arial" w:hAnsi="Arial"/>
          <w:sz w:val="31"/>
          <w:szCs w:val="31"/>
          <w:b w:val="1"/>
          <w:bCs w:val="1"/>
          <w:color w:val="auto"/>
          <w:vertAlign w:val="subscript"/>
        </w:rPr>
      </w:pPr>
      <w:r>
        <w:rPr>
          <w:rFonts w:ascii="Arial" w:cs="Arial" w:eastAsia="Arial" w:hAnsi="Arial"/>
          <w:sz w:val="16"/>
          <w:szCs w:val="16"/>
          <w:color w:val="333333"/>
        </w:rPr>
        <w:t>This Compensation Discussion and Analysis, or CD&amp;A, describes our</w:t>
      </w:r>
    </w:p>
    <w:p>
      <w:pPr>
        <w:ind w:left="565" w:hanging="565"/>
        <w:spacing w:after="0" w:line="187" w:lineRule="auto"/>
        <w:tabs>
          <w:tab w:leader="none" w:pos="565" w:val="left"/>
        </w:tabs>
        <w:numPr>
          <w:ilvl w:val="0"/>
          <w:numId w:val="54"/>
        </w:numPr>
        <w:rPr>
          <w:rFonts w:ascii="Arial" w:cs="Arial" w:eastAsia="Arial" w:hAnsi="Arial"/>
          <w:sz w:val="21"/>
          <w:szCs w:val="21"/>
          <w:b w:val="1"/>
          <w:bCs w:val="1"/>
          <w:color w:val="auto"/>
          <w:vertAlign w:val="subscript"/>
        </w:rPr>
      </w:pPr>
      <w:r>
        <w:rPr>
          <w:rFonts w:ascii="Arial" w:cs="Arial" w:eastAsia="Arial" w:hAnsi="Arial"/>
          <w:sz w:val="13"/>
          <w:szCs w:val="13"/>
          <w:color w:val="333333"/>
        </w:rPr>
        <w:t>executive compensation program and the attendant oversight provided by</w:t>
      </w:r>
    </w:p>
    <w:p>
      <w:pPr>
        <w:ind w:left="565" w:right="40" w:hanging="565"/>
        <w:spacing w:after="0" w:line="183" w:lineRule="auto"/>
        <w:tabs>
          <w:tab w:leader="none" w:pos="565" w:val="left"/>
        </w:tabs>
        <w:numPr>
          <w:ilvl w:val="0"/>
          <w:numId w:val="54"/>
        </w:numPr>
        <w:rPr>
          <w:rFonts w:ascii="Arial" w:cs="Arial" w:eastAsia="Arial" w:hAnsi="Arial"/>
          <w:sz w:val="28"/>
          <w:szCs w:val="28"/>
          <w:b w:val="1"/>
          <w:bCs w:val="1"/>
          <w:color w:val="auto"/>
          <w:vertAlign w:val="subscript"/>
        </w:rPr>
      </w:pPr>
      <w:r>
        <w:rPr>
          <w:rFonts w:ascii="Arial" w:cs="Arial" w:eastAsia="Arial" w:hAnsi="Arial"/>
          <w:sz w:val="15"/>
          <w:szCs w:val="15"/>
          <w:color w:val="333333"/>
        </w:rPr>
        <w:t>the Management Development and Compensation Committee of the Board of Directors (the Committee). It also summarizes our executive</w:t>
      </w:r>
    </w:p>
    <w:p>
      <w:pPr>
        <w:ind w:left="565" w:hanging="565"/>
        <w:spacing w:after="0" w:line="180" w:lineRule="auto"/>
        <w:tabs>
          <w:tab w:leader="none" w:pos="565" w:val="left"/>
        </w:tabs>
        <w:numPr>
          <w:ilvl w:val="0"/>
          <w:numId w:val="55"/>
        </w:numPr>
        <w:rPr>
          <w:rFonts w:ascii="Arial" w:cs="Arial" w:eastAsia="Arial" w:hAnsi="Arial"/>
          <w:sz w:val="22"/>
          <w:szCs w:val="22"/>
          <w:b w:val="1"/>
          <w:bCs w:val="1"/>
          <w:color w:val="auto"/>
          <w:vertAlign w:val="subscript"/>
        </w:rPr>
      </w:pPr>
      <w:r>
        <w:rPr>
          <w:rFonts w:ascii="Arial" w:cs="Arial" w:eastAsia="Arial" w:hAnsi="Arial"/>
          <w:sz w:val="13"/>
          <w:szCs w:val="13"/>
          <w:color w:val="333333"/>
        </w:rPr>
        <w:t>compensation structure and discusses the compensation earned by Martin</w:t>
      </w:r>
    </w:p>
    <w:p>
      <w:pPr>
        <w:ind w:left="565" w:hanging="565"/>
        <w:spacing w:after="0" w:line="188" w:lineRule="auto"/>
        <w:tabs>
          <w:tab w:leader="none" w:pos="565" w:val="left"/>
        </w:tabs>
        <w:numPr>
          <w:ilvl w:val="0"/>
          <w:numId w:val="56"/>
        </w:numPr>
        <w:rPr>
          <w:rFonts w:ascii="Arial" w:cs="Arial" w:eastAsia="Arial" w:hAnsi="Arial"/>
          <w:sz w:val="21"/>
          <w:szCs w:val="21"/>
          <w:b w:val="1"/>
          <w:bCs w:val="1"/>
          <w:color w:val="auto"/>
          <w:vertAlign w:val="subscript"/>
        </w:rPr>
      </w:pPr>
      <w:r>
        <w:rPr>
          <w:rFonts w:ascii="Arial" w:cs="Arial" w:eastAsia="Arial" w:hAnsi="Arial"/>
          <w:sz w:val="13"/>
          <w:szCs w:val="13"/>
          <w:color w:val="333333"/>
        </w:rPr>
        <w:t>Marietta’s named executive officers, or NEOs (the CEO, each officer who</w:t>
      </w:r>
    </w:p>
    <w:p>
      <w:pPr>
        <w:ind w:left="565" w:hanging="565"/>
        <w:spacing w:after="0" w:line="187" w:lineRule="auto"/>
        <w:tabs>
          <w:tab w:leader="none" w:pos="565" w:val="left"/>
        </w:tabs>
        <w:numPr>
          <w:ilvl w:val="0"/>
          <w:numId w:val="56"/>
        </w:numPr>
        <w:rPr>
          <w:rFonts w:ascii="Arial" w:cs="Arial" w:eastAsia="Arial" w:hAnsi="Arial"/>
          <w:sz w:val="21"/>
          <w:szCs w:val="21"/>
          <w:b w:val="1"/>
          <w:bCs w:val="1"/>
          <w:color w:val="auto"/>
          <w:vertAlign w:val="subscript"/>
        </w:rPr>
      </w:pPr>
      <w:r>
        <w:rPr>
          <w:rFonts w:ascii="Arial" w:cs="Arial" w:eastAsia="Arial" w:hAnsi="Arial"/>
          <w:sz w:val="13"/>
          <w:szCs w:val="13"/>
          <w:color w:val="333333"/>
        </w:rPr>
        <w:t>served as the CFO during 2025, and the three other most highly</w:t>
      </w:r>
    </w:p>
    <w:p>
      <w:pPr>
        <w:ind w:left="565" w:right="100" w:hanging="565"/>
        <w:spacing w:after="0" w:line="183" w:lineRule="auto"/>
        <w:tabs>
          <w:tab w:leader="none" w:pos="565" w:val="left"/>
        </w:tabs>
        <w:numPr>
          <w:ilvl w:val="0"/>
          <w:numId w:val="56"/>
        </w:numPr>
        <w:rPr>
          <w:rFonts w:ascii="Arial" w:cs="Arial" w:eastAsia="Arial" w:hAnsi="Arial"/>
          <w:sz w:val="28"/>
          <w:szCs w:val="28"/>
          <w:b w:val="1"/>
          <w:bCs w:val="1"/>
          <w:color w:val="auto"/>
          <w:vertAlign w:val="subscript"/>
        </w:rPr>
      </w:pPr>
      <w:r>
        <w:rPr>
          <w:rFonts w:ascii="Arial" w:cs="Arial" w:eastAsia="Arial" w:hAnsi="Arial"/>
          <w:sz w:val="15"/>
          <w:szCs w:val="15"/>
          <w:color w:val="333333"/>
        </w:rPr>
        <w:t>compensated executive officers in 2025), as presented below in the tables under “</w:t>
      </w:r>
      <w:r>
        <w:rPr>
          <w:rFonts w:ascii="Arial" w:cs="Arial" w:eastAsia="Arial" w:hAnsi="Arial"/>
          <w:sz w:val="15"/>
          <w:szCs w:val="15"/>
          <w:i w:val="1"/>
          <w:iCs w:val="1"/>
          <w:color w:val="333333"/>
        </w:rPr>
        <w:t>Executive Compensation</w:t>
      </w:r>
      <w:r>
        <w:rPr>
          <w:rFonts w:ascii="Arial" w:cs="Arial" w:eastAsia="Arial" w:hAnsi="Arial"/>
          <w:sz w:val="15"/>
          <w:szCs w:val="15"/>
          <w:color w:val="333333"/>
        </w:rPr>
        <w:t>” following this CD&amp;A, which contain</w:t>
      </w:r>
    </w:p>
    <w:p>
      <w:pPr>
        <w:spacing w:after="0" w:line="1" w:lineRule="exact"/>
        <w:rPr>
          <w:sz w:val="20"/>
          <w:szCs w:val="20"/>
          <w:color w:val="auto"/>
        </w:rPr>
      </w:pPr>
    </w:p>
    <w:p>
      <w:pPr>
        <w:ind w:left="565" w:hanging="565"/>
        <w:spacing w:after="0"/>
        <w:tabs>
          <w:tab w:leader="none" w:pos="565" w:val="left"/>
        </w:tabs>
        <w:numPr>
          <w:ilvl w:val="0"/>
          <w:numId w:val="57"/>
        </w:numPr>
        <w:rPr>
          <w:rFonts w:ascii="Arial" w:cs="Arial" w:eastAsia="Arial" w:hAnsi="Arial"/>
          <w:sz w:val="15"/>
          <w:szCs w:val="15"/>
          <w:b w:val="1"/>
          <w:bCs w:val="1"/>
          <w:color w:val="auto"/>
        </w:rPr>
      </w:pPr>
      <w:r>
        <w:rPr>
          <w:rFonts w:ascii="Arial" w:cs="Arial" w:eastAsia="Arial" w:hAnsi="Arial"/>
          <w:sz w:val="16"/>
          <w:szCs w:val="16"/>
          <w:color w:val="333333"/>
        </w:rPr>
        <w:t>detailed compensation information quantifying and further explaining our</w:t>
      </w:r>
    </w:p>
    <w:p>
      <w:pPr>
        <w:spacing w:after="0" w:line="5" w:lineRule="exact"/>
        <w:rPr>
          <w:sz w:val="20"/>
          <w:szCs w:val="20"/>
          <w:color w:val="auto"/>
        </w:rPr>
      </w:pPr>
    </w:p>
    <w:p>
      <w:pPr>
        <w:ind w:left="565" w:hanging="565"/>
        <w:spacing w:after="0"/>
        <w:tabs>
          <w:tab w:leader="none" w:pos="565" w:val="left"/>
        </w:tabs>
        <w:numPr>
          <w:ilvl w:val="0"/>
          <w:numId w:val="58"/>
        </w:numPr>
        <w:rPr>
          <w:rFonts w:ascii="Arial" w:cs="Arial" w:eastAsia="Arial" w:hAnsi="Arial"/>
          <w:sz w:val="15"/>
          <w:szCs w:val="15"/>
          <w:b w:val="1"/>
          <w:bCs w:val="1"/>
          <w:color w:val="auto"/>
        </w:rPr>
      </w:pPr>
      <w:r>
        <w:rPr>
          <w:rFonts w:ascii="Arial" w:cs="Arial" w:eastAsia="Arial" w:hAnsi="Arial"/>
          <w:sz w:val="16"/>
          <w:szCs w:val="16"/>
          <w:color w:val="333333"/>
        </w:rPr>
        <w:t>NEOs’ compensation.</w:t>
      </w:r>
    </w:p>
    <w:p>
      <w:pPr>
        <w:spacing w:after="0" w:line="40" w:lineRule="exact"/>
        <w:rPr>
          <w:sz w:val="20"/>
          <w:szCs w:val="20"/>
          <w:color w:val="auto"/>
        </w:rPr>
      </w:pPr>
    </w:p>
    <w:tbl>
      <w:tblPr>
        <w:tblLayout w:type="fixed"/>
        <w:tblInd w:w="5" w:type="dxa"/>
        <w:tblCellMar>
          <w:top w:w="0" w:type="dxa"/>
          <w:left w:w="0" w:type="dxa"/>
          <w:bottom w:w="0" w:type="dxa"/>
          <w:right w:w="0" w:type="dxa"/>
        </w:tblCellMar>
      </w:tblPr>
      <w:tr>
        <w:trPr>
          <w:trHeight w:val="173"/>
        </w:trPr>
        <w:tc>
          <w:tcPr>
            <w:tcW w:w="360" w:type="dxa"/>
            <w:vAlign w:val="bottom"/>
          </w:tcPr>
          <w:p>
            <w:pPr>
              <w:jc w:val="right"/>
              <w:ind w:right="124"/>
              <w:spacing w:after="0"/>
              <w:rPr>
                <w:sz w:val="20"/>
                <w:szCs w:val="20"/>
                <w:color w:val="auto"/>
              </w:rPr>
            </w:pPr>
            <w:r>
              <w:rPr>
                <w:rFonts w:ascii="Arial" w:cs="Arial" w:eastAsia="Arial" w:hAnsi="Arial"/>
                <w:sz w:val="15"/>
                <w:szCs w:val="15"/>
                <w:b w:val="1"/>
                <w:bCs w:val="1"/>
                <w:color w:val="auto"/>
                <w:w w:val="83"/>
              </w:rPr>
              <w:t>61</w:t>
            </w: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The Company considers the input of our shareholders along with emerging</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62</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best practices, to ensure alignment of our executive pay programs with</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62</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shareholder interests. In 2025, we continued to implement changes to our</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66</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compensation program that were adopted in 2023 as a result of our robust</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66</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Fall Shareholder Engagement Program, including the use of a formulaic</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67</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short-term incentive program and continuing to disclose threshold and</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68</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maximum goals in addition to disclosure of targets with respect to our</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68</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vested long term incentive awards. The Company completed a 2024 Fall</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68</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Engagement Program, continued speaking with shareholders throughout</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69</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5560" w:type="dxa"/>
            <w:vAlign w:val="bottom"/>
            <w:vMerge w:val="restart"/>
          </w:tcPr>
          <w:p>
            <w:pPr>
              <w:ind w:left="200"/>
              <w:spacing w:after="0"/>
              <w:rPr>
                <w:sz w:val="20"/>
                <w:szCs w:val="20"/>
                <w:color w:val="auto"/>
              </w:rPr>
            </w:pPr>
            <w:r>
              <w:rPr>
                <w:rFonts w:ascii="Arial" w:cs="Arial" w:eastAsia="Arial" w:hAnsi="Arial"/>
                <w:sz w:val="16"/>
                <w:szCs w:val="16"/>
                <w:color w:val="333333"/>
              </w:rPr>
              <w:t>2025 and received feedback that shareholders generally approved of the</w:t>
            </w:r>
          </w:p>
        </w:tc>
        <w:tc>
          <w:tcPr>
            <w:tcW w:w="0" w:type="dxa"/>
            <w:vAlign w:val="bottom"/>
          </w:tcPr>
          <w:p>
            <w:pPr>
              <w:spacing w:after="0"/>
              <w:rPr>
                <w:sz w:val="1"/>
                <w:szCs w:val="1"/>
                <w:color w:val="auto"/>
              </w:rPr>
            </w:pPr>
          </w:p>
        </w:tc>
      </w:tr>
      <w:tr>
        <w:trPr>
          <w:trHeight w:val="73"/>
        </w:trPr>
        <w:tc>
          <w:tcPr>
            <w:tcW w:w="3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83"/>
              </w:rPr>
              <w:t>69</w:t>
            </w: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360" w:type="dxa"/>
            <w:vAlign w:val="bottom"/>
            <w:vMerge w:val="continue"/>
          </w:tcPr>
          <w:p>
            <w:pPr>
              <w:spacing w:after="0"/>
              <w:rPr>
                <w:sz w:val="11"/>
                <w:szCs w:val="11"/>
                <w:color w:val="auto"/>
              </w:rPr>
            </w:pPr>
          </w:p>
        </w:tc>
        <w:tc>
          <w:tcPr>
            <w:tcW w:w="5560" w:type="dxa"/>
            <w:vAlign w:val="bottom"/>
            <w:vMerge w:val="restart"/>
          </w:tcPr>
          <w:p>
            <w:pPr>
              <w:ind w:left="200"/>
              <w:spacing w:after="0" w:line="173" w:lineRule="exact"/>
              <w:rPr>
                <w:sz w:val="20"/>
                <w:szCs w:val="20"/>
                <w:color w:val="auto"/>
              </w:rPr>
            </w:pPr>
            <w:r>
              <w:rPr>
                <w:rFonts w:ascii="Arial" w:cs="Arial" w:eastAsia="Arial" w:hAnsi="Arial"/>
                <w:sz w:val="16"/>
                <w:szCs w:val="16"/>
                <w:color w:val="333333"/>
              </w:rPr>
              <w:t>Company’s compensation structure and as a result no major changes were</w:t>
            </w:r>
          </w:p>
        </w:tc>
        <w:tc>
          <w:tcPr>
            <w:tcW w:w="0" w:type="dxa"/>
            <w:vAlign w:val="bottom"/>
          </w:tcPr>
          <w:p>
            <w:pPr>
              <w:spacing w:after="0"/>
              <w:rPr>
                <w:sz w:val="1"/>
                <w:szCs w:val="1"/>
                <w:color w:val="auto"/>
              </w:rPr>
            </w:pPr>
          </w:p>
        </w:tc>
      </w:tr>
      <w:tr>
        <w:trPr>
          <w:trHeight w:val="35"/>
        </w:trPr>
        <w:tc>
          <w:tcPr>
            <w:tcW w:w="36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565" w:hanging="565"/>
        <w:spacing w:after="0" w:line="184" w:lineRule="auto"/>
        <w:tabs>
          <w:tab w:leader="none" w:pos="565" w:val="left"/>
        </w:tabs>
        <w:numPr>
          <w:ilvl w:val="0"/>
          <w:numId w:val="59"/>
        </w:numPr>
        <w:rPr>
          <w:rFonts w:ascii="Arial" w:cs="Arial" w:eastAsia="Arial" w:hAnsi="Arial"/>
          <w:sz w:val="26"/>
          <w:szCs w:val="26"/>
          <w:b w:val="1"/>
          <w:bCs w:val="1"/>
          <w:color w:val="0086CC"/>
          <w:vertAlign w:val="superscript"/>
        </w:rPr>
      </w:pPr>
      <w:r>
        <w:rPr>
          <w:rFonts w:ascii="Arial" w:cs="Arial" w:eastAsia="Arial" w:hAnsi="Arial"/>
          <w:sz w:val="15"/>
          <w:szCs w:val="15"/>
          <w:color w:val="333333"/>
        </w:rPr>
        <w:t>made in 2025. For 2025, our NEOs were:</w:t>
      </w:r>
    </w:p>
    <w:tbl>
      <w:tblPr>
        <w:tblLayout w:type="fixed"/>
        <w:tblInd w:w="5" w:type="dxa"/>
        <w:tblCellMar>
          <w:top w:w="0" w:type="dxa"/>
          <w:left w:w="0" w:type="dxa"/>
          <w:bottom w:w="0" w:type="dxa"/>
          <w:right w:w="0" w:type="dxa"/>
        </w:tblCellMar>
      </w:tblPr>
      <w:tr>
        <w:trPr>
          <w:trHeight w:val="173"/>
        </w:trPr>
        <w:tc>
          <w:tcPr>
            <w:tcW w:w="560" w:type="dxa"/>
            <w:vAlign w:val="bottom"/>
          </w:tcPr>
          <w:p>
            <w:pPr>
              <w:jc w:val="right"/>
              <w:ind w:right="324"/>
              <w:spacing w:after="0"/>
              <w:rPr>
                <w:sz w:val="20"/>
                <w:szCs w:val="20"/>
                <w:color w:val="auto"/>
              </w:rPr>
            </w:pPr>
            <w:r>
              <w:rPr>
                <w:rFonts w:ascii="Arial" w:cs="Arial" w:eastAsia="Arial" w:hAnsi="Arial"/>
                <w:sz w:val="15"/>
                <w:szCs w:val="15"/>
                <w:b w:val="1"/>
                <w:bCs w:val="1"/>
                <w:color w:val="0086CC"/>
                <w:w w:val="83"/>
              </w:rPr>
              <w:t>70</w:t>
            </w:r>
          </w:p>
        </w:tc>
        <w:tc>
          <w:tcPr>
            <w:tcW w:w="19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tcPr>
          <w:p>
            <w:pPr>
              <w:jc w:val="right"/>
              <w:ind w:right="324"/>
              <w:spacing w:after="0"/>
              <w:rPr>
                <w:sz w:val="20"/>
                <w:szCs w:val="20"/>
                <w:color w:val="auto"/>
              </w:rPr>
            </w:pPr>
            <w:r>
              <w:rPr>
                <w:rFonts w:ascii="Arial" w:cs="Arial" w:eastAsia="Arial" w:hAnsi="Arial"/>
                <w:sz w:val="15"/>
                <w:szCs w:val="15"/>
                <w:b w:val="1"/>
                <w:bCs w:val="1"/>
                <w:color w:val="auto"/>
                <w:w w:val="83"/>
              </w:rPr>
              <w:t>70</w:t>
            </w:r>
          </w:p>
        </w:tc>
        <w:tc>
          <w:tcPr>
            <w:tcW w:w="1980" w:type="dxa"/>
            <w:vAlign w:val="bottom"/>
            <w:vMerge w:val="restart"/>
          </w:tcPr>
          <w:p>
            <w:pPr>
              <w:ind w:left="80"/>
              <w:spacing w:after="0"/>
              <w:rPr>
                <w:sz w:val="20"/>
                <w:szCs w:val="20"/>
                <w:color w:val="auto"/>
              </w:rPr>
            </w:pPr>
            <w:r>
              <w:rPr>
                <w:rFonts w:ascii="Arial" w:cs="Arial" w:eastAsia="Arial" w:hAnsi="Arial"/>
                <w:sz w:val="16"/>
                <w:szCs w:val="16"/>
                <w:b w:val="1"/>
                <w:bCs w:val="1"/>
                <w:color w:val="0086CC"/>
              </w:rPr>
              <w:t>NEO</w:t>
            </w:r>
          </w:p>
        </w:tc>
        <w:tc>
          <w:tcPr>
            <w:tcW w:w="3420" w:type="dxa"/>
            <w:vAlign w:val="bottom"/>
            <w:vMerge w:val="restart"/>
          </w:tcPr>
          <w:p>
            <w:pPr>
              <w:ind w:left="1540"/>
              <w:spacing w:after="0"/>
              <w:rPr>
                <w:sz w:val="20"/>
                <w:szCs w:val="20"/>
                <w:color w:val="auto"/>
              </w:rPr>
            </w:pPr>
            <w:r>
              <w:rPr>
                <w:rFonts w:ascii="Arial" w:cs="Arial" w:eastAsia="Arial" w:hAnsi="Arial"/>
                <w:sz w:val="16"/>
                <w:szCs w:val="16"/>
                <w:b w:val="1"/>
                <w:bCs w:val="1"/>
                <w:color w:val="0086CC"/>
              </w:rPr>
              <w:t>TITLE</w:t>
            </w:r>
          </w:p>
        </w:tc>
        <w:tc>
          <w:tcPr>
            <w:tcW w:w="0" w:type="dxa"/>
            <w:vAlign w:val="bottom"/>
          </w:tcPr>
          <w:p>
            <w:pPr>
              <w:spacing w:after="0"/>
              <w:rPr>
                <w:sz w:val="1"/>
                <w:szCs w:val="1"/>
                <w:color w:val="auto"/>
              </w:rPr>
            </w:pPr>
          </w:p>
        </w:tc>
      </w:tr>
      <w:tr>
        <w:trPr>
          <w:trHeight w:val="102"/>
        </w:trPr>
        <w:tc>
          <w:tcPr>
            <w:tcW w:w="56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w w:val="83"/>
              </w:rPr>
              <w:t>71</w:t>
            </w:r>
          </w:p>
        </w:tc>
        <w:tc>
          <w:tcPr>
            <w:tcW w:w="1980" w:type="dxa"/>
            <w:vAlign w:val="bottom"/>
            <w:tcBorders>
              <w:bottom w:val="single" w:sz="8" w:color="0086CC"/>
            </w:tcBorders>
            <w:vMerge w:val="continue"/>
          </w:tcPr>
          <w:p>
            <w:pPr>
              <w:spacing w:after="0"/>
              <w:rPr>
                <w:sz w:val="8"/>
                <w:szCs w:val="8"/>
                <w:color w:val="auto"/>
              </w:rPr>
            </w:pPr>
          </w:p>
        </w:tc>
        <w:tc>
          <w:tcPr>
            <w:tcW w:w="3420" w:type="dxa"/>
            <w:vAlign w:val="bottom"/>
            <w:tcBorders>
              <w:bottom w:val="single" w:sz="8" w:color="0086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560" w:type="dxa"/>
            <w:vAlign w:val="bottom"/>
            <w:vMerge w:val="continue"/>
          </w:tcPr>
          <w:p>
            <w:pPr>
              <w:spacing w:after="0"/>
              <w:rPr>
                <w:sz w:val="6"/>
                <w:szCs w:val="6"/>
                <w:color w:val="auto"/>
              </w:rPr>
            </w:pPr>
          </w:p>
        </w:tc>
        <w:tc>
          <w:tcPr>
            <w:tcW w:w="1980" w:type="dxa"/>
            <w:vAlign w:val="bottom"/>
            <w:vMerge w:val="restart"/>
          </w:tcPr>
          <w:p>
            <w:pPr>
              <w:ind w:left="80"/>
              <w:spacing w:after="0"/>
              <w:rPr>
                <w:sz w:val="20"/>
                <w:szCs w:val="20"/>
                <w:color w:val="auto"/>
              </w:rPr>
            </w:pPr>
            <w:r>
              <w:rPr>
                <w:rFonts w:ascii="Arial" w:cs="Arial" w:eastAsia="Arial" w:hAnsi="Arial"/>
                <w:sz w:val="16"/>
                <w:szCs w:val="16"/>
                <w:b w:val="1"/>
                <w:bCs w:val="1"/>
                <w:color w:val="4D5357"/>
              </w:rPr>
              <w:t>C. Howard Nye</w:t>
            </w: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Chair of the Board, President and Chief</w:t>
            </w:r>
          </w:p>
        </w:tc>
        <w:tc>
          <w:tcPr>
            <w:tcW w:w="0" w:type="dxa"/>
            <w:vAlign w:val="bottom"/>
          </w:tcPr>
          <w:p>
            <w:pPr>
              <w:spacing w:after="0"/>
              <w:rPr>
                <w:sz w:val="1"/>
                <w:szCs w:val="1"/>
                <w:color w:val="auto"/>
              </w:rPr>
            </w:pPr>
          </w:p>
        </w:tc>
      </w:tr>
      <w:tr>
        <w:trPr>
          <w:trHeight w:val="154"/>
        </w:trPr>
        <w:tc>
          <w:tcPr>
            <w:tcW w:w="560" w:type="dxa"/>
            <w:vAlign w:val="bottom"/>
          </w:tcPr>
          <w:p>
            <w:pPr>
              <w:jc w:val="right"/>
              <w:ind w:right="324"/>
              <w:spacing w:after="0" w:line="154" w:lineRule="exact"/>
              <w:rPr>
                <w:sz w:val="20"/>
                <w:szCs w:val="20"/>
                <w:color w:val="auto"/>
              </w:rPr>
            </w:pPr>
            <w:r>
              <w:rPr>
                <w:rFonts w:ascii="Arial" w:cs="Arial" w:eastAsia="Arial" w:hAnsi="Arial"/>
                <w:sz w:val="15"/>
                <w:szCs w:val="15"/>
                <w:b w:val="1"/>
                <w:bCs w:val="1"/>
                <w:color w:val="auto"/>
                <w:w w:val="83"/>
              </w:rPr>
              <w:t>73</w:t>
            </w:r>
          </w:p>
        </w:tc>
        <w:tc>
          <w:tcPr>
            <w:tcW w:w="1980" w:type="dxa"/>
            <w:vAlign w:val="bottom"/>
            <w:vMerge w:val="continue"/>
          </w:tcPr>
          <w:p>
            <w:pPr>
              <w:spacing w:after="0"/>
              <w:rPr>
                <w:sz w:val="13"/>
                <w:szCs w:val="13"/>
                <w:color w:val="auto"/>
              </w:rPr>
            </w:pP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0" w:type="dxa"/>
            <w:vAlign w:val="bottom"/>
          </w:tcPr>
          <w:p>
            <w:pPr>
              <w:jc w:val="right"/>
              <w:ind w:right="324"/>
              <w:spacing w:after="0"/>
              <w:rPr>
                <w:sz w:val="20"/>
                <w:szCs w:val="20"/>
                <w:color w:val="auto"/>
              </w:rPr>
            </w:pPr>
            <w:r>
              <w:rPr>
                <w:rFonts w:ascii="Arial" w:cs="Arial" w:eastAsia="Arial" w:hAnsi="Arial"/>
                <w:sz w:val="15"/>
                <w:szCs w:val="15"/>
                <w:b w:val="1"/>
                <w:bCs w:val="1"/>
                <w:color w:val="auto"/>
                <w:w w:val="83"/>
              </w:rPr>
              <w:t>73</w:t>
            </w:r>
          </w:p>
        </w:tc>
        <w:tc>
          <w:tcPr>
            <w:tcW w:w="1980" w:type="dxa"/>
            <w:vAlign w:val="bottom"/>
            <w:tcBorders>
              <w:bottom w:val="single" w:sz="8" w:color="4D5357"/>
            </w:tcBorders>
          </w:tcPr>
          <w:p>
            <w:pPr>
              <w:spacing w:after="0"/>
              <w:rPr>
                <w:sz w:val="19"/>
                <w:szCs w:val="19"/>
                <w:color w:val="auto"/>
              </w:rPr>
            </w:pPr>
          </w:p>
        </w:tc>
        <w:tc>
          <w:tcPr>
            <w:tcW w:w="3420" w:type="dxa"/>
            <w:vAlign w:val="bottom"/>
            <w:tcBorders>
              <w:bottom w:val="single" w:sz="8" w:color="4D5357"/>
            </w:tcBorders>
          </w:tcPr>
          <w:p>
            <w:pPr>
              <w:ind w:left="320"/>
              <w:spacing w:after="0"/>
              <w:rPr>
                <w:sz w:val="20"/>
                <w:szCs w:val="20"/>
                <w:color w:val="auto"/>
              </w:rPr>
            </w:pPr>
            <w:r>
              <w:rPr>
                <w:rFonts w:ascii="Arial" w:cs="Arial" w:eastAsia="Arial" w:hAnsi="Arial"/>
                <w:sz w:val="16"/>
                <w:szCs w:val="16"/>
                <w:color w:val="4D5357"/>
              </w:rPr>
              <w:t>Executive Officer</w:t>
            </w:r>
          </w:p>
        </w:tc>
        <w:tc>
          <w:tcPr>
            <w:tcW w:w="0" w:type="dxa"/>
            <w:vAlign w:val="bottom"/>
          </w:tcPr>
          <w:p>
            <w:pPr>
              <w:spacing w:after="0"/>
              <w:rPr>
                <w:sz w:val="1"/>
                <w:szCs w:val="1"/>
                <w:color w:val="auto"/>
              </w:rPr>
            </w:pPr>
          </w:p>
        </w:tc>
      </w:tr>
      <w:tr>
        <w:trPr>
          <w:trHeight w:val="163"/>
        </w:trPr>
        <w:tc>
          <w:tcPr>
            <w:tcW w:w="560" w:type="dxa"/>
            <w:vAlign w:val="bottom"/>
          </w:tcPr>
          <w:p>
            <w:pPr>
              <w:jc w:val="right"/>
              <w:ind w:right="324"/>
              <w:spacing w:after="0" w:line="163" w:lineRule="exact"/>
              <w:rPr>
                <w:sz w:val="20"/>
                <w:szCs w:val="20"/>
                <w:color w:val="auto"/>
              </w:rPr>
            </w:pPr>
            <w:r>
              <w:rPr>
                <w:rFonts w:ascii="Arial" w:cs="Arial" w:eastAsia="Arial" w:hAnsi="Arial"/>
                <w:sz w:val="15"/>
                <w:szCs w:val="15"/>
                <w:b w:val="1"/>
                <w:bCs w:val="1"/>
                <w:color w:val="auto"/>
                <w:w w:val="83"/>
              </w:rPr>
              <w:t>73</w:t>
            </w:r>
          </w:p>
        </w:tc>
        <w:tc>
          <w:tcPr>
            <w:tcW w:w="1980" w:type="dxa"/>
            <w:vAlign w:val="bottom"/>
            <w:vMerge w:val="restart"/>
          </w:tcPr>
          <w:p>
            <w:pPr>
              <w:ind w:left="80"/>
              <w:spacing w:after="0"/>
              <w:rPr>
                <w:sz w:val="20"/>
                <w:szCs w:val="20"/>
                <w:color w:val="auto"/>
              </w:rPr>
            </w:pPr>
            <w:r>
              <w:rPr>
                <w:rFonts w:ascii="Arial" w:cs="Arial" w:eastAsia="Arial" w:hAnsi="Arial"/>
                <w:sz w:val="16"/>
                <w:szCs w:val="16"/>
                <w:b w:val="1"/>
                <w:bCs w:val="1"/>
                <w:color w:val="4D5357"/>
              </w:rPr>
              <w:t>Michael J. Petro</w:t>
            </w: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Senior Vice President and Chief</w:t>
            </w:r>
          </w:p>
        </w:tc>
        <w:tc>
          <w:tcPr>
            <w:tcW w:w="0" w:type="dxa"/>
            <w:vAlign w:val="bottom"/>
          </w:tcPr>
          <w:p>
            <w:pPr>
              <w:spacing w:after="0"/>
              <w:rPr>
                <w:sz w:val="1"/>
                <w:szCs w:val="1"/>
                <w:color w:val="auto"/>
              </w:rPr>
            </w:pPr>
          </w:p>
        </w:tc>
      </w:tr>
      <w:tr>
        <w:trPr>
          <w:trHeight w:val="59"/>
        </w:trPr>
        <w:tc>
          <w:tcPr>
            <w:tcW w:w="56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w w:val="83"/>
              </w:rPr>
              <w:t>73</w:t>
            </w:r>
          </w:p>
        </w:tc>
        <w:tc>
          <w:tcPr>
            <w:tcW w:w="1980" w:type="dxa"/>
            <w:vAlign w:val="bottom"/>
            <w:vMerge w:val="continue"/>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6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Financial Officer</w:t>
            </w:r>
          </w:p>
        </w:tc>
        <w:tc>
          <w:tcPr>
            <w:tcW w:w="0" w:type="dxa"/>
            <w:vAlign w:val="bottom"/>
          </w:tcPr>
          <w:p>
            <w:pPr>
              <w:spacing w:after="0"/>
              <w:rPr>
                <w:sz w:val="1"/>
                <w:szCs w:val="1"/>
                <w:color w:val="auto"/>
              </w:rPr>
            </w:pPr>
          </w:p>
        </w:tc>
      </w:tr>
      <w:tr>
        <w:trPr>
          <w:trHeight w:val="94"/>
        </w:trPr>
        <w:tc>
          <w:tcPr>
            <w:tcW w:w="56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w w:val="83"/>
              </w:rPr>
              <w:t>74</w:t>
            </w:r>
          </w:p>
        </w:tc>
        <w:tc>
          <w:tcPr>
            <w:tcW w:w="1980" w:type="dxa"/>
            <w:vAlign w:val="bottom"/>
            <w:tcBorders>
              <w:bottom w:val="single" w:sz="8" w:color="4D5357"/>
            </w:tcBorders>
          </w:tcPr>
          <w:p>
            <w:pPr>
              <w:spacing w:after="0"/>
              <w:rPr>
                <w:sz w:val="8"/>
                <w:szCs w:val="8"/>
                <w:color w:val="auto"/>
              </w:rPr>
            </w:pPr>
          </w:p>
        </w:tc>
        <w:tc>
          <w:tcPr>
            <w:tcW w:w="3420" w:type="dxa"/>
            <w:vAlign w:val="bottom"/>
            <w:tcBorders>
              <w:bottom w:val="single" w:sz="8" w:color="4D535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560" w:type="dxa"/>
            <w:vAlign w:val="bottom"/>
            <w:vMerge w:val="continue"/>
          </w:tcPr>
          <w:p>
            <w:pPr>
              <w:spacing w:after="0"/>
              <w:rPr>
                <w:sz w:val="6"/>
                <w:szCs w:val="6"/>
                <w:color w:val="auto"/>
              </w:rPr>
            </w:pPr>
          </w:p>
        </w:tc>
        <w:tc>
          <w:tcPr>
            <w:tcW w:w="1980" w:type="dxa"/>
            <w:vAlign w:val="bottom"/>
            <w:vMerge w:val="restart"/>
          </w:tcPr>
          <w:p>
            <w:pPr>
              <w:ind w:left="80"/>
              <w:spacing w:after="0"/>
              <w:rPr>
                <w:sz w:val="20"/>
                <w:szCs w:val="20"/>
                <w:color w:val="auto"/>
              </w:rPr>
            </w:pPr>
            <w:r>
              <w:rPr>
                <w:rFonts w:ascii="Arial" w:cs="Arial" w:eastAsia="Arial" w:hAnsi="Arial"/>
                <w:sz w:val="16"/>
                <w:szCs w:val="16"/>
                <w:b w:val="1"/>
                <w:bCs w:val="1"/>
                <w:color w:val="4D5357"/>
              </w:rPr>
              <w:t>James A. J. Nickolas</w:t>
            </w: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Former Executive Vice President and</w:t>
            </w:r>
          </w:p>
        </w:tc>
        <w:tc>
          <w:tcPr>
            <w:tcW w:w="0" w:type="dxa"/>
            <w:vAlign w:val="bottom"/>
          </w:tcPr>
          <w:p>
            <w:pPr>
              <w:spacing w:after="0"/>
              <w:rPr>
                <w:sz w:val="1"/>
                <w:szCs w:val="1"/>
                <w:color w:val="auto"/>
              </w:rPr>
            </w:pPr>
          </w:p>
        </w:tc>
      </w:tr>
      <w:tr>
        <w:trPr>
          <w:trHeight w:val="154"/>
        </w:trPr>
        <w:tc>
          <w:tcPr>
            <w:tcW w:w="560" w:type="dxa"/>
            <w:vAlign w:val="bottom"/>
          </w:tcPr>
          <w:p>
            <w:pPr>
              <w:jc w:val="right"/>
              <w:ind w:right="324"/>
              <w:spacing w:after="0" w:line="154" w:lineRule="exact"/>
              <w:rPr>
                <w:sz w:val="20"/>
                <w:szCs w:val="20"/>
                <w:color w:val="auto"/>
              </w:rPr>
            </w:pPr>
            <w:r>
              <w:rPr>
                <w:rFonts w:ascii="Arial" w:cs="Arial" w:eastAsia="Arial" w:hAnsi="Arial"/>
                <w:sz w:val="15"/>
                <w:szCs w:val="15"/>
                <w:b w:val="1"/>
                <w:bCs w:val="1"/>
                <w:color w:val="auto"/>
                <w:w w:val="83"/>
              </w:rPr>
              <w:t>74</w:t>
            </w:r>
          </w:p>
        </w:tc>
        <w:tc>
          <w:tcPr>
            <w:tcW w:w="1980" w:type="dxa"/>
            <w:vAlign w:val="bottom"/>
            <w:vMerge w:val="continue"/>
          </w:tcPr>
          <w:p>
            <w:pPr>
              <w:spacing w:after="0"/>
              <w:rPr>
                <w:sz w:val="13"/>
                <w:szCs w:val="13"/>
                <w:color w:val="auto"/>
              </w:rPr>
            </w:pP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0" w:type="dxa"/>
            <w:vAlign w:val="bottom"/>
          </w:tcPr>
          <w:p>
            <w:pPr>
              <w:jc w:val="right"/>
              <w:ind w:right="324"/>
              <w:spacing w:after="0"/>
              <w:rPr>
                <w:sz w:val="20"/>
                <w:szCs w:val="20"/>
                <w:color w:val="auto"/>
              </w:rPr>
            </w:pPr>
            <w:r>
              <w:rPr>
                <w:rFonts w:ascii="Arial" w:cs="Arial" w:eastAsia="Arial" w:hAnsi="Arial"/>
                <w:sz w:val="15"/>
                <w:szCs w:val="15"/>
                <w:b w:val="1"/>
                <w:bCs w:val="1"/>
                <w:color w:val="auto"/>
                <w:w w:val="83"/>
              </w:rPr>
              <w:t>75</w:t>
            </w:r>
          </w:p>
        </w:tc>
        <w:tc>
          <w:tcPr>
            <w:tcW w:w="1980" w:type="dxa"/>
            <w:vAlign w:val="bottom"/>
            <w:tcBorders>
              <w:bottom w:val="single" w:sz="8" w:color="4D5357"/>
            </w:tcBorders>
          </w:tcPr>
          <w:p>
            <w:pPr>
              <w:spacing w:after="0"/>
              <w:rPr>
                <w:sz w:val="19"/>
                <w:szCs w:val="19"/>
                <w:color w:val="auto"/>
              </w:rPr>
            </w:pPr>
          </w:p>
        </w:tc>
        <w:tc>
          <w:tcPr>
            <w:tcW w:w="3420" w:type="dxa"/>
            <w:vAlign w:val="bottom"/>
            <w:tcBorders>
              <w:bottom w:val="single" w:sz="8" w:color="4D5357"/>
            </w:tcBorders>
          </w:tcPr>
          <w:p>
            <w:pPr>
              <w:ind w:left="320"/>
              <w:spacing w:after="0"/>
              <w:rPr>
                <w:sz w:val="20"/>
                <w:szCs w:val="20"/>
                <w:color w:val="auto"/>
              </w:rPr>
            </w:pPr>
            <w:r>
              <w:rPr>
                <w:rFonts w:ascii="Arial" w:cs="Arial" w:eastAsia="Arial" w:hAnsi="Arial"/>
                <w:sz w:val="16"/>
                <w:szCs w:val="16"/>
                <w:color w:val="4D5357"/>
              </w:rPr>
              <w:t>Chief Financial Officer</w:t>
            </w:r>
          </w:p>
        </w:tc>
        <w:tc>
          <w:tcPr>
            <w:tcW w:w="0" w:type="dxa"/>
            <w:vAlign w:val="bottom"/>
          </w:tcPr>
          <w:p>
            <w:pPr>
              <w:spacing w:after="0"/>
              <w:rPr>
                <w:sz w:val="1"/>
                <w:szCs w:val="1"/>
                <w:color w:val="auto"/>
              </w:rPr>
            </w:pPr>
          </w:p>
        </w:tc>
      </w:tr>
      <w:tr>
        <w:trPr>
          <w:trHeight w:val="163"/>
        </w:trPr>
        <w:tc>
          <w:tcPr>
            <w:tcW w:w="560" w:type="dxa"/>
            <w:vAlign w:val="bottom"/>
          </w:tcPr>
          <w:p>
            <w:pPr>
              <w:jc w:val="right"/>
              <w:ind w:right="324"/>
              <w:spacing w:after="0" w:line="163" w:lineRule="exact"/>
              <w:rPr>
                <w:sz w:val="20"/>
                <w:szCs w:val="20"/>
                <w:color w:val="auto"/>
              </w:rPr>
            </w:pPr>
            <w:r>
              <w:rPr>
                <w:rFonts w:ascii="Arial" w:cs="Arial" w:eastAsia="Arial" w:hAnsi="Arial"/>
                <w:sz w:val="15"/>
                <w:szCs w:val="15"/>
                <w:b w:val="1"/>
                <w:bCs w:val="1"/>
                <w:color w:val="auto"/>
                <w:w w:val="83"/>
              </w:rPr>
              <w:t>75</w:t>
            </w:r>
          </w:p>
        </w:tc>
        <w:tc>
          <w:tcPr>
            <w:tcW w:w="1980" w:type="dxa"/>
            <w:vAlign w:val="bottom"/>
            <w:vMerge w:val="restart"/>
          </w:tcPr>
          <w:p>
            <w:pPr>
              <w:ind w:left="80"/>
              <w:spacing w:after="0"/>
              <w:rPr>
                <w:sz w:val="20"/>
                <w:szCs w:val="20"/>
                <w:color w:val="auto"/>
              </w:rPr>
            </w:pPr>
            <w:r>
              <w:rPr>
                <w:rFonts w:ascii="Arial" w:cs="Arial" w:eastAsia="Arial" w:hAnsi="Arial"/>
                <w:sz w:val="16"/>
                <w:szCs w:val="16"/>
                <w:b w:val="1"/>
                <w:bCs w:val="1"/>
                <w:color w:val="4D5357"/>
              </w:rPr>
              <w:t>Robert J. Cardin</w:t>
            </w: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Senior Vice President, Controller and</w:t>
            </w:r>
          </w:p>
        </w:tc>
        <w:tc>
          <w:tcPr>
            <w:tcW w:w="0" w:type="dxa"/>
            <w:vAlign w:val="bottom"/>
          </w:tcPr>
          <w:p>
            <w:pPr>
              <w:spacing w:after="0"/>
              <w:rPr>
                <w:sz w:val="1"/>
                <w:szCs w:val="1"/>
                <w:color w:val="auto"/>
              </w:rPr>
            </w:pPr>
          </w:p>
        </w:tc>
      </w:tr>
      <w:tr>
        <w:trPr>
          <w:trHeight w:val="59"/>
        </w:trPr>
        <w:tc>
          <w:tcPr>
            <w:tcW w:w="56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w w:val="83"/>
              </w:rPr>
              <w:t>76</w:t>
            </w:r>
          </w:p>
        </w:tc>
        <w:tc>
          <w:tcPr>
            <w:tcW w:w="1980" w:type="dxa"/>
            <w:vAlign w:val="bottom"/>
            <w:vMerge w:val="continue"/>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6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Chief Accounting Officer and Interim</w:t>
            </w:r>
          </w:p>
        </w:tc>
        <w:tc>
          <w:tcPr>
            <w:tcW w:w="0" w:type="dxa"/>
            <w:vAlign w:val="bottom"/>
          </w:tcPr>
          <w:p>
            <w:pPr>
              <w:spacing w:after="0"/>
              <w:rPr>
                <w:sz w:val="1"/>
                <w:szCs w:val="1"/>
                <w:color w:val="auto"/>
              </w:rPr>
            </w:pPr>
          </w:p>
        </w:tc>
      </w:tr>
      <w:tr>
        <w:trPr>
          <w:trHeight w:val="59"/>
        </w:trPr>
        <w:tc>
          <w:tcPr>
            <w:tcW w:w="56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w w:val="83"/>
              </w:rPr>
              <w:t>76</w:t>
            </w:r>
          </w:p>
        </w:tc>
        <w:tc>
          <w:tcPr>
            <w:tcW w:w="19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6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Chief Financial Officer from April 2025 –</w:t>
            </w:r>
          </w:p>
        </w:tc>
        <w:tc>
          <w:tcPr>
            <w:tcW w:w="0" w:type="dxa"/>
            <w:vAlign w:val="bottom"/>
          </w:tcPr>
          <w:p>
            <w:pPr>
              <w:spacing w:after="0"/>
              <w:rPr>
                <w:sz w:val="1"/>
                <w:szCs w:val="1"/>
                <w:color w:val="auto"/>
              </w:rPr>
            </w:pPr>
          </w:p>
        </w:tc>
      </w:tr>
      <w:tr>
        <w:trPr>
          <w:trHeight w:val="59"/>
        </w:trPr>
        <w:tc>
          <w:tcPr>
            <w:tcW w:w="56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w w:val="83"/>
              </w:rPr>
              <w:t>76</w:t>
            </w:r>
          </w:p>
        </w:tc>
        <w:tc>
          <w:tcPr>
            <w:tcW w:w="19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6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July 2025</w:t>
            </w:r>
          </w:p>
        </w:tc>
        <w:tc>
          <w:tcPr>
            <w:tcW w:w="0" w:type="dxa"/>
            <w:vAlign w:val="bottom"/>
          </w:tcPr>
          <w:p>
            <w:pPr>
              <w:spacing w:after="0"/>
              <w:rPr>
                <w:sz w:val="1"/>
                <w:szCs w:val="1"/>
                <w:color w:val="auto"/>
              </w:rPr>
            </w:pPr>
          </w:p>
        </w:tc>
      </w:tr>
      <w:tr>
        <w:trPr>
          <w:trHeight w:val="94"/>
        </w:trPr>
        <w:tc>
          <w:tcPr>
            <w:tcW w:w="56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w w:val="83"/>
              </w:rPr>
              <w:t>76</w:t>
            </w:r>
          </w:p>
        </w:tc>
        <w:tc>
          <w:tcPr>
            <w:tcW w:w="1980" w:type="dxa"/>
            <w:vAlign w:val="bottom"/>
            <w:tcBorders>
              <w:bottom w:val="single" w:sz="8" w:color="4D5357"/>
            </w:tcBorders>
          </w:tcPr>
          <w:p>
            <w:pPr>
              <w:spacing w:after="0"/>
              <w:rPr>
                <w:sz w:val="8"/>
                <w:szCs w:val="8"/>
                <w:color w:val="auto"/>
              </w:rPr>
            </w:pPr>
          </w:p>
        </w:tc>
        <w:tc>
          <w:tcPr>
            <w:tcW w:w="3420" w:type="dxa"/>
            <w:vAlign w:val="bottom"/>
            <w:tcBorders>
              <w:bottom w:val="single" w:sz="8" w:color="4D535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60" w:type="dxa"/>
            <w:vAlign w:val="bottom"/>
            <w:vMerge w:val="continue"/>
          </w:tcPr>
          <w:p>
            <w:pPr>
              <w:spacing w:after="0"/>
              <w:rPr>
                <w:sz w:val="8"/>
                <w:szCs w:val="8"/>
                <w:color w:val="auto"/>
              </w:rPr>
            </w:pPr>
          </w:p>
        </w:tc>
        <w:tc>
          <w:tcPr>
            <w:tcW w:w="1980" w:type="dxa"/>
            <w:vAlign w:val="bottom"/>
            <w:vMerge w:val="restart"/>
          </w:tcPr>
          <w:p>
            <w:pPr>
              <w:ind w:left="80"/>
              <w:spacing w:after="0"/>
              <w:rPr>
                <w:sz w:val="20"/>
                <w:szCs w:val="20"/>
                <w:color w:val="auto"/>
              </w:rPr>
            </w:pPr>
            <w:r>
              <w:rPr>
                <w:rFonts w:ascii="Arial" w:cs="Arial" w:eastAsia="Arial" w:hAnsi="Arial"/>
                <w:sz w:val="16"/>
                <w:szCs w:val="16"/>
                <w:b w:val="1"/>
                <w:bCs w:val="1"/>
                <w:color w:val="4D5357"/>
              </w:rPr>
              <w:t>Donald A. McCunniff</w:t>
            </w:r>
          </w:p>
        </w:tc>
        <w:tc>
          <w:tcPr>
            <w:tcW w:w="3420" w:type="dxa"/>
            <w:vAlign w:val="bottom"/>
            <w:vMerge w:val="restart"/>
          </w:tcPr>
          <w:p>
            <w:pPr>
              <w:ind w:left="320"/>
              <w:spacing w:after="0"/>
              <w:rPr>
                <w:sz w:val="20"/>
                <w:szCs w:val="20"/>
                <w:color w:val="auto"/>
              </w:rPr>
            </w:pPr>
            <w:r>
              <w:rPr>
                <w:rFonts w:ascii="Arial" w:cs="Arial" w:eastAsia="Arial" w:hAnsi="Arial"/>
                <w:sz w:val="16"/>
                <w:szCs w:val="16"/>
                <w:color w:val="4D5357"/>
              </w:rPr>
              <w:t>Executive Vice President and Chief</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3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1980" w:type="dxa"/>
            <w:vAlign w:val="bottom"/>
            <w:tcBorders>
              <w:bottom w:val="single" w:sz="8" w:color="4D5357"/>
            </w:tcBorders>
          </w:tcPr>
          <w:p>
            <w:pPr>
              <w:spacing w:after="0"/>
              <w:rPr>
                <w:sz w:val="19"/>
                <w:szCs w:val="19"/>
                <w:color w:val="auto"/>
              </w:rPr>
            </w:pPr>
          </w:p>
        </w:tc>
        <w:tc>
          <w:tcPr>
            <w:tcW w:w="3420" w:type="dxa"/>
            <w:vAlign w:val="bottom"/>
            <w:tcBorders>
              <w:bottom w:val="single" w:sz="8" w:color="4D5357"/>
            </w:tcBorders>
          </w:tcPr>
          <w:p>
            <w:pPr>
              <w:ind w:left="320"/>
              <w:spacing w:after="0"/>
              <w:rPr>
                <w:sz w:val="20"/>
                <w:szCs w:val="20"/>
                <w:color w:val="auto"/>
              </w:rPr>
            </w:pPr>
            <w:r>
              <w:rPr>
                <w:rFonts w:ascii="Arial" w:cs="Arial" w:eastAsia="Arial" w:hAnsi="Arial"/>
                <w:sz w:val="16"/>
                <w:szCs w:val="16"/>
                <w:color w:val="4D5357"/>
              </w:rPr>
              <w:t>Human Resources Officer</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980" w:type="dxa"/>
            <w:vAlign w:val="bottom"/>
          </w:tcPr>
          <w:p>
            <w:pPr>
              <w:ind w:left="80"/>
              <w:spacing w:after="0"/>
              <w:rPr>
                <w:sz w:val="20"/>
                <w:szCs w:val="20"/>
                <w:color w:val="auto"/>
              </w:rPr>
            </w:pPr>
            <w:r>
              <w:rPr>
                <w:rFonts w:ascii="Arial" w:cs="Arial" w:eastAsia="Arial" w:hAnsi="Arial"/>
                <w:sz w:val="16"/>
                <w:szCs w:val="16"/>
                <w:b w:val="1"/>
                <w:bCs w:val="1"/>
                <w:color w:val="4D5357"/>
              </w:rPr>
              <w:t>Jason P. Flynn</w:t>
            </w:r>
          </w:p>
        </w:tc>
        <w:tc>
          <w:tcPr>
            <w:tcW w:w="3420" w:type="dxa"/>
            <w:vAlign w:val="bottom"/>
          </w:tcPr>
          <w:p>
            <w:pPr>
              <w:ind w:left="320"/>
              <w:spacing w:after="0"/>
              <w:rPr>
                <w:sz w:val="20"/>
                <w:szCs w:val="20"/>
                <w:color w:val="auto"/>
              </w:rPr>
            </w:pPr>
            <w:r>
              <w:rPr>
                <w:rFonts w:ascii="Arial" w:cs="Arial" w:eastAsia="Arial" w:hAnsi="Arial"/>
                <w:sz w:val="16"/>
                <w:szCs w:val="16"/>
                <w:color w:val="4D5357"/>
              </w:rPr>
              <w:t>Senior Vice President and Chief</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1980" w:type="dxa"/>
            <w:vAlign w:val="bottom"/>
            <w:tcBorders>
              <w:bottom w:val="single" w:sz="8" w:color="4D5357"/>
            </w:tcBorders>
          </w:tcPr>
          <w:p>
            <w:pPr>
              <w:spacing w:after="0"/>
              <w:rPr>
                <w:sz w:val="19"/>
                <w:szCs w:val="19"/>
                <w:color w:val="auto"/>
              </w:rPr>
            </w:pPr>
          </w:p>
        </w:tc>
        <w:tc>
          <w:tcPr>
            <w:tcW w:w="3420" w:type="dxa"/>
            <w:vAlign w:val="bottom"/>
            <w:tcBorders>
              <w:bottom w:val="single" w:sz="8" w:color="4D5357"/>
            </w:tcBorders>
          </w:tcPr>
          <w:p>
            <w:pPr>
              <w:ind w:left="320"/>
              <w:spacing w:after="0"/>
              <w:rPr>
                <w:sz w:val="20"/>
                <w:szCs w:val="20"/>
                <w:color w:val="auto"/>
              </w:rPr>
            </w:pPr>
            <w:r>
              <w:rPr>
                <w:rFonts w:ascii="Arial" w:cs="Arial" w:eastAsia="Arial" w:hAnsi="Arial"/>
                <w:sz w:val="16"/>
                <w:szCs w:val="16"/>
                <w:color w:val="4D5357"/>
              </w:rPr>
              <w:t>Information Officer</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980" w:type="dxa"/>
            <w:vAlign w:val="bottom"/>
          </w:tcPr>
          <w:p>
            <w:pPr>
              <w:ind w:left="80"/>
              <w:spacing w:after="0"/>
              <w:rPr>
                <w:sz w:val="20"/>
                <w:szCs w:val="20"/>
                <w:color w:val="auto"/>
              </w:rPr>
            </w:pPr>
            <w:r>
              <w:rPr>
                <w:rFonts w:ascii="Arial" w:cs="Arial" w:eastAsia="Arial" w:hAnsi="Arial"/>
                <w:sz w:val="16"/>
                <w:szCs w:val="16"/>
                <w:b w:val="1"/>
                <w:bCs w:val="1"/>
                <w:color w:val="4D5357"/>
              </w:rPr>
              <w:t>Bradley D. Kohn</w:t>
            </w:r>
          </w:p>
        </w:tc>
        <w:tc>
          <w:tcPr>
            <w:tcW w:w="3420" w:type="dxa"/>
            <w:vAlign w:val="bottom"/>
          </w:tcPr>
          <w:p>
            <w:pPr>
              <w:ind w:left="320"/>
              <w:spacing w:after="0"/>
              <w:rPr>
                <w:sz w:val="20"/>
                <w:szCs w:val="20"/>
                <w:color w:val="auto"/>
              </w:rPr>
            </w:pPr>
            <w:r>
              <w:rPr>
                <w:rFonts w:ascii="Arial" w:cs="Arial" w:eastAsia="Arial" w:hAnsi="Arial"/>
                <w:sz w:val="16"/>
                <w:szCs w:val="16"/>
                <w:color w:val="4D5357"/>
              </w:rPr>
              <w:t>Former Senior Vice President, General</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1980" w:type="dxa"/>
            <w:vAlign w:val="bottom"/>
            <w:tcBorders>
              <w:bottom w:val="single" w:sz="8" w:color="4D5357"/>
            </w:tcBorders>
          </w:tcPr>
          <w:p>
            <w:pPr>
              <w:spacing w:after="0"/>
              <w:rPr>
                <w:sz w:val="19"/>
                <w:szCs w:val="19"/>
                <w:color w:val="auto"/>
              </w:rPr>
            </w:pPr>
          </w:p>
        </w:tc>
        <w:tc>
          <w:tcPr>
            <w:tcW w:w="3420" w:type="dxa"/>
            <w:vAlign w:val="bottom"/>
            <w:tcBorders>
              <w:bottom w:val="single" w:sz="8" w:color="4D5357"/>
            </w:tcBorders>
          </w:tcPr>
          <w:p>
            <w:pPr>
              <w:ind w:left="320"/>
              <w:spacing w:after="0"/>
              <w:rPr>
                <w:sz w:val="20"/>
                <w:szCs w:val="20"/>
                <w:color w:val="auto"/>
              </w:rPr>
            </w:pPr>
            <w:r>
              <w:rPr>
                <w:rFonts w:ascii="Arial" w:cs="Arial" w:eastAsia="Arial" w:hAnsi="Arial"/>
                <w:sz w:val="16"/>
                <w:szCs w:val="16"/>
                <w:color w:val="4D5357"/>
              </w:rPr>
              <w:t>Counsel and Corporate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342900</wp:posOffset>
            </wp:positionV>
            <wp:extent cx="6995160" cy="5911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2">
            <w:col w:w="4820" w:space="235"/>
            <w:col w:w="5965"/>
          </w:cols>
          <w:pgMar w:left="440" w:top="285" w:right="439" w:bottom="1440" w:gutter="0" w:footer="0" w:header="0"/>
          <w:type w:val="continuous"/>
        </w:sectPr>
      </w:pPr>
    </w:p>
    <w:bookmarkStart w:id="54" w:name="page55"/>
    <w:bookmarkEnd w:id="54"/>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Summary of Our Compensation Considerations</w:t>
      </w:r>
    </w:p>
    <w:p>
      <w:pPr>
        <w:spacing w:after="0" w:line="134" w:lineRule="exact"/>
        <w:rPr>
          <w:sz w:val="20"/>
          <w:szCs w:val="20"/>
          <w:color w:val="auto"/>
        </w:rPr>
      </w:pPr>
    </w:p>
    <w:p>
      <w:pPr>
        <w:ind w:left="4" w:right="100"/>
        <w:spacing w:after="0" w:line="254" w:lineRule="auto"/>
        <w:rPr>
          <w:sz w:val="20"/>
          <w:szCs w:val="20"/>
          <w:color w:val="auto"/>
        </w:rPr>
      </w:pPr>
      <w:r>
        <w:rPr>
          <w:rFonts w:ascii="Arial" w:cs="Arial" w:eastAsia="Arial" w:hAnsi="Arial"/>
          <w:sz w:val="16"/>
          <w:szCs w:val="16"/>
          <w:color w:val="333333"/>
        </w:rPr>
        <w:t>Overall, the Company had another exceptional year, realizing record-setting financial results, achieving world-class safety incident rates, and making significant progress on our long-term strategic plan. This CD&amp;A describes how our executive compensation philosophy and the pay programs applicable to our NEOs in 2025 help to drive our strategy and performance. The fundamental objectives of our executive compensation program are to motivate our executive team, align pay with performance, attract and retain high-performing talent, and drive shareholder value. These objectives were achieved in 2025 as our incentive programs paid out commensurate with our strong performance. The compensation programs described below have been developed and are overseen by the Committee to promote the achievement of these objectives and reflect the considerations described below.</w:t>
      </w:r>
    </w:p>
    <w:p>
      <w:pPr>
        <w:spacing w:after="0" w:line="125" w:lineRule="exact"/>
        <w:rPr>
          <w:sz w:val="20"/>
          <w:szCs w:val="20"/>
          <w:color w:val="auto"/>
        </w:rPr>
      </w:pPr>
    </w:p>
    <w:p>
      <w:pPr>
        <w:ind w:left="4" w:right="1120"/>
        <w:spacing w:after="0" w:line="298" w:lineRule="auto"/>
        <w:rPr>
          <w:sz w:val="20"/>
          <w:szCs w:val="20"/>
          <w:color w:val="auto"/>
        </w:rPr>
      </w:pPr>
      <w:r>
        <w:rPr>
          <w:rFonts w:ascii="Arial" w:cs="Arial" w:eastAsia="Arial" w:hAnsi="Arial"/>
          <w:sz w:val="32"/>
          <w:szCs w:val="32"/>
          <w:b w:val="1"/>
          <w:bCs w:val="1"/>
          <w:color w:val="auto"/>
        </w:rPr>
        <w:t>Responsiveness to Shareholders: Shareholder Engagement and Feedback on Executive Compensation Programs</w:t>
      </w:r>
    </w:p>
    <w:p>
      <w:pPr>
        <w:sectPr>
          <w:pgSz w:w="11900" w:h="16838" w:orient="portrait"/>
          <w:cols w:equalWidth="0" w:num="1">
            <w:col w:w="11024"/>
          </w:cols>
          <w:pgMar w:left="436" w:top="285" w:right="439" w:bottom="1440" w:gutter="0" w:footer="0" w:header="0"/>
        </w:sectPr>
      </w:pP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Avenues of engagement</w:t>
      </w:r>
    </w:p>
    <w:p>
      <w:pPr>
        <w:spacing w:after="0" w:line="68" w:lineRule="exact"/>
        <w:rPr>
          <w:sz w:val="20"/>
          <w:szCs w:val="20"/>
          <w:color w:val="auto"/>
        </w:rPr>
      </w:pPr>
    </w:p>
    <w:p>
      <w:pPr>
        <w:ind w:left="564" w:right="180"/>
        <w:spacing w:after="0" w:line="286" w:lineRule="auto"/>
        <w:rPr>
          <w:sz w:val="20"/>
          <w:szCs w:val="20"/>
          <w:color w:val="auto"/>
        </w:rPr>
      </w:pPr>
      <w:r>
        <w:rPr>
          <w:rFonts w:ascii="Arial" w:cs="Arial" w:eastAsia="Arial" w:hAnsi="Arial"/>
          <w:sz w:val="16"/>
          <w:szCs w:val="16"/>
          <w:color w:val="333333"/>
        </w:rPr>
        <w:t>We hold in-person and/or virtual meetings with investor groups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231775"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1775"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wp:posOffset>
            </wp:positionV>
            <wp:extent cx="18859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68" w:lineRule="exact"/>
        <w:rPr>
          <w:sz w:val="20"/>
          <w:szCs w:val="20"/>
          <w:color w:val="auto"/>
        </w:rPr>
      </w:pPr>
    </w:p>
    <w:p>
      <w:pPr>
        <w:ind w:left="564"/>
        <w:spacing w:after="0"/>
        <w:rPr>
          <w:sz w:val="20"/>
          <w:szCs w:val="20"/>
          <w:color w:val="auto"/>
        </w:rPr>
      </w:pPr>
      <w:r>
        <w:rPr>
          <w:rFonts w:ascii="Arial" w:cs="Arial" w:eastAsia="Arial" w:hAnsi="Arial"/>
          <w:sz w:val="16"/>
          <w:szCs w:val="16"/>
          <w:color w:val="333333"/>
        </w:rPr>
        <w:t>We conduct quarterly conference calls with analysts</w:t>
      </w:r>
    </w:p>
    <w:p>
      <w:pPr>
        <w:spacing w:after="0" w:line="127" w:lineRule="exact"/>
        <w:rPr>
          <w:sz w:val="20"/>
          <w:szCs w:val="20"/>
          <w:color w:val="auto"/>
        </w:rPr>
      </w:pPr>
    </w:p>
    <w:p>
      <w:pPr>
        <w:ind w:left="564" w:right="240"/>
        <w:spacing w:after="0" w:line="286" w:lineRule="auto"/>
        <w:rPr>
          <w:sz w:val="20"/>
          <w:szCs w:val="20"/>
          <w:color w:val="auto"/>
        </w:rPr>
      </w:pPr>
      <w:r>
        <w:rPr>
          <w:rFonts w:ascii="Arial" w:cs="Arial" w:eastAsia="Arial" w:hAnsi="Arial"/>
          <w:sz w:val="16"/>
          <w:szCs w:val="16"/>
          <w:color w:val="333333"/>
        </w:rPr>
        <w:t>We engage with investors continually through meetings, calls, written correspondence, and emails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231140"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1140" cy="257175"/>
                    </a:xfrm>
                    <a:prstGeom prst="rect">
                      <a:avLst/>
                    </a:prstGeom>
                    <a:noFill/>
                  </pic:spPr>
                </pic:pic>
              </a:graphicData>
            </a:graphic>
          </wp:anchor>
        </w:drawing>
      </w:r>
    </w:p>
    <w:p>
      <w:pPr>
        <w:spacing w:after="0" w:line="41" w:lineRule="exact"/>
        <w:rPr>
          <w:sz w:val="20"/>
          <w:szCs w:val="20"/>
          <w:color w:val="auto"/>
        </w:rPr>
      </w:pPr>
    </w:p>
    <w:p>
      <w:pPr>
        <w:ind w:left="564"/>
        <w:spacing w:after="0" w:line="286" w:lineRule="auto"/>
        <w:rPr>
          <w:sz w:val="20"/>
          <w:szCs w:val="20"/>
          <w:color w:val="auto"/>
        </w:rPr>
      </w:pPr>
      <w:r>
        <w:rPr>
          <w:rFonts w:ascii="Arial" w:cs="Arial" w:eastAsia="Arial" w:hAnsi="Arial"/>
          <w:sz w:val="16"/>
          <w:szCs w:val="16"/>
          <w:color w:val="333333"/>
        </w:rPr>
        <w:t>We report investor feedback to the Committee and the Board to assist in aligning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248285"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8285" cy="171450"/>
                    </a:xfrm>
                    <a:prstGeom prst="rect">
                      <a:avLst/>
                    </a:prstGeom>
                    <a:noFill/>
                  </pic:spPr>
                </pic:pic>
              </a:graphicData>
            </a:graphic>
          </wp:anchor>
        </w:drawing>
      </w:r>
    </w:p>
    <w:p>
      <w:pPr>
        <w:spacing w:after="0" w:line="14" w:lineRule="exact"/>
        <w:rPr>
          <w:sz w:val="20"/>
          <w:szCs w:val="20"/>
          <w:color w:val="auto"/>
        </w:rPr>
      </w:pPr>
    </w:p>
    <w:p>
      <w:pPr>
        <w:ind w:left="564" w:right="160"/>
        <w:spacing w:after="0" w:line="286" w:lineRule="auto"/>
        <w:rPr>
          <w:sz w:val="20"/>
          <w:szCs w:val="20"/>
          <w:color w:val="auto"/>
        </w:rPr>
      </w:pPr>
      <w:r>
        <w:rPr>
          <w:rFonts w:ascii="Arial" w:cs="Arial" w:eastAsia="Arial" w:hAnsi="Arial"/>
          <w:sz w:val="16"/>
          <w:szCs w:val="16"/>
          <w:color w:val="333333"/>
        </w:rPr>
        <w:t>We conduct a Fall Engagement Program or Capital Markets Day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222885"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highlights</w:t>
      </w:r>
    </w:p>
    <w:p>
      <w:pPr>
        <w:spacing w:after="0" w:line="68" w:lineRule="exact"/>
        <w:rPr>
          <w:sz w:val="20"/>
          <w:szCs w:val="20"/>
          <w:color w:val="auto"/>
        </w:rPr>
      </w:pPr>
    </w:p>
    <w:p>
      <w:pPr>
        <w:ind w:left="160" w:hanging="153"/>
        <w:spacing w:after="0"/>
        <w:tabs>
          <w:tab w:leader="none" w:pos="160" w:val="left"/>
        </w:tabs>
        <w:numPr>
          <w:ilvl w:val="0"/>
          <w:numId w:val="60"/>
        </w:numPr>
        <w:rPr>
          <w:rFonts w:ascii="Arial" w:cs="Arial" w:eastAsia="Arial" w:hAnsi="Arial"/>
          <w:sz w:val="16"/>
          <w:szCs w:val="16"/>
          <w:color w:val="333333"/>
        </w:rPr>
      </w:pPr>
      <w:r>
        <w:rPr>
          <w:rFonts w:ascii="Arial" w:cs="Arial" w:eastAsia="Arial" w:hAnsi="Arial"/>
          <w:sz w:val="16"/>
          <w:szCs w:val="16"/>
          <w:color w:val="333333"/>
        </w:rPr>
        <w:t>Company strategy, including acquisitions and divestitures</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60"/>
        </w:numPr>
        <w:rPr>
          <w:rFonts w:ascii="Arial" w:cs="Arial" w:eastAsia="Arial" w:hAnsi="Arial"/>
          <w:sz w:val="16"/>
          <w:szCs w:val="16"/>
          <w:color w:val="333333"/>
        </w:rPr>
      </w:pPr>
      <w:r>
        <w:rPr>
          <w:rFonts w:ascii="Arial" w:cs="Arial" w:eastAsia="Arial" w:hAnsi="Arial"/>
          <w:sz w:val="16"/>
          <w:szCs w:val="16"/>
          <w:color w:val="333333"/>
        </w:rPr>
        <w:t>Financial and operating performance</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60"/>
        </w:numPr>
        <w:rPr>
          <w:rFonts w:ascii="Arial" w:cs="Arial" w:eastAsia="Arial" w:hAnsi="Arial"/>
          <w:sz w:val="16"/>
          <w:szCs w:val="16"/>
          <w:color w:val="333333"/>
        </w:rPr>
      </w:pPr>
      <w:r>
        <w:rPr>
          <w:rFonts w:ascii="Arial" w:cs="Arial" w:eastAsia="Arial" w:hAnsi="Arial"/>
          <w:sz w:val="16"/>
          <w:szCs w:val="16"/>
          <w:color w:val="333333"/>
        </w:rPr>
        <w:t>Commercial and operational excellence goals</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60"/>
        </w:numPr>
        <w:rPr>
          <w:rFonts w:ascii="Arial" w:cs="Arial" w:eastAsia="Arial" w:hAnsi="Arial"/>
          <w:sz w:val="16"/>
          <w:szCs w:val="16"/>
          <w:color w:val="333333"/>
        </w:rPr>
      </w:pPr>
      <w:r>
        <w:rPr>
          <w:rFonts w:ascii="Arial" w:cs="Arial" w:eastAsia="Arial" w:hAnsi="Arial"/>
          <w:sz w:val="16"/>
          <w:szCs w:val="16"/>
          <w:color w:val="333333"/>
        </w:rPr>
        <w:t>Safety, environment and sustainability</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60"/>
        </w:numPr>
        <w:rPr>
          <w:rFonts w:ascii="Arial" w:cs="Arial" w:eastAsia="Arial" w:hAnsi="Arial"/>
          <w:sz w:val="16"/>
          <w:szCs w:val="16"/>
          <w:color w:val="333333"/>
        </w:rPr>
      </w:pPr>
      <w:r>
        <w:rPr>
          <w:rFonts w:ascii="Arial" w:cs="Arial" w:eastAsia="Arial" w:hAnsi="Arial"/>
          <w:sz w:val="16"/>
          <w:szCs w:val="16"/>
          <w:color w:val="333333"/>
        </w:rPr>
        <w:t>Board oversight, refreshment and composition</w:t>
      </w:r>
    </w:p>
    <w:p>
      <w:pPr>
        <w:spacing w:after="0" w:line="72" w:lineRule="exact"/>
        <w:rPr>
          <w:rFonts w:ascii="Arial" w:cs="Arial" w:eastAsia="Arial" w:hAnsi="Arial"/>
          <w:sz w:val="16"/>
          <w:szCs w:val="16"/>
          <w:color w:val="333333"/>
        </w:rPr>
      </w:pPr>
    </w:p>
    <w:p>
      <w:pPr>
        <w:ind w:left="160" w:hanging="153"/>
        <w:spacing w:after="0"/>
        <w:tabs>
          <w:tab w:leader="none" w:pos="160" w:val="left"/>
        </w:tabs>
        <w:numPr>
          <w:ilvl w:val="0"/>
          <w:numId w:val="60"/>
        </w:numPr>
        <w:rPr>
          <w:rFonts w:ascii="Arial" w:cs="Arial" w:eastAsia="Arial" w:hAnsi="Arial"/>
          <w:sz w:val="16"/>
          <w:szCs w:val="16"/>
          <w:color w:val="333333"/>
        </w:rPr>
      </w:pPr>
      <w:r>
        <w:rPr>
          <w:rFonts w:ascii="Arial" w:cs="Arial" w:eastAsia="Arial" w:hAnsi="Arial"/>
          <w:sz w:val="16"/>
          <w:szCs w:val="16"/>
          <w:color w:val="333333"/>
        </w:rPr>
        <w:t>Executive compensation</w:t>
      </w:r>
    </w:p>
    <w:p>
      <w:pPr>
        <w:spacing w:after="0" w:line="923" w:lineRule="exact"/>
        <w:rPr>
          <w:sz w:val="20"/>
          <w:szCs w:val="20"/>
          <w:color w:val="auto"/>
        </w:rPr>
      </w:pPr>
    </w:p>
    <w:p>
      <w:pPr>
        <w:sectPr>
          <w:pgSz w:w="11900" w:h="16838" w:orient="portrait"/>
          <w:cols w:equalWidth="0" w:num="2">
            <w:col w:w="5744" w:space="540"/>
            <w:col w:w="4740"/>
          </w:cols>
          <w:pgMar w:left="436" w:top="285" w:right="439" w:bottom="1440" w:gutter="0" w:footer="0" w:header="0"/>
          <w:type w:val="continuous"/>
        </w:sectPr>
      </w:pPr>
    </w:p>
    <w:p>
      <w:pPr>
        <w:ind w:left="4" w:right="140"/>
        <w:spacing w:after="0" w:line="266" w:lineRule="auto"/>
        <w:rPr>
          <w:sz w:val="20"/>
          <w:szCs w:val="20"/>
          <w:color w:val="auto"/>
        </w:rPr>
      </w:pPr>
      <w:r>
        <w:rPr>
          <w:rFonts w:ascii="Arial" w:cs="Arial" w:eastAsia="Arial" w:hAnsi="Arial"/>
          <w:sz w:val="16"/>
          <w:szCs w:val="16"/>
          <w:color w:val="333333"/>
        </w:rPr>
        <w:t>Our Board, the Committee, our Chair and Chief Executive Officer, and our Chief Financial Officer alongside our Investor Relations, Legal, and Sustainability teams, have a robust shareholder engagement program in place. This program is active year-round and accepts requests for engagement from shareholders and proactively reaches out to initiate dialogue with our shareholders on topics that are important to the Company.</w:t>
      </w:r>
    </w:p>
    <w:p>
      <w:pPr>
        <w:spacing w:after="0" w:line="63"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333333"/>
        </w:rPr>
        <w:t>The Company conducts a Fall Shareholder Engagement Program or Capital Markets Day each year. As part of the Fall Shareholder Engagement program, the shareholder engagement team described above embarks on a comprehensive engagement effort. In 2024, this team reached out to over 50 of our top shareholders, representing approximately 75% of outstanding shares for their feedback on a variety of topics including our business, strategy, health and safety, commercial and operational excellence, sustainability initiatives and executive compensation. In September 2025, the Company held a Capital Markets Day where we welcomed over 40 existing and prospective shareholders in person while hosting many others virtually and affirmed our dedication to our Strategic Operating Analysis and Review (SOAR) framework which has been central to our transformation into a largely pure aggregates market leader and our commitment to shareholder responsiveness.</w:t>
      </w:r>
    </w:p>
    <w:p>
      <w:pPr>
        <w:spacing w:after="0" w:line="73" w:lineRule="exact"/>
        <w:rPr>
          <w:sz w:val="20"/>
          <w:szCs w:val="20"/>
          <w:color w:val="auto"/>
        </w:rPr>
      </w:pPr>
    </w:p>
    <w:p>
      <w:pPr>
        <w:ind w:left="4" w:right="220"/>
        <w:spacing w:after="0" w:line="286" w:lineRule="auto"/>
        <w:rPr>
          <w:sz w:val="20"/>
          <w:szCs w:val="20"/>
          <w:color w:val="auto"/>
        </w:rPr>
      </w:pPr>
      <w:r>
        <w:rPr>
          <w:rFonts w:ascii="Arial" w:cs="Arial" w:eastAsia="Arial" w:hAnsi="Arial"/>
          <w:sz w:val="16"/>
          <w:szCs w:val="16"/>
          <w:color w:val="333333"/>
        </w:rPr>
        <w:t>We have a history of robust shareholder responsiveness. In prior years, we have made other meaningful changes to our disclosures and compensation program based on feedback from shareholders including:</w:t>
      </w:r>
    </w:p>
    <w:p>
      <w:pPr>
        <w:spacing w:after="0" w:line="7" w:lineRule="exact"/>
        <w:rPr>
          <w:sz w:val="20"/>
          <w:szCs w:val="20"/>
          <w:color w:val="auto"/>
        </w:rPr>
      </w:pPr>
    </w:p>
    <w:p>
      <w:pPr>
        <w:ind w:left="224" w:right="160" w:hanging="224"/>
        <w:spacing w:after="0" w:line="286" w:lineRule="auto"/>
        <w:tabs>
          <w:tab w:leader="none" w:pos="224" w:val="left"/>
        </w:tabs>
        <w:numPr>
          <w:ilvl w:val="0"/>
          <w:numId w:val="61"/>
        </w:numPr>
        <w:rPr>
          <w:rFonts w:ascii="Arial" w:cs="Arial" w:eastAsia="Arial" w:hAnsi="Arial"/>
          <w:sz w:val="16"/>
          <w:szCs w:val="16"/>
          <w:color w:val="333333"/>
        </w:rPr>
      </w:pPr>
      <w:r>
        <w:rPr>
          <w:rFonts w:ascii="Arial" w:cs="Arial" w:eastAsia="Arial" w:hAnsi="Arial"/>
          <w:sz w:val="16"/>
          <w:szCs w:val="16"/>
          <w:b w:val="1"/>
          <w:bCs w:val="1"/>
          <w:color w:val="333333"/>
        </w:rPr>
        <w:t xml:space="preserve">Adopted a formulaic program for our Short Term Incentive (STI) </w:t>
      </w:r>
      <w:r>
        <w:rPr>
          <w:rFonts w:ascii="Arial" w:cs="Arial" w:eastAsia="Arial" w:hAnsi="Arial"/>
          <w:sz w:val="16"/>
          <w:szCs w:val="16"/>
          <w:color w:val="333333"/>
        </w:rPr>
        <w:t>providing a strong link between pay and performance while reducing Committee</w:t>
      </w:r>
      <w:r>
        <w:rPr>
          <w:rFonts w:ascii="Arial" w:cs="Arial" w:eastAsia="Arial" w:hAnsi="Arial"/>
          <w:sz w:val="16"/>
          <w:szCs w:val="16"/>
          <w:b w:val="1"/>
          <w:bCs w:val="1"/>
          <w:color w:val="333333"/>
        </w:rPr>
        <w:t xml:space="preserve"> </w:t>
      </w:r>
      <w:r>
        <w:rPr>
          <w:rFonts w:ascii="Arial" w:cs="Arial" w:eastAsia="Arial" w:hAnsi="Arial"/>
          <w:sz w:val="16"/>
          <w:szCs w:val="16"/>
          <w:color w:val="333333"/>
        </w:rPr>
        <w:t>discretion</w:t>
      </w:r>
    </w:p>
    <w:p>
      <w:pPr>
        <w:spacing w:after="0" w:line="7" w:lineRule="exact"/>
        <w:rPr>
          <w:rFonts w:ascii="Arial" w:cs="Arial" w:eastAsia="Arial" w:hAnsi="Arial"/>
          <w:sz w:val="16"/>
          <w:szCs w:val="16"/>
          <w:color w:val="333333"/>
        </w:rPr>
      </w:pPr>
    </w:p>
    <w:p>
      <w:pPr>
        <w:jc w:val="both"/>
        <w:ind w:left="224" w:right="300" w:hanging="224"/>
        <w:spacing w:after="0" w:line="266" w:lineRule="auto"/>
        <w:tabs>
          <w:tab w:leader="none" w:pos="224" w:val="left"/>
        </w:tabs>
        <w:numPr>
          <w:ilvl w:val="0"/>
          <w:numId w:val="61"/>
        </w:numPr>
        <w:rPr>
          <w:rFonts w:ascii="Arial" w:cs="Arial" w:eastAsia="Arial" w:hAnsi="Arial"/>
          <w:sz w:val="16"/>
          <w:szCs w:val="16"/>
          <w:color w:val="333333"/>
        </w:rPr>
      </w:pPr>
      <w:r>
        <w:rPr>
          <w:rFonts w:ascii="Arial" w:cs="Arial" w:eastAsia="Arial" w:hAnsi="Arial"/>
          <w:sz w:val="16"/>
          <w:szCs w:val="16"/>
          <w:b w:val="1"/>
          <w:bCs w:val="1"/>
          <w:color w:val="333333"/>
        </w:rPr>
        <w:t xml:space="preserve">Disclosed Threshold and Maximum goals in addition to disclosure of targets </w:t>
      </w:r>
      <w:r>
        <w:rPr>
          <w:rFonts w:ascii="Arial" w:cs="Arial" w:eastAsia="Arial" w:hAnsi="Arial"/>
          <w:sz w:val="16"/>
          <w:szCs w:val="16"/>
          <w:color w:val="333333"/>
        </w:rPr>
        <w:t>thereby improving disclosure, providing greater comparability to</w:t>
      </w:r>
      <w:r>
        <w:rPr>
          <w:rFonts w:ascii="Arial" w:cs="Arial" w:eastAsia="Arial" w:hAnsi="Arial"/>
          <w:sz w:val="16"/>
          <w:szCs w:val="16"/>
          <w:b w:val="1"/>
          <w:bCs w:val="1"/>
          <w:color w:val="333333"/>
        </w:rPr>
        <w:t xml:space="preserve"> </w:t>
      </w:r>
      <w:r>
        <w:rPr>
          <w:rFonts w:ascii="Arial" w:cs="Arial" w:eastAsia="Arial" w:hAnsi="Arial"/>
          <w:sz w:val="16"/>
          <w:szCs w:val="16"/>
          <w:color w:val="333333"/>
        </w:rPr>
        <w:t>peers and providing greater transparency for shareholders as to how the Company measures performance and how different levels of performance align with payouts for executives</w:t>
      </w:r>
    </w:p>
    <w:p>
      <w:pPr>
        <w:spacing w:after="0" w:line="22" w:lineRule="exact"/>
        <w:rPr>
          <w:rFonts w:ascii="Arial" w:cs="Arial" w:eastAsia="Arial" w:hAnsi="Arial"/>
          <w:sz w:val="16"/>
          <w:szCs w:val="16"/>
          <w:color w:val="333333"/>
        </w:rPr>
      </w:pPr>
    </w:p>
    <w:p>
      <w:pPr>
        <w:ind w:left="224" w:hanging="224"/>
        <w:spacing w:after="0"/>
        <w:tabs>
          <w:tab w:leader="none" w:pos="224" w:val="left"/>
        </w:tabs>
        <w:numPr>
          <w:ilvl w:val="0"/>
          <w:numId w:val="61"/>
        </w:numPr>
        <w:rPr>
          <w:rFonts w:ascii="Arial" w:cs="Arial" w:eastAsia="Arial" w:hAnsi="Arial"/>
          <w:sz w:val="16"/>
          <w:szCs w:val="16"/>
          <w:color w:val="333333"/>
        </w:rPr>
      </w:pPr>
      <w:r>
        <w:rPr>
          <w:rFonts w:ascii="Arial" w:cs="Arial" w:eastAsia="Arial" w:hAnsi="Arial"/>
          <w:sz w:val="16"/>
          <w:szCs w:val="16"/>
          <w:b w:val="1"/>
          <w:bCs w:val="1"/>
          <w:color w:val="333333"/>
        </w:rPr>
        <w:t xml:space="preserve">Eliminated excise tax gross-up </w:t>
      </w:r>
      <w:r>
        <w:rPr>
          <w:rFonts w:ascii="Arial" w:cs="Arial" w:eastAsia="Arial" w:hAnsi="Arial"/>
          <w:sz w:val="16"/>
          <w:szCs w:val="16"/>
          <w:color w:val="333333"/>
        </w:rPr>
        <w:t>in executive officers’ Employment Protection Agreements</w:t>
      </w:r>
    </w:p>
    <w:p>
      <w:pPr>
        <w:spacing w:after="0" w:line="72" w:lineRule="exact"/>
        <w:rPr>
          <w:rFonts w:ascii="Arial" w:cs="Arial" w:eastAsia="Arial" w:hAnsi="Arial"/>
          <w:sz w:val="16"/>
          <w:szCs w:val="16"/>
          <w:color w:val="333333"/>
        </w:rPr>
      </w:pPr>
    </w:p>
    <w:p>
      <w:pPr>
        <w:ind w:left="224" w:right="160" w:hanging="224"/>
        <w:spacing w:after="0" w:line="286" w:lineRule="auto"/>
        <w:tabs>
          <w:tab w:leader="none" w:pos="224" w:val="left"/>
        </w:tabs>
        <w:numPr>
          <w:ilvl w:val="0"/>
          <w:numId w:val="61"/>
        </w:numPr>
        <w:rPr>
          <w:rFonts w:ascii="Arial" w:cs="Arial" w:eastAsia="Arial" w:hAnsi="Arial"/>
          <w:sz w:val="16"/>
          <w:szCs w:val="16"/>
          <w:color w:val="333333"/>
        </w:rPr>
      </w:pPr>
      <w:r>
        <w:rPr>
          <w:rFonts w:ascii="Arial" w:cs="Arial" w:eastAsia="Arial" w:hAnsi="Arial"/>
          <w:sz w:val="16"/>
          <w:szCs w:val="16"/>
          <w:b w:val="1"/>
          <w:bCs w:val="1"/>
          <w:color w:val="333333"/>
        </w:rPr>
        <w:t xml:space="preserve">Eliminated walk-right and value of perks </w:t>
      </w:r>
      <w:r>
        <w:rPr>
          <w:rFonts w:ascii="Arial" w:cs="Arial" w:eastAsia="Arial" w:hAnsi="Arial"/>
          <w:sz w:val="16"/>
          <w:szCs w:val="16"/>
          <w:color w:val="333333"/>
        </w:rPr>
        <w:t>in the severance calculation in executive officers’ Employment Protection Agreements and decided not to</w:t>
      </w:r>
      <w:r>
        <w:rPr>
          <w:rFonts w:ascii="Arial" w:cs="Arial" w:eastAsia="Arial" w:hAnsi="Arial"/>
          <w:sz w:val="16"/>
          <w:szCs w:val="16"/>
          <w:b w:val="1"/>
          <w:bCs w:val="1"/>
          <w:color w:val="333333"/>
        </w:rPr>
        <w:t xml:space="preserve"> </w:t>
      </w:r>
      <w:r>
        <w:rPr>
          <w:rFonts w:ascii="Arial" w:cs="Arial" w:eastAsia="Arial" w:hAnsi="Arial"/>
          <w:sz w:val="16"/>
          <w:szCs w:val="16"/>
          <w:color w:val="333333"/>
        </w:rPr>
        <w:t>include these provisions in future Employment Protection Agreements</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61"/>
        </w:numPr>
        <w:rPr>
          <w:rFonts w:ascii="Arial" w:cs="Arial" w:eastAsia="Arial" w:hAnsi="Arial"/>
          <w:sz w:val="16"/>
          <w:szCs w:val="16"/>
          <w:color w:val="333333"/>
        </w:rPr>
      </w:pPr>
      <w:r>
        <w:rPr>
          <w:rFonts w:ascii="Arial" w:cs="Arial" w:eastAsia="Arial" w:hAnsi="Arial"/>
          <w:sz w:val="16"/>
          <w:szCs w:val="16"/>
          <w:b w:val="1"/>
          <w:bCs w:val="1"/>
          <w:color w:val="333333"/>
        </w:rPr>
        <w:t xml:space="preserve">Eliminated single-trigger vesting </w:t>
      </w:r>
      <w:r>
        <w:rPr>
          <w:rFonts w:ascii="Arial" w:cs="Arial" w:eastAsia="Arial" w:hAnsi="Arial"/>
          <w:sz w:val="16"/>
          <w:szCs w:val="16"/>
          <w:color w:val="333333"/>
        </w:rPr>
        <w:t>for equity awards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61"/>
        </w:numPr>
        <w:rPr>
          <w:rFonts w:ascii="Arial" w:cs="Arial" w:eastAsia="Arial" w:hAnsi="Arial"/>
          <w:sz w:val="16"/>
          <w:szCs w:val="16"/>
          <w:color w:val="333333"/>
        </w:rPr>
      </w:pPr>
      <w:r>
        <w:rPr>
          <w:rFonts w:ascii="Arial" w:cs="Arial" w:eastAsia="Arial" w:hAnsi="Arial"/>
          <w:sz w:val="16"/>
          <w:szCs w:val="16"/>
          <w:b w:val="1"/>
          <w:bCs w:val="1"/>
          <w:color w:val="333333"/>
        </w:rPr>
        <w:t xml:space="preserve">Submission of responses and additional information </w:t>
      </w:r>
      <w:r>
        <w:rPr>
          <w:rFonts w:ascii="Arial" w:cs="Arial" w:eastAsia="Arial" w:hAnsi="Arial"/>
          <w:sz w:val="16"/>
          <w:szCs w:val="16"/>
          <w:color w:val="333333"/>
        </w:rPr>
        <w:t>to Climate Action 100+.</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61"/>
        </w:numPr>
        <w:rPr>
          <w:rFonts w:ascii="Arial" w:cs="Arial" w:eastAsia="Arial" w:hAnsi="Arial"/>
          <w:sz w:val="16"/>
          <w:szCs w:val="16"/>
          <w:color w:val="333333"/>
        </w:rPr>
      </w:pPr>
      <w:r>
        <w:rPr>
          <w:rFonts w:ascii="Arial" w:cs="Arial" w:eastAsia="Arial" w:hAnsi="Arial"/>
          <w:sz w:val="16"/>
          <w:szCs w:val="16"/>
          <w:b w:val="1"/>
          <w:bCs w:val="1"/>
          <w:color w:val="333333"/>
        </w:rPr>
        <w:t xml:space="preserve">Setting a Net Zero GHG Emissions Ambition </w:t>
      </w:r>
      <w:r>
        <w:rPr>
          <w:rFonts w:ascii="Arial" w:cs="Arial" w:eastAsia="Arial" w:hAnsi="Arial"/>
          <w:sz w:val="16"/>
          <w:szCs w:val="16"/>
          <w:color w:val="333333"/>
        </w:rPr>
        <w:t>by 2050.</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61"/>
        </w:numPr>
        <w:rPr>
          <w:rFonts w:ascii="Arial" w:cs="Arial" w:eastAsia="Arial" w:hAnsi="Arial"/>
          <w:sz w:val="16"/>
          <w:szCs w:val="16"/>
          <w:color w:val="333333"/>
        </w:rPr>
      </w:pPr>
      <w:r>
        <w:rPr>
          <w:rFonts w:ascii="Arial" w:cs="Arial" w:eastAsia="Arial" w:hAnsi="Arial"/>
          <w:sz w:val="16"/>
          <w:szCs w:val="16"/>
          <w:b w:val="1"/>
          <w:bCs w:val="1"/>
          <w:color w:val="333333"/>
        </w:rPr>
        <w:t>Participated in CDP Climate and Water surveys</w:t>
      </w:r>
      <w:r>
        <w:rPr>
          <w:rFonts w:ascii="Arial" w:cs="Arial" w:eastAsia="Arial" w:hAnsi="Arial"/>
          <w:sz w:val="16"/>
          <w:szCs w:val="16"/>
          <w:color w:val="333333"/>
        </w:rPr>
        <w:t>.</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pacing w:after="0" w:line="1" w:lineRule="exact"/>
        <w:rPr>
          <w:sz w:val="20"/>
          <w:szCs w:val="20"/>
          <w:color w:val="auto"/>
        </w:rPr>
      </w:pPr>
    </w:p>
    <w:p>
      <w:pPr>
        <w:ind w:left="4"/>
        <w:spacing w:after="0"/>
        <w:tabs>
          <w:tab w:leader="none" w:pos="4564" w:val="left"/>
          <w:tab w:leader="none" w:pos="9944"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b w:val="1"/>
          <w:bCs w:val="1"/>
          <w:color w:val="auto"/>
        </w:rPr>
        <w:t>2026 PROXY STATEMENT</w:t>
      </w:r>
      <w:r>
        <w:rPr>
          <w:sz w:val="20"/>
          <w:szCs w:val="20"/>
          <w:color w:val="auto"/>
        </w:rPr>
        <w:tab/>
      </w:r>
      <w:r>
        <w:rPr>
          <w:rFonts w:ascii="Arial" w:cs="Arial" w:eastAsia="Arial" w:hAnsi="Arial"/>
          <w:sz w:val="16"/>
          <w:szCs w:val="16"/>
          <w:b w:val="1"/>
          <w:bCs w:val="1"/>
          <w:color w:val="0086CC"/>
        </w:rPr>
        <w:t xml:space="preserve">49 </w:t>
      </w:r>
      <w:r>
        <w:rPr>
          <w:rFonts w:ascii="Arial" w:cs="Arial" w:eastAsia="Arial" w:hAnsi="Arial"/>
          <w:sz w:val="16"/>
          <w:szCs w:val="16"/>
          <w:color w:val="333333"/>
        </w:rPr>
        <w:t xml:space="preserve">               </w:t>
      </w:r>
    </w:p>
    <w:p>
      <w:pPr>
        <w:sectPr>
          <w:pgSz w:w="11900" w:h="16838" w:orient="portrait"/>
          <w:cols w:equalWidth="0" w:num="1">
            <w:col w:w="11024"/>
          </w:cols>
          <w:pgMar w:left="436" w:top="285" w:right="439" w:bottom="1440" w:gutter="0" w:footer="0" w:header="0"/>
          <w:type w:val="continuous"/>
        </w:sectPr>
      </w:pPr>
    </w:p>
    <w:bookmarkStart w:id="55" w:name="page56"/>
    <w:bookmarkEnd w:id="55"/>
    <w:p>
      <w:pPr>
        <w:jc w:val="center"/>
        <w:ind w:right="8176"/>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877060" cy="4718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77060" cy="471805"/>
                    </a:xfrm>
                    <a:prstGeom prst="rect">
                      <a:avLst/>
                    </a:prstGeom>
                    <a:noFill/>
                  </pic:spPr>
                </pic:pic>
              </a:graphicData>
            </a:graphic>
          </wp:anchor>
        </w:drawing>
        <w:t xml:space="preserve">      Summary of Our    </w:t>
      </w:r>
    </w:p>
    <w:p>
      <w:pPr>
        <w:spacing w:after="0" w:line="15" w:lineRule="exact"/>
        <w:rPr>
          <w:sz w:val="20"/>
          <w:szCs w:val="20"/>
          <w:color w:val="auto"/>
        </w:rPr>
      </w:pPr>
    </w:p>
    <w:p>
      <w:pPr>
        <w:jc w:val="center"/>
        <w:ind w:right="8176"/>
        <w:spacing w:after="0"/>
        <w:rPr>
          <w:sz w:val="20"/>
          <w:szCs w:val="20"/>
          <w:color w:val="auto"/>
        </w:rPr>
      </w:pPr>
      <w:r>
        <w:rPr>
          <w:rFonts w:ascii="Arial" w:cs="Arial" w:eastAsia="Arial" w:hAnsi="Arial"/>
          <w:sz w:val="14"/>
          <w:szCs w:val="14"/>
          <w:b w:val="1"/>
          <w:bCs w:val="1"/>
          <w:color w:val="FFFFFF"/>
        </w:rPr>
        <w:t xml:space="preserve">      Compensation Considerations    </w:t>
      </w:r>
    </w:p>
    <w:p>
      <w:pPr>
        <w:spacing w:after="0" w:line="347" w:lineRule="exact"/>
        <w:rPr>
          <w:sz w:val="20"/>
          <w:szCs w:val="20"/>
          <w:color w:val="auto"/>
        </w:rPr>
      </w:pPr>
    </w:p>
    <w:p>
      <w:pPr>
        <w:ind w:left="224" w:right="100" w:hanging="224"/>
        <w:spacing w:after="0" w:line="254" w:lineRule="auto"/>
        <w:tabs>
          <w:tab w:leader="none" w:pos="224" w:val="left"/>
        </w:tabs>
        <w:numPr>
          <w:ilvl w:val="0"/>
          <w:numId w:val="62"/>
        </w:numPr>
        <w:rPr>
          <w:rFonts w:ascii="Arial" w:cs="Arial" w:eastAsia="Arial" w:hAnsi="Arial"/>
          <w:sz w:val="16"/>
          <w:szCs w:val="16"/>
          <w:color w:val="333333"/>
        </w:rPr>
      </w:pPr>
      <w:r>
        <w:rPr>
          <w:rFonts w:ascii="Arial" w:cs="Arial" w:eastAsia="Arial" w:hAnsi="Arial"/>
          <w:sz w:val="16"/>
          <w:szCs w:val="16"/>
          <w:b w:val="1"/>
          <w:bCs w:val="1"/>
          <w:color w:val="333333"/>
        </w:rPr>
        <w:t xml:space="preserve">Adopted Science Based Target Initiative (SBTi) validated targets for absolute emission reduction targets for all GHG scopes: </w:t>
      </w:r>
      <w:r>
        <w:rPr>
          <w:rFonts w:ascii="Arial" w:cs="Arial" w:eastAsia="Arial" w:hAnsi="Arial"/>
          <w:sz w:val="16"/>
          <w:szCs w:val="16"/>
          <w:color w:val="333333"/>
        </w:rPr>
        <w:t>Scope 1 &amp; 2 by</w:t>
      </w:r>
      <w:r>
        <w:rPr>
          <w:rFonts w:ascii="Arial" w:cs="Arial" w:eastAsia="Arial" w:hAnsi="Arial"/>
          <w:sz w:val="16"/>
          <w:szCs w:val="16"/>
          <w:b w:val="1"/>
          <w:bCs w:val="1"/>
          <w:color w:val="333333"/>
        </w:rPr>
        <w:t xml:space="preserve"> </w:t>
      </w:r>
      <w:r>
        <w:rPr>
          <w:rFonts w:ascii="Arial" w:cs="Arial" w:eastAsia="Arial" w:hAnsi="Arial"/>
          <w:sz w:val="16"/>
          <w:szCs w:val="16"/>
          <w:color w:val="333333"/>
        </w:rPr>
        <w:t>63.0% by 2035 from a 2023 base year; and Scope 3 from purchased goods and services, fuel- and energy-related activities and upstream transportation and distribution by 37.5% within the same timeframe. Achievement of these ambitions will depend upon the economic feasibility and timely implementation of commercial-scale carbon capture technology in the United States and related governmental policies, the availability of additional renewable energy from third party providers, and the availability of additional heavy equipment powered by alternate fuels and/or electrification supplied by OEMs such as Caterpillar and Komatsu.</w:t>
      </w:r>
    </w:p>
    <w:p>
      <w:pPr>
        <w:spacing w:after="0" w:line="33" w:lineRule="exact"/>
        <w:rPr>
          <w:rFonts w:ascii="Arial" w:cs="Arial" w:eastAsia="Arial" w:hAnsi="Arial"/>
          <w:sz w:val="16"/>
          <w:szCs w:val="16"/>
          <w:color w:val="333333"/>
        </w:rPr>
      </w:pPr>
    </w:p>
    <w:p>
      <w:pPr>
        <w:ind w:left="224" w:hanging="224"/>
        <w:spacing w:after="0"/>
        <w:tabs>
          <w:tab w:leader="none" w:pos="224" w:val="left"/>
        </w:tabs>
        <w:numPr>
          <w:ilvl w:val="0"/>
          <w:numId w:val="62"/>
        </w:numPr>
        <w:rPr>
          <w:rFonts w:ascii="Arial" w:cs="Arial" w:eastAsia="Arial" w:hAnsi="Arial"/>
          <w:sz w:val="16"/>
          <w:szCs w:val="16"/>
          <w:color w:val="333333"/>
        </w:rPr>
      </w:pPr>
      <w:r>
        <w:rPr>
          <w:rFonts w:ascii="Arial" w:cs="Arial" w:eastAsia="Arial" w:hAnsi="Arial"/>
          <w:sz w:val="16"/>
          <w:szCs w:val="16"/>
          <w:b w:val="1"/>
          <w:bCs w:val="1"/>
          <w:color w:val="333333"/>
        </w:rPr>
        <w:t xml:space="preserve">Submitted feedback and validation data to Sustainalytics </w:t>
      </w:r>
      <w:r>
        <w:rPr>
          <w:rFonts w:ascii="Arial" w:cs="Arial" w:eastAsia="Arial" w:hAnsi="Arial"/>
          <w:sz w:val="16"/>
          <w:szCs w:val="16"/>
          <w:color w:val="333333"/>
        </w:rPr>
        <w:t>and received updated scoring.</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62"/>
        </w:numPr>
        <w:rPr>
          <w:rFonts w:ascii="Arial" w:cs="Arial" w:eastAsia="Arial" w:hAnsi="Arial"/>
          <w:sz w:val="16"/>
          <w:szCs w:val="16"/>
          <w:color w:val="333333"/>
        </w:rPr>
      </w:pPr>
      <w:r>
        <w:rPr>
          <w:rFonts w:ascii="Arial" w:cs="Arial" w:eastAsia="Arial" w:hAnsi="Arial"/>
          <w:sz w:val="16"/>
          <w:szCs w:val="16"/>
          <w:b w:val="1"/>
          <w:bCs w:val="1"/>
          <w:color w:val="333333"/>
        </w:rPr>
        <w:t xml:space="preserve">Added a TCFD Alignment Index and a Sustainability Accounting Standards Board (SASB) Index </w:t>
      </w:r>
      <w:r>
        <w:rPr>
          <w:rFonts w:ascii="Arial" w:cs="Arial" w:eastAsia="Arial" w:hAnsi="Arial"/>
          <w:sz w:val="16"/>
          <w:szCs w:val="16"/>
          <w:color w:val="333333"/>
        </w:rPr>
        <w:t>to our Sustainability Report.</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62"/>
        </w:numPr>
        <w:rPr>
          <w:rFonts w:ascii="Arial" w:cs="Arial" w:eastAsia="Arial" w:hAnsi="Arial"/>
          <w:sz w:val="16"/>
          <w:szCs w:val="16"/>
          <w:color w:val="333333"/>
        </w:rPr>
      </w:pPr>
      <w:r>
        <w:rPr>
          <w:rFonts w:ascii="Arial" w:cs="Arial" w:eastAsia="Arial" w:hAnsi="Arial"/>
          <w:sz w:val="16"/>
          <w:szCs w:val="16"/>
          <w:b w:val="1"/>
          <w:bCs w:val="1"/>
          <w:color w:val="333333"/>
        </w:rPr>
        <w:t xml:space="preserve">Added a GRI Alignment Index </w:t>
      </w:r>
      <w:r>
        <w:rPr>
          <w:rFonts w:ascii="Arial" w:cs="Arial" w:eastAsia="Arial" w:hAnsi="Arial"/>
          <w:sz w:val="16"/>
          <w:szCs w:val="16"/>
          <w:color w:val="333333"/>
        </w:rPr>
        <w:t>to our Sustainability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166370</wp:posOffset>
            </wp:positionV>
            <wp:extent cx="6583680" cy="916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83680" cy="916940"/>
                    </a:xfrm>
                    <a:prstGeom prst="rect">
                      <a:avLst/>
                    </a:prstGeom>
                    <a:noFill/>
                  </pic:spPr>
                </pic:pic>
              </a:graphicData>
            </a:graphic>
          </wp:anchor>
        </w:drawing>
      </w:r>
    </w:p>
    <w:p>
      <w:pPr>
        <w:spacing w:after="0" w:line="358" w:lineRule="exact"/>
        <w:rPr>
          <w:sz w:val="20"/>
          <w:szCs w:val="20"/>
          <w:color w:val="auto"/>
        </w:rPr>
      </w:pPr>
    </w:p>
    <w:p>
      <w:pPr>
        <w:ind w:left="484" w:right="440"/>
        <w:spacing w:after="0" w:line="244" w:lineRule="auto"/>
        <w:rPr>
          <w:sz w:val="20"/>
          <w:szCs w:val="20"/>
          <w:color w:val="auto"/>
        </w:rPr>
      </w:pPr>
      <w:r>
        <w:rPr>
          <w:rFonts w:ascii="Arial" w:cs="Arial" w:eastAsia="Arial" w:hAnsi="Arial"/>
          <w:sz w:val="18"/>
          <w:szCs w:val="18"/>
          <w:b w:val="1"/>
          <w:bCs w:val="1"/>
          <w:color w:val="0086CC"/>
        </w:rPr>
        <w:t>We consider the input of our shareholders, along with emerging best practices, to ensure alignment of our executive pay programs with shareholder interests. At our 2025 Annual Meeting of Shareholders, 94.8% of the shares cast voted in favor of the advisory vote on executive compensation, or Say On Pay vote. Our robust shareholder engagement program and the changes that we have made in light of feedback that we received demonstrates a high level of responsiveness to the needs and concerns of our shareholders, and our shareholders are supportive of the changes that we have made.</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Our 2025 Performance</w:t>
      </w:r>
    </w:p>
    <w:p>
      <w:pPr>
        <w:spacing w:after="0" w:line="133" w:lineRule="exact"/>
        <w:rPr>
          <w:sz w:val="20"/>
          <w:szCs w:val="20"/>
          <w:color w:val="auto"/>
        </w:rPr>
      </w:pPr>
    </w:p>
    <w:p>
      <w:pPr>
        <w:ind w:left="4" w:right="20"/>
        <w:spacing w:after="0" w:line="249" w:lineRule="auto"/>
        <w:rPr>
          <w:sz w:val="20"/>
          <w:szCs w:val="20"/>
          <w:color w:val="auto"/>
        </w:rPr>
      </w:pPr>
      <w:r>
        <w:rPr>
          <w:rFonts w:ascii="Arial" w:cs="Arial" w:eastAsia="Arial" w:hAnsi="Arial"/>
          <w:sz w:val="16"/>
          <w:szCs w:val="16"/>
          <w:color w:val="333333"/>
        </w:rPr>
        <w:t xml:space="preserve">Building on prior-year success and continuing to demonstrate the resiliency and strength of our business and strategic plan, 2025 proved to be another record year in our aggregates business, underscoring the durability of our core product line, the resilience of the markets in which we operate and the effectiveness of our commercial execution. Our aggregates business delivered record profitability and meaningful margin expansion, while our highly complementary Specialties business achieved record revenues and gross profit, highlighting the strength and breadth of our portfolio. We delivered these results even as the private construction environment remained challenging, with single-family housing and non-residential square footage starts still well below their post-COVID peaks. Together, these outcomes underscore the durability of our aggregates-led business model, reinforced by intentional portfolio shaping and the disciplined execution by our teams. We also continued to deliver world-class safety performance. For the fifth consecutive year, our Total Injury Incident Rate (TIIR) surpassed the world-class benchmark, while our Lost Time Incident Rate (LTIR) exceeded the world-class level for the ninth consecutive year. Additionally, we successfully completed the execution of our </w:t>
      </w:r>
      <w:r>
        <w:rPr>
          <w:rFonts w:ascii="Arial" w:cs="Arial" w:eastAsia="Arial" w:hAnsi="Arial"/>
          <w:sz w:val="16"/>
          <w:szCs w:val="16"/>
          <w:b w:val="1"/>
          <w:bCs w:val="1"/>
          <w:color w:val="333333"/>
        </w:rPr>
        <w:t>Strategic Operating Analysis and Review (SOAR 2025)</w:t>
      </w:r>
      <w:r>
        <w:rPr>
          <w:rFonts w:ascii="Arial" w:cs="Arial" w:eastAsia="Arial" w:hAnsi="Arial"/>
          <w:sz w:val="16"/>
          <w:szCs w:val="16"/>
          <w:color w:val="333333"/>
        </w:rPr>
        <w:t>, a period defined by deliberate action, disciplined capital allocation and an unwavering focus on long-term value creation. In doing so, we extended our long track record of delivering above-market returns since the launch of SOAR in 2010. Since the start of SOAR 2025 on January 1, 2021, we have generated TSR of 126% as compared to the S&amp;P 500’s TSR of 96%. This strong performance yielded annual cash incentive plan payouts for 2025 of 185% of target and PSU payouts for the 2023-2025 cycle of 217% of target, demonstrating alignment of our executive pay programs with shareholder interests.</w:t>
      </w:r>
    </w:p>
    <w:p>
      <w:pPr>
        <w:sectPr>
          <w:pgSz w:w="11900" w:h="16838" w:orient="portrait"/>
          <w:cols w:equalWidth="0" w:num="1">
            <w:col w:w="11024"/>
          </w:cols>
          <w:pgMar w:left="436" w:top="508" w:right="439" w:bottom="1440" w:gutter="0" w:footer="0" w:header="0"/>
        </w:sectPr>
      </w:pPr>
    </w:p>
    <w:p>
      <w:pPr>
        <w:spacing w:after="0" w:line="218" w:lineRule="exact"/>
        <w:rPr>
          <w:sz w:val="20"/>
          <w:szCs w:val="20"/>
          <w:color w:val="auto"/>
        </w:rPr>
      </w:pPr>
    </w:p>
    <w:p>
      <w:pPr>
        <w:ind w:left="884" w:right="720"/>
        <w:spacing w:after="0" w:line="256" w:lineRule="auto"/>
        <w:rPr>
          <w:sz w:val="20"/>
          <w:szCs w:val="20"/>
          <w:color w:val="auto"/>
        </w:rPr>
      </w:pPr>
      <w:r>
        <w:rPr>
          <w:rFonts w:ascii="Arial" w:cs="Arial" w:eastAsia="Arial" w:hAnsi="Arial"/>
          <w:sz w:val="16"/>
          <w:szCs w:val="16"/>
          <w:b w:val="1"/>
          <w:bCs w:val="1"/>
          <w:color w:val="333333"/>
        </w:rPr>
        <w:t xml:space="preserve">EXCEPTIONAL FINANCIAL RESULTS </w:t>
      </w:r>
      <w:r>
        <w:rPr>
          <w:rFonts w:ascii="Arial" w:cs="Arial" w:eastAsia="Arial" w:hAnsi="Arial"/>
          <w:sz w:val="16"/>
          <w:szCs w:val="16"/>
          <w:color w:val="333333"/>
        </w:rPr>
        <w:t>reflected commercial</w:t>
      </w:r>
      <w:r>
        <w:rPr>
          <w:rFonts w:ascii="Arial" w:cs="Arial" w:eastAsia="Arial" w:hAnsi="Arial"/>
          <w:sz w:val="16"/>
          <w:szCs w:val="16"/>
          <w:b w:val="1"/>
          <w:bCs w:val="1"/>
          <w:color w:val="333333"/>
        </w:rPr>
        <w:t xml:space="preserve"> </w:t>
      </w:r>
      <w:r>
        <w:rPr>
          <w:rFonts w:ascii="Arial" w:cs="Arial" w:eastAsia="Arial" w:hAnsi="Arial"/>
          <w:sz w:val="16"/>
          <w:szCs w:val="16"/>
          <w:color w:val="333333"/>
        </w:rPr>
        <w:t>excellence efforts and record aggregates unit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-239395</wp:posOffset>
            </wp:positionV>
            <wp:extent cx="889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-213995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-196850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-179705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-162560</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-145415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-128270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-111125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-93980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-76835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-59690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-42545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-25400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-8255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351155" cy="3257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1155" cy="325755"/>
                    </a:xfrm>
                    <a:prstGeom prst="rect">
                      <a:avLst/>
                    </a:prstGeom>
                    <a:noFill/>
                  </pic:spPr>
                </pic:pic>
              </a:graphicData>
            </a:graphic>
          </wp:anchor>
        </w:drawing>
      </w:r>
    </w:p>
    <w:p>
      <w:pPr>
        <w:ind w:left="884" w:right="880"/>
        <w:spacing w:after="0" w:line="276" w:lineRule="auto"/>
        <w:rPr>
          <w:sz w:val="20"/>
          <w:szCs w:val="20"/>
          <w:color w:val="auto"/>
        </w:rPr>
      </w:pPr>
      <w:r>
        <w:rPr>
          <w:rFonts w:ascii="Arial" w:cs="Arial" w:eastAsia="Arial" w:hAnsi="Arial"/>
          <w:sz w:val="16"/>
          <w:szCs w:val="16"/>
          <w:b w:val="1"/>
          <w:bCs w:val="1"/>
          <w:color w:val="333333"/>
        </w:rPr>
        <w:t>AGGREGATES GROSS PROFIT PER TON UP 12% TO A RECORD $8.45 PER 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64135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-3810</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12700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29845</wp:posOffset>
            </wp:positionV>
            <wp:extent cx="889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-260985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-243840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-226695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-209550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-192405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-175260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-158115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-140970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-123825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-106680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-89535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-72390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-55245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-38100</wp:posOffset>
            </wp:positionV>
            <wp:extent cx="889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64135</wp:posOffset>
            </wp:positionV>
            <wp:extent cx="419735" cy="420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19735" cy="420370"/>
                    </a:xfrm>
                    <a:prstGeom prst="rect">
                      <a:avLst/>
                    </a:prstGeom>
                    <a:noFill/>
                  </pic:spPr>
                </pic:pic>
              </a:graphicData>
            </a:graphic>
          </wp:anchor>
        </w:drawing>
      </w:r>
    </w:p>
    <w:p>
      <w:pPr>
        <w:spacing w:after="0" w:line="94" w:lineRule="exact"/>
        <w:rPr>
          <w:sz w:val="20"/>
          <w:szCs w:val="20"/>
          <w:color w:val="auto"/>
        </w:rPr>
      </w:pPr>
    </w:p>
    <w:p>
      <w:pPr>
        <w:ind w:left="884" w:right="1180"/>
        <w:spacing w:after="0" w:line="266" w:lineRule="auto"/>
        <w:rPr>
          <w:sz w:val="20"/>
          <w:szCs w:val="20"/>
          <w:color w:val="auto"/>
        </w:rPr>
      </w:pPr>
      <w:r>
        <w:rPr>
          <w:rFonts w:ascii="Arial" w:cs="Arial" w:eastAsia="Arial" w:hAnsi="Arial"/>
          <w:sz w:val="16"/>
          <w:szCs w:val="16"/>
          <w:color w:val="333333"/>
        </w:rPr>
        <w:t xml:space="preserve">Continuous commitment to </w:t>
      </w:r>
      <w:r>
        <w:rPr>
          <w:rFonts w:ascii="Arial" w:cs="Arial" w:eastAsia="Arial" w:hAnsi="Arial"/>
          <w:sz w:val="16"/>
          <w:szCs w:val="16"/>
          <w:b w:val="1"/>
          <w:bCs w:val="1"/>
          <w:color w:val="333333"/>
        </w:rPr>
        <w:t>SUSTAINABILITY AND</w:t>
      </w:r>
      <w:r>
        <w:rPr>
          <w:rFonts w:ascii="Arial" w:cs="Arial" w:eastAsia="Arial" w:hAnsi="Arial"/>
          <w:sz w:val="16"/>
          <w:szCs w:val="16"/>
          <w:color w:val="333333"/>
        </w:rPr>
        <w:t xml:space="preserve"> </w:t>
      </w:r>
      <w:r>
        <w:rPr>
          <w:rFonts w:ascii="Arial" w:cs="Arial" w:eastAsia="Arial" w:hAnsi="Arial"/>
          <w:sz w:val="16"/>
          <w:szCs w:val="16"/>
          <w:b w:val="1"/>
          <w:bCs w:val="1"/>
          <w:color w:val="333333"/>
        </w:rPr>
        <w:t xml:space="preserve">ENTERPRISE EXCELLENCE, </w:t>
      </w:r>
      <w:r>
        <w:rPr>
          <w:rFonts w:ascii="Arial" w:cs="Arial" w:eastAsia="Arial" w:hAnsi="Arial"/>
          <w:sz w:val="16"/>
          <w:szCs w:val="16"/>
          <w:color w:val="333333"/>
        </w:rPr>
        <w:t>which is included in our</w:t>
      </w:r>
      <w:r>
        <w:rPr>
          <w:rFonts w:ascii="Arial" w:cs="Arial" w:eastAsia="Arial" w:hAnsi="Arial"/>
          <w:sz w:val="16"/>
          <w:szCs w:val="16"/>
          <w:b w:val="1"/>
          <w:bCs w:val="1"/>
          <w:color w:val="333333"/>
        </w:rPr>
        <w:t xml:space="preserve"> </w:t>
      </w:r>
      <w:r>
        <w:rPr>
          <w:rFonts w:ascii="Arial" w:cs="Arial" w:eastAsia="Arial" w:hAnsi="Arial"/>
          <w:sz w:val="16"/>
          <w:szCs w:val="16"/>
          <w:color w:val="333333"/>
        </w:rPr>
        <w:t>strategy and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134620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151765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168910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186055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203200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66040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83185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100330</wp:posOffset>
            </wp:positionV>
            <wp:extent cx="889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-379095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-361950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-344805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-327660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-310515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-293370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-276225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-259080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-241935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-224790</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-207645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-190500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-173355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-156210</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-139065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-121920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-104775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-87630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-70485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-53340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-36195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-19050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-1905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14605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31750</wp:posOffset>
            </wp:positionV>
            <wp:extent cx="889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212090</wp:posOffset>
            </wp:positionV>
            <wp:extent cx="462915" cy="308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62915" cy="308610"/>
                    </a:xfrm>
                    <a:prstGeom prst="rect">
                      <a:avLst/>
                    </a:prstGeom>
                    <a:noFill/>
                  </pic:spPr>
                </pic:pic>
              </a:graphicData>
            </a:graphic>
          </wp:anchor>
        </w:drawing>
      </w:r>
    </w:p>
    <w:p>
      <w:pPr>
        <w:spacing w:after="0" w:line="327" w:lineRule="exact"/>
        <w:rPr>
          <w:sz w:val="20"/>
          <w:szCs w:val="20"/>
          <w:color w:val="auto"/>
        </w:rPr>
      </w:pPr>
    </w:p>
    <w:p>
      <w:pPr>
        <w:ind w:left="884" w:right="1560"/>
        <w:spacing w:after="0" w:line="252" w:lineRule="auto"/>
        <w:rPr>
          <w:sz w:val="20"/>
          <w:szCs w:val="20"/>
          <w:color w:val="auto"/>
        </w:rPr>
      </w:pPr>
      <w:r>
        <w:rPr>
          <w:rFonts w:ascii="Arial" w:cs="Arial" w:eastAsia="Arial" w:hAnsi="Arial"/>
          <w:sz w:val="16"/>
          <w:szCs w:val="16"/>
          <w:b w:val="1"/>
          <w:bCs w:val="1"/>
          <w:color w:val="333333"/>
        </w:rPr>
        <w:t xml:space="preserve">ANOTHER YEAR OF WORLD-CLASS SAFETY; </w:t>
      </w:r>
      <w:r>
        <w:rPr>
          <w:rFonts w:ascii="Arial" w:cs="Arial" w:eastAsia="Arial" w:hAnsi="Arial"/>
          <w:sz w:val="16"/>
          <w:szCs w:val="16"/>
          <w:color w:val="333333"/>
        </w:rPr>
        <w:t>Safety performance better than world-class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-244475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-227330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-210185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-193040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-175895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-158750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-141605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-124460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-107315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-90170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-73025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-55880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-38735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-21590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-4445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884"/>
        <w:spacing w:after="0" w:line="222" w:lineRule="auto"/>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199390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216535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233680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147955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165100</wp:posOffset>
            </wp:positionV>
            <wp:extent cx="889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-13970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2540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19685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36830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53975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71120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88265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105410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122555</wp:posOffset>
            </wp:positionV>
            <wp:extent cx="889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402590" cy="291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02590" cy="291465"/>
                    </a:xfrm>
                    <a:prstGeom prst="rect">
                      <a:avLst/>
                    </a:prstGeom>
                    <a:noFill/>
                  </pic:spPr>
                </pic:pic>
              </a:graphicData>
            </a:graphic>
          </wp:anchor>
        </w:drawing>
      </w:r>
    </w:p>
    <w:p>
      <w:pPr>
        <w:spacing w:after="0" w:line="361" w:lineRule="exact"/>
        <w:rPr>
          <w:sz w:val="20"/>
          <w:szCs w:val="20"/>
          <w:color w:val="auto"/>
        </w:rPr>
      </w:pPr>
    </w:p>
    <w:p>
      <w:pPr>
        <w:ind w:left="884"/>
        <w:spacing w:after="0"/>
        <w:rPr>
          <w:sz w:val="20"/>
          <w:szCs w:val="20"/>
          <w:color w:val="auto"/>
        </w:rPr>
      </w:pPr>
      <w:r>
        <w:rPr>
          <w:rFonts w:ascii="Arial" w:cs="Arial" w:eastAsia="Arial" w:hAnsi="Arial"/>
          <w:sz w:val="16"/>
          <w:szCs w:val="16"/>
          <w:color w:val="333333"/>
        </w:rPr>
        <w:t xml:space="preserve">Generated </w:t>
      </w:r>
      <w:r>
        <w:rPr>
          <w:rFonts w:ascii="Arial" w:cs="Arial" w:eastAsia="Arial" w:hAnsi="Arial"/>
          <w:sz w:val="16"/>
          <w:szCs w:val="16"/>
          <w:b w:val="1"/>
          <w:bCs w:val="1"/>
          <w:color w:val="333333"/>
        </w:rPr>
        <w:t>record</w:t>
      </w:r>
      <w:r>
        <w:rPr>
          <w:rFonts w:ascii="Arial" w:cs="Arial" w:eastAsia="Arial" w:hAnsi="Arial"/>
          <w:sz w:val="16"/>
          <w:szCs w:val="16"/>
          <w:color w:val="333333"/>
        </w:rPr>
        <w:t xml:space="preserve"> cash flow from operations of $1.8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-107315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-90170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-73025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-55880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-38735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-21590</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-4445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12065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29210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46355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63500</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80645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97790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333333"/>
        </w:rPr>
        <w:t xml:space="preserve">$647 MILLION RETURNED TO SHAREHOLDERS </w:t>
      </w:r>
      <w:r>
        <w:rPr>
          <w:rFonts w:ascii="Arial" w:cs="Arial" w:eastAsia="Arial" w:hAnsi="Arial"/>
          <w:sz w:val="16"/>
          <w:szCs w:val="16"/>
          <w:color w:val="333333"/>
        </w:rPr>
        <w:t>through</w:t>
      </w:r>
      <w:r>
        <w:rPr>
          <w:rFonts w:ascii="Arial" w:cs="Arial" w:eastAsia="Arial" w:hAnsi="Arial"/>
          <w:sz w:val="16"/>
          <w:szCs w:val="16"/>
          <w:b w:val="1"/>
          <w:bCs w:val="1"/>
          <w:color w:val="333333"/>
        </w:rPr>
        <w:t xml:space="preserve"> </w:t>
      </w:r>
      <w:r>
        <w:rPr>
          <w:rFonts w:ascii="Arial" w:cs="Arial" w:eastAsia="Arial" w:hAnsi="Arial"/>
          <w:sz w:val="16"/>
          <w:szCs w:val="16"/>
          <w:color w:val="333333"/>
        </w:rPr>
        <w:t>dividends and share repurchases; 5% quarterly dividend increase effective in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-413385</wp:posOffset>
            </wp:positionV>
            <wp:extent cx="420370" cy="419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0370" cy="41973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134620</wp:posOffset>
            </wp:positionV>
            <wp:extent cx="488315" cy="4286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88315" cy="428625"/>
                    </a:xfrm>
                    <a:prstGeom prst="rect">
                      <a:avLst/>
                    </a:prstGeom>
                    <a:noFill/>
                  </pic:spPr>
                </pic:pic>
              </a:graphicData>
            </a:graphic>
          </wp:anchor>
        </w:drawing>
      </w:r>
    </w:p>
    <w:p>
      <w:pPr>
        <w:spacing w:after="0" w:line="205"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333333"/>
        </w:rPr>
        <w:t xml:space="preserve">Exited year at </w:t>
      </w:r>
      <w:r>
        <w:rPr>
          <w:rFonts w:ascii="Arial" w:cs="Arial" w:eastAsia="Arial" w:hAnsi="Arial"/>
          <w:sz w:val="16"/>
          <w:szCs w:val="16"/>
          <w:b w:val="1"/>
          <w:bCs w:val="1"/>
          <w:color w:val="333333"/>
        </w:rPr>
        <w:t xml:space="preserve">2.3X CONSOLIDATED NET DEBT-TO-CONSOLIDATED ADJUSTED EBITDA* </w:t>
      </w:r>
      <w:r>
        <w:rPr>
          <w:rFonts w:ascii="Arial" w:cs="Arial" w:eastAsia="Arial" w:hAnsi="Arial"/>
          <w:sz w:val="16"/>
          <w:szCs w:val="16"/>
          <w:color w:val="333333"/>
        </w:rPr>
        <w:t>as of December</w:t>
      </w:r>
      <w:r>
        <w:rPr>
          <w:rFonts w:ascii="Arial" w:cs="Arial" w:eastAsia="Arial" w:hAnsi="Arial"/>
          <w:sz w:val="16"/>
          <w:szCs w:val="16"/>
          <w:b w:val="1"/>
          <w:bCs w:val="1"/>
          <w:color w:val="333333"/>
        </w:rPr>
        <w:t xml:space="preserve"> </w:t>
      </w:r>
      <w:r>
        <w:rPr>
          <w:rFonts w:ascii="Arial" w:cs="Arial" w:eastAsia="Arial" w:hAnsi="Arial"/>
          <w:sz w:val="16"/>
          <w:szCs w:val="16"/>
          <w:color w:val="333333"/>
        </w:rPr>
        <w:t>31, 2025</w:t>
      </w:r>
    </w:p>
    <w:p>
      <w:pPr>
        <w:spacing w:after="0" w:line="15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333333"/>
        </w:rPr>
        <w:t xml:space="preserve">Advanced nearly </w:t>
      </w:r>
      <w:r>
        <w:rPr>
          <w:rFonts w:ascii="Arial" w:cs="Arial" w:eastAsia="Arial" w:hAnsi="Arial"/>
          <w:sz w:val="16"/>
          <w:szCs w:val="16"/>
          <w:b w:val="1"/>
          <w:bCs w:val="1"/>
          <w:color w:val="333333"/>
        </w:rPr>
        <w:t>$6.3 billion of portfolio optimizing</w:t>
      </w:r>
      <w:r>
        <w:rPr>
          <w:rFonts w:ascii="Arial" w:cs="Arial" w:eastAsia="Arial" w:hAnsi="Arial"/>
          <w:sz w:val="16"/>
          <w:szCs w:val="16"/>
          <w:color w:val="333333"/>
        </w:rPr>
        <w:t>, aggregates-led acquisitions and non-core asset divestitures that collectively improved the enterprise’s durability and margin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-432435</wp:posOffset>
            </wp:positionV>
            <wp:extent cx="420370" cy="419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20370" cy="41973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4"/>
          <w:szCs w:val="4"/>
          <w:color w:val="auto"/>
        </w:rPr>
        <w:t> </w:t>
      </w:r>
    </w:p>
    <w:p>
      <w:pPr>
        <w:spacing w:after="0" w:line="575" w:lineRule="exact"/>
        <w:rPr>
          <w:sz w:val="20"/>
          <w:szCs w:val="20"/>
          <w:color w:val="auto"/>
        </w:rPr>
      </w:pPr>
    </w:p>
    <w:p>
      <w:pPr>
        <w:sectPr>
          <w:pgSz w:w="11900" w:h="16838" w:orient="portrait"/>
          <w:cols w:equalWidth="0" w:num="2">
            <w:col w:w="6004" w:space="720"/>
            <w:col w:w="4300"/>
          </w:cols>
          <w:pgMar w:left="436" w:top="508" w:right="439" w:bottom="1440" w:gutter="0" w:footer="0" w:header="0"/>
          <w:type w:val="continuous"/>
        </w:sectPr>
      </w:pPr>
    </w:p>
    <w:p>
      <w:pPr>
        <w:spacing w:after="0" w:line="166" w:lineRule="exact"/>
        <w:rPr>
          <w:sz w:val="20"/>
          <w:szCs w:val="20"/>
          <w:color w:val="auto"/>
        </w:rPr>
      </w:pPr>
    </w:p>
    <w:p>
      <w:pPr>
        <w:ind w:left="224" w:hanging="224"/>
        <w:spacing w:after="0"/>
        <w:tabs>
          <w:tab w:leader="none" w:pos="224" w:val="left"/>
        </w:tabs>
        <w:numPr>
          <w:ilvl w:val="0"/>
          <w:numId w:val="63"/>
        </w:numPr>
        <w:rPr>
          <w:rFonts w:ascii="Arial" w:cs="Arial" w:eastAsia="Arial" w:hAnsi="Arial"/>
          <w:sz w:val="13"/>
          <w:szCs w:val="13"/>
          <w:color w:val="333333"/>
        </w:rPr>
      </w:pPr>
      <w:r>
        <w:rPr>
          <w:rFonts w:ascii="Arial" w:cs="Arial" w:eastAsia="Arial" w:hAnsi="Arial"/>
          <w:sz w:val="13"/>
          <w:szCs w:val="13"/>
          <w:color w:val="333333"/>
        </w:rPr>
        <w:t>Consolidated Net Debt-to-Consolidated Adjusted EBITDA is a non-GAAP measures. See Appendix B for reconciliation of non-GAAP measures to GAAP measures and related disclosures.</w:t>
      </w:r>
    </w:p>
    <w:p>
      <w:pPr>
        <w:spacing w:after="0" w:line="394"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1" w:lineRule="exact"/>
        <w:rPr>
          <w:sz w:val="20"/>
          <w:szCs w:val="20"/>
          <w:color w:val="auto"/>
        </w:rPr>
      </w:pPr>
    </w:p>
    <w:p>
      <w:pPr>
        <w:ind w:left="4"/>
        <w:spacing w:after="0"/>
        <w:tabs>
          <w:tab w:leader="none" w:pos="10224" w:val="left"/>
        </w:tabs>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50</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4"/>
          </w:cols>
          <w:pgMar w:left="436" w:top="508" w:right="439" w:bottom="1440" w:gutter="0" w:footer="0" w:header="0"/>
          <w:type w:val="continuous"/>
        </w:sectPr>
      </w:pPr>
    </w:p>
    <w:bookmarkStart w:id="56" w:name="page57"/>
    <w:bookmarkEnd w:id="56"/>
    <w:p>
      <w:pPr>
        <w:jc w:val="center"/>
        <w:ind w:left="79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Summary of Our           </w:t>
      </w:r>
    </w:p>
    <w:p>
      <w:pPr>
        <w:spacing w:after="0" w:line="1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 xml:space="preserve">Compensation Considerations    </w:t>
      </w:r>
    </w:p>
    <w:p>
      <w:pPr>
        <w:spacing w:after="0" w:line="26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The SOAR process, supplemented by our annual planning process, has guided us since 2010 as we have grown the Company in an intentional, contemplative, and disciplined manner. SOAR 2025 set ambitious-yet-achievable targets for future growth and value creation, including platform and bolt-on acquisitions in high-growth regions, commercial and operational excellence, industry-leading safety performance, and returning value to shareholders. Importantly, the Company’s strategic efforts and proactive balance sheet management in recent years provide a platform for continued expansion in future years. In September 2025, we unveiled SOAR 2030, which is focused on, among other things, opportunities to scale the business and the use of data and analytics to inform better and faster decision making. We believe these goals and execution of our strategy has resulted in our 689% cumulative total shareholder return (TSR) since the SOAR program’s inception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029450" cy="21513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02945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Sustainability, Safety and the Well-Being of Our Employees</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333333"/>
        </w:rPr>
        <w:t>Our sustainability efforts and our unwavering commitment to our employees go hand-in-hand. We discuss these important topics in several places in our public filings, including our annual Sustainability Report and our Annual Report on Form 10-K for the year ended December 31, 2025. We encourage you to read those materials to better understand the many ways we ensure the ongoing well-being of our employees, who are the foundation of our success, as well as make a positive impact on our communities and the environment. In this section, we highlight several of these topics and tell you about our achievements in these areas, namely how Sustainability is embedded in our company culture through Safety, Environmental Stewardship, and our Employees. We also discuss how we improve our Communities in our Sustainability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086CC"/>
        </w:rPr>
        <w:t>SUSTAINABILITY</w:t>
      </w:r>
    </w:p>
    <w:p>
      <w:pPr>
        <w:spacing w:after="0" w:line="108"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333333"/>
        </w:rPr>
        <w:t xml:space="preserve">Our approach to Sustainability is embedded in four vital pillars of </w:t>
      </w:r>
      <w:r>
        <w:rPr>
          <w:rFonts w:ascii="Arial" w:cs="Arial" w:eastAsia="Arial" w:hAnsi="Arial"/>
          <w:sz w:val="16"/>
          <w:szCs w:val="16"/>
          <w:b w:val="1"/>
          <w:bCs w:val="1"/>
          <w:color w:val="333333"/>
        </w:rPr>
        <w:t>Safety, Environment, Employees</w:t>
      </w:r>
      <w:r>
        <w:rPr>
          <w:rFonts w:ascii="Arial" w:cs="Arial" w:eastAsia="Arial" w:hAnsi="Arial"/>
          <w:sz w:val="16"/>
          <w:szCs w:val="16"/>
          <w:color w:val="333333"/>
        </w:rPr>
        <w:t xml:space="preserve">, and </w:t>
      </w:r>
      <w:r>
        <w:rPr>
          <w:rFonts w:ascii="Arial" w:cs="Arial" w:eastAsia="Arial" w:hAnsi="Arial"/>
          <w:sz w:val="16"/>
          <w:szCs w:val="16"/>
          <w:b w:val="1"/>
          <w:bCs w:val="1"/>
          <w:color w:val="333333"/>
        </w:rPr>
        <w:t>Community.</w:t>
      </w:r>
      <w:r>
        <w:rPr>
          <w:rFonts w:ascii="Arial" w:cs="Arial" w:eastAsia="Arial" w:hAnsi="Arial"/>
          <w:sz w:val="16"/>
          <w:szCs w:val="16"/>
          <w:color w:val="333333"/>
        </w:rPr>
        <w:t xml:space="preserve"> We continued to achieve improvements in each of these areas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5915025" cy="16973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15025" cy="169735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52"/>
        </w:trPr>
        <w:tc>
          <w:tcPr>
            <w:tcW w:w="2560" w:type="dxa"/>
            <w:vAlign w:val="bottom"/>
            <w:tcBorders>
              <w:right w:val="single" w:sz="8" w:color="auto"/>
            </w:tcBorders>
          </w:tcPr>
          <w:p>
            <w:pPr>
              <w:spacing w:after="0"/>
              <w:rPr>
                <w:sz w:val="20"/>
                <w:szCs w:val="20"/>
                <w:color w:val="auto"/>
              </w:rPr>
            </w:pPr>
            <w:r>
              <w:rPr>
                <w:rFonts w:ascii="Arial" w:cs="Arial" w:eastAsia="Arial" w:hAnsi="Arial"/>
                <w:sz w:val="32"/>
                <w:szCs w:val="32"/>
                <w:b w:val="1"/>
                <w:bCs w:val="1"/>
                <w:color w:val="333333"/>
              </w:rPr>
              <w:t>Safe</w:t>
            </w:r>
          </w:p>
        </w:tc>
        <w:tc>
          <w:tcPr>
            <w:tcW w:w="2860" w:type="dxa"/>
            <w:vAlign w:val="bottom"/>
            <w:tcBorders>
              <w:right w:val="single" w:sz="8" w:color="auto"/>
            </w:tcBorders>
          </w:tcPr>
          <w:p>
            <w:pPr>
              <w:ind w:left="100"/>
              <w:spacing w:after="0"/>
              <w:rPr>
                <w:sz w:val="20"/>
                <w:szCs w:val="20"/>
                <w:color w:val="auto"/>
              </w:rPr>
            </w:pPr>
            <w:r>
              <w:rPr>
                <w:rFonts w:ascii="Arial" w:cs="Arial" w:eastAsia="Arial" w:hAnsi="Arial"/>
                <w:sz w:val="32"/>
                <w:szCs w:val="32"/>
                <w:b w:val="1"/>
                <w:bCs w:val="1"/>
                <w:color w:val="333333"/>
              </w:rPr>
              <w:t>Environmental</w:t>
            </w:r>
          </w:p>
        </w:tc>
        <w:tc>
          <w:tcPr>
            <w:tcW w:w="2820" w:type="dxa"/>
            <w:vAlign w:val="bottom"/>
          </w:tcPr>
          <w:p>
            <w:pPr>
              <w:ind w:left="100"/>
              <w:spacing w:after="0"/>
              <w:rPr>
                <w:sz w:val="20"/>
                <w:szCs w:val="20"/>
                <w:color w:val="auto"/>
              </w:rPr>
            </w:pPr>
            <w:r>
              <w:rPr>
                <w:rFonts w:ascii="Arial" w:cs="Arial" w:eastAsia="Arial" w:hAnsi="Arial"/>
                <w:sz w:val="32"/>
                <w:szCs w:val="32"/>
                <w:b w:val="1"/>
                <w:bCs w:val="1"/>
                <w:color w:val="333333"/>
              </w:rPr>
              <w:t>Employee</w:t>
            </w:r>
          </w:p>
        </w:tc>
      </w:tr>
      <w:tr>
        <w:trPr>
          <w:trHeight w:val="447"/>
        </w:trPr>
        <w:tc>
          <w:tcPr>
            <w:tcW w:w="2560" w:type="dxa"/>
            <w:vAlign w:val="bottom"/>
            <w:tcBorders>
              <w:right w:val="single" w:sz="8" w:color="auto"/>
            </w:tcBorders>
          </w:tcPr>
          <w:p>
            <w:pPr>
              <w:spacing w:after="0"/>
              <w:rPr>
                <w:sz w:val="20"/>
                <w:szCs w:val="20"/>
                <w:color w:val="auto"/>
              </w:rPr>
            </w:pPr>
            <w:r>
              <w:rPr>
                <w:rFonts w:ascii="Arial" w:cs="Arial" w:eastAsia="Arial" w:hAnsi="Arial"/>
                <w:sz w:val="32"/>
                <w:szCs w:val="32"/>
                <w:b w:val="1"/>
                <w:bCs w:val="1"/>
                <w:color w:val="333333"/>
              </w:rPr>
              <w:t>Operations</w:t>
            </w:r>
          </w:p>
        </w:tc>
        <w:tc>
          <w:tcPr>
            <w:tcW w:w="2860" w:type="dxa"/>
            <w:vAlign w:val="bottom"/>
            <w:tcBorders>
              <w:right w:val="single" w:sz="8" w:color="auto"/>
            </w:tcBorders>
          </w:tcPr>
          <w:p>
            <w:pPr>
              <w:ind w:left="100"/>
              <w:spacing w:after="0"/>
              <w:rPr>
                <w:sz w:val="20"/>
                <w:szCs w:val="20"/>
                <w:color w:val="auto"/>
              </w:rPr>
            </w:pPr>
            <w:r>
              <w:rPr>
                <w:rFonts w:ascii="Arial" w:cs="Arial" w:eastAsia="Arial" w:hAnsi="Arial"/>
                <w:sz w:val="32"/>
                <w:szCs w:val="32"/>
                <w:b w:val="1"/>
                <w:bCs w:val="1"/>
                <w:color w:val="333333"/>
              </w:rPr>
              <w:t>Stewardship</w:t>
            </w:r>
          </w:p>
        </w:tc>
        <w:tc>
          <w:tcPr>
            <w:tcW w:w="2820" w:type="dxa"/>
            <w:vAlign w:val="bottom"/>
          </w:tcPr>
          <w:p>
            <w:pPr>
              <w:ind w:left="100"/>
              <w:spacing w:after="0"/>
              <w:rPr>
                <w:sz w:val="20"/>
                <w:szCs w:val="20"/>
                <w:color w:val="auto"/>
              </w:rPr>
            </w:pPr>
            <w:r>
              <w:rPr>
                <w:rFonts w:ascii="Arial" w:cs="Arial" w:eastAsia="Arial" w:hAnsi="Arial"/>
                <w:sz w:val="32"/>
                <w:szCs w:val="32"/>
                <w:b w:val="1"/>
                <w:bCs w:val="1"/>
                <w:color w:val="333333"/>
              </w:rPr>
              <w:t>Well-Being</w:t>
            </w:r>
          </w:p>
        </w:tc>
      </w:tr>
      <w:tr>
        <w:trPr>
          <w:trHeight w:val="379"/>
        </w:trPr>
        <w:tc>
          <w:tcPr>
            <w:tcW w:w="2560" w:type="dxa"/>
            <w:vAlign w:val="bottom"/>
            <w:tcBorders>
              <w:right w:val="single" w:sz="8" w:color="auto"/>
            </w:tcBorders>
          </w:tcPr>
          <w:p>
            <w:pPr>
              <w:spacing w:after="0"/>
              <w:rPr>
                <w:sz w:val="20"/>
                <w:szCs w:val="20"/>
                <w:color w:val="auto"/>
              </w:rPr>
            </w:pPr>
            <w:r>
              <w:rPr>
                <w:rFonts w:ascii="Arial" w:cs="Arial" w:eastAsia="Arial" w:hAnsi="Arial"/>
                <w:sz w:val="16"/>
                <w:szCs w:val="16"/>
                <w:color w:val="333333"/>
              </w:rPr>
              <w:t>Protecting all who come in contact</w:t>
            </w:r>
          </w:p>
        </w:tc>
        <w:tc>
          <w:tcPr>
            <w:tcW w:w="2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333333"/>
              </w:rPr>
              <w:t>Protecting the Earth’s resources and</w:t>
            </w:r>
          </w:p>
        </w:tc>
        <w:tc>
          <w:tcPr>
            <w:tcW w:w="2820" w:type="dxa"/>
            <w:vAlign w:val="bottom"/>
          </w:tcPr>
          <w:p>
            <w:pPr>
              <w:ind w:left="100"/>
              <w:spacing w:after="0"/>
              <w:rPr>
                <w:sz w:val="20"/>
                <w:szCs w:val="20"/>
                <w:color w:val="auto"/>
              </w:rPr>
            </w:pPr>
            <w:r>
              <w:rPr>
                <w:rFonts w:ascii="Arial" w:cs="Arial" w:eastAsia="Arial" w:hAnsi="Arial"/>
                <w:sz w:val="16"/>
                <w:szCs w:val="16"/>
                <w:color w:val="333333"/>
              </w:rPr>
              <w:t>Supporting and investing in our</w:t>
            </w:r>
          </w:p>
        </w:tc>
      </w:tr>
      <w:tr>
        <w:trPr>
          <w:trHeight w:val="189"/>
        </w:trPr>
        <w:tc>
          <w:tcPr>
            <w:tcW w:w="2560" w:type="dxa"/>
            <w:vAlign w:val="bottom"/>
            <w:tcBorders>
              <w:right w:val="single" w:sz="8" w:color="auto"/>
            </w:tcBorders>
          </w:tcPr>
          <w:p>
            <w:pPr>
              <w:spacing w:after="0"/>
              <w:rPr>
                <w:sz w:val="20"/>
                <w:szCs w:val="20"/>
                <w:color w:val="auto"/>
              </w:rPr>
            </w:pPr>
            <w:r>
              <w:rPr>
                <w:rFonts w:ascii="Arial" w:cs="Arial" w:eastAsia="Arial" w:hAnsi="Arial"/>
                <w:sz w:val="16"/>
                <w:szCs w:val="16"/>
                <w:color w:val="333333"/>
              </w:rPr>
              <w:t>with our products &amp; operations,</w:t>
            </w:r>
          </w:p>
        </w:tc>
        <w:tc>
          <w:tcPr>
            <w:tcW w:w="2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333333"/>
              </w:rPr>
              <w:t>reducing our environmental impact</w:t>
            </w:r>
          </w:p>
        </w:tc>
        <w:tc>
          <w:tcPr>
            <w:tcW w:w="2820" w:type="dxa"/>
            <w:vAlign w:val="bottom"/>
          </w:tcPr>
          <w:p>
            <w:pPr>
              <w:ind w:left="100"/>
              <w:spacing w:after="0"/>
              <w:rPr>
                <w:sz w:val="20"/>
                <w:szCs w:val="20"/>
                <w:color w:val="auto"/>
              </w:rPr>
            </w:pPr>
            <w:r>
              <w:rPr>
                <w:rFonts w:ascii="Arial" w:cs="Arial" w:eastAsia="Arial" w:hAnsi="Arial"/>
                <w:sz w:val="16"/>
                <w:szCs w:val="16"/>
                <w:color w:val="333333"/>
              </w:rPr>
              <w:t>exceptional people and continuously</w:t>
            </w:r>
          </w:p>
        </w:tc>
      </w:tr>
      <w:tr>
        <w:trPr>
          <w:trHeight w:val="189"/>
        </w:trPr>
        <w:tc>
          <w:tcPr>
            <w:tcW w:w="2560" w:type="dxa"/>
            <w:vAlign w:val="bottom"/>
            <w:tcBorders>
              <w:right w:val="single" w:sz="8" w:color="auto"/>
            </w:tcBorders>
          </w:tcPr>
          <w:p>
            <w:pPr>
              <w:spacing w:after="0"/>
              <w:rPr>
                <w:sz w:val="20"/>
                <w:szCs w:val="20"/>
                <w:color w:val="auto"/>
              </w:rPr>
            </w:pPr>
            <w:r>
              <w:rPr>
                <w:rFonts w:ascii="Arial" w:cs="Arial" w:eastAsia="Arial" w:hAnsi="Arial"/>
                <w:sz w:val="16"/>
                <w:szCs w:val="16"/>
                <w:color w:val="333333"/>
              </w:rPr>
              <w:t>and creating a culture of</w:t>
            </w:r>
          </w:p>
        </w:tc>
        <w:tc>
          <w:tcPr>
            <w:tcW w:w="2860" w:type="dxa"/>
            <w:vAlign w:val="bottom"/>
            <w:tcBorders>
              <w:right w:val="single" w:sz="8" w:color="auto"/>
            </w:tcBorders>
          </w:tcPr>
          <w:p>
            <w:pPr>
              <w:spacing w:after="0"/>
              <w:rPr>
                <w:sz w:val="16"/>
                <w:szCs w:val="16"/>
                <w:color w:val="auto"/>
              </w:rPr>
            </w:pPr>
          </w:p>
        </w:tc>
        <w:tc>
          <w:tcPr>
            <w:tcW w:w="2820" w:type="dxa"/>
            <w:vAlign w:val="bottom"/>
          </w:tcPr>
          <w:p>
            <w:pPr>
              <w:ind w:left="100"/>
              <w:spacing w:after="0"/>
              <w:rPr>
                <w:sz w:val="20"/>
                <w:szCs w:val="20"/>
                <w:color w:val="auto"/>
              </w:rPr>
            </w:pPr>
            <w:r>
              <w:rPr>
                <w:rFonts w:ascii="Arial" w:cs="Arial" w:eastAsia="Arial" w:hAnsi="Arial"/>
                <w:sz w:val="16"/>
                <w:szCs w:val="16"/>
                <w:color w:val="333333"/>
              </w:rPr>
              <w:t>reinforcing our engaging and inclusive</w:t>
            </w:r>
          </w:p>
        </w:tc>
      </w:tr>
      <w:tr>
        <w:trPr>
          <w:trHeight w:val="217"/>
        </w:trPr>
        <w:tc>
          <w:tcPr>
            <w:tcW w:w="2560" w:type="dxa"/>
            <w:vAlign w:val="bottom"/>
            <w:tcBorders>
              <w:right w:val="single" w:sz="8" w:color="auto"/>
            </w:tcBorders>
          </w:tcPr>
          <w:p>
            <w:pPr>
              <w:spacing w:after="0"/>
              <w:rPr>
                <w:sz w:val="20"/>
                <w:szCs w:val="20"/>
                <w:color w:val="auto"/>
              </w:rPr>
            </w:pPr>
            <w:r>
              <w:rPr>
                <w:rFonts w:ascii="Arial" w:cs="Arial" w:eastAsia="Arial" w:hAnsi="Arial"/>
                <w:sz w:val="16"/>
                <w:szCs w:val="16"/>
                <w:color w:val="333333"/>
              </w:rPr>
              <w:t>responsible leadership</w:t>
            </w:r>
          </w:p>
        </w:tc>
        <w:tc>
          <w:tcPr>
            <w:tcW w:w="2860" w:type="dxa"/>
            <w:vAlign w:val="bottom"/>
            <w:tcBorders>
              <w:right w:val="single" w:sz="8" w:color="auto"/>
            </w:tcBorders>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6"/>
                <w:szCs w:val="16"/>
                <w:color w:val="333333"/>
              </w:rPr>
              <w:t>culture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32"/>
          <w:szCs w:val="32"/>
          <w:b w:val="1"/>
          <w:bCs w:val="1"/>
          <w:color w:val="333333"/>
        </w:rPr>
        <w:t>Community</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333333"/>
        </w:rPr>
        <w:t>Well-Being</w:t>
      </w:r>
    </w:p>
    <w:p>
      <w:pPr>
        <w:spacing w:after="0" w:line="23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Being a responsible neighbor and supporting the communities that are home to our operations</w:t>
      </w:r>
    </w:p>
    <w:p>
      <w:pPr>
        <w:spacing w:after="0" w:line="371" w:lineRule="exact"/>
        <w:rPr>
          <w:sz w:val="20"/>
          <w:szCs w:val="20"/>
          <w:color w:val="auto"/>
        </w:rPr>
      </w:pPr>
    </w:p>
    <w:p>
      <w:pPr>
        <w:sectPr>
          <w:pgSz w:w="11900" w:h="16838" w:orient="portrait"/>
          <w:cols w:equalWidth="0" w:num="2">
            <w:col w:w="8240" w:space="140"/>
            <w:col w:w="2640"/>
          </w:cols>
          <w:pgMar w:left="440" w:top="684" w:right="4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pacing w:after="0" w:line="1" w:lineRule="exact"/>
        <w:rPr>
          <w:sz w:val="20"/>
          <w:szCs w:val="20"/>
          <w:color w:val="auto"/>
        </w:rPr>
      </w:pPr>
    </w:p>
    <w:p>
      <w:pPr>
        <w:spacing w:after="0"/>
        <w:tabs>
          <w:tab w:leader="none" w:pos="4560" w:val="left"/>
          <w:tab w:leader="none" w:pos="9940"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b w:val="1"/>
          <w:bCs w:val="1"/>
          <w:color w:val="auto"/>
        </w:rPr>
        <w:t>2026 PROXY STATEMENT</w:t>
      </w:r>
      <w:r>
        <w:rPr>
          <w:sz w:val="20"/>
          <w:szCs w:val="20"/>
          <w:color w:val="auto"/>
        </w:rPr>
        <w:tab/>
      </w:r>
      <w:r>
        <w:rPr>
          <w:rFonts w:ascii="Arial" w:cs="Arial" w:eastAsia="Arial" w:hAnsi="Arial"/>
          <w:sz w:val="16"/>
          <w:szCs w:val="16"/>
          <w:b w:val="1"/>
          <w:bCs w:val="1"/>
          <w:color w:val="0086CC"/>
        </w:rPr>
        <w:t xml:space="preserve">51 </w:t>
      </w:r>
      <w:r>
        <w:rPr>
          <w:rFonts w:ascii="Arial" w:cs="Arial" w:eastAsia="Arial" w:hAnsi="Arial"/>
          <w:sz w:val="16"/>
          <w:szCs w:val="16"/>
          <w:color w:val="333333"/>
        </w:rPr>
        <w:t xml:space="preserve">               </w:t>
      </w:r>
    </w:p>
    <w:p>
      <w:pPr>
        <w:sectPr>
          <w:pgSz w:w="11900" w:h="16838" w:orient="portrait"/>
          <w:cols w:equalWidth="0" w:num="1">
            <w:col w:w="11020"/>
          </w:cols>
          <w:pgMar w:left="440" w:top="684" w:right="439" w:bottom="1440" w:gutter="0" w:footer="0" w:header="0"/>
          <w:type w:val="continuous"/>
        </w:sectPr>
      </w:pPr>
    </w:p>
    <w:bookmarkStart w:id="57" w:name="page58"/>
    <w:bookmarkEnd w:id="57"/>
    <w:p>
      <w:pPr>
        <w:jc w:val="center"/>
        <w:ind w:right="81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877060" cy="4718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877060" cy="471805"/>
                    </a:xfrm>
                    <a:prstGeom prst="rect">
                      <a:avLst/>
                    </a:prstGeom>
                    <a:noFill/>
                  </pic:spPr>
                </pic:pic>
              </a:graphicData>
            </a:graphic>
          </wp:anchor>
        </w:drawing>
        <w:t xml:space="preserve">      Summary of Our    </w:t>
      </w:r>
    </w:p>
    <w:p>
      <w:pPr>
        <w:spacing w:after="0" w:line="15" w:lineRule="exact"/>
        <w:rPr>
          <w:sz w:val="20"/>
          <w:szCs w:val="20"/>
          <w:color w:val="auto"/>
        </w:rPr>
      </w:pPr>
    </w:p>
    <w:p>
      <w:pPr>
        <w:jc w:val="center"/>
        <w:ind w:right="8180"/>
        <w:spacing w:after="0"/>
        <w:rPr>
          <w:sz w:val="20"/>
          <w:szCs w:val="20"/>
          <w:color w:val="auto"/>
        </w:rPr>
      </w:pPr>
      <w:r>
        <w:rPr>
          <w:rFonts w:ascii="Arial" w:cs="Arial" w:eastAsia="Arial" w:hAnsi="Arial"/>
          <w:sz w:val="14"/>
          <w:szCs w:val="14"/>
          <w:b w:val="1"/>
          <w:bCs w:val="1"/>
          <w:color w:val="FFFFFF"/>
        </w:rPr>
        <w:t xml:space="preserve">      Compensation Considerations    </w:t>
      </w:r>
    </w:p>
    <w:p>
      <w:pPr>
        <w:spacing w:after="0" w:line="342"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b w:val="1"/>
          <w:bCs w:val="1"/>
          <w:color w:val="333333"/>
        </w:rPr>
        <w:t>Track records such as ours are built purposefully; they are the result of a deliberate focus on fulfilling our responsibilities to our shareholders, our employees and other stakeholders. These responsibilities include:</w:t>
      </w:r>
    </w:p>
    <w:p>
      <w:pPr>
        <w:sectPr>
          <w:pgSz w:w="11900" w:h="16838" w:orient="portrait"/>
          <w:cols w:equalWidth="0" w:num="1">
            <w:col w:w="11020"/>
          </w:cols>
          <w:pgMar w:left="440" w:top="508" w:right="439" w:bottom="1440" w:gutter="0" w:footer="0" w:header="0"/>
        </w:sectPr>
      </w:pPr>
    </w:p>
    <w:p>
      <w:pPr>
        <w:spacing w:after="0" w:line="141" w:lineRule="exact"/>
        <w:rPr>
          <w:sz w:val="20"/>
          <w:szCs w:val="20"/>
          <w:color w:val="auto"/>
        </w:rPr>
      </w:pPr>
    </w:p>
    <w:p>
      <w:pPr>
        <w:ind w:left="760" w:right="560"/>
        <w:spacing w:after="0" w:line="286" w:lineRule="auto"/>
        <w:rPr>
          <w:sz w:val="20"/>
          <w:szCs w:val="20"/>
          <w:color w:val="auto"/>
        </w:rPr>
      </w:pPr>
      <w:r>
        <w:rPr>
          <w:rFonts w:ascii="Arial" w:cs="Arial" w:eastAsia="Arial" w:hAnsi="Arial"/>
          <w:sz w:val="16"/>
          <w:szCs w:val="16"/>
          <w:color w:val="333333"/>
        </w:rPr>
        <w:t>Demanding and facilitating a safe, ethical workplace for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-268605</wp:posOffset>
            </wp:positionV>
            <wp:extent cx="385445" cy="3771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5445"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333333"/>
        </w:rPr>
        <w:t>Creating a positive, lasting impact on our communities and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-268605</wp:posOffset>
            </wp:positionV>
            <wp:extent cx="6995160" cy="18605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8605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-268605</wp:posOffset>
            </wp:positionV>
            <wp:extent cx="6995160" cy="18605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860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333333"/>
        </w:rPr>
        <w:t>Growing our business and responsibly investing our capital for maximum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-379095</wp:posOffset>
            </wp:positionV>
            <wp:extent cx="377190" cy="3771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000000"/>
                        </a:clrFrom>
                        <a:clrTo>
                          <a:srgbClr val="000000">
                            <a:alpha val="0"/>
                          </a:srgbClr>
                        </a:clrTo>
                      </a:clrChange>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-379095</wp:posOffset>
            </wp:positionV>
            <wp:extent cx="377190" cy="3771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900" w:space="720"/>
            <w:col w:w="3040" w:space="720"/>
            <w:col w:w="2640"/>
          </w:cols>
          <w:pgMar w:left="440" w:top="508" w:right="439" w:bottom="1440" w:gutter="0" w:footer="0" w:header="0"/>
          <w:type w:val="continuous"/>
        </w:sectPr>
      </w:pP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333333"/>
        </w:rPr>
        <w:t>In furtherance of these continuing commitments, we have:</w:t>
      </w:r>
    </w:p>
    <w:p>
      <w:pPr>
        <w:spacing w:after="0" w:line="73" w:lineRule="exact"/>
        <w:rPr>
          <w:sz w:val="20"/>
          <w:szCs w:val="20"/>
          <w:color w:val="auto"/>
        </w:rPr>
      </w:pPr>
    </w:p>
    <w:p>
      <w:pPr>
        <w:ind w:left="180" w:hanging="144"/>
        <w:spacing w:after="0"/>
        <w:tabs>
          <w:tab w:leader="none" w:pos="180" w:val="left"/>
        </w:tabs>
        <w:numPr>
          <w:ilvl w:val="0"/>
          <w:numId w:val="64"/>
        </w:numPr>
        <w:rPr>
          <w:rFonts w:ascii="Arial" w:cs="Arial" w:eastAsia="Arial" w:hAnsi="Arial"/>
          <w:sz w:val="16"/>
          <w:szCs w:val="16"/>
          <w:color w:val="333333"/>
        </w:rPr>
      </w:pPr>
      <w:r>
        <w:rPr>
          <w:rFonts w:ascii="Arial" w:cs="Arial" w:eastAsia="Arial" w:hAnsi="Arial"/>
          <w:sz w:val="16"/>
          <w:szCs w:val="16"/>
          <w:color w:val="333333"/>
        </w:rPr>
        <w:t>Included performance relating to Environment, Health, Safety and Sustainability (collectively, EHS) in our management strategy</w:t>
      </w:r>
    </w:p>
    <w:p>
      <w:pPr>
        <w:spacing w:after="0" w:line="72" w:lineRule="exact"/>
        <w:rPr>
          <w:rFonts w:ascii="Arial" w:cs="Arial" w:eastAsia="Arial" w:hAnsi="Arial"/>
          <w:sz w:val="16"/>
          <w:szCs w:val="16"/>
          <w:color w:val="333333"/>
        </w:rPr>
      </w:pPr>
    </w:p>
    <w:p>
      <w:pPr>
        <w:ind w:left="180" w:hanging="144"/>
        <w:spacing w:after="0"/>
        <w:tabs>
          <w:tab w:leader="none" w:pos="180" w:val="left"/>
        </w:tabs>
        <w:numPr>
          <w:ilvl w:val="0"/>
          <w:numId w:val="64"/>
        </w:numPr>
        <w:rPr>
          <w:rFonts w:ascii="Arial" w:cs="Arial" w:eastAsia="Arial" w:hAnsi="Arial"/>
          <w:sz w:val="16"/>
          <w:szCs w:val="16"/>
          <w:color w:val="333333"/>
        </w:rPr>
      </w:pPr>
      <w:r>
        <w:rPr>
          <w:rFonts w:ascii="Arial" w:cs="Arial" w:eastAsia="Arial" w:hAnsi="Arial"/>
          <w:sz w:val="16"/>
          <w:szCs w:val="16"/>
          <w:color w:val="333333"/>
        </w:rPr>
        <w:t>Considered achievement of individual and Companywide goals in regard to EHS in management compensation decisions</w:t>
      </w:r>
    </w:p>
    <w:p>
      <w:pPr>
        <w:spacing w:after="0" w:line="72" w:lineRule="exact"/>
        <w:rPr>
          <w:rFonts w:ascii="Arial" w:cs="Arial" w:eastAsia="Arial" w:hAnsi="Arial"/>
          <w:sz w:val="16"/>
          <w:szCs w:val="16"/>
          <w:color w:val="333333"/>
        </w:rPr>
      </w:pPr>
    </w:p>
    <w:p>
      <w:pPr>
        <w:ind w:left="180" w:right="40" w:hanging="144"/>
        <w:spacing w:after="0" w:line="286" w:lineRule="auto"/>
        <w:tabs>
          <w:tab w:leader="none" w:pos="180" w:val="left"/>
        </w:tabs>
        <w:numPr>
          <w:ilvl w:val="0"/>
          <w:numId w:val="64"/>
        </w:numPr>
        <w:rPr>
          <w:rFonts w:ascii="Arial" w:cs="Arial" w:eastAsia="Arial" w:hAnsi="Arial"/>
          <w:sz w:val="16"/>
          <w:szCs w:val="16"/>
          <w:color w:val="333333"/>
        </w:rPr>
      </w:pPr>
      <w:r>
        <w:rPr>
          <w:rFonts w:ascii="Arial" w:cs="Arial" w:eastAsia="Arial" w:hAnsi="Arial"/>
          <w:sz w:val="16"/>
          <w:szCs w:val="16"/>
          <w:color w:val="333333"/>
        </w:rPr>
        <w:t>Developed task forces relating to Safety and Sustainability with a view towards assessing and improving Company performance and disclosure against world-class achievements</w:t>
      </w:r>
    </w:p>
    <w:p>
      <w:pPr>
        <w:spacing w:after="0" w:line="7" w:lineRule="exact"/>
        <w:rPr>
          <w:rFonts w:ascii="Arial" w:cs="Arial" w:eastAsia="Arial" w:hAnsi="Arial"/>
          <w:sz w:val="16"/>
          <w:szCs w:val="16"/>
          <w:color w:val="333333"/>
        </w:rPr>
      </w:pPr>
    </w:p>
    <w:p>
      <w:pPr>
        <w:ind w:left="180" w:right="560" w:hanging="144"/>
        <w:spacing w:after="0" w:line="286" w:lineRule="auto"/>
        <w:tabs>
          <w:tab w:leader="none" w:pos="180" w:val="left"/>
        </w:tabs>
        <w:numPr>
          <w:ilvl w:val="0"/>
          <w:numId w:val="64"/>
        </w:numPr>
        <w:rPr>
          <w:rFonts w:ascii="Arial" w:cs="Arial" w:eastAsia="Arial" w:hAnsi="Arial"/>
          <w:sz w:val="16"/>
          <w:szCs w:val="16"/>
          <w:color w:val="333333"/>
        </w:rPr>
      </w:pPr>
      <w:r>
        <w:rPr>
          <w:rFonts w:ascii="Arial" w:cs="Arial" w:eastAsia="Arial" w:hAnsi="Arial"/>
          <w:sz w:val="16"/>
          <w:szCs w:val="16"/>
          <w:color w:val="333333"/>
        </w:rPr>
        <w:t>Overseen EHS matters at the Board of Directors level, including reporting our progress at least four times annually on EHS issues to our Ethics, Environment, Safety and Health (EESH) Committee, an independent Committee of the Board of Directors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333333"/>
        </w:rPr>
        <w:t>These critical matters are important to this Committee, the full Board, and management of Martin Marietta.</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SOAR, supplemented by our annual plan, has guided us since 2010 as we have grown our business, driven our safety incidents to world-class, record low levels, achieved record financial performance and created positive impacts on our communities and the environment. Key managers from across our business and our senior leadership team engage throughout the year on material topics, including safety, employee well-being, community engagement and the environment.</w:t>
      </w:r>
    </w:p>
    <w:p>
      <w:pPr>
        <w:sectPr>
          <w:pgSz w:w="11900" w:h="16838" w:orient="portrait"/>
          <w:cols w:equalWidth="0" w:num="1">
            <w:col w:w="11020"/>
          </w:cols>
          <w:pgMar w:left="440" w:top="508" w:right="439" w:bottom="1440" w:gutter="0" w:footer="0" w:header="0"/>
          <w:type w:val="continuous"/>
        </w:sectPr>
      </w:pP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6"/>
          <w:szCs w:val="16"/>
          <w:color w:val="333333"/>
        </w:rPr>
        <w:t>Both SOAR and our annual plan are reviewed and endorsed by all members of our Board of Directors. Importantly, our EESH Committee is an experienced, diverse and knowledgeable group and has for decades overseen our ongoing efforts to hone truly sustainable business practices. Our full Board visits our operations to hear firsthand from our team and see the positive impact we have on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1084580</wp:posOffset>
            </wp:positionV>
            <wp:extent cx="436880" cy="4032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6880"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20"/>
        <w:spacing w:after="0" w:line="246" w:lineRule="auto"/>
        <w:rPr>
          <w:sz w:val="20"/>
          <w:szCs w:val="20"/>
          <w:color w:val="auto"/>
        </w:rPr>
      </w:pPr>
      <w:r>
        <w:rPr>
          <w:rFonts w:ascii="Arial" w:cs="Arial" w:eastAsia="Arial" w:hAnsi="Arial"/>
          <w:sz w:val="27"/>
          <w:szCs w:val="27"/>
          <w:b w:val="1"/>
          <w:bCs w:val="1"/>
          <w:color w:val="0086CC"/>
        </w:rPr>
        <w:t>“Sustainability is a key component of our strategy and business plan at Martin Marietta. Sustainability excellence is not only the right thing to do and a key driver of shareholder value, it is a vital component of both our strategic planning process, SOAR, and our annual planning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-1631950</wp:posOffset>
            </wp:positionV>
            <wp:extent cx="3446145" cy="1680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46145" cy="1680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240"/>
            <w:col w:w="5320"/>
          </w:cols>
          <w:pgMar w:left="440" w:top="508" w:right="439" w:bottom="1440" w:gutter="0" w:footer="0" w:header="0"/>
          <w:type w:val="continuous"/>
        </w:sect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27"/>
          <w:szCs w:val="27"/>
          <w:b w:val="1"/>
          <w:bCs w:val="1"/>
          <w:color w:val="0086CC"/>
        </w:rPr>
        <w:t>Environmental 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333333"/>
        </w:rPr>
        <w:t>We are committed to responsible environmental stewardship as a core component of our long-term business strategy. We focus on minimizing operational impacts while supplying the essential materials that support infrastructure and community development, with particular attention to air quality, water management, land use, biodiversity, waste reduction, and regulatory compliance. Environmental considerations are embedded in daily operations, capital planning, and governance oversight, and we continually invest in process improvements, modernized equipment, reclamation activities, and resource efficiency initiatives designed to protect natural resources and deliver sustainable value. Additional information regarding our environmental programs, performance, and goals is available in our Sustainability Report, which can be found on our website.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pacing w:after="0" w:line="1" w:lineRule="exact"/>
        <w:rPr>
          <w:sz w:val="20"/>
          <w:szCs w:val="20"/>
          <w:color w:val="auto"/>
        </w:rPr>
      </w:pPr>
    </w:p>
    <w:p>
      <w:pPr>
        <w:spacing w:after="0"/>
        <w:tabs>
          <w:tab w:leader="none" w:pos="10220" w:val="left"/>
        </w:tabs>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52</w:t>
      </w:r>
      <w:r>
        <w:rPr>
          <w:sz w:val="20"/>
          <w:szCs w:val="20"/>
          <w:color w:val="auto"/>
        </w:rPr>
        <w:tab/>
      </w:r>
      <w:r>
        <w:rPr>
          <w:rFonts w:ascii="Arial" w:cs="Arial" w:eastAsia="Arial" w:hAnsi="Arial"/>
          <w:sz w:val="16"/>
          <w:szCs w:val="16"/>
          <w:color w:val="333333"/>
        </w:rPr>
        <w:t xml:space="preserve">               </w:t>
      </w:r>
    </w:p>
    <w:p>
      <w:pPr>
        <w:sectPr>
          <w:pgSz w:w="11900" w:h="16838" w:orient="portrait"/>
          <w:cols w:equalWidth="0" w:num="1">
            <w:col w:w="11020"/>
          </w:cols>
          <w:pgMar w:left="440" w:top="508" w:right="439" w:bottom="1440" w:gutter="0" w:footer="0" w:header="0"/>
          <w:type w:val="continuous"/>
        </w:sectPr>
      </w:pPr>
    </w:p>
    <w:bookmarkStart w:id="58" w:name="page59"/>
    <w:bookmarkEnd w:id="58"/>
    <w:p>
      <w:pPr>
        <w:jc w:val="center"/>
        <w:ind w:left="79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Summary of Our        </w:t>
      </w:r>
    </w:p>
    <w:p>
      <w:pPr>
        <w:spacing w:after="0" w:line="15"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FFFFFF"/>
        </w:rPr>
        <w:t xml:space="preserve">Compensation Considerations    </w:t>
      </w:r>
    </w:p>
    <w:p>
      <w:pPr>
        <w:spacing w:after="0" w:line="223" w:lineRule="exact"/>
        <w:rPr>
          <w:sz w:val="20"/>
          <w:szCs w:val="20"/>
          <w:color w:val="auto"/>
        </w:rPr>
      </w:pPr>
    </w:p>
    <w:p>
      <w:pPr>
        <w:spacing w:after="0"/>
        <w:rPr>
          <w:sz w:val="20"/>
          <w:szCs w:val="20"/>
          <w:color w:val="auto"/>
        </w:rPr>
      </w:pPr>
      <w:r>
        <w:rPr>
          <w:sz w:val="1"/>
          <w:szCs w:val="1"/>
          <w:color w:val="auto"/>
        </w:rPr>
        <w:drawing>
          <wp:inline distT="0" distB="0" distL="0" distR="0">
            <wp:extent cx="308610" cy="38608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8610" cy="386080"/>
                    </a:xfrm>
                    <a:prstGeom prst="rect">
                      <a:avLst/>
                    </a:prstGeom>
                    <a:noFill/>
                    <a:ln>
                      <a:noFill/>
                    </a:ln>
                  </pic:spPr>
                </pic:pic>
              </a:graphicData>
            </a:graphic>
          </wp:inline>
        </w:drawing>
      </w:r>
      <w:r>
        <w:rPr>
          <w:rFonts w:ascii="Arial" w:cs="Arial" w:eastAsia="Arial" w:hAnsi="Arial"/>
          <w:sz w:val="27"/>
          <w:szCs w:val="27"/>
          <w:b w:val="1"/>
          <w:bCs w:val="1"/>
          <w:color w:val="0086CC"/>
        </w:rPr>
        <w:t xml:space="preserv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33333"/>
        </w:rPr>
        <w:t xml:space="preserve">We are pleased to report the Company continued its world-class safety performance in 2025. This level of absolute and relative safety performance is superb inside and outside the industry. It results from our Company’s </w:t>
      </w:r>
      <w:r>
        <w:rPr>
          <w:rFonts w:ascii="Arial" w:cs="Arial" w:eastAsia="Arial" w:hAnsi="Arial"/>
          <w:sz w:val="16"/>
          <w:szCs w:val="16"/>
          <w:b w:val="1"/>
          <w:bCs w:val="1"/>
          <w:color w:val="333333"/>
        </w:rPr>
        <w:t>Guardian Angel</w:t>
      </w:r>
      <w:r>
        <w:rPr>
          <w:rFonts w:ascii="Arial" w:cs="Arial" w:eastAsia="Arial" w:hAnsi="Arial"/>
          <w:sz w:val="16"/>
          <w:szCs w:val="16"/>
          <w:color w:val="333333"/>
        </w:rPr>
        <w:t xml:space="preserve"> culture, which we endeavored to strengthen throughout 2025 so that it engages each employee and empowers everyone to make safe choices with every task every day. In 2025, we built on our legacy and reinforced our winning culture with the launch of the Guardian Angel Fundamentals program, including our enterprise-wide standardized Stop, Look, Analyze and Manage (SLAM) form, targeted safety engagements and updated training programs. This incredible safety performance further strengthens our belief that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Zero is Possible.</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33333"/>
        </w:rPr>
        <w:t xml:space="preserve">Martin Marietta’s West Division’s Northern Portable Plant #12 in Ft. Collins, Colorado, earned a </w:t>
      </w:r>
      <w:r>
        <w:rPr>
          <w:rFonts w:ascii="Arial" w:cs="Arial" w:eastAsia="Arial" w:hAnsi="Arial"/>
          <w:sz w:val="16"/>
          <w:szCs w:val="16"/>
          <w:b w:val="1"/>
          <w:bCs w:val="1"/>
          <w:color w:val="333333"/>
        </w:rPr>
        <w:t>Sentinels of Safety Award</w:t>
      </w:r>
      <w:r>
        <w:rPr>
          <w:rFonts w:ascii="Arial" w:cs="Arial" w:eastAsia="Arial" w:hAnsi="Arial"/>
          <w:sz w:val="16"/>
          <w:szCs w:val="16"/>
          <w:color w:val="333333"/>
        </w:rPr>
        <w:t xml:space="preserve"> from the </w:t>
      </w:r>
      <w:r>
        <w:rPr>
          <w:rFonts w:ascii="Arial" w:cs="Arial" w:eastAsia="Arial" w:hAnsi="Arial"/>
          <w:sz w:val="16"/>
          <w:szCs w:val="16"/>
          <w:b w:val="1"/>
          <w:bCs w:val="1"/>
          <w:color w:val="333333"/>
        </w:rPr>
        <w:t>National Mining</w:t>
      </w:r>
      <w:r>
        <w:rPr>
          <w:rFonts w:ascii="Arial" w:cs="Arial" w:eastAsia="Arial" w:hAnsi="Arial"/>
          <w:sz w:val="16"/>
          <w:szCs w:val="16"/>
          <w:color w:val="333333"/>
        </w:rPr>
        <w:t xml:space="preserve"> </w:t>
      </w:r>
      <w:r>
        <w:rPr>
          <w:rFonts w:ascii="Arial" w:cs="Arial" w:eastAsia="Arial" w:hAnsi="Arial"/>
          <w:sz w:val="16"/>
          <w:szCs w:val="16"/>
          <w:b w:val="1"/>
          <w:bCs w:val="1"/>
          <w:color w:val="333333"/>
        </w:rPr>
        <w:t xml:space="preserve">Association </w:t>
      </w:r>
      <w:r>
        <w:rPr>
          <w:rFonts w:ascii="Arial" w:cs="Arial" w:eastAsia="Arial" w:hAnsi="Arial"/>
          <w:sz w:val="16"/>
          <w:szCs w:val="16"/>
          <w:color w:val="333333"/>
        </w:rPr>
        <w:t>in 2025. This award is the oldest and most esteemed honor in the mining industry, recognizing mining teams that record the most hours in a</w:t>
      </w:r>
      <w:r>
        <w:rPr>
          <w:rFonts w:ascii="Arial" w:cs="Arial" w:eastAsia="Arial" w:hAnsi="Arial"/>
          <w:sz w:val="16"/>
          <w:szCs w:val="16"/>
          <w:b w:val="1"/>
          <w:bCs w:val="1"/>
          <w:color w:val="333333"/>
        </w:rPr>
        <w:t xml:space="preserve"> </w:t>
      </w:r>
      <w:r>
        <w:rPr>
          <w:rFonts w:ascii="Arial" w:cs="Arial" w:eastAsia="Arial" w:hAnsi="Arial"/>
          <w:sz w:val="16"/>
          <w:szCs w:val="16"/>
          <w:color w:val="333333"/>
        </w:rPr>
        <w:t xml:space="preserve">calendar year without a single lost-time injury. The Company’s Augusta Quarry in Georgia was recognized by the </w:t>
      </w:r>
      <w:r>
        <w:rPr>
          <w:rFonts w:ascii="Arial" w:cs="Arial" w:eastAsia="Arial" w:hAnsi="Arial"/>
          <w:sz w:val="16"/>
          <w:szCs w:val="16"/>
          <w:b w:val="1"/>
          <w:bCs w:val="1"/>
          <w:color w:val="333333"/>
        </w:rPr>
        <w:t>National Stone, Sand and Gravel</w:t>
      </w:r>
      <w:r>
        <w:rPr>
          <w:rFonts w:ascii="Arial" w:cs="Arial" w:eastAsia="Arial" w:hAnsi="Arial"/>
          <w:sz w:val="16"/>
          <w:szCs w:val="16"/>
          <w:color w:val="333333"/>
        </w:rPr>
        <w:t xml:space="preserve"> </w:t>
      </w:r>
      <w:r>
        <w:rPr>
          <w:rFonts w:ascii="Arial" w:cs="Arial" w:eastAsia="Arial" w:hAnsi="Arial"/>
          <w:sz w:val="16"/>
          <w:szCs w:val="16"/>
          <w:b w:val="1"/>
          <w:bCs w:val="1"/>
          <w:color w:val="333333"/>
        </w:rPr>
        <w:t xml:space="preserve">Association </w:t>
      </w:r>
      <w:r>
        <w:rPr>
          <w:rFonts w:ascii="Arial" w:cs="Arial" w:eastAsia="Arial" w:hAnsi="Arial"/>
          <w:sz w:val="16"/>
          <w:szCs w:val="16"/>
          <w:color w:val="333333"/>
        </w:rPr>
        <w:t>(NSSGA) as a gold-level</w:t>
      </w:r>
      <w:r>
        <w:rPr>
          <w:rFonts w:ascii="Arial" w:cs="Arial" w:eastAsia="Arial" w:hAnsi="Arial"/>
          <w:sz w:val="16"/>
          <w:szCs w:val="16"/>
          <w:b w:val="1"/>
          <w:bCs w:val="1"/>
          <w:color w:val="333333"/>
        </w:rPr>
        <w:t xml:space="preserve"> </w:t>
      </w:r>
      <w:r>
        <w:rPr>
          <w:rFonts w:ascii="Arial" w:cs="Arial" w:eastAsia="Arial" w:hAnsi="Arial"/>
          <w:sz w:val="16"/>
          <w:szCs w:val="16"/>
          <w:i w:val="1"/>
          <w:iCs w:val="1"/>
          <w:color w:val="333333"/>
        </w:rPr>
        <w:t>Safety Excellence Award</w:t>
      </w:r>
      <w:r>
        <w:rPr>
          <w:rFonts w:ascii="Arial" w:cs="Arial" w:eastAsia="Arial" w:hAnsi="Arial"/>
          <w:sz w:val="16"/>
          <w:szCs w:val="16"/>
          <w:b w:val="1"/>
          <w:bCs w:val="1"/>
          <w:color w:val="333333"/>
        </w:rPr>
        <w:t xml:space="preserve"> </w:t>
      </w:r>
      <w:r>
        <w:rPr>
          <w:rFonts w:ascii="Arial" w:cs="Arial" w:eastAsia="Arial" w:hAnsi="Arial"/>
          <w:sz w:val="16"/>
          <w:szCs w:val="16"/>
          <w:color w:val="333333"/>
        </w:rPr>
        <w:t>winner in 2025. In addition, the Company’s Lemon Springs Quarry and the Onslow</w:t>
      </w:r>
      <w:r>
        <w:rPr>
          <w:rFonts w:ascii="Arial" w:cs="Arial" w:eastAsia="Arial" w:hAnsi="Arial"/>
          <w:sz w:val="16"/>
          <w:szCs w:val="16"/>
          <w:b w:val="1"/>
          <w:bCs w:val="1"/>
          <w:color w:val="333333"/>
        </w:rPr>
        <w:t xml:space="preserve"> </w:t>
      </w:r>
      <w:r>
        <w:rPr>
          <w:rFonts w:ascii="Arial" w:cs="Arial" w:eastAsia="Arial" w:hAnsi="Arial"/>
          <w:sz w:val="16"/>
          <w:szCs w:val="16"/>
          <w:color w:val="333333"/>
        </w:rPr>
        <w:t xml:space="preserve">Quarry in North Carolina won a silver-level </w:t>
      </w:r>
      <w:r>
        <w:rPr>
          <w:rFonts w:ascii="Arial" w:cs="Arial" w:eastAsia="Arial" w:hAnsi="Arial"/>
          <w:sz w:val="16"/>
          <w:szCs w:val="16"/>
          <w:i w:val="1"/>
          <w:iCs w:val="1"/>
          <w:color w:val="333333"/>
        </w:rPr>
        <w:t>Safety Excellence Award</w:t>
      </w:r>
      <w:r>
        <w:rPr>
          <w:rFonts w:ascii="Arial" w:cs="Arial" w:eastAsia="Arial" w:hAnsi="Arial"/>
          <w:sz w:val="16"/>
          <w:szCs w:val="16"/>
          <w:color w:val="333333"/>
        </w:rPr>
        <w:t xml:space="preserve">, and Noblesville Stone in Indiana and Bennett Sand &amp; Gravel in Colorado won a bronze-level </w:t>
      </w:r>
      <w:r>
        <w:rPr>
          <w:rFonts w:ascii="Arial" w:cs="Arial" w:eastAsia="Arial" w:hAnsi="Arial"/>
          <w:sz w:val="16"/>
          <w:szCs w:val="16"/>
          <w:i w:val="1"/>
          <w:iCs w:val="1"/>
          <w:color w:val="333333"/>
        </w:rPr>
        <w:t>Safety Excellence Award</w:t>
      </w:r>
      <w:r>
        <w:rPr>
          <w:rFonts w:ascii="Arial" w:cs="Arial" w:eastAsia="Arial" w:hAnsi="Arial"/>
          <w:sz w:val="16"/>
          <w:szCs w:val="16"/>
          <w:color w:val="333333"/>
        </w:rPr>
        <w:t xml:space="preserve"> in 2025. These awards honor aggregates operations that maintain a safe workplace for extended periods without a reportable incident in their size category, based on data provided by the U.S. Department of Labor’s Mine Safety and Health Administration (MSHA).</w:t>
      </w:r>
    </w:p>
    <w:p>
      <w:pPr>
        <w:spacing w:after="0" w:line="271"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b w:val="1"/>
          <w:bCs w:val="1"/>
          <w:color w:val="333333"/>
        </w:rPr>
        <w:t>We achieved our ninth consecutive year of world-class Lost-Time Incident Rate (LTIR) performance and our fifth consecutive year of world-class Total Incident Injury Rate (TIIR)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98425</wp:posOffset>
            </wp:positionV>
            <wp:extent cx="6943725" cy="3437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4372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333333"/>
        </w:rPr>
        <w:t>Note: Safety data as of December 31, 2025. LTIR per 200,000 hours worked. World-class levels based on general industries.</w:t>
      </w:r>
    </w:p>
    <w:p>
      <w:pPr>
        <w:spacing w:after="0" w:line="11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333333"/>
        </w:rPr>
        <w:t xml:space="preserve">With our world-class vision, and belief that Zero is Possible in connection with our safety performance, we continued to support our Guardian Angel safety culture and help further strengthen our safety practices for the future. Throughout the year, we continued advancing the recommendations of the Safety Task Force and Safety Executive Steering Committee, including hosting virtual CEO Safety Town Halls, companywide distribution of revised Basic Safety Rules, implementation of new Wingman Alert Process, user-friendly safety analytics, and Guardian Angel branded Personal Protective Equipment (PPE) such as gloves and glasses. Our cross-functional project teams continued to expand our Guardian Angel Fundamentals program and the refresh of our Guardian Angel materials and training in 2025, which set the foundation for excellent safety performance as a hallmark of our culture. For Martin Marietta, </w:t>
      </w:r>
      <w:r>
        <w:rPr>
          <w:rFonts w:ascii="Arial" w:cs="Arial" w:eastAsia="Arial" w:hAnsi="Arial"/>
          <w:sz w:val="16"/>
          <w:szCs w:val="16"/>
          <w:b w:val="1"/>
          <w:bCs w:val="1"/>
          <w:color w:val="333333"/>
        </w:rPr>
        <w:t>safety performance sets our foundation for long-term financial strength and successful SOAR execution</w:t>
      </w:r>
      <w:r>
        <w:rPr>
          <w:rFonts w:ascii="Arial" w:cs="Arial" w:eastAsia="Arial" w:hAnsi="Arial"/>
          <w:sz w:val="16"/>
          <w:szCs w:val="16"/>
          <w:color w:val="333333"/>
        </w:rPr>
        <w:t>. Simply said, a safe operation is a</w:t>
      </w:r>
      <w:r>
        <w:rPr>
          <w:rFonts w:ascii="Arial" w:cs="Arial" w:eastAsia="Arial" w:hAnsi="Arial"/>
          <w:sz w:val="16"/>
          <w:szCs w:val="16"/>
          <w:b w:val="1"/>
          <w:bCs w:val="1"/>
          <w:color w:val="333333"/>
        </w:rPr>
        <w:t xml:space="preserve"> </w:t>
      </w:r>
      <w:r>
        <w:rPr>
          <w:rFonts w:ascii="Arial" w:cs="Arial" w:eastAsia="Arial" w:hAnsi="Arial"/>
          <w:sz w:val="16"/>
          <w:szCs w:val="16"/>
          <w:color w:val="333333"/>
        </w:rPr>
        <w:t>profitable one.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53 </w:t>
      </w:r>
      <w:r>
        <w:rPr>
          <w:rFonts w:ascii="Arial" w:cs="Arial" w:eastAsia="Arial" w:hAnsi="Arial"/>
          <w:sz w:val="16"/>
          <w:szCs w:val="16"/>
          <w:color w:val="333333"/>
        </w:rPr>
        <w:t xml:space="preserve">               </w:t>
      </w:r>
    </w:p>
    <w:p>
      <w:pPr>
        <w:sectPr>
          <w:pgSz w:w="11900" w:h="16838" w:orient="portrait"/>
          <w:cols w:equalWidth="0" w:num="3">
            <w:col w:w="3860" w:space="720"/>
            <w:col w:w="4660" w:space="720"/>
            <w:col w:w="1060"/>
          </w:cols>
          <w:pgMar w:left="440" w:top="684" w:right="439" w:bottom="1440" w:gutter="0" w:footer="0" w:header="0"/>
          <w:type w:val="continuous"/>
        </w:sectPr>
      </w:pPr>
    </w:p>
    <w:bookmarkStart w:id="59" w:name="page60"/>
    <w:bookmarkEnd w:id="59"/>
    <w:p>
      <w:pPr>
        <w:ind w:left="924" w:hanging="153"/>
        <w:spacing w:after="0"/>
        <w:tabs>
          <w:tab w:leader="none" w:pos="924" w:val="left"/>
        </w:tabs>
        <w:numPr>
          <w:ilvl w:val="1"/>
          <w:numId w:val="65"/>
        </w:numPr>
        <w:rPr>
          <w:rFonts w:ascii="Arial" w:cs="Arial" w:eastAsia="Arial" w:hAnsi="Arial"/>
          <w:sz w:val="14"/>
          <w:szCs w:val="14"/>
          <w:b w:val="1"/>
          <w:bCs w:val="1"/>
          <w:color w:val="FFFFFF"/>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877060" cy="4718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877060" cy="471805"/>
                    </a:xfrm>
                    <a:prstGeom prst="rect">
                      <a:avLst/>
                    </a:prstGeom>
                    <a:noFill/>
                  </pic:spPr>
                </pic:pic>
              </a:graphicData>
            </a:graphic>
          </wp:anchor>
        </w:drawing>
        <w:t>Summary of Our</w:t>
      </w:r>
    </w:p>
    <w:p>
      <w:pPr>
        <w:spacing w:after="0" w:line="15" w:lineRule="exact"/>
        <w:rPr>
          <w:rFonts w:ascii="Arial" w:cs="Arial" w:eastAsia="Arial" w:hAnsi="Arial"/>
          <w:sz w:val="14"/>
          <w:szCs w:val="14"/>
          <w:b w:val="1"/>
          <w:bCs w:val="1"/>
          <w:color w:val="FFFFFF"/>
        </w:rPr>
      </w:pPr>
    </w:p>
    <w:p>
      <w:pPr>
        <w:ind w:left="284" w:hanging="137"/>
        <w:spacing w:after="0"/>
        <w:tabs>
          <w:tab w:leader="none" w:pos="284" w:val="left"/>
        </w:tabs>
        <w:numPr>
          <w:ilvl w:val="0"/>
          <w:numId w:val="65"/>
        </w:numPr>
        <w:rPr>
          <w:rFonts w:ascii="Arial" w:cs="Arial" w:eastAsia="Arial" w:hAnsi="Arial"/>
          <w:sz w:val="13"/>
          <w:szCs w:val="13"/>
          <w:b w:val="1"/>
          <w:bCs w:val="1"/>
          <w:color w:val="FFFFFF"/>
        </w:rPr>
      </w:pPr>
      <w:r>
        <w:rPr>
          <w:rFonts w:ascii="Arial" w:cs="Arial" w:eastAsia="Arial" w:hAnsi="Arial"/>
          <w:sz w:val="13"/>
          <w:szCs w:val="13"/>
          <w:b w:val="1"/>
          <w:bCs w:val="1"/>
          <w:color w:val="FFFFFF"/>
        </w:rPr>
        <w:t xml:space="preserve">   Compensation Considerations 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394335" cy="3771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94335" cy="3771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804"/>
        <w:spacing w:after="0"/>
        <w:rPr>
          <w:sz w:val="20"/>
          <w:szCs w:val="20"/>
          <w:color w:val="auto"/>
        </w:rPr>
      </w:pPr>
      <w:r>
        <w:rPr>
          <w:rFonts w:ascii="Arial" w:cs="Arial" w:eastAsia="Arial" w:hAnsi="Arial"/>
          <w:sz w:val="27"/>
          <w:szCs w:val="27"/>
          <w:b w:val="1"/>
          <w:bCs w:val="1"/>
          <w:color w:val="0086CC"/>
        </w:rPr>
        <w:t>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00" w:lineRule="exact"/>
        <w:rPr>
          <w:sz w:val="20"/>
          <w:szCs w:val="20"/>
          <w:color w:val="auto"/>
        </w:rPr>
      </w:pPr>
    </w:p>
    <w:p>
      <w:pPr>
        <w:ind w:left="4" w:right="200"/>
        <w:spacing w:after="0" w:line="259" w:lineRule="auto"/>
        <w:rPr>
          <w:sz w:val="20"/>
          <w:szCs w:val="20"/>
          <w:color w:val="auto"/>
        </w:rPr>
      </w:pPr>
      <w:r>
        <w:rPr>
          <w:rFonts w:ascii="Arial" w:cs="Arial" w:eastAsia="Arial" w:hAnsi="Arial"/>
          <w:sz w:val="16"/>
          <w:szCs w:val="16"/>
          <w:color w:val="333333"/>
        </w:rPr>
        <w:t>Martin Marietta’s engaged and dedicated workforce is our greatest asset, and the continued well-being of our employees is critically important for our success. We are committed to providing all employees with the programs, resources, support and opportunities necessary to grow. We strive to create safe, healthy, inclusive and highly engaging workplaces and hope that our decisions in this area will extend far beyond our business, positively affecting people and communities for generations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28975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2897505"/>
                    </a:xfrm>
                    <a:prstGeom prst="rect">
                      <a:avLst/>
                    </a:prstGeom>
                    <a:noFill/>
                  </pic:spPr>
                </pic:pic>
              </a:graphicData>
            </a:graphic>
          </wp:anchor>
        </w:drawing>
      </w:r>
    </w:p>
    <w:p>
      <w:pPr>
        <w:sectPr>
          <w:pgSz w:w="11900" w:h="16838" w:orient="portrait"/>
          <w:cols w:equalWidth="0" w:num="1">
            <w:col w:w="11024"/>
          </w:cols>
          <w:pgMar w:left="436" w:top="508" w:right="439" w:bottom="1440" w:gutter="0" w:footer="0" w:header="0"/>
        </w:sectPr>
      </w:pPr>
    </w:p>
    <w:p>
      <w:pPr>
        <w:spacing w:after="0" w:line="299" w:lineRule="exact"/>
        <w:rPr>
          <w:sz w:val="20"/>
          <w:szCs w:val="20"/>
          <w:color w:val="auto"/>
        </w:rPr>
      </w:pPr>
    </w:p>
    <w:p>
      <w:pPr>
        <w:ind w:left="3424"/>
        <w:spacing w:after="0"/>
        <w:rPr>
          <w:sz w:val="20"/>
          <w:szCs w:val="20"/>
          <w:color w:val="auto"/>
        </w:rPr>
      </w:pP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720"/>
        <w:spacing w:after="0" w:line="266" w:lineRule="auto"/>
        <w:rPr>
          <w:sz w:val="20"/>
          <w:szCs w:val="20"/>
          <w:color w:val="auto"/>
        </w:rPr>
      </w:pPr>
      <w:r>
        <w:rPr>
          <w:rFonts w:ascii="Arial" w:cs="Arial" w:eastAsia="Arial" w:hAnsi="Arial"/>
          <w:sz w:val="16"/>
          <w:szCs w:val="16"/>
          <w:color w:val="333333"/>
        </w:rPr>
        <w:t>Introduced an Employee Stock Purchase Plan (ESPP) to empower team members to invest in Martin Marietta, fostering ownership and reinforcing alignment with our mission, vision, and values.</w:t>
      </w:r>
    </w:p>
    <w:p>
      <w:pPr>
        <w:spacing w:after="0" w:line="23" w:lineRule="exact"/>
        <w:rPr>
          <w:sz w:val="20"/>
          <w:szCs w:val="20"/>
          <w:color w:val="auto"/>
        </w:rPr>
      </w:pPr>
    </w:p>
    <w:p>
      <w:pPr>
        <w:sectPr>
          <w:pgSz w:w="11900" w:h="16838" w:orient="portrait"/>
          <w:cols w:equalWidth="0" w:num="2">
            <w:col w:w="3484" w:space="260"/>
            <w:col w:w="7280"/>
          </w:cols>
          <w:pgMar w:left="436" w:top="508" w:right="439" w:bottom="1440" w:gutter="0" w:footer="0" w:header="0"/>
          <w:type w:val="continuous"/>
        </w:sectPr>
      </w:pPr>
    </w:p>
    <w:p>
      <w:pPr>
        <w:spacing w:after="0" w:line="378" w:lineRule="exact"/>
        <w:rPr>
          <w:sz w:val="20"/>
          <w:szCs w:val="20"/>
          <w:color w:val="auto"/>
        </w:rPr>
      </w:pPr>
    </w:p>
    <w:p>
      <w:pPr>
        <w:ind w:left="64"/>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br w:type="column"/>
      </w:r>
    </w:p>
    <w:p>
      <w:pPr>
        <w:ind w:right="820"/>
        <w:spacing w:after="0" w:line="259" w:lineRule="auto"/>
        <w:rPr>
          <w:sz w:val="20"/>
          <w:szCs w:val="20"/>
          <w:color w:val="auto"/>
        </w:rPr>
      </w:pPr>
      <w:r>
        <w:rPr>
          <w:rFonts w:ascii="Arial" w:cs="Arial" w:eastAsia="Arial" w:hAnsi="Arial"/>
          <w:sz w:val="16"/>
          <w:szCs w:val="16"/>
          <w:color w:val="333333"/>
        </w:rPr>
        <w:t>Introduced benefits enhancements under the Choose Well initiative to promote and strengthen employee well-being; launched an enhanced Employee Assistance Program (EAP) through Lyra Health, and redesigned the benefits guide for improved readability and alignment with Choose Well branding.</w:t>
      </w:r>
    </w:p>
    <w:p>
      <w:pPr>
        <w:spacing w:after="0" w:line="29" w:lineRule="exact"/>
        <w:rPr>
          <w:sz w:val="20"/>
          <w:szCs w:val="20"/>
          <w:color w:val="auto"/>
        </w:rPr>
      </w:pPr>
    </w:p>
    <w:p>
      <w:pPr>
        <w:sectPr>
          <w:pgSz w:w="11900" w:h="16838" w:orient="portrait"/>
          <w:cols w:equalWidth="0" w:num="3">
            <w:col w:w="2704" w:space="720"/>
            <w:col w:w="60" w:space="260"/>
            <w:col w:w="7280"/>
          </w:cols>
          <w:pgMar w:left="436" w:top="508" w:right="439" w:bottom="1440" w:gutter="0" w:footer="0" w:header="0"/>
          <w:type w:val="continuous"/>
        </w:sectPr>
      </w:pPr>
    </w:p>
    <w:p>
      <w:pPr>
        <w:ind w:left="3424"/>
        <w:spacing w:after="0"/>
        <w:rPr>
          <w:sz w:val="20"/>
          <w:szCs w:val="20"/>
          <w:color w:val="auto"/>
        </w:rPr>
      </w:pP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br w:type="column"/>
      </w:r>
    </w:p>
    <w:p>
      <w:pPr>
        <w:jc w:val="both"/>
        <w:ind w:right="1000"/>
        <w:spacing w:after="0" w:line="266" w:lineRule="auto"/>
        <w:rPr>
          <w:sz w:val="20"/>
          <w:szCs w:val="20"/>
          <w:color w:val="auto"/>
        </w:rPr>
      </w:pPr>
      <w:r>
        <w:rPr>
          <w:rFonts w:ascii="Arial" w:cs="Arial" w:eastAsia="Arial" w:hAnsi="Arial"/>
          <w:sz w:val="16"/>
          <w:szCs w:val="16"/>
          <w:color w:val="333333"/>
        </w:rPr>
        <w:t>Absorbed a portion of the rising employee medical contributions, limiting Martin Marietta employee increases to 5% for 2026; representing a meaningful discount to the average national increase of 8%.</w:t>
      </w:r>
    </w:p>
    <w:p>
      <w:pPr>
        <w:spacing w:after="0" w:line="23" w:lineRule="exact"/>
        <w:rPr>
          <w:sz w:val="20"/>
          <w:szCs w:val="20"/>
          <w:color w:val="auto"/>
        </w:rPr>
      </w:pPr>
    </w:p>
    <w:p>
      <w:pPr>
        <w:sectPr>
          <w:pgSz w:w="11900" w:h="16838" w:orient="portrait"/>
          <w:cols w:equalWidth="0" w:num="2">
            <w:col w:w="3484" w:space="260"/>
            <w:col w:w="7280"/>
          </w:cols>
          <w:pgMar w:left="436" w:top="508" w:right="439" w:bottom="1440" w:gutter="0" w:footer="0" w:header="0"/>
          <w:type w:val="continuous"/>
        </w:sectPr>
      </w:pPr>
    </w:p>
    <w:p>
      <w:pPr>
        <w:ind w:left="3424"/>
        <w:spacing w:after="0"/>
        <w:rPr>
          <w:sz w:val="20"/>
          <w:szCs w:val="20"/>
          <w:color w:val="auto"/>
        </w:rPr>
      </w:pP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br w:type="column"/>
      </w:r>
    </w:p>
    <w:p>
      <w:pPr>
        <w:jc w:val="both"/>
        <w:ind w:right="800"/>
        <w:spacing w:after="0" w:line="266" w:lineRule="auto"/>
        <w:rPr>
          <w:sz w:val="20"/>
          <w:szCs w:val="20"/>
          <w:color w:val="auto"/>
        </w:rPr>
      </w:pPr>
      <w:r>
        <w:rPr>
          <w:rFonts w:ascii="Arial" w:cs="Arial" w:eastAsia="Arial" w:hAnsi="Arial"/>
          <w:sz w:val="16"/>
          <w:szCs w:val="16"/>
          <w:color w:val="333333"/>
        </w:rPr>
        <w:t xml:space="preserve">Implemented the </w:t>
      </w:r>
      <w:r>
        <w:rPr>
          <w:rFonts w:ascii="Arial" w:cs="Arial" w:eastAsia="Arial" w:hAnsi="Arial"/>
          <w:sz w:val="16"/>
          <w:szCs w:val="16"/>
          <w:b w:val="1"/>
          <w:bCs w:val="1"/>
          <w:color w:val="333333"/>
        </w:rPr>
        <w:t>Career Development Framework (CDF)</w:t>
      </w:r>
      <w:r>
        <w:rPr>
          <w:rFonts w:ascii="Arial" w:cs="Arial" w:eastAsia="Arial" w:hAnsi="Arial"/>
          <w:sz w:val="16"/>
          <w:szCs w:val="16"/>
          <w:color w:val="333333"/>
        </w:rPr>
        <w:t xml:space="preserve"> as part of the Workday rollout, providing employees with greater </w:t>
      </w:r>
      <w:r>
        <w:rPr>
          <w:rFonts w:ascii="Arial" w:cs="Arial" w:eastAsia="Arial" w:hAnsi="Arial"/>
          <w:sz w:val="16"/>
          <w:szCs w:val="16"/>
          <w:b w:val="1"/>
          <w:bCs w:val="1"/>
          <w:color w:val="333333"/>
        </w:rPr>
        <w:t>visibility to job opportunities</w:t>
      </w:r>
      <w:r>
        <w:rPr>
          <w:rFonts w:ascii="Arial" w:cs="Arial" w:eastAsia="Arial" w:hAnsi="Arial"/>
          <w:sz w:val="16"/>
          <w:szCs w:val="16"/>
          <w:color w:val="333333"/>
        </w:rPr>
        <w:t xml:space="preserve"> across the Company and equipping managers with tools and resources to support career conversations.</w:t>
      </w:r>
    </w:p>
    <w:p>
      <w:pPr>
        <w:spacing w:after="0" w:line="23" w:lineRule="exact"/>
        <w:rPr>
          <w:sz w:val="20"/>
          <w:szCs w:val="20"/>
          <w:color w:val="auto"/>
        </w:rPr>
      </w:pPr>
    </w:p>
    <w:p>
      <w:pPr>
        <w:sectPr>
          <w:pgSz w:w="11900" w:h="16838" w:orient="portrait"/>
          <w:cols w:equalWidth="0" w:num="2">
            <w:col w:w="3484" w:space="260"/>
            <w:col w:w="7280"/>
          </w:cols>
          <w:pgMar w:left="436" w:top="508" w:right="439" w:bottom="1440" w:gutter="0" w:footer="0" w:header="0"/>
          <w:type w:val="continuous"/>
        </w:sectPr>
      </w:pPr>
    </w:p>
    <w:p>
      <w:pPr>
        <w:ind w:left="3424"/>
        <w:spacing w:after="0"/>
        <w:rPr>
          <w:sz w:val="20"/>
          <w:szCs w:val="20"/>
          <w:color w:val="auto"/>
        </w:rPr>
      </w:pP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br w:type="column"/>
      </w:r>
    </w:p>
    <w:p>
      <w:pPr>
        <w:ind w:right="860"/>
        <w:spacing w:after="0" w:line="266" w:lineRule="auto"/>
        <w:rPr>
          <w:sz w:val="20"/>
          <w:szCs w:val="20"/>
          <w:color w:val="auto"/>
        </w:rPr>
      </w:pPr>
      <w:r>
        <w:rPr>
          <w:rFonts w:ascii="Arial" w:cs="Arial" w:eastAsia="Arial" w:hAnsi="Arial"/>
          <w:sz w:val="16"/>
          <w:szCs w:val="16"/>
          <w:color w:val="333333"/>
        </w:rPr>
        <w:t>Delivered the Leadership EDGE Program to two cohort groups of mid-level, high-potential leaders in partnership with North Carolina State University, with three additional cohorts planned for 2026.</w:t>
      </w:r>
    </w:p>
    <w:p>
      <w:pPr>
        <w:spacing w:after="0" w:line="23" w:lineRule="exact"/>
        <w:rPr>
          <w:sz w:val="20"/>
          <w:szCs w:val="20"/>
          <w:color w:val="auto"/>
        </w:rPr>
      </w:pPr>
    </w:p>
    <w:p>
      <w:pPr>
        <w:sectPr>
          <w:pgSz w:w="11900" w:h="16838" w:orient="portrait"/>
          <w:cols w:equalWidth="0" w:num="2">
            <w:col w:w="3484" w:space="260"/>
            <w:col w:w="7280"/>
          </w:cols>
          <w:pgMar w:left="436" w:top="508" w:right="439" w:bottom="1440" w:gutter="0" w:footer="0" w:header="0"/>
          <w:type w:val="continuous"/>
        </w:sectPr>
      </w:pPr>
    </w:p>
    <w:p>
      <w:pPr>
        <w:ind w:left="3424"/>
        <w:spacing w:after="0"/>
        <w:rPr>
          <w:sz w:val="20"/>
          <w:szCs w:val="20"/>
          <w:color w:val="auto"/>
        </w:rPr>
      </w:pP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br w:type="column"/>
      </w:r>
    </w:p>
    <w:p>
      <w:pPr>
        <w:ind w:right="1260"/>
        <w:spacing w:after="0" w:line="286" w:lineRule="auto"/>
        <w:rPr>
          <w:sz w:val="20"/>
          <w:szCs w:val="20"/>
          <w:color w:val="auto"/>
        </w:rPr>
      </w:pPr>
      <w:r>
        <w:rPr>
          <w:rFonts w:ascii="Arial" w:cs="Arial" w:eastAsia="Arial" w:hAnsi="Arial"/>
          <w:sz w:val="16"/>
          <w:szCs w:val="16"/>
          <w:color w:val="333333"/>
        </w:rPr>
        <w:t xml:space="preserve">Facilitated three </w:t>
      </w:r>
      <w:r>
        <w:rPr>
          <w:rFonts w:ascii="Arial" w:cs="Arial" w:eastAsia="Arial" w:hAnsi="Arial"/>
          <w:sz w:val="16"/>
          <w:szCs w:val="16"/>
          <w:b w:val="1"/>
          <w:bCs w:val="1"/>
          <w:color w:val="333333"/>
        </w:rPr>
        <w:t>Plant Manager Institute (PMI)</w:t>
      </w:r>
      <w:r>
        <w:rPr>
          <w:rFonts w:ascii="Arial" w:cs="Arial" w:eastAsia="Arial" w:hAnsi="Arial"/>
          <w:sz w:val="16"/>
          <w:szCs w:val="16"/>
          <w:color w:val="333333"/>
        </w:rPr>
        <w:t xml:space="preserve"> sessions in 2025 to reinforce Martin Marietta’s operating philosophy and enhance site execution and capabilities.</w:t>
      </w:r>
    </w:p>
    <w:p>
      <w:pPr>
        <w:spacing w:after="0" w:line="7" w:lineRule="exact"/>
        <w:rPr>
          <w:sz w:val="20"/>
          <w:szCs w:val="20"/>
          <w:color w:val="auto"/>
        </w:rPr>
      </w:pPr>
    </w:p>
    <w:p>
      <w:pPr>
        <w:sectPr>
          <w:pgSz w:w="11900" w:h="16838" w:orient="portrait"/>
          <w:cols w:equalWidth="0" w:num="2">
            <w:col w:w="3484" w:space="260"/>
            <w:col w:w="7280"/>
          </w:cols>
          <w:pgMar w:left="436" w:top="508" w:right="439" w:bottom="1440" w:gutter="0" w:footer="0" w:header="0"/>
          <w:type w:val="continuous"/>
        </w:sectPr>
      </w:pPr>
    </w:p>
    <w:p>
      <w:pPr>
        <w:ind w:left="3424"/>
        <w:spacing w:after="0"/>
        <w:rPr>
          <w:sz w:val="20"/>
          <w:szCs w:val="20"/>
          <w:color w:val="auto"/>
        </w:rPr>
      </w:pP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br w:type="column"/>
      </w:r>
    </w:p>
    <w:p>
      <w:pPr>
        <w:ind w:right="1120"/>
        <w:spacing w:after="0" w:line="286" w:lineRule="auto"/>
        <w:rPr>
          <w:sz w:val="20"/>
          <w:szCs w:val="20"/>
          <w:color w:val="auto"/>
        </w:rPr>
      </w:pPr>
      <w:r>
        <w:rPr>
          <w:rFonts w:ascii="Arial" w:cs="Arial" w:eastAsia="Arial" w:hAnsi="Arial"/>
          <w:sz w:val="16"/>
          <w:szCs w:val="16"/>
          <w:color w:val="333333"/>
        </w:rPr>
        <w:t>We took deliberate and meaningful steps to increase our name recognition in the competitive Raleigh, North Carolina, talent market, where our headquarters is located.</w:t>
      </w:r>
    </w:p>
    <w:p>
      <w:pPr>
        <w:spacing w:after="0" w:line="7" w:lineRule="exact"/>
        <w:rPr>
          <w:sz w:val="20"/>
          <w:szCs w:val="20"/>
          <w:color w:val="auto"/>
        </w:rPr>
      </w:pPr>
    </w:p>
    <w:p>
      <w:pPr>
        <w:sectPr>
          <w:pgSz w:w="11900" w:h="16838" w:orient="portrait"/>
          <w:cols w:equalWidth="0" w:num="2">
            <w:col w:w="3484" w:space="260"/>
            <w:col w:w="7280"/>
          </w:cols>
          <w:pgMar w:left="436" w:top="508" w:right="439" w:bottom="1440" w:gutter="0" w:footer="0" w:header="0"/>
          <w:type w:val="continuous"/>
        </w:sectPr>
      </w:pPr>
    </w:p>
    <w:p>
      <w:pPr>
        <w:ind w:left="10484"/>
        <w:spacing w:after="0"/>
        <w:rPr>
          <w:sz w:val="20"/>
          <w:szCs w:val="20"/>
          <w:color w:val="auto"/>
        </w:rPr>
      </w:pPr>
      <w:r>
        <w:rPr>
          <w:rFonts w:ascii="Arial" w:cs="Arial" w:eastAsia="Arial" w:hAnsi="Arial"/>
          <w:sz w:val="16"/>
          <w:szCs w:val="16"/>
          <w:color w:val="333333"/>
        </w:rPr>
        <w:t xml:space="preserve">         </w:t>
      </w:r>
    </w:p>
    <w:p>
      <w:pPr>
        <w:spacing w:after="0" w:line="194" w:lineRule="exact"/>
        <w:rPr>
          <w:sz w:val="20"/>
          <w:szCs w:val="20"/>
          <w:color w:val="auto"/>
        </w:rPr>
      </w:pPr>
    </w:p>
    <w:p>
      <w:pPr>
        <w:ind w:left="4" w:right="240"/>
        <w:spacing w:after="0" w:line="266" w:lineRule="auto"/>
        <w:rPr>
          <w:sz w:val="20"/>
          <w:szCs w:val="20"/>
          <w:color w:val="auto"/>
        </w:rPr>
      </w:pPr>
      <w:r>
        <w:rPr>
          <w:rFonts w:ascii="Arial" w:cs="Arial" w:eastAsia="Arial" w:hAnsi="Arial"/>
          <w:sz w:val="16"/>
          <w:szCs w:val="16"/>
          <w:color w:val="333333"/>
        </w:rPr>
        <w:t>Through these important efforts and many more in 2025, we continued to build a compelling connection with current and potential employees, increase the visibility and attractiveness of Martin Marietta as an employer of choice to strengthen our talent pipeline, and increase employee engagement, development, morale and retention.</w:t>
      </w:r>
    </w:p>
    <w:p>
      <w:pPr>
        <w:spacing w:after="0" w:line="63" w:lineRule="exact"/>
        <w:rPr>
          <w:sz w:val="20"/>
          <w:szCs w:val="20"/>
          <w:color w:val="auto"/>
        </w:rPr>
      </w:pPr>
    </w:p>
    <w:p>
      <w:pPr>
        <w:ind w:left="4" w:right="220"/>
        <w:spacing w:after="0" w:line="259" w:lineRule="auto"/>
        <w:rPr>
          <w:sz w:val="20"/>
          <w:szCs w:val="20"/>
          <w:color w:val="auto"/>
        </w:rPr>
      </w:pPr>
      <w:r>
        <w:rPr>
          <w:rFonts w:ascii="Arial" w:cs="Arial" w:eastAsia="Arial" w:hAnsi="Arial"/>
          <w:sz w:val="16"/>
          <w:szCs w:val="16"/>
          <w:color w:val="333333"/>
        </w:rPr>
        <w:t>We believe that employee engagement happens when we bring together exceptional talent with diverse backgrounds, qualifications, perspectives, experiences, voices and skills to ensure that we will consistently develop the best ideas and advance our world-class ambition. Enabled by an inclusive environment where each person feels like they belong, are valued and can speak up, engagement allows us to forge stronger, more productive connections fueled by trust, compassion and authenticity. It ensures we pursue excellence and continuously improve – as ONE Team.</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6"/>
          <w:szCs w:val="16"/>
          <w:color w:val="333333"/>
        </w:rPr>
        <w:t>Importantly, our impactful achievements related to inclusion and engagement in 2025 included:</w:t>
      </w:r>
    </w:p>
    <w:p>
      <w:pPr>
        <w:spacing w:after="0" w:line="73" w:lineRule="exact"/>
        <w:rPr>
          <w:sz w:val="20"/>
          <w:szCs w:val="20"/>
          <w:color w:val="auto"/>
        </w:rPr>
      </w:pPr>
    </w:p>
    <w:p>
      <w:pPr>
        <w:ind w:left="224" w:right="300" w:hanging="224"/>
        <w:spacing w:after="0" w:line="286" w:lineRule="auto"/>
        <w:tabs>
          <w:tab w:leader="none" w:pos="224" w:val="left"/>
        </w:tabs>
        <w:numPr>
          <w:ilvl w:val="0"/>
          <w:numId w:val="66"/>
        </w:numPr>
        <w:rPr>
          <w:rFonts w:ascii="Arial" w:cs="Arial" w:eastAsia="Arial" w:hAnsi="Arial"/>
          <w:sz w:val="16"/>
          <w:szCs w:val="16"/>
          <w:color w:val="333333"/>
        </w:rPr>
      </w:pPr>
      <w:r>
        <w:rPr>
          <w:rFonts w:ascii="Arial" w:cs="Arial" w:eastAsia="Arial" w:hAnsi="Arial"/>
          <w:sz w:val="16"/>
          <w:szCs w:val="16"/>
          <w:color w:val="333333"/>
        </w:rPr>
        <w:t>Expanded Spanish language support Companywide by providing in-person translation services during onboarding and publishing targeted Spanish language digital signs.</w:t>
      </w:r>
    </w:p>
    <w:p>
      <w:pPr>
        <w:spacing w:after="0" w:line="61" w:lineRule="exact"/>
        <w:rPr>
          <w:rFonts w:ascii="Arial" w:cs="Arial" w:eastAsia="Arial" w:hAnsi="Arial"/>
          <w:sz w:val="16"/>
          <w:szCs w:val="16"/>
          <w:color w:val="333333"/>
        </w:rPr>
      </w:pPr>
    </w:p>
    <w:p>
      <w:pPr>
        <w:ind w:left="224" w:hanging="224"/>
        <w:spacing w:after="0"/>
        <w:tabs>
          <w:tab w:leader="none" w:pos="224" w:val="left"/>
        </w:tabs>
        <w:numPr>
          <w:ilvl w:val="0"/>
          <w:numId w:val="66"/>
        </w:numPr>
        <w:rPr>
          <w:rFonts w:ascii="Arial" w:cs="Arial" w:eastAsia="Arial" w:hAnsi="Arial"/>
          <w:sz w:val="16"/>
          <w:szCs w:val="16"/>
          <w:color w:val="333333"/>
        </w:rPr>
      </w:pPr>
      <w:r>
        <w:rPr>
          <w:rFonts w:ascii="Arial" w:cs="Arial" w:eastAsia="Arial" w:hAnsi="Arial"/>
          <w:sz w:val="16"/>
          <w:szCs w:val="16"/>
          <w:color w:val="333333"/>
        </w:rPr>
        <w:t>Continued to evolve and grow Martin Marietta’s employee resource groups (ERGs) in 2025.</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8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591820"/>
                    </a:xfrm>
                    <a:prstGeom prst="rect">
                      <a:avLst/>
                    </a:prstGeom>
                    <a:noFill/>
                  </pic:spPr>
                </pic:pic>
              </a:graphicData>
            </a:graphic>
          </wp:anchor>
        </w:drawing>
      </w:r>
    </w:p>
    <w:p>
      <w:pPr>
        <w:sectPr>
          <w:pgSz w:w="11900" w:h="16838" w:orient="portrait"/>
          <w:cols w:equalWidth="0" w:num="1">
            <w:col w:w="11024"/>
          </w:cols>
          <w:pgMar w:left="436" w:top="508" w:right="439" w:bottom="1440" w:gutter="0" w:footer="0" w:header="0"/>
          <w:type w:val="continuous"/>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54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44" w:space="120"/>
            <w:col w:w="620" w:space="120"/>
            <w:col w:w="8620" w:space="720"/>
            <w:col w:w="780"/>
          </w:cols>
          <w:pgMar w:left="436" w:top="508" w:right="439" w:bottom="1440" w:gutter="0" w:footer="0" w:header="0"/>
          <w:type w:val="continuous"/>
        </w:sectPr>
      </w:pPr>
    </w:p>
    <w:bookmarkStart w:id="60" w:name="page61"/>
    <w:bookmarkEnd w:id="60"/>
    <w:p>
      <w:pPr>
        <w:jc w:val="center"/>
        <w:ind w:left="79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Summary of Our        </w:t>
      </w:r>
    </w:p>
    <w:p>
      <w:pPr>
        <w:spacing w:after="0" w:line="1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FFFFFF"/>
        </w:rPr>
        <w:t xml:space="preserve">Compensation Considerations 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22117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22117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460" w:right="140" w:hanging="142"/>
        <w:spacing w:after="0" w:line="259" w:lineRule="auto"/>
        <w:tabs>
          <w:tab w:leader="none" w:pos="2460" w:val="left"/>
        </w:tabs>
        <w:numPr>
          <w:ilvl w:val="0"/>
          <w:numId w:val="67"/>
        </w:numPr>
        <w:rPr>
          <w:rFonts w:ascii="Arial" w:cs="Arial" w:eastAsia="Arial" w:hAnsi="Arial"/>
          <w:sz w:val="16"/>
          <w:szCs w:val="16"/>
          <w:color w:val="333333"/>
        </w:rPr>
      </w:pPr>
      <w:r>
        <w:rPr>
          <w:rFonts w:ascii="Arial" w:cs="Arial" w:eastAsia="Arial" w:hAnsi="Arial"/>
          <w:sz w:val="16"/>
          <w:szCs w:val="16"/>
          <w:color w:val="333333"/>
        </w:rPr>
        <w:t xml:space="preserve">Military and Veterans Community (MVC) - The </w:t>
      </w:r>
      <w:r>
        <w:rPr>
          <w:rFonts w:ascii="Arial" w:cs="Arial" w:eastAsia="Arial" w:hAnsi="Arial"/>
          <w:sz w:val="16"/>
          <w:szCs w:val="16"/>
          <w:b w:val="1"/>
          <w:bCs w:val="1"/>
          <w:color w:val="333333"/>
        </w:rPr>
        <w:t>Toys for Tots</w:t>
      </w:r>
      <w:r>
        <w:rPr>
          <w:rFonts w:ascii="Arial" w:cs="Arial" w:eastAsia="Arial" w:hAnsi="Arial"/>
          <w:sz w:val="16"/>
          <w:szCs w:val="16"/>
          <w:color w:val="333333"/>
        </w:rPr>
        <w:t xml:space="preserve"> campaign raised more than $20,000 and collected hundreds of toys; Continued sponsorship of </w:t>
      </w:r>
      <w:r>
        <w:rPr>
          <w:rFonts w:ascii="Arial" w:cs="Arial" w:eastAsia="Arial" w:hAnsi="Arial"/>
          <w:sz w:val="16"/>
          <w:szCs w:val="16"/>
          <w:b w:val="1"/>
          <w:bCs w:val="1"/>
          <w:color w:val="333333"/>
        </w:rPr>
        <w:t>American Corporate Partners (ACP)</w:t>
      </w:r>
      <w:r>
        <w:rPr>
          <w:rFonts w:ascii="Arial" w:cs="Arial" w:eastAsia="Arial" w:hAnsi="Arial"/>
          <w:sz w:val="16"/>
          <w:szCs w:val="16"/>
          <w:color w:val="333333"/>
        </w:rPr>
        <w:t xml:space="preserve"> with 21 employees actively coaching military members transitioning to civilian life; Honored </w:t>
      </w:r>
      <w:r>
        <w:rPr>
          <w:rFonts w:ascii="Arial" w:cs="Arial" w:eastAsia="Arial" w:hAnsi="Arial"/>
          <w:sz w:val="16"/>
          <w:szCs w:val="16"/>
          <w:b w:val="1"/>
          <w:bCs w:val="1"/>
          <w:color w:val="333333"/>
        </w:rPr>
        <w:t>POW/MIA Recognition Day</w:t>
      </w:r>
      <w:r>
        <w:rPr>
          <w:rFonts w:ascii="Arial" w:cs="Arial" w:eastAsia="Arial" w:hAnsi="Arial"/>
          <w:sz w:val="16"/>
          <w:szCs w:val="16"/>
          <w:color w:val="333333"/>
        </w:rPr>
        <w:t xml:space="preserve"> with a symbolic “Missing Man” table at corporate headquarters.</w:t>
      </w:r>
    </w:p>
    <w:p>
      <w:pPr>
        <w:spacing w:after="0" w:line="200" w:lineRule="exact"/>
        <w:rPr>
          <w:rFonts w:ascii="Arial" w:cs="Arial" w:eastAsia="Arial" w:hAnsi="Arial"/>
          <w:sz w:val="16"/>
          <w:szCs w:val="16"/>
          <w:color w:val="333333"/>
        </w:rPr>
      </w:pPr>
    </w:p>
    <w:p>
      <w:pPr>
        <w:spacing w:after="0" w:line="247" w:lineRule="exact"/>
        <w:rPr>
          <w:rFonts w:ascii="Arial" w:cs="Arial" w:eastAsia="Arial" w:hAnsi="Arial"/>
          <w:sz w:val="16"/>
          <w:szCs w:val="16"/>
          <w:color w:val="333333"/>
        </w:rPr>
      </w:pPr>
    </w:p>
    <w:p>
      <w:pPr>
        <w:ind w:left="2460" w:right="20" w:hanging="142"/>
        <w:spacing w:after="0" w:line="263" w:lineRule="auto"/>
        <w:tabs>
          <w:tab w:leader="none" w:pos="2460" w:val="left"/>
        </w:tabs>
        <w:numPr>
          <w:ilvl w:val="0"/>
          <w:numId w:val="67"/>
        </w:numPr>
        <w:rPr>
          <w:rFonts w:ascii="Arial" w:cs="Arial" w:eastAsia="Arial" w:hAnsi="Arial"/>
          <w:sz w:val="16"/>
          <w:szCs w:val="16"/>
          <w:color w:val="333333"/>
        </w:rPr>
      </w:pPr>
      <w:r>
        <w:rPr>
          <w:rFonts w:ascii="Arial" w:cs="Arial" w:eastAsia="Arial" w:hAnsi="Arial"/>
          <w:sz w:val="16"/>
          <w:szCs w:val="16"/>
          <w:color w:val="333333"/>
        </w:rPr>
        <w:t xml:space="preserve">Women Who Build (WWB) - Celebrated </w:t>
      </w:r>
      <w:r>
        <w:rPr>
          <w:rFonts w:ascii="Arial" w:cs="Arial" w:eastAsia="Arial" w:hAnsi="Arial"/>
          <w:sz w:val="16"/>
          <w:szCs w:val="16"/>
          <w:b w:val="1"/>
          <w:bCs w:val="1"/>
          <w:color w:val="333333"/>
        </w:rPr>
        <w:t>Women’s History Month</w:t>
      </w:r>
      <w:r>
        <w:rPr>
          <w:rFonts w:ascii="Arial" w:cs="Arial" w:eastAsia="Arial" w:hAnsi="Arial"/>
          <w:sz w:val="16"/>
          <w:szCs w:val="16"/>
          <w:color w:val="333333"/>
        </w:rPr>
        <w:t xml:space="preserve">; Sponsored an internal wellness campaign during </w:t>
      </w:r>
      <w:r>
        <w:rPr>
          <w:rFonts w:ascii="Arial" w:cs="Arial" w:eastAsia="Arial" w:hAnsi="Arial"/>
          <w:sz w:val="16"/>
          <w:szCs w:val="16"/>
          <w:b w:val="1"/>
          <w:bCs w:val="1"/>
          <w:color w:val="333333"/>
        </w:rPr>
        <w:t xml:space="preserve">Cancer Awareness Month </w:t>
      </w:r>
      <w:r>
        <w:rPr>
          <w:rFonts w:ascii="Arial" w:cs="Arial" w:eastAsia="Arial" w:hAnsi="Arial"/>
          <w:sz w:val="16"/>
          <w:szCs w:val="16"/>
          <w:color w:val="333333"/>
        </w:rPr>
        <w:t>with 380 participants walking more than 37,000 miles as part of a Distance Challenge;</w:t>
      </w:r>
      <w:r>
        <w:rPr>
          <w:rFonts w:ascii="Arial" w:cs="Arial" w:eastAsia="Arial" w:hAnsi="Arial"/>
          <w:sz w:val="16"/>
          <w:szCs w:val="16"/>
          <w:b w:val="1"/>
          <w:bCs w:val="1"/>
          <w:color w:val="333333"/>
        </w:rPr>
        <w:t xml:space="preserve"> </w:t>
      </w:r>
      <w:r>
        <w:rPr>
          <w:rFonts w:ascii="Arial" w:cs="Arial" w:eastAsia="Arial" w:hAnsi="Arial"/>
          <w:sz w:val="16"/>
          <w:szCs w:val="16"/>
          <w:color w:val="333333"/>
        </w:rPr>
        <w:t xml:space="preserve">Hosted </w:t>
      </w:r>
      <w:r>
        <w:rPr>
          <w:rFonts w:ascii="Arial" w:cs="Arial" w:eastAsia="Arial" w:hAnsi="Arial"/>
          <w:sz w:val="16"/>
          <w:szCs w:val="16"/>
          <w:b w:val="1"/>
          <w:bCs w:val="1"/>
          <w:color w:val="333333"/>
        </w:rPr>
        <w:t>Women Talk Money</w:t>
      </w:r>
      <w:r>
        <w:rPr>
          <w:rFonts w:ascii="Arial" w:cs="Arial" w:eastAsia="Arial" w:hAnsi="Arial"/>
          <w:sz w:val="16"/>
          <w:szCs w:val="16"/>
          <w:color w:val="333333"/>
        </w:rPr>
        <w:t xml:space="preserve"> financial workshops with Fidelity Investments; Sponsored and attended annual </w:t>
      </w:r>
      <w:r>
        <w:rPr>
          <w:rFonts w:ascii="Arial" w:cs="Arial" w:eastAsia="Arial" w:hAnsi="Arial"/>
          <w:sz w:val="16"/>
          <w:szCs w:val="16"/>
          <w:b w:val="1"/>
          <w:bCs w:val="1"/>
          <w:color w:val="333333"/>
        </w:rPr>
        <w:t>Women in</w:t>
      </w:r>
      <w:r>
        <w:rPr>
          <w:rFonts w:ascii="Arial" w:cs="Arial" w:eastAsia="Arial" w:hAnsi="Arial"/>
          <w:sz w:val="16"/>
          <w:szCs w:val="16"/>
          <w:color w:val="333333"/>
        </w:rPr>
        <w:t xml:space="preserve"> </w:t>
      </w:r>
      <w:r>
        <w:rPr>
          <w:rFonts w:ascii="Arial" w:cs="Arial" w:eastAsia="Arial" w:hAnsi="Arial"/>
          <w:sz w:val="16"/>
          <w:szCs w:val="16"/>
          <w:b w:val="1"/>
          <w:bCs w:val="1"/>
          <w:color w:val="333333"/>
        </w:rPr>
        <w:t xml:space="preserve">Mining </w:t>
      </w:r>
      <w:r>
        <w:rPr>
          <w:rFonts w:ascii="Arial" w:cs="Arial" w:eastAsia="Arial" w:hAnsi="Arial"/>
          <w:sz w:val="16"/>
          <w:szCs w:val="16"/>
          <w:color w:val="333333"/>
        </w:rPr>
        <w:t>event.</w:t>
      </w:r>
    </w:p>
    <w:p>
      <w:pPr>
        <w:spacing w:after="0" w:line="395" w:lineRule="exact"/>
        <w:rPr>
          <w:rFonts w:ascii="Arial" w:cs="Arial" w:eastAsia="Arial" w:hAnsi="Arial"/>
          <w:sz w:val="16"/>
          <w:szCs w:val="16"/>
          <w:color w:val="333333"/>
        </w:rPr>
      </w:pPr>
    </w:p>
    <w:p>
      <w:pPr>
        <w:ind w:left="2460" w:right="80" w:hanging="142"/>
        <w:spacing w:after="0" w:line="263" w:lineRule="auto"/>
        <w:tabs>
          <w:tab w:leader="none" w:pos="2460" w:val="left"/>
        </w:tabs>
        <w:numPr>
          <w:ilvl w:val="0"/>
          <w:numId w:val="67"/>
        </w:numPr>
        <w:rPr>
          <w:rFonts w:ascii="Arial" w:cs="Arial" w:eastAsia="Arial" w:hAnsi="Arial"/>
          <w:sz w:val="16"/>
          <w:szCs w:val="16"/>
          <w:color w:val="333333"/>
        </w:rPr>
      </w:pPr>
      <w:r>
        <w:rPr>
          <w:rFonts w:ascii="Arial" w:cs="Arial" w:eastAsia="Arial" w:hAnsi="Arial"/>
          <w:sz w:val="16"/>
          <w:szCs w:val="16"/>
          <w:color w:val="333333"/>
        </w:rPr>
        <w:t xml:space="preserve">Recognized numerous </w:t>
      </w:r>
      <w:r>
        <w:rPr>
          <w:rFonts w:ascii="Arial" w:cs="Arial" w:eastAsia="Arial" w:hAnsi="Arial"/>
          <w:sz w:val="16"/>
          <w:szCs w:val="16"/>
          <w:b w:val="1"/>
          <w:bCs w:val="1"/>
          <w:color w:val="333333"/>
        </w:rPr>
        <w:t>Heritage and History Days and Months</w:t>
      </w:r>
      <w:r>
        <w:rPr>
          <w:rFonts w:ascii="Arial" w:cs="Arial" w:eastAsia="Arial" w:hAnsi="Arial"/>
          <w:sz w:val="16"/>
          <w:szCs w:val="16"/>
          <w:color w:val="333333"/>
        </w:rPr>
        <w:t xml:space="preserve"> throughout 2025; Partnered with Talent Acquisition to volunteer at fall recruiting events; Expanded support for </w:t>
      </w:r>
      <w:r>
        <w:rPr>
          <w:rFonts w:ascii="Arial" w:cs="Arial" w:eastAsia="Arial" w:hAnsi="Arial"/>
          <w:sz w:val="16"/>
          <w:szCs w:val="16"/>
          <w:b w:val="1"/>
          <w:bCs w:val="1"/>
          <w:color w:val="333333"/>
        </w:rPr>
        <w:t>Ronald McDonald House Charities</w:t>
      </w:r>
      <w:r>
        <w:rPr>
          <w:rFonts w:ascii="Arial" w:cs="Arial" w:eastAsia="Arial" w:hAnsi="Arial"/>
          <w:sz w:val="16"/>
          <w:szCs w:val="16"/>
          <w:color w:val="333333"/>
        </w:rPr>
        <w:t xml:space="preserve"> by strengthening relationships with local chapters in Dallas and Raleigh-Durham-Chapel Hill; Sponsored attendance at </w:t>
      </w:r>
      <w:r>
        <w:rPr>
          <w:rFonts w:ascii="Arial" w:cs="Arial" w:eastAsia="Arial" w:hAnsi="Arial"/>
          <w:sz w:val="16"/>
          <w:szCs w:val="16"/>
          <w:b w:val="1"/>
          <w:bCs w:val="1"/>
          <w:color w:val="333333"/>
        </w:rPr>
        <w:t>SHPEtinas</w:t>
      </w:r>
      <w:r>
        <w:rPr>
          <w:rFonts w:ascii="Arial" w:cs="Arial" w:eastAsia="Arial" w:hAnsi="Arial"/>
          <w:sz w:val="16"/>
          <w:szCs w:val="16"/>
          <w:color w:val="333333"/>
        </w:rPr>
        <w:t xml:space="preserve"> </w:t>
      </w:r>
      <w:r>
        <w:rPr>
          <w:rFonts w:ascii="Arial" w:cs="Arial" w:eastAsia="Arial" w:hAnsi="Arial"/>
          <w:sz w:val="16"/>
          <w:szCs w:val="16"/>
          <w:b w:val="1"/>
          <w:bCs w:val="1"/>
          <w:color w:val="333333"/>
        </w:rPr>
        <w:t xml:space="preserve">Summit </w:t>
      </w:r>
      <w:r>
        <w:rPr>
          <w:rFonts w:ascii="Arial" w:cs="Arial" w:eastAsia="Arial" w:hAnsi="Arial"/>
          <w:sz w:val="16"/>
          <w:szCs w:val="16"/>
          <w:color w:val="333333"/>
        </w:rPr>
        <w:t>in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462915" cy="4114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62915" cy="41148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0086CC"/>
        </w:rPr>
        <w:t>Engagement and Inclusion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6995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0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333333"/>
        </w:rPr>
        <w:t>We are committed to fostering inclusion and belonging and strive to maintain a culture and adherence to core values that attract and celebrate diversity in our workplace. We believe that differences in perspectives and experiences promote creativity, innovation, and mutual respect, which are all core to our Values. We recognize that the unique viewpoints and experiences of every employee are important to achieving our Mission to be a world-class organization and have implemented initiatives that we believe will allow us to continue to improve on those objectives.</w:t>
      </w:r>
    </w:p>
    <w:p>
      <w:pPr>
        <w:spacing w:after="0" w:line="8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333333"/>
        </w:rPr>
        <w:t>Although we do not believe that the Equal Employment Opportunity Commission data required on Form EEO-1 fully reflects our job-role structure, we have made the data available on our website.</w:t>
      </w:r>
    </w:p>
    <w:p>
      <w:pPr>
        <w:spacing w:after="0" w:line="112" w:lineRule="exact"/>
        <w:rPr>
          <w:sz w:val="20"/>
          <w:szCs w:val="20"/>
          <w:color w:val="auto"/>
        </w:rPr>
      </w:pPr>
    </w:p>
    <w:p>
      <w:pPr>
        <w:ind w:right="660"/>
        <w:spacing w:after="0" w:line="287" w:lineRule="auto"/>
        <w:rPr>
          <w:sz w:val="20"/>
          <w:szCs w:val="20"/>
          <w:color w:val="auto"/>
        </w:rPr>
      </w:pPr>
      <w:r>
        <w:rPr>
          <w:rFonts w:ascii="Arial" w:cs="Arial" w:eastAsia="Arial" w:hAnsi="Arial"/>
          <w:sz w:val="32"/>
          <w:szCs w:val="32"/>
          <w:b w:val="1"/>
          <w:bCs w:val="1"/>
          <w:color w:val="auto"/>
        </w:rPr>
        <w:t>Compensation Decisions Yielding Alignment with Performance and Enhancing Our Corporate Resilience</w:t>
      </w:r>
    </w:p>
    <w:p>
      <w:pPr>
        <w:ind w:right="20"/>
        <w:spacing w:after="0" w:line="253" w:lineRule="auto"/>
        <w:rPr>
          <w:sz w:val="20"/>
          <w:szCs w:val="20"/>
          <w:color w:val="auto"/>
        </w:rPr>
      </w:pPr>
      <w:r>
        <w:rPr>
          <w:rFonts w:ascii="Arial" w:cs="Arial" w:eastAsia="Arial" w:hAnsi="Arial"/>
          <w:sz w:val="16"/>
          <w:szCs w:val="16"/>
          <w:color w:val="333333"/>
        </w:rPr>
        <w:t xml:space="preserve">In determining compensation, the Committee considers many factors in order to align performance with the compensation received by our executives. In response to our shareholder engagement in 2023, we adopted a formulaic short-term incentive program, which we continued to use for executives in 2025. As described below under </w:t>
      </w:r>
      <w:r>
        <w:rPr>
          <w:rFonts w:ascii="Arial" w:cs="Arial" w:eastAsia="Arial" w:hAnsi="Arial"/>
          <w:sz w:val="16"/>
          <w:szCs w:val="16"/>
          <w:b w:val="1"/>
          <w:bCs w:val="1"/>
          <w:color w:val="333333"/>
        </w:rPr>
        <w:t>2025 Actual Incentive Cash Earned, the objective financial metrics in our annual plan that were measured for</w:t>
      </w:r>
      <w:r>
        <w:rPr>
          <w:rFonts w:ascii="Arial" w:cs="Arial" w:eastAsia="Arial" w:hAnsi="Arial"/>
          <w:sz w:val="16"/>
          <w:szCs w:val="16"/>
          <w:color w:val="333333"/>
        </w:rPr>
        <w:t xml:space="preserve"> </w:t>
      </w:r>
      <w:r>
        <w:rPr>
          <w:rFonts w:ascii="Arial" w:cs="Arial" w:eastAsia="Arial" w:hAnsi="Arial"/>
          <w:sz w:val="16"/>
          <w:szCs w:val="16"/>
          <w:b w:val="1"/>
          <w:bCs w:val="1"/>
          <w:color w:val="333333"/>
        </w:rPr>
        <w:t xml:space="preserve">purposes of the 2025 Annual Cash Incentive </w:t>
      </w:r>
      <w:r>
        <w:rPr>
          <w:rFonts w:ascii="Arial" w:cs="Arial" w:eastAsia="Arial" w:hAnsi="Arial"/>
          <w:sz w:val="16"/>
          <w:szCs w:val="16"/>
          <w:color w:val="333333"/>
        </w:rPr>
        <w:t>were Adjusted Cash Gross Profit, which is viewed as indicative of the Company’s profitability, and Selling,</w:t>
      </w:r>
      <w:r>
        <w:rPr>
          <w:rFonts w:ascii="Arial" w:cs="Arial" w:eastAsia="Arial" w:hAnsi="Arial"/>
          <w:sz w:val="16"/>
          <w:szCs w:val="16"/>
          <w:b w:val="1"/>
          <w:bCs w:val="1"/>
          <w:color w:val="333333"/>
        </w:rPr>
        <w:t xml:space="preserve"> </w:t>
      </w:r>
      <w:r>
        <w:rPr>
          <w:rFonts w:ascii="Arial" w:cs="Arial" w:eastAsia="Arial" w:hAnsi="Arial"/>
          <w:sz w:val="16"/>
          <w:szCs w:val="16"/>
          <w:color w:val="333333"/>
        </w:rPr>
        <w:t>General and Administrative Expenses (SG&amp;A) as a Percentage of Revenues, which is viewed as indicative of the Company’s cost management. In addition, a portion of the incentive calculation is tied to achievement of targeted safety metrics and identified sustainability goals based on shareholder feedback. Together, these metrics are important measures reflecting our performance and the creation of long-term value for shareholders.</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333333"/>
        </w:rPr>
        <w:t>The Company’s exceptional performance in 2025 resulted in strong payouts from the Annual Cash Incentive Plan and reinforces our pay-for-performance strategy which aligns our performance with management’s pay and with shareholders’ interests.</w:t>
      </w:r>
    </w:p>
    <w:p>
      <w:pPr>
        <w:spacing w:after="0" w:line="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33333"/>
        </w:rPr>
        <w:t xml:space="preserve">The Committee also believes it is important to ensure that our Company and business model are resilient and robust under challenging circumstances, regardless of whether factors impacting specific performance are predictable or within management’s control. In this regard, the Committee developed a </w:t>
      </w:r>
      <w:r>
        <w:rPr>
          <w:rFonts w:ascii="Arial" w:cs="Arial" w:eastAsia="Arial" w:hAnsi="Arial"/>
          <w:sz w:val="16"/>
          <w:szCs w:val="16"/>
          <w:b w:val="1"/>
          <w:bCs w:val="1"/>
          <w:color w:val="333333"/>
        </w:rPr>
        <w:t xml:space="preserve">Resilience Scorecard </w:t>
      </w:r>
      <w:r>
        <w:rPr>
          <w:rFonts w:ascii="Arial" w:cs="Arial" w:eastAsia="Arial" w:hAnsi="Arial"/>
          <w:sz w:val="16"/>
          <w:szCs w:val="16"/>
          <w:color w:val="333333"/>
        </w:rPr>
        <w:t>in 2021 that includes the key criteria described in the chart below that in our view measure our Company’s ability to remain strong</w:t>
      </w:r>
      <w:r>
        <w:rPr>
          <w:rFonts w:ascii="Arial" w:cs="Arial" w:eastAsia="Arial" w:hAnsi="Arial"/>
          <w:sz w:val="16"/>
          <w:szCs w:val="16"/>
          <w:b w:val="1"/>
          <w:bCs w:val="1"/>
          <w:color w:val="333333"/>
        </w:rPr>
        <w:t xml:space="preserve"> </w:t>
      </w:r>
      <w:r>
        <w:rPr>
          <w:rFonts w:ascii="Arial" w:cs="Arial" w:eastAsia="Arial" w:hAnsi="Arial"/>
          <w:sz w:val="16"/>
          <w:szCs w:val="16"/>
          <w:color w:val="333333"/>
        </w:rPr>
        <w:t>through severe, unexpected circumstances, as well as assessing management’s actions and whether they were appropriate in responding to and managing through extraordinary events. The Resilience Scorecard allows the Committee to apply a multiplier of 0.75x to 1.25x to management’s annual award that would be otherwise based on pre-event factors. These qualitative factors are important to position the Company to minimize the adverse impact from these unexpected events.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55 </w:t>
      </w:r>
      <w:r>
        <w:rPr>
          <w:rFonts w:ascii="Arial" w:cs="Arial" w:eastAsia="Arial" w:hAnsi="Arial"/>
          <w:sz w:val="16"/>
          <w:szCs w:val="16"/>
          <w:color w:val="333333"/>
        </w:rPr>
        <w:t xml:space="preserve">               </w:t>
      </w:r>
    </w:p>
    <w:p>
      <w:pPr>
        <w:sectPr>
          <w:pgSz w:w="11900" w:h="16838" w:orient="portrait"/>
          <w:cols w:equalWidth="0" w:num="4">
            <w:col w:w="200" w:space="120"/>
            <w:col w:w="3540" w:space="720"/>
            <w:col w:w="4660" w:space="720"/>
            <w:col w:w="1060"/>
          </w:cols>
          <w:pgMar w:left="440" w:top="684" w:right="439" w:bottom="1440" w:gutter="0" w:footer="0" w:header="0"/>
          <w:type w:val="continuous"/>
        </w:sectPr>
      </w:pPr>
    </w:p>
    <w:bookmarkStart w:id="61" w:name="page62"/>
    <w:bookmarkEnd w:id="61"/>
    <w:p>
      <w:pPr>
        <w:ind w:left="920" w:hanging="153"/>
        <w:spacing w:after="0"/>
        <w:tabs>
          <w:tab w:leader="none" w:pos="920" w:val="left"/>
        </w:tabs>
        <w:numPr>
          <w:ilvl w:val="1"/>
          <w:numId w:val="68"/>
        </w:numPr>
        <w:rPr>
          <w:rFonts w:ascii="Arial" w:cs="Arial" w:eastAsia="Arial" w:hAnsi="Arial"/>
          <w:sz w:val="14"/>
          <w:szCs w:val="14"/>
          <w:b w:val="1"/>
          <w:bCs w:val="1"/>
          <w:color w:val="FFFFFF"/>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877060" cy="4718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877060" cy="471805"/>
                    </a:xfrm>
                    <a:prstGeom prst="rect">
                      <a:avLst/>
                    </a:prstGeom>
                    <a:noFill/>
                  </pic:spPr>
                </pic:pic>
              </a:graphicData>
            </a:graphic>
          </wp:anchor>
        </w:drawing>
        <w:t>Summary of Our</w:t>
      </w:r>
    </w:p>
    <w:p>
      <w:pPr>
        <w:spacing w:after="0" w:line="15" w:lineRule="exact"/>
        <w:rPr>
          <w:rFonts w:ascii="Arial" w:cs="Arial" w:eastAsia="Arial" w:hAnsi="Arial"/>
          <w:sz w:val="14"/>
          <w:szCs w:val="14"/>
          <w:b w:val="1"/>
          <w:bCs w:val="1"/>
          <w:color w:val="FFFFFF"/>
        </w:rPr>
      </w:pPr>
    </w:p>
    <w:p>
      <w:pPr>
        <w:ind w:left="280" w:hanging="137"/>
        <w:spacing w:after="0"/>
        <w:tabs>
          <w:tab w:leader="none" w:pos="280" w:val="left"/>
        </w:tabs>
        <w:numPr>
          <w:ilvl w:val="0"/>
          <w:numId w:val="68"/>
        </w:numPr>
        <w:rPr>
          <w:rFonts w:ascii="Arial" w:cs="Arial" w:eastAsia="Arial" w:hAnsi="Arial"/>
          <w:sz w:val="13"/>
          <w:szCs w:val="13"/>
          <w:b w:val="1"/>
          <w:bCs w:val="1"/>
          <w:color w:val="FFFFFF"/>
        </w:rPr>
      </w:pPr>
      <w:r>
        <w:rPr>
          <w:rFonts w:ascii="Arial" w:cs="Arial" w:eastAsia="Arial" w:hAnsi="Arial"/>
          <w:sz w:val="13"/>
          <w:szCs w:val="13"/>
          <w:b w:val="1"/>
          <w:bCs w:val="1"/>
          <w:color w:val="FFFFFF"/>
        </w:rPr>
        <w:t xml:space="preserve">   Compensation Considerations    </w:t>
      </w:r>
    </w:p>
    <w:p>
      <w:pPr>
        <w:spacing w:after="0" w:line="353"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color w:val="333333"/>
        </w:rPr>
        <w:t>The Committee has determined not to apply any multiplier in the Resilience Scorecard to executive compensation in 2025, nor did it make any adjustments to executive compensation based on the Scorecard.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4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CATEGORY</w:t>
            </w:r>
          </w:p>
        </w:tc>
        <w:tc>
          <w:tcPr>
            <w:tcW w:w="9080" w:type="dxa"/>
            <w:vAlign w:val="bottom"/>
            <w:tcBorders>
              <w:bottom w:val="single" w:sz="8" w:color="0086CC"/>
            </w:tcBorders>
          </w:tcPr>
          <w:p>
            <w:pPr>
              <w:ind w:left="700"/>
              <w:spacing w:after="0"/>
              <w:rPr>
                <w:sz w:val="20"/>
                <w:szCs w:val="20"/>
                <w:color w:val="auto"/>
              </w:rPr>
            </w:pPr>
            <w:r>
              <w:rPr>
                <w:rFonts w:ascii="Arial" w:cs="Arial" w:eastAsia="Arial" w:hAnsi="Arial"/>
                <w:sz w:val="16"/>
                <w:szCs w:val="16"/>
                <w:b w:val="1"/>
                <w:bCs w:val="1"/>
                <w:color w:val="0086CC"/>
              </w:rPr>
              <w:t>RESILIENCE ASSESSMENT CRITERIA</w:t>
            </w:r>
          </w:p>
        </w:tc>
      </w:tr>
      <w:tr>
        <w:trPr>
          <w:trHeight w:val="267"/>
        </w:trPr>
        <w:tc>
          <w:tcPr>
            <w:tcW w:w="1940" w:type="dxa"/>
            <w:vAlign w:val="bottom"/>
          </w:tcPr>
          <w:p>
            <w:pPr>
              <w:ind w:left="60"/>
              <w:spacing w:after="0"/>
              <w:rPr>
                <w:sz w:val="20"/>
                <w:szCs w:val="20"/>
                <w:color w:val="auto"/>
              </w:rPr>
            </w:pPr>
            <w:r>
              <w:rPr>
                <w:rFonts w:ascii="Arial" w:cs="Arial" w:eastAsia="Arial" w:hAnsi="Arial"/>
                <w:sz w:val="18"/>
                <w:szCs w:val="18"/>
                <w:b w:val="1"/>
                <w:bCs w:val="1"/>
                <w:color w:val="333333"/>
              </w:rPr>
              <w:t>1. Employees</w:t>
            </w:r>
          </w:p>
        </w:tc>
        <w:tc>
          <w:tcPr>
            <w:tcW w:w="9080" w:type="dxa"/>
            <w:vAlign w:val="bottom"/>
          </w:tcPr>
          <w:p>
            <w:pPr>
              <w:ind w:left="700"/>
              <w:spacing w:after="0"/>
              <w:rPr>
                <w:sz w:val="20"/>
                <w:szCs w:val="20"/>
                <w:color w:val="auto"/>
              </w:rPr>
            </w:pPr>
            <w:r>
              <w:rPr>
                <w:rFonts w:ascii="Arial" w:cs="Arial" w:eastAsia="Arial" w:hAnsi="Arial"/>
                <w:sz w:val="16"/>
                <w:szCs w:val="16"/>
                <w:color w:val="333333"/>
              </w:rPr>
              <w:t>• Act effectively to keep employees safe and productive through appropriate protocols, consistent with medical and</w:t>
            </w:r>
          </w:p>
        </w:tc>
      </w:tr>
      <w:tr>
        <w:trPr>
          <w:trHeight w:val="189"/>
        </w:trPr>
        <w:tc>
          <w:tcPr>
            <w:tcW w:w="1940" w:type="dxa"/>
            <w:vAlign w:val="bottom"/>
          </w:tcPr>
          <w:p>
            <w:pPr>
              <w:spacing w:after="0"/>
              <w:rPr>
                <w:sz w:val="16"/>
                <w:szCs w:val="16"/>
                <w:color w:val="auto"/>
              </w:rPr>
            </w:pPr>
          </w:p>
        </w:tc>
        <w:tc>
          <w:tcPr>
            <w:tcW w:w="9080" w:type="dxa"/>
            <w:vAlign w:val="bottom"/>
          </w:tcPr>
          <w:p>
            <w:pPr>
              <w:ind w:left="860"/>
              <w:spacing w:after="0"/>
              <w:rPr>
                <w:sz w:val="20"/>
                <w:szCs w:val="20"/>
                <w:color w:val="auto"/>
              </w:rPr>
            </w:pPr>
            <w:r>
              <w:rPr>
                <w:rFonts w:ascii="Arial" w:cs="Arial" w:eastAsia="Arial" w:hAnsi="Arial"/>
                <w:sz w:val="16"/>
                <w:szCs w:val="16"/>
                <w:color w:val="333333"/>
              </w:rPr>
              <w:t>occupational experts, including cleaning protocols, access to vaccinations, provision of comprehensive benefits,</w:t>
            </w:r>
          </w:p>
        </w:tc>
      </w:tr>
      <w:tr>
        <w:trPr>
          <w:trHeight w:val="215"/>
        </w:trPr>
        <w:tc>
          <w:tcPr>
            <w:tcW w:w="194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6"/>
                <w:szCs w:val="16"/>
                <w:color w:val="333333"/>
              </w:rPr>
              <w:t>education and other programs</w:t>
            </w:r>
          </w:p>
        </w:tc>
      </w:tr>
    </w:tbl>
    <w:p>
      <w:pPr>
        <w:spacing w:after="0" w:line="55" w:lineRule="exact"/>
        <w:rPr>
          <w:sz w:val="20"/>
          <w:szCs w:val="20"/>
          <w:color w:val="auto"/>
        </w:rPr>
      </w:pPr>
    </w:p>
    <w:p>
      <w:pPr>
        <w:ind w:left="2800" w:right="260" w:hanging="158"/>
        <w:spacing w:after="0" w:line="286" w:lineRule="auto"/>
        <w:tabs>
          <w:tab w:leader="none" w:pos="2800" w:val="left"/>
        </w:tabs>
        <w:numPr>
          <w:ilvl w:val="1"/>
          <w:numId w:val="69"/>
        </w:numPr>
        <w:rPr>
          <w:rFonts w:ascii="Arial" w:cs="Arial" w:eastAsia="Arial" w:hAnsi="Arial"/>
          <w:sz w:val="16"/>
          <w:szCs w:val="16"/>
          <w:color w:val="333333"/>
        </w:rPr>
      </w:pPr>
      <w:r>
        <w:rPr>
          <w:rFonts w:ascii="Arial" w:cs="Arial" w:eastAsia="Arial" w:hAnsi="Arial"/>
          <w:sz w:val="16"/>
          <w:szCs w:val="16"/>
          <w:color w:val="333333"/>
        </w:rPr>
        <w:t>Effectively and promptly communicate and manage current guidance and instructions, change and disruption to employees through communications, digital boards, direct emails, and other outreach</w:t>
      </w:r>
    </w:p>
    <w:p>
      <w:pPr>
        <w:spacing w:after="0" w:line="20" w:lineRule="exact"/>
        <w:rPr>
          <w:rFonts w:ascii="Arial" w:cs="Arial" w:eastAsia="Arial" w:hAnsi="Arial"/>
          <w:sz w:val="16"/>
          <w:szCs w:val="16"/>
          <w:color w:val="333333"/>
        </w:rPr>
      </w:pPr>
    </w:p>
    <w:p>
      <w:pPr>
        <w:ind w:left="2800" w:right="20" w:hanging="158"/>
        <w:spacing w:after="0" w:line="286" w:lineRule="auto"/>
        <w:tabs>
          <w:tab w:leader="none" w:pos="2800" w:val="left"/>
        </w:tabs>
        <w:numPr>
          <w:ilvl w:val="1"/>
          <w:numId w:val="69"/>
        </w:numPr>
        <w:rPr>
          <w:rFonts w:ascii="Arial" w:cs="Arial" w:eastAsia="Arial" w:hAnsi="Arial"/>
          <w:sz w:val="16"/>
          <w:szCs w:val="16"/>
          <w:color w:val="333333"/>
        </w:rPr>
      </w:pPr>
      <w:r>
        <w:rPr>
          <w:rFonts w:ascii="Arial" w:cs="Arial" w:eastAsia="Arial" w:hAnsi="Arial"/>
          <w:sz w:val="16"/>
          <w:szCs w:val="16"/>
          <w:color w:val="333333"/>
        </w:rPr>
        <w:t>Continuously promote the company’s exceptional retirement benefit program to strengthen our employee attraction and retention efforts</w:t>
      </w:r>
    </w:p>
    <w:p>
      <w:pPr>
        <w:spacing w:after="0" w:line="20" w:lineRule="exact"/>
        <w:rPr>
          <w:rFonts w:ascii="Arial" w:cs="Arial" w:eastAsia="Arial" w:hAnsi="Arial"/>
          <w:sz w:val="16"/>
          <w:szCs w:val="16"/>
          <w:color w:val="333333"/>
        </w:rPr>
      </w:pPr>
    </w:p>
    <w:p>
      <w:pPr>
        <w:ind w:left="2800" w:hanging="158"/>
        <w:spacing w:after="0"/>
        <w:tabs>
          <w:tab w:leader="none" w:pos="2800" w:val="left"/>
        </w:tabs>
        <w:numPr>
          <w:ilvl w:val="1"/>
          <w:numId w:val="69"/>
        </w:numPr>
        <w:rPr>
          <w:rFonts w:ascii="Arial" w:cs="Arial" w:eastAsia="Arial" w:hAnsi="Arial"/>
          <w:sz w:val="16"/>
          <w:szCs w:val="16"/>
          <w:color w:val="333333"/>
        </w:rPr>
      </w:pPr>
      <w:r>
        <w:rPr>
          <w:rFonts w:ascii="Arial" w:cs="Arial" w:eastAsia="Arial" w:hAnsi="Arial"/>
          <w:sz w:val="16"/>
          <w:szCs w:val="16"/>
          <w:color w:val="333333"/>
        </w:rPr>
        <w:t>Offer opportunities for continued employee growth, development, and engagement</w:t>
      </w:r>
    </w:p>
    <w:p>
      <w:pPr>
        <w:spacing w:after="0" w:line="86" w:lineRule="exact"/>
        <w:rPr>
          <w:rFonts w:ascii="Arial" w:cs="Arial" w:eastAsia="Arial" w:hAnsi="Arial"/>
          <w:sz w:val="16"/>
          <w:szCs w:val="16"/>
          <w:color w:val="333333"/>
        </w:rPr>
      </w:pPr>
    </w:p>
    <w:p>
      <w:pPr>
        <w:ind w:left="2800" w:right="380" w:hanging="158"/>
        <w:spacing w:after="0" w:line="286" w:lineRule="auto"/>
        <w:tabs>
          <w:tab w:leader="none" w:pos="2800" w:val="left"/>
        </w:tabs>
        <w:numPr>
          <w:ilvl w:val="1"/>
          <w:numId w:val="69"/>
        </w:numPr>
        <w:rPr>
          <w:rFonts w:ascii="Arial" w:cs="Arial" w:eastAsia="Arial" w:hAnsi="Arial"/>
          <w:sz w:val="16"/>
          <w:szCs w:val="16"/>
          <w:color w:val="333333"/>
        </w:rPr>
      </w:pPr>
      <w:r>
        <w:rPr>
          <w:rFonts w:ascii="Arial" w:cs="Arial" w:eastAsia="Arial" w:hAnsi="Arial"/>
          <w:sz w:val="16"/>
          <w:szCs w:val="16"/>
          <w:color w:val="333333"/>
        </w:rPr>
        <w:t>Execute successful integrations of acquisitions while successfully completing divestitures of non-core cement, downstream and other businesses</w:t>
      </w:r>
    </w:p>
    <w:p>
      <w:pPr>
        <w:spacing w:after="0" w:line="20" w:lineRule="exact"/>
        <w:rPr>
          <w:rFonts w:ascii="Arial" w:cs="Arial" w:eastAsia="Arial" w:hAnsi="Arial"/>
          <w:sz w:val="16"/>
          <w:szCs w:val="16"/>
          <w:color w:val="333333"/>
        </w:rPr>
      </w:pPr>
    </w:p>
    <w:p>
      <w:pPr>
        <w:ind w:left="2800" w:right="20" w:hanging="158"/>
        <w:spacing w:after="0" w:line="286" w:lineRule="auto"/>
        <w:tabs>
          <w:tab w:leader="none" w:pos="2800" w:val="left"/>
        </w:tabs>
        <w:numPr>
          <w:ilvl w:val="1"/>
          <w:numId w:val="69"/>
        </w:numPr>
        <w:rPr>
          <w:rFonts w:ascii="Arial" w:cs="Arial" w:eastAsia="Arial" w:hAnsi="Arial"/>
          <w:sz w:val="16"/>
          <w:szCs w:val="16"/>
          <w:color w:val="333333"/>
        </w:rPr>
      </w:pPr>
      <w:r>
        <w:rPr>
          <w:rFonts w:ascii="Arial" w:cs="Arial" w:eastAsia="Arial" w:hAnsi="Arial"/>
          <w:sz w:val="16"/>
          <w:szCs w:val="16"/>
          <w:color w:val="333333"/>
        </w:rPr>
        <w:t>Maintain successful succession and workforce planning efforts and employee attraction and retention results in the face of a significantly challenging employment environment</w:t>
      </w:r>
    </w:p>
    <w:p>
      <w:pPr>
        <w:spacing w:after="0" w:line="150" w:lineRule="exact"/>
        <w:rPr>
          <w:rFonts w:ascii="Arial" w:cs="Arial" w:eastAsia="Arial" w:hAnsi="Arial"/>
          <w:sz w:val="16"/>
          <w:szCs w:val="16"/>
          <w:color w:val="333333"/>
        </w:rPr>
      </w:pPr>
    </w:p>
    <w:p>
      <w:pPr>
        <w:ind w:left="260" w:hanging="192"/>
        <w:spacing w:after="0"/>
        <w:tabs>
          <w:tab w:leader="none" w:pos="260" w:val="left"/>
        </w:tabs>
        <w:numPr>
          <w:ilvl w:val="0"/>
          <w:numId w:val="69"/>
        </w:numPr>
        <w:rPr>
          <w:rFonts w:ascii="Arial" w:cs="Arial" w:eastAsia="Arial" w:hAnsi="Arial"/>
          <w:sz w:val="18"/>
          <w:szCs w:val="18"/>
          <w:b w:val="1"/>
          <w:bCs w:val="1"/>
          <w:color w:val="333333"/>
        </w:rPr>
      </w:pPr>
      <w:r>
        <w:rPr>
          <w:rFonts w:ascii="Arial" w:cs="Arial" w:eastAsia="Arial" w:hAnsi="Arial"/>
          <w:sz w:val="18"/>
          <w:szCs w:val="18"/>
          <w:b w:val="1"/>
          <w:bCs w:val="1"/>
          <w:color w:val="333333"/>
        </w:rPr>
        <w:t xml:space="preserve">Operations &amp; Commercial  </w:t>
      </w:r>
      <w:r>
        <w:rPr>
          <w:rFonts w:ascii="Arial" w:cs="Arial" w:eastAsia="Arial" w:hAnsi="Arial"/>
          <w:sz w:val="16"/>
          <w:szCs w:val="16"/>
          <w:color w:val="333333"/>
        </w:rPr>
        <w:t>• Respond proactively to challenges in the supply chain environment (including those related to extraordinary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6995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60"/>
        <w:spacing w:after="0" w:line="233" w:lineRule="auto"/>
        <w:tabs>
          <w:tab w:leader="none" w:pos="2780" w:val="left"/>
        </w:tabs>
        <w:rPr>
          <w:sz w:val="20"/>
          <w:szCs w:val="20"/>
          <w:color w:val="auto"/>
        </w:rPr>
      </w:pPr>
      <w:r>
        <w:rPr>
          <w:rFonts w:ascii="Arial" w:cs="Arial" w:eastAsia="Arial" w:hAnsi="Arial"/>
          <w:sz w:val="18"/>
          <w:szCs w:val="18"/>
          <w:b w:val="1"/>
          <w:bCs w:val="1"/>
          <w:color w:val="333333"/>
        </w:rPr>
        <w:t>Excellence</w:t>
      </w:r>
      <w:r>
        <w:rPr>
          <w:sz w:val="20"/>
          <w:szCs w:val="20"/>
          <w:color w:val="auto"/>
        </w:rPr>
        <w:tab/>
      </w:r>
      <w:r>
        <w:rPr>
          <w:rFonts w:ascii="Arial" w:cs="Arial" w:eastAsia="Arial" w:hAnsi="Arial"/>
          <w:sz w:val="16"/>
          <w:szCs w:val="16"/>
          <w:color w:val="333333"/>
        </w:rPr>
        <w:t>weather, logistics challenges, economic pressures, and other factors)</w:t>
      </w:r>
    </w:p>
    <w:p>
      <w:pPr>
        <w:spacing w:after="0" w:line="56" w:lineRule="exact"/>
        <w:rPr>
          <w:sz w:val="20"/>
          <w:szCs w:val="20"/>
          <w:color w:val="auto"/>
        </w:rPr>
      </w:pPr>
    </w:p>
    <w:p>
      <w:pPr>
        <w:ind w:left="2800" w:right="200" w:hanging="158"/>
        <w:spacing w:after="0" w:line="286" w:lineRule="auto"/>
        <w:tabs>
          <w:tab w:leader="none" w:pos="2800" w:val="left"/>
        </w:tabs>
        <w:numPr>
          <w:ilvl w:val="0"/>
          <w:numId w:val="70"/>
        </w:numPr>
        <w:rPr>
          <w:rFonts w:ascii="Arial" w:cs="Arial" w:eastAsia="Arial" w:hAnsi="Arial"/>
          <w:sz w:val="16"/>
          <w:szCs w:val="16"/>
          <w:color w:val="333333"/>
        </w:rPr>
      </w:pPr>
      <w:r>
        <w:rPr>
          <w:rFonts w:ascii="Arial" w:cs="Arial" w:eastAsia="Arial" w:hAnsi="Arial"/>
          <w:sz w:val="16"/>
          <w:szCs w:val="16"/>
          <w:color w:val="333333"/>
        </w:rPr>
        <w:t>Effectively manage through a continuing inflationary environment through a product pricing strategy that ensures that the value for our products is properly captured while seeking to reduce the supply chain inflationary impact</w:t>
      </w:r>
    </w:p>
    <w:p>
      <w:pPr>
        <w:spacing w:after="0" w:line="20" w:lineRule="exact"/>
        <w:rPr>
          <w:rFonts w:ascii="Arial" w:cs="Arial" w:eastAsia="Arial" w:hAnsi="Arial"/>
          <w:sz w:val="16"/>
          <w:szCs w:val="16"/>
          <w:color w:val="333333"/>
        </w:rPr>
      </w:pPr>
    </w:p>
    <w:p>
      <w:pPr>
        <w:ind w:left="2800" w:hanging="158"/>
        <w:spacing w:after="0"/>
        <w:tabs>
          <w:tab w:leader="none" w:pos="2800" w:val="left"/>
        </w:tabs>
        <w:numPr>
          <w:ilvl w:val="0"/>
          <w:numId w:val="70"/>
        </w:numPr>
        <w:rPr>
          <w:rFonts w:ascii="Arial" w:cs="Arial" w:eastAsia="Arial" w:hAnsi="Arial"/>
          <w:sz w:val="16"/>
          <w:szCs w:val="16"/>
          <w:color w:val="333333"/>
        </w:rPr>
      </w:pPr>
      <w:r>
        <w:rPr>
          <w:rFonts w:ascii="Arial" w:cs="Arial" w:eastAsia="Arial" w:hAnsi="Arial"/>
          <w:sz w:val="16"/>
          <w:szCs w:val="16"/>
          <w:color w:val="333333"/>
        </w:rPr>
        <w:t>Take steps to appropriately manage fixed and variable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p>
      <w:pPr>
        <w:ind w:left="60"/>
        <w:spacing w:after="0"/>
        <w:tabs>
          <w:tab w:leader="none" w:pos="2620" w:val="left"/>
        </w:tabs>
        <w:rPr>
          <w:sz w:val="20"/>
          <w:szCs w:val="20"/>
          <w:color w:val="auto"/>
        </w:rPr>
      </w:pPr>
      <w:r>
        <w:rPr>
          <w:rFonts w:ascii="Arial" w:cs="Arial" w:eastAsia="Arial" w:hAnsi="Arial"/>
          <w:sz w:val="18"/>
          <w:szCs w:val="18"/>
          <w:b w:val="1"/>
          <w:bCs w:val="1"/>
          <w:color w:val="333333"/>
        </w:rPr>
        <w:t>3. Financial</w:t>
      </w:r>
      <w:r>
        <w:rPr>
          <w:sz w:val="20"/>
          <w:szCs w:val="20"/>
          <w:color w:val="auto"/>
        </w:rPr>
        <w:tab/>
      </w:r>
      <w:r>
        <w:rPr>
          <w:rFonts w:ascii="Arial" w:cs="Arial" w:eastAsia="Arial" w:hAnsi="Arial"/>
          <w:sz w:val="16"/>
          <w:szCs w:val="16"/>
          <w:color w:val="333333"/>
        </w:rPr>
        <w:t>• Optimize revenues and cash management/liquidity without jeopardizing the future</w:t>
      </w:r>
    </w:p>
    <w:p>
      <w:pPr>
        <w:spacing w:after="0" w:line="68" w:lineRule="exact"/>
        <w:rPr>
          <w:sz w:val="20"/>
          <w:szCs w:val="20"/>
          <w:color w:val="auto"/>
        </w:rPr>
      </w:pPr>
    </w:p>
    <w:p>
      <w:pPr>
        <w:ind w:left="2800" w:right="160" w:hanging="158"/>
        <w:spacing w:after="0" w:line="286" w:lineRule="auto"/>
        <w:tabs>
          <w:tab w:leader="none" w:pos="2800" w:val="left"/>
        </w:tabs>
        <w:numPr>
          <w:ilvl w:val="1"/>
          <w:numId w:val="71"/>
        </w:numPr>
        <w:rPr>
          <w:rFonts w:ascii="Arial" w:cs="Arial" w:eastAsia="Arial" w:hAnsi="Arial"/>
          <w:sz w:val="16"/>
          <w:szCs w:val="16"/>
          <w:color w:val="333333"/>
        </w:rPr>
      </w:pPr>
      <w:r>
        <w:rPr>
          <w:rFonts w:ascii="Arial" w:cs="Arial" w:eastAsia="Arial" w:hAnsi="Arial"/>
          <w:sz w:val="16"/>
          <w:szCs w:val="16"/>
          <w:color w:val="333333"/>
        </w:rPr>
        <w:t>Protect the balance sheet and allocate capital responsibly, including with regard to internal projects, transactions, dividends, debt and share repurchases</w:t>
      </w:r>
    </w:p>
    <w:p>
      <w:pPr>
        <w:spacing w:after="0" w:line="150" w:lineRule="exact"/>
        <w:rPr>
          <w:rFonts w:ascii="Arial" w:cs="Arial" w:eastAsia="Arial" w:hAnsi="Arial"/>
          <w:sz w:val="16"/>
          <w:szCs w:val="16"/>
          <w:color w:val="333333"/>
        </w:rPr>
      </w:pPr>
    </w:p>
    <w:p>
      <w:pPr>
        <w:ind w:left="260" w:hanging="192"/>
        <w:spacing w:after="0"/>
        <w:tabs>
          <w:tab w:leader="none" w:pos="260" w:val="left"/>
        </w:tabs>
        <w:numPr>
          <w:ilvl w:val="0"/>
          <w:numId w:val="71"/>
        </w:numPr>
        <w:rPr>
          <w:rFonts w:ascii="Arial" w:cs="Arial" w:eastAsia="Arial" w:hAnsi="Arial"/>
          <w:sz w:val="18"/>
          <w:szCs w:val="18"/>
          <w:b w:val="1"/>
          <w:bCs w:val="1"/>
          <w:color w:val="333333"/>
        </w:rPr>
      </w:pPr>
      <w:r>
        <w:rPr>
          <w:rFonts w:ascii="Arial" w:cs="Arial" w:eastAsia="Arial" w:hAnsi="Arial"/>
          <w:sz w:val="18"/>
          <w:szCs w:val="18"/>
          <w:b w:val="1"/>
          <w:bCs w:val="1"/>
          <w:color w:val="333333"/>
        </w:rPr>
        <w:t>Customers/Suppliers</w:t>
      </w:r>
      <w:r>
        <w:rPr>
          <w:rFonts w:ascii="Arial" w:cs="Arial" w:eastAsia="Arial" w:hAnsi="Arial"/>
          <w:sz w:val="16"/>
          <w:szCs w:val="16"/>
          <w:color w:val="333333"/>
        </w:rPr>
        <w:t>• Ensure on-time delivery of projects</w:t>
      </w:r>
    </w:p>
    <w:p>
      <w:pPr>
        <w:spacing w:after="0" w:line="67" w:lineRule="exact"/>
        <w:rPr>
          <w:rFonts w:ascii="Arial" w:cs="Arial" w:eastAsia="Arial" w:hAnsi="Arial"/>
          <w:sz w:val="18"/>
          <w:szCs w:val="18"/>
          <w:b w:val="1"/>
          <w:bCs w:val="1"/>
          <w:color w:val="333333"/>
        </w:rPr>
      </w:pPr>
    </w:p>
    <w:p>
      <w:pPr>
        <w:ind w:left="2800" w:hanging="158"/>
        <w:spacing w:after="0"/>
        <w:tabs>
          <w:tab w:leader="none" w:pos="2800" w:val="left"/>
        </w:tabs>
        <w:numPr>
          <w:ilvl w:val="1"/>
          <w:numId w:val="71"/>
        </w:numPr>
        <w:rPr>
          <w:rFonts w:ascii="Arial" w:cs="Arial" w:eastAsia="Arial" w:hAnsi="Arial"/>
          <w:sz w:val="16"/>
          <w:szCs w:val="16"/>
          <w:color w:val="333333"/>
        </w:rPr>
      </w:pPr>
      <w:r>
        <w:rPr>
          <w:rFonts w:ascii="Arial" w:cs="Arial" w:eastAsia="Arial" w:hAnsi="Arial"/>
          <w:sz w:val="16"/>
          <w:szCs w:val="16"/>
          <w:color w:val="333333"/>
        </w:rPr>
        <w:t>Effectively manage inventory to satisfy customer needs</w:t>
      </w:r>
    </w:p>
    <w:p>
      <w:pPr>
        <w:spacing w:after="0" w:line="86" w:lineRule="exact"/>
        <w:rPr>
          <w:rFonts w:ascii="Arial" w:cs="Arial" w:eastAsia="Arial" w:hAnsi="Arial"/>
          <w:sz w:val="16"/>
          <w:szCs w:val="16"/>
          <w:color w:val="333333"/>
        </w:rPr>
      </w:pPr>
    </w:p>
    <w:p>
      <w:pPr>
        <w:ind w:left="2800" w:hanging="158"/>
        <w:spacing w:after="0"/>
        <w:tabs>
          <w:tab w:leader="none" w:pos="2800" w:val="left"/>
        </w:tabs>
        <w:numPr>
          <w:ilvl w:val="1"/>
          <w:numId w:val="71"/>
        </w:numPr>
        <w:rPr>
          <w:rFonts w:ascii="Arial" w:cs="Arial" w:eastAsia="Arial" w:hAnsi="Arial"/>
          <w:sz w:val="16"/>
          <w:szCs w:val="16"/>
          <w:color w:val="333333"/>
        </w:rPr>
      </w:pPr>
      <w:r>
        <w:rPr>
          <w:rFonts w:ascii="Arial" w:cs="Arial" w:eastAsia="Arial" w:hAnsi="Arial"/>
          <w:sz w:val="16"/>
          <w:szCs w:val="16"/>
          <w:color w:val="333333"/>
        </w:rPr>
        <w:t>Communicate operating status and preventative measures being taken during extraordinary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-518795</wp:posOffset>
            </wp:positionV>
            <wp:extent cx="6995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6" w:lineRule="exact"/>
        <w:rPr>
          <w:sz w:val="20"/>
          <w:szCs w:val="20"/>
          <w:color w:val="auto"/>
        </w:rPr>
      </w:pPr>
    </w:p>
    <w:p>
      <w:pPr>
        <w:ind w:left="60"/>
        <w:spacing w:after="0"/>
        <w:tabs>
          <w:tab w:leader="none" w:pos="2620" w:val="left"/>
        </w:tabs>
        <w:rPr>
          <w:sz w:val="20"/>
          <w:szCs w:val="20"/>
          <w:color w:val="auto"/>
        </w:rPr>
      </w:pPr>
      <w:r>
        <w:rPr>
          <w:rFonts w:ascii="Arial" w:cs="Arial" w:eastAsia="Arial" w:hAnsi="Arial"/>
          <w:sz w:val="18"/>
          <w:szCs w:val="18"/>
          <w:b w:val="1"/>
          <w:bCs w:val="1"/>
          <w:color w:val="333333"/>
        </w:rPr>
        <w:t>5. Strategy</w:t>
      </w:r>
      <w:r>
        <w:rPr>
          <w:sz w:val="20"/>
          <w:szCs w:val="20"/>
          <w:color w:val="auto"/>
        </w:rPr>
        <w:tab/>
      </w:r>
      <w:r>
        <w:rPr>
          <w:rFonts w:ascii="Arial" w:cs="Arial" w:eastAsia="Arial" w:hAnsi="Arial"/>
          <w:sz w:val="16"/>
          <w:szCs w:val="16"/>
          <w:color w:val="333333"/>
        </w:rPr>
        <w:t>• Successful execution of M&amp;A actions and SOAR</w:t>
      </w:r>
    </w:p>
    <w:p>
      <w:pPr>
        <w:spacing w:after="0" w:line="68" w:lineRule="exact"/>
        <w:rPr>
          <w:sz w:val="20"/>
          <w:szCs w:val="20"/>
          <w:color w:val="auto"/>
        </w:rPr>
      </w:pPr>
    </w:p>
    <w:p>
      <w:pPr>
        <w:ind w:left="2800" w:hanging="158"/>
        <w:spacing w:after="0"/>
        <w:tabs>
          <w:tab w:leader="none" w:pos="2800" w:val="left"/>
        </w:tabs>
        <w:numPr>
          <w:ilvl w:val="0"/>
          <w:numId w:val="72"/>
        </w:numPr>
        <w:rPr>
          <w:rFonts w:ascii="Arial" w:cs="Arial" w:eastAsia="Arial" w:hAnsi="Arial"/>
          <w:sz w:val="16"/>
          <w:szCs w:val="16"/>
          <w:color w:val="333333"/>
        </w:rPr>
      </w:pPr>
      <w:r>
        <w:rPr>
          <w:rFonts w:ascii="Arial" w:cs="Arial" w:eastAsia="Arial" w:hAnsi="Arial"/>
          <w:sz w:val="16"/>
          <w:szCs w:val="16"/>
          <w:color w:val="333333"/>
        </w:rPr>
        <w:t>Maintaining Company long-term vision and strategic direction</w:t>
      </w:r>
    </w:p>
    <w:p>
      <w:pPr>
        <w:spacing w:after="0" w:line="86" w:lineRule="exact"/>
        <w:rPr>
          <w:rFonts w:ascii="Arial" w:cs="Arial" w:eastAsia="Arial" w:hAnsi="Arial"/>
          <w:sz w:val="16"/>
          <w:szCs w:val="16"/>
          <w:color w:val="333333"/>
        </w:rPr>
      </w:pPr>
    </w:p>
    <w:p>
      <w:pPr>
        <w:ind w:left="2800" w:hanging="158"/>
        <w:spacing w:after="0"/>
        <w:tabs>
          <w:tab w:leader="none" w:pos="2800" w:val="left"/>
        </w:tabs>
        <w:numPr>
          <w:ilvl w:val="0"/>
          <w:numId w:val="72"/>
        </w:numPr>
        <w:rPr>
          <w:rFonts w:ascii="Arial" w:cs="Arial" w:eastAsia="Arial" w:hAnsi="Arial"/>
          <w:sz w:val="16"/>
          <w:szCs w:val="16"/>
          <w:color w:val="333333"/>
        </w:rPr>
      </w:pPr>
      <w:r>
        <w:rPr>
          <w:rFonts w:ascii="Arial" w:cs="Arial" w:eastAsia="Arial" w:hAnsi="Arial"/>
          <w:sz w:val="16"/>
          <w:szCs w:val="16"/>
          <w:color w:val="333333"/>
        </w:rPr>
        <w:t>Actions taken to ensure continuation and execution of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p>
      <w:pPr>
        <w:ind w:left="60"/>
        <w:spacing w:after="0"/>
        <w:tabs>
          <w:tab w:leader="none" w:pos="2620" w:val="left"/>
        </w:tabs>
        <w:rPr>
          <w:sz w:val="20"/>
          <w:szCs w:val="20"/>
          <w:color w:val="auto"/>
        </w:rPr>
      </w:pPr>
      <w:r>
        <w:rPr>
          <w:rFonts w:ascii="Arial" w:cs="Arial" w:eastAsia="Arial" w:hAnsi="Arial"/>
          <w:sz w:val="18"/>
          <w:szCs w:val="18"/>
          <w:b w:val="1"/>
          <w:bCs w:val="1"/>
          <w:color w:val="333333"/>
        </w:rPr>
        <w:t>6. Stakeholder Engagement</w:t>
      </w:r>
      <w:r>
        <w:rPr>
          <w:sz w:val="20"/>
          <w:szCs w:val="20"/>
          <w:color w:val="auto"/>
        </w:rPr>
        <w:tab/>
      </w:r>
      <w:r>
        <w:rPr>
          <w:rFonts w:ascii="Arial" w:cs="Arial" w:eastAsia="Arial" w:hAnsi="Arial"/>
          <w:sz w:val="16"/>
          <w:szCs w:val="16"/>
          <w:color w:val="333333"/>
        </w:rPr>
        <w:t>• Leadership effectiveness</w:t>
      </w:r>
    </w:p>
    <w:p>
      <w:pPr>
        <w:spacing w:after="0" w:line="68" w:lineRule="exact"/>
        <w:rPr>
          <w:sz w:val="20"/>
          <w:szCs w:val="20"/>
          <w:color w:val="auto"/>
        </w:rPr>
      </w:pPr>
    </w:p>
    <w:p>
      <w:pPr>
        <w:ind w:left="2800" w:right="240" w:hanging="158"/>
        <w:spacing w:after="0" w:line="286" w:lineRule="auto"/>
        <w:tabs>
          <w:tab w:leader="none" w:pos="2800" w:val="left"/>
        </w:tabs>
        <w:numPr>
          <w:ilvl w:val="0"/>
          <w:numId w:val="73"/>
        </w:numPr>
        <w:rPr>
          <w:rFonts w:ascii="Arial" w:cs="Arial" w:eastAsia="Arial" w:hAnsi="Arial"/>
          <w:sz w:val="16"/>
          <w:szCs w:val="16"/>
          <w:color w:val="333333"/>
        </w:rPr>
      </w:pPr>
      <w:r>
        <w:rPr>
          <w:rFonts w:ascii="Arial" w:cs="Arial" w:eastAsia="Arial" w:hAnsi="Arial"/>
          <w:sz w:val="16"/>
          <w:szCs w:val="16"/>
          <w:color w:val="333333"/>
        </w:rPr>
        <w:t>Frequently communicating and engaging with the Board to keep them well-informed and ensuring questions are answered</w:t>
      </w:r>
    </w:p>
    <w:p>
      <w:pPr>
        <w:spacing w:after="0" w:line="20" w:lineRule="exact"/>
        <w:rPr>
          <w:rFonts w:ascii="Arial" w:cs="Arial" w:eastAsia="Arial" w:hAnsi="Arial"/>
          <w:sz w:val="16"/>
          <w:szCs w:val="16"/>
          <w:color w:val="333333"/>
        </w:rPr>
      </w:pPr>
    </w:p>
    <w:p>
      <w:pPr>
        <w:ind w:left="2800" w:right="100" w:hanging="158"/>
        <w:spacing w:after="0" w:line="286" w:lineRule="auto"/>
        <w:tabs>
          <w:tab w:leader="none" w:pos="2800" w:val="left"/>
        </w:tabs>
        <w:numPr>
          <w:ilvl w:val="0"/>
          <w:numId w:val="73"/>
        </w:numPr>
        <w:rPr>
          <w:rFonts w:ascii="Arial" w:cs="Arial" w:eastAsia="Arial" w:hAnsi="Arial"/>
          <w:sz w:val="16"/>
          <w:szCs w:val="16"/>
          <w:color w:val="333333"/>
        </w:rPr>
      </w:pPr>
      <w:r>
        <w:rPr>
          <w:rFonts w:ascii="Arial" w:cs="Arial" w:eastAsia="Arial" w:hAnsi="Arial"/>
          <w:sz w:val="16"/>
          <w:szCs w:val="16"/>
          <w:color w:val="333333"/>
        </w:rPr>
        <w:t>Ensuring open dialogue and transparency with shareholders, analysts, potential investors and other stakeholders, including proactively responding to any shareholder proposals and other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6995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1" w:lineRule="exact"/>
        <w:rPr>
          <w:sz w:val="20"/>
          <w:szCs w:val="20"/>
          <w:color w:val="auto"/>
        </w:rPr>
      </w:pPr>
    </w:p>
    <w:p>
      <w:pPr>
        <w:ind w:left="60"/>
        <w:spacing w:after="0"/>
        <w:tabs>
          <w:tab w:leader="none" w:pos="2620" w:val="left"/>
        </w:tabs>
        <w:rPr>
          <w:sz w:val="20"/>
          <w:szCs w:val="20"/>
          <w:color w:val="auto"/>
        </w:rPr>
      </w:pPr>
      <w:r>
        <w:rPr>
          <w:rFonts w:ascii="Arial" w:cs="Arial" w:eastAsia="Arial" w:hAnsi="Arial"/>
          <w:sz w:val="18"/>
          <w:szCs w:val="18"/>
          <w:b w:val="1"/>
          <w:bCs w:val="1"/>
          <w:color w:val="333333"/>
        </w:rPr>
        <w:t>7. Sustainability</w:t>
      </w:r>
      <w:r>
        <w:rPr>
          <w:sz w:val="20"/>
          <w:szCs w:val="20"/>
          <w:color w:val="auto"/>
        </w:rPr>
        <w:tab/>
      </w:r>
      <w:r>
        <w:rPr>
          <w:rFonts w:ascii="Arial" w:cs="Arial" w:eastAsia="Arial" w:hAnsi="Arial"/>
          <w:sz w:val="16"/>
          <w:szCs w:val="16"/>
          <w:color w:val="333333"/>
        </w:rPr>
        <w:t>• Community outreach efforts (disaster preparedness support, corporate giving, community engagement)</w:t>
      </w:r>
    </w:p>
    <w:p>
      <w:pPr>
        <w:spacing w:after="0" w:line="68" w:lineRule="exact"/>
        <w:rPr>
          <w:sz w:val="20"/>
          <w:szCs w:val="20"/>
          <w:color w:val="auto"/>
        </w:rPr>
      </w:pPr>
    </w:p>
    <w:p>
      <w:pPr>
        <w:ind w:left="2800" w:hanging="158"/>
        <w:spacing w:after="0"/>
        <w:tabs>
          <w:tab w:leader="none" w:pos="2800" w:val="left"/>
        </w:tabs>
        <w:numPr>
          <w:ilvl w:val="0"/>
          <w:numId w:val="74"/>
        </w:numPr>
        <w:rPr>
          <w:rFonts w:ascii="Arial" w:cs="Arial" w:eastAsia="Arial" w:hAnsi="Arial"/>
          <w:sz w:val="16"/>
          <w:szCs w:val="16"/>
          <w:color w:val="333333"/>
        </w:rPr>
      </w:pPr>
      <w:r>
        <w:rPr>
          <w:rFonts w:ascii="Arial" w:cs="Arial" w:eastAsia="Arial" w:hAnsi="Arial"/>
          <w:sz w:val="16"/>
          <w:szCs w:val="16"/>
          <w:color w:val="333333"/>
        </w:rPr>
        <w:t>Focus on safety, as well as health of employees, customers and visitors</w:t>
      </w:r>
    </w:p>
    <w:p>
      <w:pPr>
        <w:spacing w:after="0" w:line="86" w:lineRule="exact"/>
        <w:rPr>
          <w:rFonts w:ascii="Arial" w:cs="Arial" w:eastAsia="Arial" w:hAnsi="Arial"/>
          <w:sz w:val="16"/>
          <w:szCs w:val="16"/>
          <w:color w:val="333333"/>
        </w:rPr>
      </w:pPr>
    </w:p>
    <w:p>
      <w:pPr>
        <w:ind w:left="2800" w:hanging="158"/>
        <w:spacing w:after="0"/>
        <w:tabs>
          <w:tab w:leader="none" w:pos="2800" w:val="left"/>
        </w:tabs>
        <w:numPr>
          <w:ilvl w:val="0"/>
          <w:numId w:val="74"/>
        </w:numPr>
        <w:rPr>
          <w:rFonts w:ascii="Arial" w:cs="Arial" w:eastAsia="Arial" w:hAnsi="Arial"/>
          <w:sz w:val="16"/>
          <w:szCs w:val="16"/>
          <w:color w:val="333333"/>
        </w:rPr>
      </w:pPr>
      <w:r>
        <w:rPr>
          <w:rFonts w:ascii="Arial" w:cs="Arial" w:eastAsia="Arial" w:hAnsi="Arial"/>
          <w:sz w:val="16"/>
          <w:szCs w:val="16"/>
          <w:color w:val="333333"/>
        </w:rPr>
        <w:t>Environmental compliance and enhanced disclosure and responsiveness regarding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1800" w:type="dxa"/>
            <w:vAlign w:val="bottom"/>
          </w:tcPr>
          <w:p>
            <w:pPr>
              <w:spacing w:after="0"/>
              <w:rPr>
                <w:sz w:val="20"/>
                <w:szCs w:val="20"/>
                <w:color w:val="auto"/>
              </w:rPr>
            </w:pPr>
            <w:r>
              <w:rPr>
                <w:rFonts w:ascii="Arial" w:cs="Arial" w:eastAsia="Arial" w:hAnsi="Arial"/>
                <w:sz w:val="18"/>
                <w:szCs w:val="18"/>
                <w:b w:val="1"/>
                <w:bCs w:val="1"/>
                <w:color w:val="333333"/>
              </w:rPr>
              <w:t>Overall</w:t>
            </w:r>
          </w:p>
        </w:tc>
        <w:tc>
          <w:tcPr>
            <w:tcW w:w="9160" w:type="dxa"/>
            <w:vAlign w:val="bottom"/>
          </w:tcPr>
          <w:p>
            <w:pPr>
              <w:ind w:left="780"/>
              <w:spacing w:after="0"/>
              <w:rPr>
                <w:sz w:val="20"/>
                <w:szCs w:val="20"/>
                <w:color w:val="auto"/>
              </w:rPr>
            </w:pPr>
            <w:r>
              <w:rPr>
                <w:rFonts w:ascii="Arial" w:cs="Arial" w:eastAsia="Arial" w:hAnsi="Arial"/>
                <w:sz w:val="16"/>
                <w:szCs w:val="16"/>
                <w:color w:val="333333"/>
              </w:rPr>
              <w:t>• Holistic Assessment of the Above Criteria Resulting in Multiplier in Range of 0.75x - 1.25x</w:t>
            </w:r>
          </w:p>
        </w:tc>
      </w:tr>
      <w:tr>
        <w:trPr>
          <w:trHeight w:val="83"/>
        </w:trPr>
        <w:tc>
          <w:tcPr>
            <w:tcW w:w="6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9160" w:type="dxa"/>
            <w:vAlign w:val="bottom"/>
            <w:tcBorders>
              <w:bottom w:val="single" w:sz="8" w:color="auto"/>
            </w:tcBorders>
          </w:tcPr>
          <w:p>
            <w:pPr>
              <w:spacing w:after="0"/>
              <w:rPr>
                <w:sz w:val="7"/>
                <w:szCs w:val="7"/>
                <w:color w:val="auto"/>
              </w:rPr>
            </w:pPr>
          </w:p>
        </w:tc>
      </w:tr>
      <w:tr>
        <w:trPr>
          <w:trHeight w:val="560"/>
        </w:trPr>
        <w:tc>
          <w:tcPr>
            <w:tcW w:w="60" w:type="dxa"/>
            <w:vAlign w:val="bottom"/>
          </w:tcPr>
          <w:p>
            <w:pPr>
              <w:spacing w:after="0"/>
              <w:rPr>
                <w:sz w:val="20"/>
                <w:szCs w:val="20"/>
                <w:color w:val="auto"/>
              </w:rPr>
            </w:pPr>
            <w:r>
              <w:rPr>
                <w:rFonts w:ascii="Arial" w:cs="Arial" w:eastAsia="Arial" w:hAnsi="Arial"/>
                <w:sz w:val="5"/>
                <w:szCs w:val="5"/>
                <w:color w:val="333333"/>
                <w:w w:val="79"/>
              </w:rPr>
              <w:t> </w:t>
            </w:r>
          </w:p>
        </w:tc>
        <w:tc>
          <w:tcPr>
            <w:tcW w:w="180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23"/>
        </w:trPr>
        <w:tc>
          <w:tcPr>
            <w:tcW w:w="60" w:type="dxa"/>
            <w:vAlign w:val="bottom"/>
          </w:tcPr>
          <w:p>
            <w:pPr>
              <w:spacing w:after="0"/>
              <w:rPr>
                <w:sz w:val="20"/>
                <w:szCs w:val="20"/>
                <w:color w:val="auto"/>
              </w:rPr>
            </w:pPr>
            <w:r>
              <w:rPr>
                <w:rFonts w:ascii="Arial" w:cs="Arial" w:eastAsia="Arial" w:hAnsi="Arial"/>
                <w:sz w:val="5"/>
                <w:szCs w:val="5"/>
                <w:color w:val="333333"/>
                <w:w w:val="79"/>
              </w:rPr>
              <w:t> </w:t>
            </w:r>
          </w:p>
        </w:tc>
        <w:tc>
          <w:tcPr>
            <w:tcW w:w="1800" w:type="dxa"/>
            <w:vAlign w:val="bottom"/>
          </w:tcPr>
          <w:p>
            <w:pPr>
              <w:ind w:left="100"/>
              <w:spacing w:after="0"/>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56</w:t>
            </w:r>
          </w:p>
        </w:tc>
        <w:tc>
          <w:tcPr>
            <w:tcW w:w="9160" w:type="dxa"/>
            <w:vAlign w:val="bottom"/>
          </w:tcPr>
          <w:p>
            <w:pPr>
              <w:ind w:left="8380"/>
              <w:spacing w:after="0"/>
              <w:rPr>
                <w:sz w:val="20"/>
                <w:szCs w:val="20"/>
                <w:color w:val="auto"/>
              </w:rPr>
            </w:pPr>
            <w:r>
              <w:rPr>
                <w:rFonts w:ascii="Arial" w:cs="Arial" w:eastAsia="Arial" w:hAnsi="Arial"/>
                <w:sz w:val="16"/>
                <w:szCs w:val="16"/>
                <w:color w:val="333333"/>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995160" cy="6000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08" w:right="439" w:bottom="1440" w:gutter="0" w:footer="0" w:header="0"/>
        </w:sectPr>
      </w:pPr>
    </w:p>
    <w:bookmarkStart w:id="62" w:name="page63"/>
    <w:bookmarkEnd w:id="62"/>
    <w:p>
      <w:pPr>
        <w:jc w:val="center"/>
        <w:ind w:left="79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Summary of Our        </w:t>
      </w:r>
    </w:p>
    <w:p>
      <w:pPr>
        <w:spacing w:after="0" w:line="15"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FFFFFF"/>
        </w:rPr>
        <w:t xml:space="preserve">Compensation Considerations    </w:t>
      </w: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Decisions and Compensation Governance Practices</w:t>
      </w:r>
    </w:p>
    <w:p>
      <w:pPr>
        <w:spacing w:after="0" w:line="13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333333"/>
        </w:rPr>
        <w:t>A number of key 2025 compensation-related decisions resulted from our achievements, which are discussed more fully in this section. The Committee believes that our executive compensation program continues to reflect a strong pay-for-performance philosophy and is well aligned with the interests of shareholders. In addition, we believe that our compensation practices are consistent with our pay decisions.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2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WHAT WE DO</w:t>
            </w:r>
          </w:p>
        </w:tc>
        <w:tc>
          <w:tcPr>
            <w:tcW w:w="8500" w:type="dxa"/>
            <w:vAlign w:val="bottom"/>
            <w:tcBorders>
              <w:bottom w:val="single" w:sz="8" w:color="0086CC"/>
            </w:tcBorders>
          </w:tcPr>
          <w:p>
            <w:pPr>
              <w:ind w:left="120"/>
              <w:spacing w:after="0"/>
              <w:rPr>
                <w:sz w:val="20"/>
                <w:szCs w:val="20"/>
                <w:color w:val="auto"/>
              </w:rPr>
            </w:pPr>
            <w:r>
              <w:rPr>
                <w:rFonts w:ascii="Arial" w:cs="Arial" w:eastAsia="Arial" w:hAnsi="Arial"/>
                <w:sz w:val="16"/>
                <w:szCs w:val="16"/>
                <w:b w:val="1"/>
                <w:bCs w:val="1"/>
                <w:color w:val="0086CC"/>
              </w:rPr>
              <w:t>YES</w:t>
            </w:r>
          </w:p>
        </w:tc>
        <w:tc>
          <w:tcPr>
            <w:tcW w:w="0" w:type="dxa"/>
            <w:vAlign w:val="bottom"/>
          </w:tcPr>
          <w:p>
            <w:pPr>
              <w:spacing w:after="0"/>
              <w:rPr>
                <w:sz w:val="1"/>
                <w:szCs w:val="1"/>
                <w:color w:val="auto"/>
              </w:rPr>
            </w:pPr>
          </w:p>
        </w:tc>
      </w:tr>
      <w:tr>
        <w:trPr>
          <w:trHeight w:val="267"/>
        </w:trPr>
        <w:tc>
          <w:tcPr>
            <w:tcW w:w="2520" w:type="dxa"/>
            <w:vAlign w:val="bottom"/>
          </w:tcPr>
          <w:p>
            <w:pPr>
              <w:ind w:left="60"/>
              <w:spacing w:after="0"/>
              <w:rPr>
                <w:sz w:val="20"/>
                <w:szCs w:val="20"/>
                <w:color w:val="auto"/>
              </w:rPr>
            </w:pPr>
            <w:r>
              <w:rPr>
                <w:rFonts w:ascii="Arial" w:cs="Arial" w:eastAsia="Arial" w:hAnsi="Arial"/>
                <w:sz w:val="18"/>
                <w:szCs w:val="18"/>
                <w:b w:val="1"/>
                <w:bCs w:val="1"/>
                <w:color w:val="333333"/>
              </w:rPr>
              <w:t>Pay for performance</w:t>
            </w:r>
          </w:p>
        </w:tc>
        <w:tc>
          <w:tcPr>
            <w:tcW w:w="8500" w:type="dxa"/>
            <w:vAlign w:val="bottom"/>
          </w:tcPr>
          <w:p>
            <w:pPr>
              <w:ind w:left="120"/>
              <w:spacing w:after="0"/>
              <w:rPr>
                <w:sz w:val="20"/>
                <w:szCs w:val="20"/>
                <w:color w:val="auto"/>
              </w:rPr>
            </w:pPr>
            <w:r>
              <w:rPr>
                <w:rFonts w:ascii="Arial" w:cs="Arial" w:eastAsia="Arial" w:hAnsi="Arial"/>
                <w:sz w:val="16"/>
                <w:szCs w:val="16"/>
                <w:color w:val="333333"/>
              </w:rPr>
              <w:t>Tie pay to performance by ensuring that a significant portion of NEO compensation is performance-based and at-risk</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6"/>
                <w:szCs w:val="16"/>
                <w:color w:val="333333"/>
              </w:rPr>
              <w:t>and is determined based on a formulaic approach.</w:t>
            </w:r>
          </w:p>
        </w:tc>
        <w:tc>
          <w:tcPr>
            <w:tcW w:w="0" w:type="dxa"/>
            <w:vAlign w:val="bottom"/>
          </w:tcPr>
          <w:p>
            <w:pPr>
              <w:spacing w:after="0"/>
              <w:rPr>
                <w:sz w:val="1"/>
                <w:szCs w:val="1"/>
                <w:color w:val="auto"/>
              </w:rPr>
            </w:pPr>
          </w:p>
        </w:tc>
      </w:tr>
      <w:tr>
        <w:trPr>
          <w:trHeight w:val="97"/>
        </w:trPr>
        <w:tc>
          <w:tcPr>
            <w:tcW w:w="2520" w:type="dxa"/>
            <w:vAlign w:val="bottom"/>
            <w:tcBorders>
              <w:bottom w:val="single" w:sz="8" w:color="auto"/>
            </w:tcBorders>
          </w:tcPr>
          <w:p>
            <w:pPr>
              <w:spacing w:after="0"/>
              <w:rPr>
                <w:sz w:val="8"/>
                <w:szCs w:val="8"/>
                <w:color w:val="auto"/>
              </w:rPr>
            </w:pPr>
          </w:p>
        </w:tc>
        <w:tc>
          <w:tcPr>
            <w:tcW w:w="8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520" w:type="dxa"/>
            <w:vAlign w:val="bottom"/>
          </w:tcPr>
          <w:p>
            <w:pPr>
              <w:ind w:left="60"/>
              <w:spacing w:after="0"/>
              <w:rPr>
                <w:sz w:val="20"/>
                <w:szCs w:val="20"/>
                <w:color w:val="auto"/>
              </w:rPr>
            </w:pPr>
            <w:r>
              <w:rPr>
                <w:rFonts w:ascii="Arial" w:cs="Arial" w:eastAsia="Arial" w:hAnsi="Arial"/>
                <w:sz w:val="18"/>
                <w:szCs w:val="18"/>
                <w:b w:val="1"/>
                <w:bCs w:val="1"/>
                <w:color w:val="333333"/>
              </w:rPr>
              <w:t>Median compensation</w:t>
            </w:r>
          </w:p>
        </w:tc>
        <w:tc>
          <w:tcPr>
            <w:tcW w:w="8500" w:type="dxa"/>
            <w:vAlign w:val="bottom"/>
          </w:tcPr>
          <w:p>
            <w:pPr>
              <w:ind w:left="120"/>
              <w:spacing w:after="0"/>
              <w:rPr>
                <w:sz w:val="20"/>
                <w:szCs w:val="20"/>
                <w:color w:val="auto"/>
              </w:rPr>
            </w:pPr>
            <w:r>
              <w:rPr>
                <w:rFonts w:ascii="Arial" w:cs="Arial" w:eastAsia="Arial" w:hAnsi="Arial"/>
                <w:sz w:val="16"/>
                <w:szCs w:val="16"/>
                <w:color w:val="333333"/>
              </w:rPr>
              <w:t>We generally aim to align all target compensation elements for our executives with the median of our peer group</w:t>
            </w:r>
          </w:p>
        </w:tc>
        <w:tc>
          <w:tcPr>
            <w:tcW w:w="0" w:type="dxa"/>
            <w:vAlign w:val="bottom"/>
          </w:tcPr>
          <w:p>
            <w:pPr>
              <w:spacing w:after="0"/>
              <w:rPr>
                <w:sz w:val="1"/>
                <w:szCs w:val="1"/>
                <w:color w:val="auto"/>
              </w:rPr>
            </w:pPr>
          </w:p>
        </w:tc>
      </w:tr>
      <w:tr>
        <w:trPr>
          <w:trHeight w:val="256"/>
        </w:trPr>
        <w:tc>
          <w:tcPr>
            <w:tcW w:w="2520" w:type="dxa"/>
            <w:vAlign w:val="bottom"/>
          </w:tcPr>
          <w:p>
            <w:pPr>
              <w:ind w:left="60"/>
              <w:spacing w:after="0"/>
              <w:rPr>
                <w:sz w:val="20"/>
                <w:szCs w:val="20"/>
                <w:color w:val="auto"/>
              </w:rPr>
            </w:pPr>
            <w:r>
              <w:rPr>
                <w:rFonts w:ascii="Arial" w:cs="Arial" w:eastAsia="Arial" w:hAnsi="Arial"/>
                <w:sz w:val="18"/>
                <w:szCs w:val="18"/>
                <w:b w:val="1"/>
                <w:bCs w:val="1"/>
                <w:color w:val="333333"/>
              </w:rPr>
              <w:t>targets</w:t>
            </w:r>
          </w:p>
        </w:tc>
        <w:tc>
          <w:tcPr>
            <w:tcW w:w="8500" w:type="dxa"/>
            <w:vAlign w:val="bottom"/>
          </w:tcPr>
          <w:p>
            <w:pPr>
              <w:ind w:left="120"/>
              <w:spacing w:after="0"/>
              <w:rPr>
                <w:sz w:val="20"/>
                <w:szCs w:val="20"/>
                <w:color w:val="auto"/>
              </w:rPr>
            </w:pPr>
            <w:r>
              <w:rPr>
                <w:rFonts w:ascii="Arial" w:cs="Arial" w:eastAsia="Arial" w:hAnsi="Arial"/>
                <w:sz w:val="16"/>
                <w:szCs w:val="16"/>
                <w:color w:val="333333"/>
              </w:rPr>
              <w:t>companies. The peer group is confirmed by the Committee on an annual basis.</w:t>
            </w:r>
          </w:p>
        </w:tc>
        <w:tc>
          <w:tcPr>
            <w:tcW w:w="0" w:type="dxa"/>
            <w:vAlign w:val="bottom"/>
          </w:tcPr>
          <w:p>
            <w:pPr>
              <w:spacing w:after="0"/>
              <w:rPr>
                <w:sz w:val="1"/>
                <w:szCs w:val="1"/>
                <w:color w:val="auto"/>
              </w:rPr>
            </w:pPr>
          </w:p>
        </w:tc>
      </w:tr>
      <w:tr>
        <w:trPr>
          <w:trHeight w:val="83"/>
        </w:trPr>
        <w:tc>
          <w:tcPr>
            <w:tcW w:w="2520" w:type="dxa"/>
            <w:vAlign w:val="bottom"/>
            <w:tcBorders>
              <w:bottom w:val="single" w:sz="8" w:color="auto"/>
            </w:tcBorders>
          </w:tcPr>
          <w:p>
            <w:pPr>
              <w:spacing w:after="0"/>
              <w:rPr>
                <w:sz w:val="7"/>
                <w:szCs w:val="7"/>
                <w:color w:val="auto"/>
              </w:rPr>
            </w:pPr>
          </w:p>
        </w:tc>
        <w:tc>
          <w:tcPr>
            <w:tcW w:w="8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520" w:type="dxa"/>
            <w:vAlign w:val="bottom"/>
          </w:tcPr>
          <w:p>
            <w:pPr>
              <w:ind w:left="60"/>
              <w:spacing w:after="0"/>
              <w:rPr>
                <w:sz w:val="20"/>
                <w:szCs w:val="20"/>
                <w:color w:val="auto"/>
              </w:rPr>
            </w:pPr>
            <w:r>
              <w:rPr>
                <w:rFonts w:ascii="Arial" w:cs="Arial" w:eastAsia="Arial" w:hAnsi="Arial"/>
                <w:sz w:val="18"/>
                <w:szCs w:val="18"/>
                <w:b w:val="1"/>
                <w:bCs w:val="1"/>
                <w:color w:val="333333"/>
              </w:rPr>
              <w:t>PSUs are a substantial</w:t>
            </w:r>
          </w:p>
        </w:tc>
        <w:tc>
          <w:tcPr>
            <w:tcW w:w="8500" w:type="dxa"/>
            <w:vAlign w:val="bottom"/>
          </w:tcPr>
          <w:p>
            <w:pPr>
              <w:ind w:left="120"/>
              <w:spacing w:after="0"/>
              <w:rPr>
                <w:sz w:val="20"/>
                <w:szCs w:val="20"/>
                <w:color w:val="auto"/>
              </w:rPr>
            </w:pPr>
            <w:r>
              <w:rPr>
                <w:rFonts w:ascii="Arial" w:cs="Arial" w:eastAsia="Arial" w:hAnsi="Arial"/>
                <w:sz w:val="16"/>
                <w:szCs w:val="16"/>
                <w:color w:val="333333"/>
              </w:rPr>
              <w:t>PSU grants, tied to our achievement of specified performance measures, comprised approximately 55% of the total</w:t>
            </w:r>
          </w:p>
        </w:tc>
        <w:tc>
          <w:tcPr>
            <w:tcW w:w="0" w:type="dxa"/>
            <w:vAlign w:val="bottom"/>
          </w:tcPr>
          <w:p>
            <w:pPr>
              <w:spacing w:after="0"/>
              <w:rPr>
                <w:sz w:val="1"/>
                <w:szCs w:val="1"/>
                <w:color w:val="auto"/>
              </w:rPr>
            </w:pPr>
          </w:p>
        </w:tc>
      </w:tr>
      <w:tr>
        <w:trPr>
          <w:trHeight w:val="256"/>
        </w:trPr>
        <w:tc>
          <w:tcPr>
            <w:tcW w:w="2520" w:type="dxa"/>
            <w:vAlign w:val="bottom"/>
          </w:tcPr>
          <w:p>
            <w:pPr>
              <w:ind w:left="60"/>
              <w:spacing w:after="0"/>
              <w:rPr>
                <w:sz w:val="20"/>
                <w:szCs w:val="20"/>
                <w:color w:val="auto"/>
              </w:rPr>
            </w:pPr>
            <w:r>
              <w:rPr>
                <w:rFonts w:ascii="Arial" w:cs="Arial" w:eastAsia="Arial" w:hAnsi="Arial"/>
                <w:sz w:val="18"/>
                <w:szCs w:val="18"/>
                <w:b w:val="1"/>
                <w:bCs w:val="1"/>
                <w:color w:val="333333"/>
              </w:rPr>
              <w:t>portion of LTI</w:t>
            </w:r>
          </w:p>
        </w:tc>
        <w:tc>
          <w:tcPr>
            <w:tcW w:w="8500" w:type="dxa"/>
            <w:vAlign w:val="bottom"/>
          </w:tcPr>
          <w:p>
            <w:pPr>
              <w:ind w:left="120"/>
              <w:spacing w:after="0"/>
              <w:rPr>
                <w:sz w:val="20"/>
                <w:szCs w:val="20"/>
                <w:color w:val="auto"/>
              </w:rPr>
            </w:pPr>
            <w:r>
              <w:rPr>
                <w:rFonts w:ascii="Arial" w:cs="Arial" w:eastAsia="Arial" w:hAnsi="Arial"/>
                <w:sz w:val="16"/>
                <w:szCs w:val="16"/>
                <w:color w:val="333333"/>
              </w:rPr>
              <w:t>value of annual long-term incentive grants made to our NEOs in 2025. RSUs comprised the remaining 45%.</w:t>
            </w:r>
          </w:p>
        </w:tc>
        <w:tc>
          <w:tcPr>
            <w:tcW w:w="0" w:type="dxa"/>
            <w:vAlign w:val="bottom"/>
          </w:tcPr>
          <w:p>
            <w:pPr>
              <w:spacing w:after="0"/>
              <w:rPr>
                <w:sz w:val="1"/>
                <w:szCs w:val="1"/>
                <w:color w:val="auto"/>
              </w:rPr>
            </w:pPr>
          </w:p>
        </w:tc>
      </w:tr>
      <w:tr>
        <w:trPr>
          <w:trHeight w:val="83"/>
        </w:trPr>
        <w:tc>
          <w:tcPr>
            <w:tcW w:w="2520" w:type="dxa"/>
            <w:vAlign w:val="bottom"/>
            <w:tcBorders>
              <w:bottom w:val="single" w:sz="8" w:color="auto"/>
            </w:tcBorders>
          </w:tcPr>
          <w:p>
            <w:pPr>
              <w:spacing w:after="0"/>
              <w:rPr>
                <w:sz w:val="7"/>
                <w:szCs w:val="7"/>
                <w:color w:val="auto"/>
              </w:rPr>
            </w:pPr>
          </w:p>
        </w:tc>
        <w:tc>
          <w:tcPr>
            <w:tcW w:w="8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520" w:type="dxa"/>
            <w:vAlign w:val="bottom"/>
          </w:tcPr>
          <w:p>
            <w:pPr>
              <w:ind w:left="60"/>
              <w:spacing w:after="0"/>
              <w:rPr>
                <w:sz w:val="20"/>
                <w:szCs w:val="20"/>
                <w:color w:val="auto"/>
              </w:rPr>
            </w:pPr>
            <w:r>
              <w:rPr>
                <w:rFonts w:ascii="Arial" w:cs="Arial" w:eastAsia="Arial" w:hAnsi="Arial"/>
                <w:sz w:val="18"/>
                <w:szCs w:val="18"/>
                <w:b w:val="1"/>
                <w:bCs w:val="1"/>
                <w:color w:val="333333"/>
              </w:rPr>
              <w:t>Independent compensation</w:t>
            </w:r>
          </w:p>
        </w:tc>
        <w:tc>
          <w:tcPr>
            <w:tcW w:w="8500" w:type="dxa"/>
            <w:vAlign w:val="bottom"/>
            <w:vMerge w:val="restart"/>
          </w:tcPr>
          <w:p>
            <w:pPr>
              <w:ind w:left="120"/>
              <w:spacing w:after="0"/>
              <w:rPr>
                <w:sz w:val="20"/>
                <w:szCs w:val="20"/>
                <w:color w:val="auto"/>
              </w:rPr>
            </w:pPr>
            <w:r>
              <w:rPr>
                <w:rFonts w:ascii="Arial" w:cs="Arial" w:eastAsia="Arial" w:hAnsi="Arial"/>
                <w:sz w:val="16"/>
                <w:szCs w:val="16"/>
                <w:color w:val="333333"/>
              </w:rPr>
              <w:t>The Committee retains an independent compensation consultant.</w:t>
            </w:r>
          </w:p>
        </w:tc>
        <w:tc>
          <w:tcPr>
            <w:tcW w:w="0" w:type="dxa"/>
            <w:vAlign w:val="bottom"/>
          </w:tcPr>
          <w:p>
            <w:pPr>
              <w:spacing w:after="0"/>
              <w:rPr>
                <w:sz w:val="1"/>
                <w:szCs w:val="1"/>
                <w:color w:val="auto"/>
              </w:rPr>
            </w:pPr>
          </w:p>
        </w:tc>
      </w:tr>
      <w:tr>
        <w:trPr>
          <w:trHeight w:val="125"/>
        </w:trPr>
        <w:tc>
          <w:tcPr>
            <w:tcW w:w="2520" w:type="dxa"/>
            <w:vAlign w:val="bottom"/>
            <w:vMerge w:val="restart"/>
          </w:tcPr>
          <w:p>
            <w:pPr>
              <w:ind w:left="60"/>
              <w:spacing w:after="0"/>
              <w:rPr>
                <w:sz w:val="20"/>
                <w:szCs w:val="20"/>
                <w:color w:val="auto"/>
              </w:rPr>
            </w:pPr>
            <w:r>
              <w:rPr>
                <w:rFonts w:ascii="Arial" w:cs="Arial" w:eastAsia="Arial" w:hAnsi="Arial"/>
                <w:sz w:val="18"/>
                <w:szCs w:val="18"/>
                <w:b w:val="1"/>
                <w:bCs w:val="1"/>
                <w:color w:val="333333"/>
              </w:rPr>
              <w:t>consultant</w:t>
            </w: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20" w:type="dxa"/>
            <w:vAlign w:val="bottom"/>
            <w:vMerge w:val="continue"/>
          </w:tcPr>
          <w:p>
            <w:pPr>
              <w:spacing w:after="0"/>
              <w:rPr>
                <w:sz w:val="10"/>
                <w:szCs w:val="10"/>
                <w:color w:val="auto"/>
              </w:rPr>
            </w:pPr>
          </w:p>
        </w:tc>
        <w:tc>
          <w:tcPr>
            <w:tcW w:w="8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6995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333333"/>
        </w:rPr>
        <w:t>Robust share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333333"/>
        </w:rPr>
        <w:t>ownership</w:t>
      </w:r>
    </w:p>
    <w:p>
      <w:pPr>
        <w:ind w:left="60"/>
        <w:spacing w:after="0"/>
        <w:rPr>
          <w:sz w:val="20"/>
          <w:szCs w:val="20"/>
          <w:color w:val="auto"/>
        </w:rPr>
      </w:pPr>
      <w:r>
        <w:rPr>
          <w:rFonts w:ascii="Arial" w:cs="Arial" w:eastAsia="Arial" w:hAnsi="Arial"/>
          <w:sz w:val="18"/>
          <w:szCs w:val="18"/>
          <w:b w:val="1"/>
          <w:bCs w:val="1"/>
          <w:color w:val="333333"/>
        </w:rPr>
        <w:t>requirements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333333"/>
        </w:rPr>
        <w:t>We have robust stock ownership guidelines of 7 times base salary for the CEO, 5 times base salary for our other NEOs, and 5 times annual retainer for Directors. We also have an equity retention requirement of 50% of net shares paid as incentive compensation until ownership guidelines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83185</wp:posOffset>
            </wp:positionV>
            <wp:extent cx="6995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1920" w:space="720"/>
            <w:col w:w="8380"/>
          </w:cols>
          <w:pgMar w:left="440" w:top="684"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Clawback policy</w:t>
            </w:r>
          </w:p>
        </w:tc>
        <w:tc>
          <w:tcPr>
            <w:tcW w:w="8540" w:type="dxa"/>
            <w:vAlign w:val="bottom"/>
            <w:gridSpan w:val="2"/>
          </w:tcPr>
          <w:p>
            <w:pPr>
              <w:ind w:left="160"/>
              <w:spacing w:after="0"/>
              <w:rPr>
                <w:sz w:val="20"/>
                <w:szCs w:val="20"/>
                <w:color w:val="auto"/>
              </w:rPr>
            </w:pPr>
            <w:r>
              <w:rPr>
                <w:rFonts w:ascii="Arial" w:cs="Arial" w:eastAsia="Arial" w:hAnsi="Arial"/>
                <w:sz w:val="16"/>
                <w:szCs w:val="16"/>
                <w:color w:val="333333"/>
              </w:rPr>
              <w:t>We have a mandatory compensation recovery (clawback) policy that implements the SEC and NYSE clawback rules</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8540" w:type="dxa"/>
            <w:vAlign w:val="bottom"/>
            <w:gridSpan w:val="2"/>
          </w:tcPr>
          <w:p>
            <w:pPr>
              <w:ind w:left="160"/>
              <w:spacing w:after="0"/>
              <w:rPr>
                <w:sz w:val="20"/>
                <w:szCs w:val="20"/>
                <w:color w:val="auto"/>
              </w:rPr>
            </w:pPr>
            <w:r>
              <w:rPr>
                <w:rFonts w:ascii="Arial" w:cs="Arial" w:eastAsia="Arial" w:hAnsi="Arial"/>
                <w:sz w:val="16"/>
                <w:szCs w:val="16"/>
                <w:color w:val="333333"/>
              </w:rPr>
              <w:t>and requires the Company to recover from its current and former executive officers certain incentive compensation</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8540" w:type="dxa"/>
            <w:vAlign w:val="bottom"/>
            <w:gridSpan w:val="2"/>
          </w:tcPr>
          <w:p>
            <w:pPr>
              <w:ind w:left="160"/>
              <w:spacing w:after="0"/>
              <w:rPr>
                <w:sz w:val="20"/>
                <w:szCs w:val="20"/>
                <w:color w:val="auto"/>
              </w:rPr>
            </w:pPr>
            <w:r>
              <w:rPr>
                <w:rFonts w:ascii="Arial" w:cs="Arial" w:eastAsia="Arial" w:hAnsi="Arial"/>
                <w:sz w:val="16"/>
                <w:szCs w:val="16"/>
                <w:color w:val="333333"/>
              </w:rPr>
              <w:t>that is erroneously paid in connection with an accounting restatement as well as a voluntary standalone policy</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6"/>
                <w:szCs w:val="16"/>
                <w:color w:val="333333"/>
              </w:rPr>
              <w:t>allowing for recovery in the event of a financial restatement as a result of misconduct.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73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Regular engagement with</w:t>
            </w:r>
          </w:p>
        </w:tc>
        <w:tc>
          <w:tcPr>
            <w:tcW w:w="7320" w:type="dxa"/>
            <w:vAlign w:val="bottom"/>
            <w:vMerge w:val="restart"/>
          </w:tcPr>
          <w:p>
            <w:pPr>
              <w:ind w:left="160"/>
              <w:spacing w:after="0"/>
              <w:rPr>
                <w:sz w:val="20"/>
                <w:szCs w:val="20"/>
                <w:color w:val="auto"/>
              </w:rPr>
            </w:pPr>
            <w:r>
              <w:rPr>
                <w:rFonts w:ascii="Arial" w:cs="Arial" w:eastAsia="Arial" w:hAnsi="Arial"/>
                <w:sz w:val="16"/>
                <w:szCs w:val="16"/>
                <w:color w:val="333333"/>
              </w:rPr>
              <w:t>We engage with shareholders to hear their views on compensation and other issues.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2480" w:type="dxa"/>
            <w:vAlign w:val="bottom"/>
            <w:vMerge w:val="restart"/>
          </w:tcPr>
          <w:p>
            <w:pPr>
              <w:ind w:left="60"/>
              <w:spacing w:after="0"/>
              <w:rPr>
                <w:sz w:val="20"/>
                <w:szCs w:val="20"/>
                <w:color w:val="auto"/>
              </w:rPr>
            </w:pPr>
            <w:r>
              <w:rPr>
                <w:rFonts w:ascii="Arial" w:cs="Arial" w:eastAsia="Arial" w:hAnsi="Arial"/>
                <w:sz w:val="18"/>
                <w:szCs w:val="18"/>
                <w:b w:val="1"/>
                <w:bCs w:val="1"/>
                <w:color w:val="333333"/>
              </w:rPr>
              <w:t>shareholders</w:t>
            </w:r>
          </w:p>
        </w:tc>
        <w:tc>
          <w:tcPr>
            <w:tcW w:w="73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80" w:type="dxa"/>
            <w:vAlign w:val="bottom"/>
            <w:vMerge w:val="continue"/>
          </w:tcPr>
          <w:p>
            <w:pPr>
              <w:spacing w:after="0"/>
              <w:rPr>
                <w:sz w:val="10"/>
                <w:szCs w:val="10"/>
                <w:color w:val="auto"/>
              </w:rPr>
            </w:pPr>
          </w:p>
        </w:tc>
        <w:tc>
          <w:tcPr>
            <w:tcW w:w="7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48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Annual elections</w:t>
            </w:r>
          </w:p>
        </w:tc>
        <w:tc>
          <w:tcPr>
            <w:tcW w:w="7320" w:type="dxa"/>
            <w:vAlign w:val="bottom"/>
          </w:tcPr>
          <w:p>
            <w:pPr>
              <w:ind w:left="160"/>
              <w:spacing w:after="0"/>
              <w:rPr>
                <w:sz w:val="20"/>
                <w:szCs w:val="20"/>
                <w:color w:val="auto"/>
              </w:rPr>
            </w:pPr>
            <w:r>
              <w:rPr>
                <w:rFonts w:ascii="Arial" w:cs="Arial" w:eastAsia="Arial" w:hAnsi="Arial"/>
                <w:sz w:val="16"/>
                <w:szCs w:val="16"/>
                <w:color w:val="333333"/>
              </w:rPr>
              <w:t>All of our Directors stand for election each year.</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48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2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0086CC"/>
              </w:rPr>
              <w:t>WHAT WE DON’T DO</w:t>
            </w:r>
          </w:p>
        </w:tc>
        <w:tc>
          <w:tcPr>
            <w:tcW w:w="7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0086CC"/>
              </w:rPr>
              <w:t>NO</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No employment contracts</w:t>
            </w:r>
          </w:p>
        </w:tc>
        <w:tc>
          <w:tcPr>
            <w:tcW w:w="8540" w:type="dxa"/>
            <w:vAlign w:val="bottom"/>
            <w:gridSpan w:val="2"/>
          </w:tcPr>
          <w:p>
            <w:pPr>
              <w:ind w:left="160"/>
              <w:spacing w:after="0"/>
              <w:rPr>
                <w:sz w:val="20"/>
                <w:szCs w:val="20"/>
                <w:color w:val="auto"/>
              </w:rPr>
            </w:pPr>
            <w:r>
              <w:rPr>
                <w:rFonts w:ascii="Arial" w:cs="Arial" w:eastAsia="Arial" w:hAnsi="Arial"/>
                <w:sz w:val="16"/>
                <w:szCs w:val="16"/>
                <w:color w:val="333333"/>
              </w:rPr>
              <w:t>None of our NEOs or other executive officers have employment contracts that guarantee continued employment.</w:t>
            </w:r>
          </w:p>
        </w:tc>
        <w:tc>
          <w:tcPr>
            <w:tcW w:w="0" w:type="dxa"/>
            <w:vAlign w:val="bottom"/>
          </w:tcPr>
          <w:p>
            <w:pPr>
              <w:spacing w:after="0"/>
              <w:rPr>
                <w:sz w:val="1"/>
                <w:szCs w:val="1"/>
                <w:color w:val="auto"/>
              </w:rPr>
            </w:pPr>
          </w:p>
        </w:tc>
      </w:tr>
      <w:tr>
        <w:trPr>
          <w:trHeight w:val="83"/>
        </w:trPr>
        <w:tc>
          <w:tcPr>
            <w:tcW w:w="2480" w:type="dxa"/>
            <w:vAlign w:val="bottom"/>
            <w:tcBorders>
              <w:bottom w:val="single" w:sz="8" w:color="auto"/>
            </w:tcBorders>
          </w:tcPr>
          <w:p>
            <w:pPr>
              <w:spacing w:after="0"/>
              <w:rPr>
                <w:sz w:val="7"/>
                <w:szCs w:val="7"/>
                <w:color w:val="auto"/>
              </w:rPr>
            </w:pPr>
          </w:p>
        </w:tc>
        <w:tc>
          <w:tcPr>
            <w:tcW w:w="854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No dividends on unvested</w:t>
            </w:r>
          </w:p>
        </w:tc>
        <w:tc>
          <w:tcPr>
            <w:tcW w:w="8540" w:type="dxa"/>
            <w:vAlign w:val="bottom"/>
            <w:gridSpan w:val="2"/>
          </w:tcPr>
          <w:p>
            <w:pPr>
              <w:ind w:left="160"/>
              <w:spacing w:after="0"/>
              <w:rPr>
                <w:sz w:val="20"/>
                <w:szCs w:val="20"/>
                <w:color w:val="auto"/>
              </w:rPr>
            </w:pPr>
            <w:r>
              <w:rPr>
                <w:rFonts w:ascii="Arial" w:cs="Arial" w:eastAsia="Arial" w:hAnsi="Arial"/>
                <w:sz w:val="16"/>
                <w:szCs w:val="16"/>
                <w:color w:val="333333"/>
              </w:rPr>
              <w:t>Our 2025 RSU and PSU awards granted through our Long-Term Incentive (LTI) Plan require three years to fully vest</w:t>
            </w:r>
          </w:p>
        </w:tc>
        <w:tc>
          <w:tcPr>
            <w:tcW w:w="0" w:type="dxa"/>
            <w:vAlign w:val="bottom"/>
          </w:tcPr>
          <w:p>
            <w:pPr>
              <w:spacing w:after="0"/>
              <w:rPr>
                <w:sz w:val="1"/>
                <w:szCs w:val="1"/>
                <w:color w:val="auto"/>
              </w:rPr>
            </w:pPr>
          </w:p>
        </w:tc>
      </w:tr>
      <w:tr>
        <w:trPr>
          <w:trHeight w:val="190"/>
        </w:trPr>
        <w:tc>
          <w:tcPr>
            <w:tcW w:w="2480" w:type="dxa"/>
            <w:vAlign w:val="bottom"/>
          </w:tcPr>
          <w:p>
            <w:pPr>
              <w:ind w:left="60"/>
              <w:spacing w:after="0" w:line="189" w:lineRule="exact"/>
              <w:rPr>
                <w:sz w:val="20"/>
                <w:szCs w:val="20"/>
                <w:color w:val="auto"/>
              </w:rPr>
            </w:pPr>
            <w:r>
              <w:rPr>
                <w:rFonts w:ascii="Arial" w:cs="Arial" w:eastAsia="Arial" w:hAnsi="Arial"/>
                <w:sz w:val="18"/>
                <w:szCs w:val="18"/>
                <w:b w:val="1"/>
                <w:bCs w:val="1"/>
                <w:color w:val="333333"/>
              </w:rPr>
              <w:t>awards</w:t>
            </w:r>
          </w:p>
        </w:tc>
        <w:tc>
          <w:tcPr>
            <w:tcW w:w="8540" w:type="dxa"/>
            <w:vAlign w:val="bottom"/>
            <w:gridSpan w:val="2"/>
          </w:tcPr>
          <w:p>
            <w:pPr>
              <w:ind w:left="160"/>
              <w:spacing w:after="0"/>
              <w:rPr>
                <w:sz w:val="20"/>
                <w:szCs w:val="20"/>
                <w:color w:val="auto"/>
              </w:rPr>
            </w:pPr>
            <w:r>
              <w:rPr>
                <w:rFonts w:ascii="Arial" w:cs="Arial" w:eastAsia="Arial" w:hAnsi="Arial"/>
                <w:sz w:val="16"/>
                <w:szCs w:val="16"/>
                <w:color w:val="333333"/>
              </w:rPr>
              <w:t>and dividends paid on shares of common stock of Martin Marietta during the vesting period are only paid to award</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6"/>
                <w:szCs w:val="16"/>
                <w:color w:val="333333"/>
              </w:rPr>
              <w:t>holders if and when an award vests.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85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No pledging of shares</w:t>
            </w:r>
          </w:p>
        </w:tc>
        <w:tc>
          <w:tcPr>
            <w:tcW w:w="8540" w:type="dxa"/>
            <w:vAlign w:val="bottom"/>
            <w:gridSpan w:val="2"/>
          </w:tcPr>
          <w:p>
            <w:pPr>
              <w:ind w:left="160"/>
              <w:spacing w:after="0"/>
              <w:rPr>
                <w:sz w:val="20"/>
                <w:szCs w:val="20"/>
                <w:color w:val="auto"/>
              </w:rPr>
            </w:pPr>
            <w:r>
              <w:rPr>
                <w:rFonts w:ascii="Arial" w:cs="Arial" w:eastAsia="Arial" w:hAnsi="Arial"/>
                <w:sz w:val="16"/>
                <w:szCs w:val="16"/>
                <w:color w:val="333333"/>
              </w:rPr>
              <w:t>Our directors and executive officers are not permitted to pledge Martin Marietta shares as collateral for loans or any</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6"/>
                <w:szCs w:val="16"/>
                <w:color w:val="333333"/>
              </w:rPr>
              <w:t>other purpose.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480" w:type="dxa"/>
            <w:vAlign w:val="bottom"/>
            <w:tcBorders>
              <w:bottom w:val="single" w:sz="8" w:color="auto"/>
            </w:tcBorders>
          </w:tcPr>
          <w:p>
            <w:pPr>
              <w:spacing w:after="0"/>
              <w:rPr>
                <w:sz w:val="8"/>
                <w:szCs w:val="8"/>
                <w:color w:val="auto"/>
              </w:rPr>
            </w:pPr>
          </w:p>
        </w:tc>
        <w:tc>
          <w:tcPr>
            <w:tcW w:w="85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No hedging</w:t>
            </w:r>
          </w:p>
        </w:tc>
        <w:tc>
          <w:tcPr>
            <w:tcW w:w="8540" w:type="dxa"/>
            <w:vAlign w:val="bottom"/>
            <w:gridSpan w:val="2"/>
          </w:tcPr>
          <w:p>
            <w:pPr>
              <w:ind w:left="160"/>
              <w:spacing w:after="0"/>
              <w:rPr>
                <w:sz w:val="20"/>
                <w:szCs w:val="20"/>
                <w:color w:val="auto"/>
              </w:rPr>
            </w:pPr>
            <w:r>
              <w:rPr>
                <w:rFonts w:ascii="Arial" w:cs="Arial" w:eastAsia="Arial" w:hAnsi="Arial"/>
                <w:sz w:val="16"/>
                <w:szCs w:val="16"/>
                <w:color w:val="333333"/>
              </w:rPr>
              <w:t>We prohibit directors and executive officers from engaging in short sales of Martin Marietta stock or similar</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6"/>
                <w:szCs w:val="16"/>
                <w:color w:val="333333"/>
              </w:rPr>
              <w:t>transactions intended to hedge or offset the market value of Martin Marietta stock owned by them.</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73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No 280G gross-ups</w:t>
            </w:r>
          </w:p>
        </w:tc>
        <w:tc>
          <w:tcPr>
            <w:tcW w:w="7320" w:type="dxa"/>
            <w:vAlign w:val="bottom"/>
          </w:tcPr>
          <w:p>
            <w:pPr>
              <w:ind w:left="160"/>
              <w:spacing w:after="0"/>
              <w:rPr>
                <w:sz w:val="20"/>
                <w:szCs w:val="20"/>
                <w:color w:val="auto"/>
              </w:rPr>
            </w:pPr>
            <w:r>
              <w:rPr>
                <w:rFonts w:ascii="Arial" w:cs="Arial" w:eastAsia="Arial" w:hAnsi="Arial"/>
                <w:sz w:val="16"/>
                <w:szCs w:val="16"/>
                <w:color w:val="333333"/>
              </w:rPr>
              <w:t>We do not provide executives with Section 280G excise tax gross-ups.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48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No single trigger</w:t>
            </w:r>
          </w:p>
        </w:tc>
        <w:tc>
          <w:tcPr>
            <w:tcW w:w="7320" w:type="dxa"/>
            <w:vAlign w:val="bottom"/>
          </w:tcPr>
          <w:p>
            <w:pPr>
              <w:ind w:left="160"/>
              <w:spacing w:after="0"/>
              <w:rPr>
                <w:sz w:val="20"/>
                <w:szCs w:val="20"/>
                <w:color w:val="auto"/>
              </w:rPr>
            </w:pPr>
            <w:r>
              <w:rPr>
                <w:rFonts w:ascii="Arial" w:cs="Arial" w:eastAsia="Arial" w:hAnsi="Arial"/>
                <w:sz w:val="16"/>
                <w:szCs w:val="16"/>
                <w:color w:val="333333"/>
              </w:rPr>
              <w:t>Equity awards will not automatically vest as a result of a change in control.</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equity vesting</w:t>
            </w:r>
          </w:p>
        </w:tc>
        <w:tc>
          <w:tcPr>
            <w:tcW w:w="7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73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Minimal executive</w:t>
            </w:r>
          </w:p>
        </w:tc>
        <w:tc>
          <w:tcPr>
            <w:tcW w:w="7320" w:type="dxa"/>
            <w:vAlign w:val="bottom"/>
          </w:tcPr>
          <w:p>
            <w:pPr>
              <w:ind w:left="160"/>
              <w:spacing w:after="0"/>
              <w:rPr>
                <w:sz w:val="20"/>
                <w:szCs w:val="20"/>
                <w:color w:val="auto"/>
              </w:rPr>
            </w:pPr>
            <w:r>
              <w:rPr>
                <w:rFonts w:ascii="Arial" w:cs="Arial" w:eastAsia="Arial" w:hAnsi="Arial"/>
                <w:sz w:val="16"/>
                <w:szCs w:val="16"/>
                <w:color w:val="333333"/>
              </w:rPr>
              <w:t>We do not provide NEOs with country club reimbursements or other excessive perks.</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480" w:type="dxa"/>
            <w:vAlign w:val="bottom"/>
          </w:tcPr>
          <w:p>
            <w:pPr>
              <w:ind w:left="60"/>
              <w:spacing w:after="0"/>
              <w:rPr>
                <w:sz w:val="20"/>
                <w:szCs w:val="20"/>
                <w:color w:val="auto"/>
              </w:rPr>
            </w:pPr>
            <w:r>
              <w:rPr>
                <w:rFonts w:ascii="Arial" w:cs="Arial" w:eastAsia="Arial" w:hAnsi="Arial"/>
                <w:sz w:val="18"/>
                <w:szCs w:val="18"/>
                <w:b w:val="1"/>
                <w:bCs w:val="1"/>
                <w:color w:val="333333"/>
              </w:rPr>
              <w:t>perquisites</w:t>
            </w:r>
          </w:p>
        </w:tc>
        <w:tc>
          <w:tcPr>
            <w:tcW w:w="7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248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60"/>
        </w:trPr>
        <w:tc>
          <w:tcPr>
            <w:tcW w:w="2480" w:type="dxa"/>
            <w:vAlign w:val="bottom"/>
          </w:tcPr>
          <w:p>
            <w:pPr>
              <w:spacing w:after="0"/>
              <w:rPr>
                <w:sz w:val="20"/>
                <w:szCs w:val="20"/>
                <w:color w:val="auto"/>
              </w:rPr>
            </w:pPr>
            <w:r>
              <w:rPr>
                <w:rFonts w:ascii="Arial" w:cs="Arial" w:eastAsia="Arial" w:hAnsi="Arial"/>
                <w:sz w:val="16"/>
                <w:szCs w:val="16"/>
                <w:color w:val="333333"/>
              </w:rPr>
              <w:t> </w:t>
            </w:r>
          </w:p>
        </w:tc>
        <w:tc>
          <w:tcPr>
            <w:tcW w:w="7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6"/>
                <w:szCs w:val="16"/>
                <w:color w:val="333333"/>
              </w:rPr>
              <w:t xml:space="preserve">               </w:t>
            </w:r>
          </w:p>
        </w:tc>
        <w:tc>
          <w:tcPr>
            <w:tcW w:w="7320" w:type="dxa"/>
            <w:vAlign w:val="bottom"/>
          </w:tcPr>
          <w:p>
            <w:pPr>
              <w:ind w:left="2100"/>
              <w:spacing w:after="0"/>
              <w:rPr>
                <w:sz w:val="20"/>
                <w:szCs w:val="20"/>
                <w:color w:val="auto"/>
              </w:rPr>
            </w:pPr>
            <w:r>
              <w:rPr>
                <w:rFonts w:ascii="Arial" w:cs="Arial" w:eastAsia="Arial" w:hAnsi="Arial"/>
                <w:sz w:val="16"/>
                <w:szCs w:val="16"/>
                <w:b w:val="1"/>
                <w:bCs w:val="1"/>
                <w:color w:val="auto"/>
              </w:rPr>
              <w:t>2026 PROXY STATEMENT</w:t>
            </w:r>
          </w:p>
        </w:tc>
        <w:tc>
          <w:tcPr>
            <w:tcW w:w="1220" w:type="dxa"/>
            <w:vAlign w:val="bottom"/>
          </w:tcPr>
          <w:p>
            <w:pPr>
              <w:ind w:left="160"/>
              <w:spacing w:after="0"/>
              <w:rPr>
                <w:sz w:val="20"/>
                <w:szCs w:val="20"/>
                <w:color w:val="auto"/>
              </w:rPr>
            </w:pPr>
            <w:r>
              <w:rPr>
                <w:rFonts w:ascii="Arial" w:cs="Arial" w:eastAsia="Arial" w:hAnsi="Arial"/>
                <w:sz w:val="16"/>
                <w:szCs w:val="16"/>
                <w:b w:val="1"/>
                <w:bCs w:val="1"/>
                <w:color w:val="0086CC"/>
              </w:rPr>
              <w:t xml:space="preserve">57 </w:t>
            </w:r>
            <w:r>
              <w:rPr>
                <w:rFonts w:ascii="Arial" w:cs="Arial" w:eastAsia="Arial" w:hAnsi="Arial"/>
                <w:sz w:val="16"/>
                <w:szCs w:val="16"/>
                <w:color w:val="333333"/>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995160" cy="6000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type w:val="continuous"/>
        </w:sectPr>
      </w:pPr>
    </w:p>
    <w:bookmarkStart w:id="63" w:name="page64"/>
    <w:bookmarkEnd w:id="63"/>
    <w:p>
      <w:pPr>
        <w:ind w:left="924" w:hanging="153"/>
        <w:spacing w:after="0"/>
        <w:tabs>
          <w:tab w:leader="none" w:pos="924" w:val="left"/>
        </w:tabs>
        <w:numPr>
          <w:ilvl w:val="1"/>
          <w:numId w:val="75"/>
        </w:numPr>
        <w:rPr>
          <w:rFonts w:ascii="Arial" w:cs="Arial" w:eastAsia="Arial" w:hAnsi="Arial"/>
          <w:sz w:val="14"/>
          <w:szCs w:val="14"/>
          <w:b w:val="1"/>
          <w:bCs w:val="1"/>
          <w:color w:val="FFFFFF"/>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877060" cy="4711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877060" cy="471170"/>
                    </a:xfrm>
                    <a:prstGeom prst="rect">
                      <a:avLst/>
                    </a:prstGeom>
                    <a:noFill/>
                  </pic:spPr>
                </pic:pic>
              </a:graphicData>
            </a:graphic>
          </wp:anchor>
        </w:drawing>
        <w:t>Summary of Our</w:t>
      </w:r>
    </w:p>
    <w:p>
      <w:pPr>
        <w:spacing w:after="0" w:line="15" w:lineRule="exact"/>
        <w:rPr>
          <w:rFonts w:ascii="Arial" w:cs="Arial" w:eastAsia="Arial" w:hAnsi="Arial"/>
          <w:sz w:val="14"/>
          <w:szCs w:val="14"/>
          <w:b w:val="1"/>
          <w:bCs w:val="1"/>
          <w:color w:val="FFFFFF"/>
        </w:rPr>
      </w:pPr>
    </w:p>
    <w:p>
      <w:pPr>
        <w:ind w:left="284" w:hanging="137"/>
        <w:spacing w:after="0"/>
        <w:tabs>
          <w:tab w:leader="none" w:pos="284" w:val="left"/>
        </w:tabs>
        <w:numPr>
          <w:ilvl w:val="0"/>
          <w:numId w:val="75"/>
        </w:numPr>
        <w:rPr>
          <w:rFonts w:ascii="Arial" w:cs="Arial" w:eastAsia="Arial" w:hAnsi="Arial"/>
          <w:sz w:val="13"/>
          <w:szCs w:val="13"/>
          <w:b w:val="1"/>
          <w:bCs w:val="1"/>
          <w:color w:val="FFFFFF"/>
        </w:rPr>
      </w:pPr>
      <w:r>
        <w:rPr>
          <w:rFonts w:ascii="Arial" w:cs="Arial" w:eastAsia="Arial" w:hAnsi="Arial"/>
          <w:sz w:val="13"/>
          <w:szCs w:val="13"/>
          <w:b w:val="1"/>
          <w:bCs w:val="1"/>
          <w:color w:val="FFFFFF"/>
        </w:rPr>
        <w:t xml:space="preserve">   Compensation Considerations    </w:t>
      </w:r>
    </w:p>
    <w:p>
      <w:pPr>
        <w:spacing w:after="0" w:line="342"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Determination of CEO Compensation</w:t>
      </w:r>
    </w:p>
    <w:p>
      <w:pPr>
        <w:spacing w:after="0" w:line="134" w:lineRule="exact"/>
        <w:rPr>
          <w:sz w:val="20"/>
          <w:szCs w:val="20"/>
          <w:color w:val="auto"/>
        </w:rPr>
      </w:pPr>
    </w:p>
    <w:p>
      <w:pPr>
        <w:ind w:left="4" w:right="140"/>
        <w:spacing w:after="0" w:line="254" w:lineRule="auto"/>
        <w:rPr>
          <w:sz w:val="20"/>
          <w:szCs w:val="20"/>
          <w:color w:val="auto"/>
        </w:rPr>
      </w:pPr>
      <w:r>
        <w:rPr>
          <w:rFonts w:ascii="Arial" w:cs="Arial" w:eastAsia="Arial" w:hAnsi="Arial"/>
          <w:sz w:val="16"/>
          <w:szCs w:val="16"/>
          <w:color w:val="333333"/>
        </w:rPr>
        <w:t>At each February Committee meeting, without the CEO present, the Committee reviews and evaluates CEO performance, and determines achievement levels for the prior year. At this meeting, the Committee also discusses an evaluation of the CEO’s performance, competitive compensation data, and salary and annual incentive pay recommendations with the independent members of the Board. In addition, the Committee reviews and discusses an award of RSUs and the target PSU grant size for the CEO at that meeting, which is also discussed with the independent members of the Board. The Committee’s independent compensation consultant provides the Committee with comparative compensation, background materials and analysis, and its recommendation in connection with these determinations.</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CEO Target Opportunity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179070</wp:posOffset>
            </wp:positionV>
            <wp:extent cx="6429375" cy="23488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42937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4" w:right="140" w:hanging="224"/>
        <w:spacing w:after="0" w:line="243" w:lineRule="auto"/>
        <w:tabs>
          <w:tab w:leader="none" w:pos="224" w:val="left"/>
        </w:tabs>
        <w:numPr>
          <w:ilvl w:val="0"/>
          <w:numId w:val="76"/>
        </w:numPr>
        <w:rPr>
          <w:rFonts w:ascii="Arial" w:cs="Arial" w:eastAsia="Arial" w:hAnsi="Arial"/>
          <w:sz w:val="13"/>
          <w:szCs w:val="13"/>
          <w:color w:val="333333"/>
        </w:rPr>
      </w:pPr>
      <w:r>
        <w:rPr>
          <w:rFonts w:ascii="Arial" w:cs="Arial" w:eastAsia="Arial" w:hAnsi="Arial"/>
          <w:sz w:val="13"/>
          <w:szCs w:val="13"/>
          <w:color w:val="333333"/>
        </w:rPr>
        <w:t>We consider base salary and annual incentives as short-term pay and PSUs and RSUs as long-term incentive (LTI) pay. We do not include retirement or other compensation components in the chart.</w:t>
      </w:r>
    </w:p>
    <w:p>
      <w:pPr>
        <w:spacing w:after="0" w:line="376"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508"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58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508" w:right="439" w:bottom="1440" w:gutter="0" w:footer="0" w:header="0"/>
          <w:type w:val="continuous"/>
        </w:sectPr>
      </w:pPr>
    </w:p>
    <w:bookmarkStart w:id="64" w:name="page65"/>
    <w:bookmarkEnd w:id="64"/>
    <w:p>
      <w:pPr>
        <w:jc w:val="right"/>
        <w:ind w:right="24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6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694690"/>
                    </a:xfrm>
                    <a:prstGeom prst="rect">
                      <a:avLst/>
                    </a:prstGeom>
                    <a:noFill/>
                  </pic:spPr>
                </pic:pic>
              </a:graphicData>
            </a:graphic>
          </wp:anchor>
        </w:drawing>
        <w:t xml:space="preserve">      Compensation Discussion    </w:t>
      </w:r>
    </w:p>
    <w:p>
      <w:pPr>
        <w:spacing w:after="0" w:line="15" w:lineRule="exact"/>
        <w:rPr>
          <w:sz w:val="20"/>
          <w:szCs w:val="20"/>
          <w:color w:val="auto"/>
        </w:rPr>
      </w:pPr>
    </w:p>
    <w:p>
      <w:pPr>
        <w:ind w:left="9264"/>
        <w:spacing w:after="0"/>
        <w:rPr>
          <w:sz w:val="20"/>
          <w:szCs w:val="20"/>
          <w:color w:val="auto"/>
        </w:rPr>
      </w:pPr>
      <w:r>
        <w:rPr>
          <w:rFonts w:ascii="Arial" w:cs="Arial" w:eastAsia="Arial" w:hAnsi="Arial"/>
          <w:sz w:val="14"/>
          <w:szCs w:val="14"/>
          <w:b w:val="1"/>
          <w:bCs w:val="1"/>
          <w:color w:val="FFFFFF"/>
        </w:rPr>
        <w:t>and Analysis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2025 Chair, President and CEO Compensation</w:t>
      </w:r>
    </w:p>
    <w:p>
      <w:pPr>
        <w:sectPr>
          <w:pgSz w:w="11900" w:h="16838" w:orient="portrait"/>
          <w:cols w:equalWidth="0" w:num="1">
            <w:col w:w="11024"/>
          </w:cols>
          <w:pgMar w:left="436" w:top="684" w:right="439" w:bottom="144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Base Salary</w:t>
      </w:r>
    </w:p>
    <w:p>
      <w:pPr>
        <w:spacing w:after="0" w:line="54" w:lineRule="exact"/>
        <w:rPr>
          <w:sz w:val="20"/>
          <w:szCs w:val="20"/>
          <w:color w:val="auto"/>
        </w:rPr>
      </w:pPr>
    </w:p>
    <w:p>
      <w:pPr>
        <w:ind w:left="4" w:right="660"/>
        <w:spacing w:after="0" w:line="286" w:lineRule="auto"/>
        <w:rPr>
          <w:sz w:val="20"/>
          <w:szCs w:val="20"/>
          <w:color w:val="auto"/>
        </w:rPr>
      </w:pPr>
      <w:r>
        <w:rPr>
          <w:rFonts w:ascii="Arial" w:cs="Arial" w:eastAsia="Arial" w:hAnsi="Arial"/>
          <w:sz w:val="16"/>
          <w:szCs w:val="16"/>
          <w:color w:val="333333"/>
        </w:rPr>
        <w:t>For 2025, Mr. Nye’s base salary was set at $1,385,000 (effective March 1, 2025), his first base salary increase in four years.</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2025 Annual Incentive</w:t>
      </w:r>
    </w:p>
    <w:p>
      <w:pPr>
        <w:spacing w:after="0" w:line="54"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333333"/>
        </w:rPr>
        <w:t>Mr. Nye’s target annual incentive amount for 2025 was $2,189,333 (160% of base salary received for the year). His actual annual incentive for 2025 was $4,051,753 or 185% of target, as determined by the Committee’s formulaic approach.</w:t>
      </w:r>
    </w:p>
    <w:p>
      <w:pPr>
        <w:spacing w:after="0" w:line="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2025-2027 Long-Term Incentives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6"/>
          <w:szCs w:val="16"/>
          <w:color w:val="333333"/>
        </w:rPr>
        <w:t>In 2025, Mr. Nye’s target LTI award was 635% of base salary. He was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granted an LTI award of $8,794,751, which was allocated 55%, or</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$4,837,113, in PSUs and 45%, or $3,957,638, in RSUs. The RSUs will</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vest pro rata over three years, while the vesting of PSUs will be based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upon our results relative to the three-year performance goals that were</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established in the beginning of 2025.</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Benefit and Retirement Plans</w:t>
      </w:r>
    </w:p>
    <w:p>
      <w:pPr>
        <w:spacing w:after="0" w:line="54" w:lineRule="exact"/>
        <w:rPr>
          <w:sz w:val="20"/>
          <w:szCs w:val="20"/>
          <w:color w:val="auto"/>
        </w:rPr>
      </w:pPr>
    </w:p>
    <w:p>
      <w:pPr>
        <w:ind w:left="4" w:right="160"/>
        <w:spacing w:after="0" w:line="254" w:lineRule="auto"/>
        <w:rPr>
          <w:sz w:val="20"/>
          <w:szCs w:val="20"/>
          <w:color w:val="auto"/>
        </w:rPr>
      </w:pPr>
      <w:r>
        <w:rPr>
          <w:rFonts w:ascii="Arial" w:cs="Arial" w:eastAsia="Arial" w:hAnsi="Arial"/>
          <w:sz w:val="16"/>
          <w:szCs w:val="16"/>
          <w:color w:val="333333"/>
        </w:rPr>
        <w:t>Mr.Nye is eligible for benefit and retirement programs similar to other employees. None of our executives received additional years of service credits or other forms of formula enhancements under our benefit or retirement plans. Our pension formula is based on years of service and pension eligible compensation. Mr. Nye is not eligible for retiree health benefits.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Perquisites</w:t>
      </w:r>
    </w:p>
    <w:p>
      <w:pPr>
        <w:spacing w:after="0" w:line="5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33333"/>
        </w:rPr>
        <w:t>Mr. Nye received limited executive perquisites. We provide Company-leased cars to the NEOs for their use. Additionally, we pay for the insurance, maintenance and fuel for such vehicles. The value of personal mileage is charged to the NEO as imputed income. We make the Company-owned aircraft available to the CEO and other senior executives for business travel. In February 2026, in connection with a security review, the Committee adopted a policy requiring the CEO to use Company-owned aircraft for personal travel. We do not provide other perquisites, such as country club memberships, to the NEOs. The Committee regularly reviews our policies and determines whether and to what extent perquisites should be modified or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2025 Target Pay Mix</w:t>
      </w:r>
    </w:p>
    <w:p>
      <w:pPr>
        <w:spacing w:after="0" w:line="5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333333"/>
        </w:rPr>
        <w:t>We believe that most of the compensation opportunities to our CEO should be variable and the variable elements of the compensation package should tie to the Company’s long-term success and the achievement of sustainable long-term total return to our shareholders. A significant portion of our CEO’s target compensation is variable and in the form of LTI, and more than half of total target pay is in the form of equity incentives.</w:t>
      </w:r>
    </w:p>
    <w:p>
      <w:pPr>
        <w:spacing w:after="0" w:line="1118" w:lineRule="exact"/>
        <w:rPr>
          <w:sz w:val="20"/>
          <w:szCs w:val="20"/>
          <w:color w:val="auto"/>
        </w:rPr>
      </w:pPr>
    </w:p>
    <w:p>
      <w:pPr>
        <w:sectPr>
          <w:pgSz w:w="11900" w:h="16838" w:orient="portrait"/>
          <w:cols w:equalWidth="0" w:num="2">
            <w:col w:w="5264" w:space="360"/>
            <w:col w:w="5400"/>
          </w:cols>
          <w:pgMar w:left="436" w:top="684" w:right="439" w:bottom="1440" w:gutter="0" w:footer="0" w:header="0"/>
          <w:type w:val="continuous"/>
        </w:sectPr>
      </w:pPr>
    </w:p>
    <w:p>
      <w:pPr>
        <w:spacing w:after="0" w:line="115"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2025 Named Executive Officers’ Compensation – Our Compensation Strategy</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Our executive compensation program is specifically designed to:</w:t>
      </w:r>
    </w:p>
    <w:p>
      <w:pPr>
        <w:spacing w:after="0" w:line="73" w:lineRule="exact"/>
        <w:rPr>
          <w:sz w:val="20"/>
          <w:szCs w:val="20"/>
          <w:color w:val="auto"/>
        </w:rPr>
      </w:pPr>
    </w:p>
    <w:p>
      <w:pPr>
        <w:ind w:left="224" w:hanging="224"/>
        <w:spacing w:after="0"/>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Attract and retain </w:t>
      </w:r>
      <w:r>
        <w:rPr>
          <w:rFonts w:ascii="Arial" w:cs="Arial" w:eastAsia="Arial" w:hAnsi="Arial"/>
          <w:sz w:val="16"/>
          <w:szCs w:val="16"/>
          <w:color w:val="333333"/>
        </w:rPr>
        <w:t>top-caliber, knowledgeable and experienced senior executives.</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Motivate </w:t>
      </w:r>
      <w:r>
        <w:rPr>
          <w:rFonts w:ascii="Arial" w:cs="Arial" w:eastAsia="Arial" w:hAnsi="Arial"/>
          <w:sz w:val="16"/>
          <w:szCs w:val="16"/>
          <w:color w:val="333333"/>
        </w:rPr>
        <w:t>our executives to achieve superior results and build long-term value for shareholders.</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Reward </w:t>
      </w:r>
      <w:r>
        <w:rPr>
          <w:rFonts w:ascii="Arial" w:cs="Arial" w:eastAsia="Arial" w:hAnsi="Arial"/>
          <w:sz w:val="16"/>
          <w:szCs w:val="16"/>
          <w:color w:val="333333"/>
        </w:rPr>
        <w:t>performance that meets or exceeds established goals consistent with our strategic aims and upholding integrity.</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Align individual objectives </w:t>
      </w:r>
      <w:r>
        <w:rPr>
          <w:rFonts w:ascii="Arial" w:cs="Arial" w:eastAsia="Arial" w:hAnsi="Arial"/>
          <w:sz w:val="16"/>
          <w:szCs w:val="16"/>
          <w:color w:val="333333"/>
        </w:rPr>
        <w:t>with the Company’s objectives without fostering excessive or inappropriate risk-taking.</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Encourage an ownership mentality </w:t>
      </w:r>
      <w:r>
        <w:rPr>
          <w:rFonts w:ascii="Arial" w:cs="Arial" w:eastAsia="Arial" w:hAnsi="Arial"/>
          <w:sz w:val="16"/>
          <w:szCs w:val="16"/>
          <w:color w:val="333333"/>
        </w:rPr>
        <w:t>and align the long-term financial interests of our executives with those of our shareholders.</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Be market competitive </w:t>
      </w:r>
      <w:r>
        <w:rPr>
          <w:rFonts w:ascii="Arial" w:cs="Arial" w:eastAsia="Arial" w:hAnsi="Arial"/>
          <w:sz w:val="16"/>
          <w:szCs w:val="16"/>
          <w:color w:val="333333"/>
        </w:rPr>
        <w:t>with our peers with whom we compete for talent.</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Provide reward systems that are measurable and easily understood </w:t>
      </w:r>
      <w:r>
        <w:rPr>
          <w:rFonts w:ascii="Arial" w:cs="Arial" w:eastAsia="Arial" w:hAnsi="Arial"/>
          <w:sz w:val="16"/>
          <w:szCs w:val="16"/>
          <w:color w:val="333333"/>
        </w:rPr>
        <w:t>by our executives and shareholders.</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Inspire exceptional management and resiliency </w:t>
      </w:r>
      <w:r>
        <w:rPr>
          <w:rFonts w:ascii="Arial" w:cs="Arial" w:eastAsia="Arial" w:hAnsi="Arial"/>
          <w:sz w:val="16"/>
          <w:szCs w:val="16"/>
          <w:color w:val="333333"/>
        </w:rPr>
        <w:t>in times of unexpected and extraordinary circumstances.</w:t>
      </w:r>
    </w:p>
    <w:p>
      <w:pPr>
        <w:spacing w:after="0" w:line="126" w:lineRule="exact"/>
        <w:rPr>
          <w:rFonts w:ascii="Arial" w:cs="Arial" w:eastAsia="Arial" w:hAnsi="Arial"/>
          <w:sz w:val="16"/>
          <w:szCs w:val="16"/>
          <w:color w:val="333333"/>
        </w:rPr>
      </w:pPr>
    </w:p>
    <w:p>
      <w:pPr>
        <w:ind w:left="224" w:right="120" w:hanging="224"/>
        <w:spacing w:after="0" w:line="286" w:lineRule="auto"/>
        <w:tabs>
          <w:tab w:leader="none" w:pos="224" w:val="left"/>
        </w:tabs>
        <w:numPr>
          <w:ilvl w:val="0"/>
          <w:numId w:val="77"/>
        </w:numPr>
        <w:rPr>
          <w:rFonts w:ascii="Arial" w:cs="Arial" w:eastAsia="Arial" w:hAnsi="Arial"/>
          <w:sz w:val="16"/>
          <w:szCs w:val="16"/>
          <w:color w:val="333333"/>
        </w:rPr>
      </w:pPr>
      <w:r>
        <w:rPr>
          <w:rFonts w:ascii="Arial" w:cs="Arial" w:eastAsia="Arial" w:hAnsi="Arial"/>
          <w:sz w:val="16"/>
          <w:szCs w:val="16"/>
          <w:b w:val="1"/>
          <w:bCs w:val="1"/>
          <w:color w:val="333333"/>
        </w:rPr>
        <w:t xml:space="preserve">Reinforce the succession planning </w:t>
      </w:r>
      <w:r>
        <w:rPr>
          <w:rFonts w:ascii="Arial" w:cs="Arial" w:eastAsia="Arial" w:hAnsi="Arial"/>
          <w:sz w:val="16"/>
          <w:szCs w:val="16"/>
          <w:color w:val="333333"/>
        </w:rPr>
        <w:t>process undertaken on a companywide basis by building bench strength and by identifying and retaining senior</w:t>
      </w:r>
      <w:r>
        <w:rPr>
          <w:rFonts w:ascii="Arial" w:cs="Arial" w:eastAsia="Arial" w:hAnsi="Arial"/>
          <w:sz w:val="16"/>
          <w:szCs w:val="16"/>
          <w:b w:val="1"/>
          <w:bCs w:val="1"/>
          <w:color w:val="333333"/>
        </w:rPr>
        <w:t xml:space="preserve"> </w:t>
      </w:r>
      <w:r>
        <w:rPr>
          <w:rFonts w:ascii="Arial" w:cs="Arial" w:eastAsia="Arial" w:hAnsi="Arial"/>
          <w:sz w:val="16"/>
          <w:szCs w:val="16"/>
          <w:color w:val="333333"/>
        </w:rPr>
        <w:t>leadership capable of achieving the Company’s long-term growth, profitability and other objectives.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pacing w:after="0" w:line="1" w:lineRule="exact"/>
        <w:rPr>
          <w:sz w:val="20"/>
          <w:szCs w:val="20"/>
          <w:color w:val="auto"/>
        </w:rPr>
      </w:pPr>
    </w:p>
    <w:p>
      <w:pPr>
        <w:ind w:left="4"/>
        <w:spacing w:after="0"/>
        <w:tabs>
          <w:tab w:leader="none" w:pos="4564" w:val="left"/>
          <w:tab w:leader="none" w:pos="9944" w:val="left"/>
        </w:tabs>
        <w:rPr>
          <w:sz w:val="20"/>
          <w:szCs w:val="20"/>
          <w:color w:val="auto"/>
        </w:rPr>
      </w:pPr>
      <w:r>
        <w:rPr>
          <w:rFonts w:ascii="Arial" w:cs="Arial" w:eastAsia="Arial" w:hAnsi="Arial"/>
          <w:sz w:val="16"/>
          <w:szCs w:val="16"/>
          <w:color w:val="333333"/>
        </w:rPr>
        <w:t xml:space="preserve">               </w:t>
      </w:r>
      <w:r>
        <w:rPr>
          <w:sz w:val="20"/>
          <w:szCs w:val="20"/>
          <w:color w:val="auto"/>
        </w:rPr>
        <w:tab/>
      </w:r>
      <w:r>
        <w:rPr>
          <w:rFonts w:ascii="Arial" w:cs="Arial" w:eastAsia="Arial" w:hAnsi="Arial"/>
          <w:sz w:val="16"/>
          <w:szCs w:val="16"/>
          <w:b w:val="1"/>
          <w:bCs w:val="1"/>
          <w:color w:val="auto"/>
        </w:rPr>
        <w:t>2026 PROXY STATEMENT</w:t>
      </w:r>
      <w:r>
        <w:rPr>
          <w:sz w:val="20"/>
          <w:szCs w:val="20"/>
          <w:color w:val="auto"/>
        </w:rPr>
        <w:tab/>
      </w:r>
      <w:r>
        <w:rPr>
          <w:rFonts w:ascii="Arial" w:cs="Arial" w:eastAsia="Arial" w:hAnsi="Arial"/>
          <w:sz w:val="16"/>
          <w:szCs w:val="16"/>
          <w:b w:val="1"/>
          <w:bCs w:val="1"/>
          <w:color w:val="0086CC"/>
        </w:rPr>
        <w:t xml:space="preserve">59 </w:t>
      </w:r>
      <w:r>
        <w:rPr>
          <w:rFonts w:ascii="Arial" w:cs="Arial" w:eastAsia="Arial" w:hAnsi="Arial"/>
          <w:sz w:val="16"/>
          <w:szCs w:val="16"/>
          <w:color w:val="333333"/>
        </w:rPr>
        <w:t xml:space="preserve">               </w:t>
      </w:r>
    </w:p>
    <w:p>
      <w:pPr>
        <w:sectPr>
          <w:pgSz w:w="11900" w:h="16838" w:orient="portrait"/>
          <w:cols w:equalWidth="0" w:num="1">
            <w:col w:w="11024"/>
          </w:cols>
          <w:pgMar w:left="436" w:top="684" w:right="439" w:bottom="1440" w:gutter="0" w:footer="0" w:header="0"/>
          <w:type w:val="continuous"/>
        </w:sectPr>
      </w:pPr>
    </w:p>
    <w:bookmarkStart w:id="65" w:name="page66"/>
    <w:bookmarkEnd w:id="65"/>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Compensation Discussion    </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FFFFFF"/>
        </w:rPr>
        <w:t>and Analysis</w:t>
      </w:r>
    </w:p>
    <w:p>
      <w:pPr>
        <w:spacing w:after="0" w:line="266"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333333"/>
        </w:rPr>
        <w:t>In 2025, our executive compensation structure consisted of three primary components: base salary, annual incentives, and long-term incentives. Within the long-term incentive component, we utilized a balanced portfolio of PSUs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125095</wp:posOffset>
            </wp:positionV>
            <wp:extent cx="3926205" cy="19888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9262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333333"/>
        </w:rPr>
        <w:t>Martin Marietta has a long-standing commitment to pay for performance. We fulfill that aim by providing a majority of compensation through programs in which the amounts ultimately received vary in order to best reflect our financial, operational and strategic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333333"/>
        </w:rPr>
        <w:t>The following table summarizes the key elements of our executive compensation program: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2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ELEMENT</w:t>
            </w:r>
          </w:p>
        </w:tc>
        <w:tc>
          <w:tcPr>
            <w:tcW w:w="4960" w:type="dxa"/>
            <w:vAlign w:val="bottom"/>
            <w:tcBorders>
              <w:bottom w:val="single" w:sz="8" w:color="0086CC"/>
            </w:tcBorders>
          </w:tcPr>
          <w:p>
            <w:pPr>
              <w:ind w:left="840"/>
              <w:spacing w:after="0"/>
              <w:rPr>
                <w:sz w:val="20"/>
                <w:szCs w:val="20"/>
                <w:color w:val="auto"/>
              </w:rPr>
            </w:pPr>
            <w:r>
              <w:rPr>
                <w:rFonts w:ascii="Arial" w:cs="Arial" w:eastAsia="Arial" w:hAnsi="Arial"/>
                <w:sz w:val="16"/>
                <w:szCs w:val="16"/>
                <w:b w:val="1"/>
                <w:bCs w:val="1"/>
                <w:color w:val="0086CC"/>
              </w:rPr>
              <w:t>PRIMARY PURPOSE</w:t>
            </w:r>
          </w:p>
        </w:tc>
        <w:tc>
          <w:tcPr>
            <w:tcW w:w="4140" w:type="dxa"/>
            <w:vAlign w:val="bottom"/>
            <w:tcBorders>
              <w:bottom w:val="single" w:sz="8" w:color="0086CC"/>
            </w:tcBorders>
          </w:tcPr>
          <w:p>
            <w:pPr>
              <w:ind w:left="100"/>
              <w:spacing w:after="0"/>
              <w:rPr>
                <w:sz w:val="20"/>
                <w:szCs w:val="20"/>
                <w:color w:val="auto"/>
              </w:rPr>
            </w:pPr>
            <w:r>
              <w:rPr>
                <w:rFonts w:ascii="Arial" w:cs="Arial" w:eastAsia="Arial" w:hAnsi="Arial"/>
                <w:sz w:val="16"/>
                <w:szCs w:val="16"/>
                <w:b w:val="1"/>
                <w:bCs w:val="1"/>
                <w:color w:val="0086CC"/>
              </w:rPr>
              <w:t>KEY CHARACTERISTICS</w:t>
            </w:r>
          </w:p>
        </w:tc>
      </w:tr>
      <w:tr>
        <w:trPr>
          <w:trHeight w:val="186"/>
        </w:trPr>
        <w:tc>
          <w:tcPr>
            <w:tcW w:w="1920" w:type="dxa"/>
            <w:vAlign w:val="bottom"/>
          </w:tcPr>
          <w:p>
            <w:pPr>
              <w:ind w:left="60"/>
              <w:spacing w:after="0" w:line="186" w:lineRule="exact"/>
              <w:rPr>
                <w:sz w:val="20"/>
                <w:szCs w:val="20"/>
                <w:color w:val="auto"/>
              </w:rPr>
            </w:pPr>
            <w:r>
              <w:rPr>
                <w:rFonts w:ascii="Arial" w:cs="Arial" w:eastAsia="Arial" w:hAnsi="Arial"/>
                <w:sz w:val="18"/>
                <w:szCs w:val="18"/>
                <w:b w:val="1"/>
                <w:bCs w:val="1"/>
                <w:color w:val="333333"/>
              </w:rPr>
              <w:t>Base Salary</w:t>
            </w:r>
          </w:p>
        </w:tc>
        <w:tc>
          <w:tcPr>
            <w:tcW w:w="4960" w:type="dxa"/>
            <w:vAlign w:val="bottom"/>
          </w:tcPr>
          <w:p>
            <w:pPr>
              <w:ind w:left="840"/>
              <w:spacing w:after="0"/>
              <w:rPr>
                <w:sz w:val="20"/>
                <w:szCs w:val="20"/>
                <w:color w:val="auto"/>
              </w:rPr>
            </w:pPr>
            <w:r>
              <w:rPr>
                <w:rFonts w:ascii="Arial" w:cs="Arial" w:eastAsia="Arial" w:hAnsi="Arial"/>
                <w:sz w:val="16"/>
                <w:szCs w:val="16"/>
                <w:color w:val="333333"/>
              </w:rPr>
              <w:t>To compensate the executive fairly and competitively for</w:t>
            </w:r>
          </w:p>
        </w:tc>
        <w:tc>
          <w:tcPr>
            <w:tcW w:w="4140" w:type="dxa"/>
            <w:vAlign w:val="bottom"/>
          </w:tcPr>
          <w:p>
            <w:pPr>
              <w:ind w:left="100"/>
              <w:spacing w:after="0"/>
              <w:rPr>
                <w:sz w:val="20"/>
                <w:szCs w:val="20"/>
                <w:color w:val="auto"/>
              </w:rPr>
            </w:pPr>
            <w:r>
              <w:rPr>
                <w:rFonts w:ascii="Arial" w:cs="Arial" w:eastAsia="Arial" w:hAnsi="Arial"/>
                <w:sz w:val="16"/>
                <w:szCs w:val="16"/>
                <w:color w:val="333333"/>
              </w:rPr>
              <w:t>Fixed compensation that is reviewed annually.</w:t>
            </w:r>
          </w:p>
        </w:tc>
      </w:tr>
      <w:tr>
        <w:trPr>
          <w:trHeight w:val="215"/>
        </w:trPr>
        <w:tc>
          <w:tcPr>
            <w:tcW w:w="1920" w:type="dxa"/>
            <w:vAlign w:val="bottom"/>
          </w:tcPr>
          <w:p>
            <w:pPr>
              <w:spacing w:after="0"/>
              <w:rPr>
                <w:sz w:val="18"/>
                <w:szCs w:val="18"/>
                <w:color w:val="auto"/>
              </w:rPr>
            </w:pPr>
          </w:p>
        </w:tc>
        <w:tc>
          <w:tcPr>
            <w:tcW w:w="4960" w:type="dxa"/>
            <w:vAlign w:val="bottom"/>
          </w:tcPr>
          <w:p>
            <w:pPr>
              <w:ind w:left="840"/>
              <w:spacing w:after="0"/>
              <w:rPr>
                <w:sz w:val="20"/>
                <w:szCs w:val="20"/>
                <w:color w:val="auto"/>
              </w:rPr>
            </w:pPr>
            <w:r>
              <w:rPr>
                <w:rFonts w:ascii="Arial" w:cs="Arial" w:eastAsia="Arial" w:hAnsi="Arial"/>
                <w:sz w:val="16"/>
                <w:szCs w:val="16"/>
                <w:color w:val="333333"/>
              </w:rPr>
              <w:t>the responsibility level of the position.</w:t>
            </w:r>
          </w:p>
        </w:tc>
        <w:tc>
          <w:tcPr>
            <w:tcW w:w="4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6995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p>
      <w:pPr>
        <w:spacing w:after="0" w:line="78"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8"/>
          <w:szCs w:val="18"/>
          <w:b w:val="1"/>
          <w:bCs w:val="1"/>
          <w:color w:val="333333"/>
        </w:rPr>
        <w:t>Annual Performance-Based</w:t>
      </w:r>
      <w:r>
        <w:rPr>
          <w:sz w:val="20"/>
          <w:szCs w:val="20"/>
          <w:color w:val="auto"/>
        </w:rPr>
        <w:tab/>
      </w:r>
      <w:r>
        <w:rPr>
          <w:rFonts w:ascii="Arial" w:cs="Arial" w:eastAsia="Arial" w:hAnsi="Arial"/>
          <w:sz w:val="16"/>
          <w:szCs w:val="16"/>
          <w:color w:val="333333"/>
        </w:rPr>
        <w:t>To motivate and reward organizational and individual</w:t>
      </w:r>
    </w:p>
    <w:p>
      <w:pPr>
        <w:ind w:left="60"/>
        <w:spacing w:after="0"/>
        <w:tabs>
          <w:tab w:leader="none" w:pos="2740" w:val="left"/>
        </w:tabs>
        <w:rPr>
          <w:sz w:val="20"/>
          <w:szCs w:val="20"/>
          <w:color w:val="auto"/>
        </w:rPr>
      </w:pPr>
      <w:r>
        <w:rPr>
          <w:rFonts w:ascii="Arial" w:cs="Arial" w:eastAsia="Arial" w:hAnsi="Arial"/>
          <w:sz w:val="18"/>
          <w:szCs w:val="18"/>
          <w:b w:val="1"/>
          <w:bCs w:val="1"/>
          <w:color w:val="333333"/>
        </w:rPr>
        <w:t>Incentive Awards</w:t>
      </w:r>
      <w:r>
        <w:rPr>
          <w:sz w:val="20"/>
          <w:szCs w:val="20"/>
          <w:color w:val="auto"/>
        </w:rPr>
        <w:tab/>
      </w:r>
      <w:r>
        <w:rPr>
          <w:rFonts w:ascii="Arial" w:cs="Arial" w:eastAsia="Arial" w:hAnsi="Arial"/>
          <w:sz w:val="16"/>
          <w:szCs w:val="16"/>
          <w:color w:val="333333"/>
        </w:rPr>
        <w:t>achievement of annual, Company and individual</w:t>
      </w:r>
    </w:p>
    <w:p>
      <w:pPr>
        <w:ind w:left="2760"/>
        <w:spacing w:after="0"/>
        <w:rPr>
          <w:sz w:val="20"/>
          <w:szCs w:val="20"/>
          <w:color w:val="auto"/>
        </w:rPr>
      </w:pPr>
      <w:r>
        <w:rPr>
          <w:rFonts w:ascii="Arial" w:cs="Arial" w:eastAsia="Arial" w:hAnsi="Arial"/>
          <w:sz w:val="16"/>
          <w:szCs w:val="16"/>
          <w:color w:val="333333"/>
        </w:rPr>
        <w:t>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173355</wp:posOffset>
            </wp:positionV>
            <wp:extent cx="699516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333333"/>
        </w:rPr>
        <w:t>Variable compensation component; value calculated through formula tied to pre-established Company financial, safety and sustainability goals with an individual performance modifier.</w:t>
      </w:r>
    </w:p>
    <w:p>
      <w:pPr>
        <w:spacing w:after="0" w:line="70" w:lineRule="exact"/>
        <w:rPr>
          <w:sz w:val="20"/>
          <w:szCs w:val="20"/>
          <w:color w:val="auto"/>
        </w:rPr>
      </w:pPr>
    </w:p>
    <w:p>
      <w:pPr>
        <w:sectPr>
          <w:pgSz w:w="11900" w:h="16838" w:orient="portrait"/>
          <w:cols w:equalWidth="0" w:num="2">
            <w:col w:w="6540" w:space="440"/>
            <w:col w:w="4040"/>
          </w:cols>
          <w:pgMar w:left="440" w:top="684" w:right="439" w:bottom="1440" w:gutter="0" w:footer="0" w:header="0"/>
          <w:type w:val="continuous"/>
        </w:sectPr>
      </w:pPr>
    </w:p>
    <w:p>
      <w:pPr>
        <w:ind w:left="320"/>
        <w:spacing w:after="0"/>
        <w:tabs>
          <w:tab w:leader="none" w:pos="2740" w:val="left"/>
        </w:tabs>
        <w:rPr>
          <w:sz w:val="20"/>
          <w:szCs w:val="20"/>
          <w:color w:val="auto"/>
        </w:rPr>
      </w:pPr>
      <w:r>
        <w:rPr>
          <w:rFonts w:ascii="Arial" w:cs="Arial" w:eastAsia="Arial" w:hAnsi="Arial"/>
          <w:sz w:val="16"/>
          <w:szCs w:val="16"/>
          <w:i w:val="1"/>
          <w:iCs w:val="1"/>
          <w:color w:val="333333"/>
        </w:rPr>
        <w:t>Incentive Stock Plan</w:t>
      </w:r>
      <w:r>
        <w:rPr>
          <w:sz w:val="20"/>
          <w:szCs w:val="20"/>
          <w:color w:val="auto"/>
        </w:rPr>
        <w:tab/>
      </w:r>
      <w:r>
        <w:rPr>
          <w:rFonts w:ascii="Arial" w:cs="Arial" w:eastAsia="Arial" w:hAnsi="Arial"/>
          <w:sz w:val="16"/>
          <w:szCs w:val="16"/>
          <w:color w:val="333333"/>
        </w:rPr>
        <w:t>To enable executives to invest certain levels of their</w:t>
      </w:r>
    </w:p>
    <w:p>
      <w:pPr>
        <w:spacing w:after="0" w:line="21" w:lineRule="exact"/>
        <w:rPr>
          <w:sz w:val="20"/>
          <w:szCs w:val="20"/>
          <w:color w:val="auto"/>
        </w:rPr>
      </w:pPr>
    </w:p>
    <w:p>
      <w:pPr>
        <w:ind w:left="2760"/>
        <w:spacing w:after="0" w:line="265" w:lineRule="auto"/>
        <w:rPr>
          <w:sz w:val="20"/>
          <w:szCs w:val="20"/>
          <w:color w:val="auto"/>
        </w:rPr>
      </w:pPr>
      <w:r>
        <w:rPr>
          <w:rFonts w:ascii="Arial" w:cs="Arial" w:eastAsia="Arial" w:hAnsi="Arial"/>
          <w:sz w:val="16"/>
          <w:szCs w:val="16"/>
          <w:color w:val="333333"/>
        </w:rPr>
        <w:t>annual incentive compensation into Martin Marietta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69951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86" w:lineRule="auto"/>
        <w:rPr>
          <w:sz w:val="20"/>
          <w:szCs w:val="20"/>
          <w:color w:val="auto"/>
        </w:rPr>
      </w:pPr>
      <w:r>
        <w:rPr>
          <w:rFonts w:ascii="Arial" w:cs="Arial" w:eastAsia="Arial" w:hAnsi="Arial"/>
          <w:sz w:val="16"/>
          <w:szCs w:val="16"/>
          <w:color w:val="333333"/>
        </w:rPr>
        <w:t>NEOs may elect to convert up to 50% of their annual cash incentive compensation into common stock units.</w:t>
      </w:r>
    </w:p>
    <w:p>
      <w:pPr>
        <w:spacing w:after="0" w:line="218" w:lineRule="exact"/>
        <w:rPr>
          <w:sz w:val="20"/>
          <w:szCs w:val="20"/>
          <w:color w:val="auto"/>
        </w:rPr>
      </w:pPr>
    </w:p>
    <w:p>
      <w:pPr>
        <w:sectPr>
          <w:pgSz w:w="11900" w:h="16838" w:orient="portrait"/>
          <w:cols w:equalWidth="0" w:num="2">
            <w:col w:w="6840" w:space="140"/>
            <w:col w:w="4040"/>
          </w:cols>
          <w:pgMar w:left="440" w:top="684" w:right="4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2560" w:type="dxa"/>
            <w:vAlign w:val="bottom"/>
          </w:tcPr>
          <w:p>
            <w:pPr>
              <w:spacing w:after="0"/>
              <w:rPr>
                <w:sz w:val="20"/>
                <w:szCs w:val="20"/>
                <w:color w:val="auto"/>
              </w:rPr>
            </w:pPr>
            <w:r>
              <w:rPr>
                <w:rFonts w:ascii="Arial" w:cs="Arial" w:eastAsia="Arial" w:hAnsi="Arial"/>
                <w:sz w:val="18"/>
                <w:szCs w:val="18"/>
                <w:b w:val="1"/>
                <w:bCs w:val="1"/>
                <w:color w:val="333333"/>
              </w:rPr>
              <w:t>Long-Term</w:t>
            </w:r>
          </w:p>
        </w:tc>
        <w:tc>
          <w:tcPr>
            <w:tcW w:w="4140" w:type="dxa"/>
            <w:vAlign w:val="bottom"/>
          </w:tcPr>
          <w:p>
            <w:pPr>
              <w:ind w:left="140"/>
              <w:spacing w:after="0"/>
              <w:rPr>
                <w:sz w:val="20"/>
                <w:szCs w:val="20"/>
                <w:color w:val="auto"/>
              </w:rPr>
            </w:pPr>
            <w:r>
              <w:rPr>
                <w:rFonts w:ascii="Arial" w:cs="Arial" w:eastAsia="Arial" w:hAnsi="Arial"/>
                <w:sz w:val="16"/>
                <w:szCs w:val="16"/>
                <w:color w:val="333333"/>
              </w:rPr>
              <w:t>To align executives with shareholder interests, to</w:t>
            </w:r>
          </w:p>
        </w:tc>
      </w:tr>
      <w:tr>
        <w:trPr>
          <w:trHeight w:val="190"/>
        </w:trPr>
        <w:tc>
          <w:tcPr>
            <w:tcW w:w="2560" w:type="dxa"/>
            <w:vAlign w:val="bottom"/>
          </w:tcPr>
          <w:p>
            <w:pPr>
              <w:spacing w:after="0" w:line="189" w:lineRule="exact"/>
              <w:rPr>
                <w:sz w:val="20"/>
                <w:szCs w:val="20"/>
                <w:color w:val="auto"/>
              </w:rPr>
            </w:pPr>
            <w:r>
              <w:rPr>
                <w:rFonts w:ascii="Arial" w:cs="Arial" w:eastAsia="Arial" w:hAnsi="Arial"/>
                <w:sz w:val="18"/>
                <w:szCs w:val="18"/>
                <w:b w:val="1"/>
                <w:bCs w:val="1"/>
                <w:color w:val="333333"/>
              </w:rPr>
              <w:t>Incentive Awards</w:t>
            </w:r>
          </w:p>
        </w:tc>
        <w:tc>
          <w:tcPr>
            <w:tcW w:w="4140" w:type="dxa"/>
            <w:vAlign w:val="bottom"/>
          </w:tcPr>
          <w:p>
            <w:pPr>
              <w:ind w:left="140"/>
              <w:spacing w:after="0"/>
              <w:rPr>
                <w:sz w:val="20"/>
                <w:szCs w:val="20"/>
                <w:color w:val="auto"/>
              </w:rPr>
            </w:pPr>
            <w:r>
              <w:rPr>
                <w:rFonts w:ascii="Arial" w:cs="Arial" w:eastAsia="Arial" w:hAnsi="Arial"/>
                <w:sz w:val="16"/>
                <w:szCs w:val="16"/>
                <w:color w:val="333333"/>
              </w:rPr>
              <w:t>reinforce long-term value creation, and to provide a</w:t>
            </w:r>
          </w:p>
        </w:tc>
      </w:tr>
      <w:tr>
        <w:trPr>
          <w:trHeight w:val="215"/>
        </w:trPr>
        <w:tc>
          <w:tcPr>
            <w:tcW w:w="256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6"/>
                <w:szCs w:val="16"/>
                <w:color w:val="333333"/>
              </w:rPr>
              <w:t>balanced portfolio of long-term incentive opportunities.</w:t>
            </w:r>
          </w:p>
        </w:tc>
      </w:tr>
      <w:tr>
        <w:trPr>
          <w:trHeight w:val="271"/>
        </w:trPr>
        <w:tc>
          <w:tcPr>
            <w:tcW w:w="2560" w:type="dxa"/>
            <w:vAlign w:val="bottom"/>
          </w:tcPr>
          <w:p>
            <w:pPr>
              <w:ind w:left="260"/>
              <w:spacing w:after="0"/>
              <w:rPr>
                <w:sz w:val="20"/>
                <w:szCs w:val="20"/>
                <w:color w:val="auto"/>
              </w:rPr>
            </w:pPr>
            <w:r>
              <w:rPr>
                <w:rFonts w:ascii="Arial" w:cs="Arial" w:eastAsia="Arial" w:hAnsi="Arial"/>
                <w:sz w:val="16"/>
                <w:szCs w:val="16"/>
                <w:i w:val="1"/>
                <w:iCs w:val="1"/>
                <w:color w:val="333333"/>
              </w:rPr>
              <w:t>Performance Share Units</w:t>
            </w:r>
          </w:p>
        </w:tc>
        <w:tc>
          <w:tcPr>
            <w:tcW w:w="4140" w:type="dxa"/>
            <w:vAlign w:val="bottom"/>
          </w:tcPr>
          <w:p>
            <w:pPr>
              <w:ind w:left="140"/>
              <w:spacing w:after="0"/>
              <w:rPr>
                <w:sz w:val="20"/>
                <w:szCs w:val="20"/>
                <w:color w:val="auto"/>
              </w:rPr>
            </w:pPr>
            <w:r>
              <w:rPr>
                <w:rFonts w:ascii="Arial" w:cs="Arial" w:eastAsia="Arial" w:hAnsi="Arial"/>
                <w:sz w:val="16"/>
                <w:szCs w:val="16"/>
                <w:color w:val="333333"/>
              </w:rPr>
              <w:t>To motivate executives by tying incentives to our multi-</w:t>
            </w:r>
          </w:p>
        </w:tc>
      </w:tr>
      <w:tr>
        <w:trPr>
          <w:trHeight w:val="189"/>
        </w:trPr>
        <w:tc>
          <w:tcPr>
            <w:tcW w:w="2560" w:type="dxa"/>
            <w:vAlign w:val="bottom"/>
          </w:tcPr>
          <w:p>
            <w:pPr>
              <w:ind w:left="260"/>
              <w:spacing w:after="0"/>
              <w:rPr>
                <w:sz w:val="20"/>
                <w:szCs w:val="20"/>
                <w:color w:val="auto"/>
              </w:rPr>
            </w:pPr>
            <w:r>
              <w:rPr>
                <w:rFonts w:ascii="Arial" w:cs="Arial" w:eastAsia="Arial" w:hAnsi="Arial"/>
                <w:sz w:val="16"/>
                <w:szCs w:val="16"/>
                <w:i w:val="1"/>
                <w:iCs w:val="1"/>
                <w:color w:val="333333"/>
              </w:rPr>
              <w:t>(PSUs)</w:t>
            </w:r>
          </w:p>
        </w:tc>
        <w:tc>
          <w:tcPr>
            <w:tcW w:w="4140" w:type="dxa"/>
            <w:vAlign w:val="bottom"/>
          </w:tcPr>
          <w:p>
            <w:pPr>
              <w:ind w:left="140"/>
              <w:spacing w:after="0"/>
              <w:rPr>
                <w:sz w:val="20"/>
                <w:szCs w:val="20"/>
                <w:color w:val="auto"/>
              </w:rPr>
            </w:pPr>
            <w:r>
              <w:rPr>
                <w:rFonts w:ascii="Arial" w:cs="Arial" w:eastAsia="Arial" w:hAnsi="Arial"/>
                <w:sz w:val="16"/>
                <w:szCs w:val="16"/>
                <w:color w:val="333333"/>
              </w:rPr>
              <w:t>year financial goals and relative TSR reinforcing the link</w:t>
            </w:r>
          </w:p>
        </w:tc>
      </w:tr>
      <w:tr>
        <w:trPr>
          <w:trHeight w:val="215"/>
        </w:trPr>
        <w:tc>
          <w:tcPr>
            <w:tcW w:w="256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6"/>
                <w:szCs w:val="16"/>
                <w:color w:val="333333"/>
              </w:rPr>
              <w:t>between our executive officers and our shareholders.</w:t>
            </w:r>
          </w:p>
        </w:tc>
      </w:tr>
      <w:tr>
        <w:trPr>
          <w:trHeight w:val="271"/>
        </w:trPr>
        <w:tc>
          <w:tcPr>
            <w:tcW w:w="2560" w:type="dxa"/>
            <w:vAlign w:val="bottom"/>
          </w:tcPr>
          <w:p>
            <w:pPr>
              <w:ind w:left="260"/>
              <w:spacing w:after="0"/>
              <w:rPr>
                <w:sz w:val="20"/>
                <w:szCs w:val="20"/>
                <w:color w:val="auto"/>
              </w:rPr>
            </w:pPr>
            <w:r>
              <w:rPr>
                <w:rFonts w:ascii="Arial" w:cs="Arial" w:eastAsia="Arial" w:hAnsi="Arial"/>
                <w:sz w:val="16"/>
                <w:szCs w:val="16"/>
                <w:i w:val="1"/>
                <w:iCs w:val="1"/>
                <w:color w:val="333333"/>
              </w:rPr>
              <w:t>Restricted Stock Units (RSUs)</w:t>
            </w:r>
          </w:p>
        </w:tc>
        <w:tc>
          <w:tcPr>
            <w:tcW w:w="4140" w:type="dxa"/>
            <w:vAlign w:val="bottom"/>
          </w:tcPr>
          <w:p>
            <w:pPr>
              <w:ind w:left="140"/>
              <w:spacing w:after="0"/>
              <w:rPr>
                <w:sz w:val="20"/>
                <w:szCs w:val="20"/>
                <w:color w:val="auto"/>
              </w:rPr>
            </w:pPr>
            <w:r>
              <w:rPr>
                <w:rFonts w:ascii="Arial" w:cs="Arial" w:eastAsia="Arial" w:hAnsi="Arial"/>
                <w:sz w:val="16"/>
                <w:szCs w:val="16"/>
                <w:color w:val="333333"/>
              </w:rPr>
              <w:t>To motivate the appropriate behaviors for delivering</w:t>
            </w:r>
          </w:p>
        </w:tc>
      </w:tr>
      <w:tr>
        <w:trPr>
          <w:trHeight w:val="215"/>
        </w:trPr>
        <w:tc>
          <w:tcPr>
            <w:tcW w:w="2560" w:type="dxa"/>
            <w:vAlign w:val="bottom"/>
          </w:tcPr>
          <w:p>
            <w:pPr>
              <w:spacing w:after="0"/>
              <w:rPr>
                <w:sz w:val="18"/>
                <w:szCs w:val="18"/>
                <w:color w:val="auto"/>
              </w:rPr>
            </w:pPr>
          </w:p>
        </w:tc>
        <w:tc>
          <w:tcPr>
            <w:tcW w:w="4140" w:type="dxa"/>
            <w:vAlign w:val="bottom"/>
          </w:tcPr>
          <w:p>
            <w:pPr>
              <w:ind w:left="140"/>
              <w:spacing w:after="0"/>
              <w:rPr>
                <w:sz w:val="20"/>
                <w:szCs w:val="20"/>
                <w:color w:val="auto"/>
              </w:rPr>
            </w:pPr>
            <w:r>
              <w:rPr>
                <w:rFonts w:ascii="Arial" w:cs="Arial" w:eastAsia="Arial" w:hAnsi="Arial"/>
                <w:sz w:val="16"/>
                <w:szCs w:val="16"/>
                <w:color w:val="333333"/>
              </w:rPr>
              <w:t>superior long-term total shareholder return.</w:t>
            </w:r>
          </w:p>
        </w:tc>
      </w:tr>
    </w:tbl>
    <w:p>
      <w:pPr>
        <w:spacing w:after="0" w:line="20" w:lineRule="exact"/>
        <w:rPr>
          <w:sz w:val="20"/>
          <w:szCs w:val="20"/>
          <w:color w:val="auto"/>
        </w:rPr>
      </w:pPr>
      <w:r>
        <w:rPr>
          <w:sz w:val="20"/>
          <w:szCs w:val="20"/>
          <w:color w:val="auto"/>
        </w:rPr>
        <w:br w:type="column"/>
      </w:r>
    </w:p>
    <w:p>
      <w:pPr>
        <w:ind w:right="220"/>
        <w:spacing w:after="0" w:line="266" w:lineRule="auto"/>
        <w:rPr>
          <w:sz w:val="20"/>
          <w:szCs w:val="20"/>
          <w:color w:val="auto"/>
        </w:rPr>
      </w:pPr>
      <w:r>
        <w:rPr>
          <w:rFonts w:ascii="Arial" w:cs="Arial" w:eastAsia="Arial" w:hAnsi="Arial"/>
          <w:sz w:val="16"/>
          <w:szCs w:val="16"/>
          <w:color w:val="333333"/>
        </w:rPr>
        <w:t>Variable compensation component. Reviewed and granted annually. Program splits long-term incentives for NEOs at 55% PSUs and 45% RSUs.</w:t>
      </w:r>
    </w:p>
    <w:p>
      <w:pPr>
        <w:spacing w:after="0" w:line="63"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333333"/>
        </w:rPr>
        <w:t>Grants based on three-year adjusted EBITDA and Sales Growth goals, with a modifier based on TSR performance relative to the S&amp;P 500 constituents.</w:t>
      </w:r>
    </w:p>
    <w:p>
      <w:pPr>
        <w:spacing w:after="0" w:line="63"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333333"/>
        </w:rPr>
        <w:t>Stock price growth. Awards are subject to continued employment over three years and executives benefit from higher share price.</w:t>
      </w:r>
    </w:p>
    <w:p>
      <w:pPr>
        <w:spacing w:after="0" w:line="30" w:lineRule="exact"/>
        <w:rPr>
          <w:sz w:val="20"/>
          <w:szCs w:val="20"/>
          <w:color w:val="auto"/>
        </w:rPr>
      </w:pPr>
    </w:p>
    <w:p>
      <w:pPr>
        <w:sectPr>
          <w:pgSz w:w="11900" w:h="16838" w:orient="portrait"/>
          <w:cols w:equalWidth="0" w:num="2">
            <w:col w:w="6760" w:space="220"/>
            <w:col w:w="4040"/>
          </w:cols>
          <w:pgMar w:left="440" w:top="684" w:right="4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440" w:type="dxa"/>
            <w:vAlign w:val="bottom"/>
            <w:tcBorders>
              <w:top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333333"/>
              </w:rPr>
              <w:t>Health/Welfare Plan and</w:t>
            </w:r>
          </w:p>
        </w:tc>
        <w:tc>
          <w:tcPr>
            <w:tcW w:w="434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333333"/>
              </w:rPr>
              <w:t>To provide competitive benefits promoting employee</w:t>
            </w:r>
          </w:p>
        </w:tc>
        <w:tc>
          <w:tcPr>
            <w:tcW w:w="424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333333"/>
              </w:rPr>
              <w:t>Fixed compensation component.</w:t>
            </w:r>
          </w:p>
        </w:tc>
        <w:tc>
          <w:tcPr>
            <w:tcW w:w="20" w:type="dxa"/>
            <w:vAlign w:val="bottom"/>
          </w:tcPr>
          <w:p>
            <w:pPr>
              <w:spacing w:after="0"/>
              <w:rPr>
                <w:sz w:val="17"/>
                <w:szCs w:val="17"/>
                <w:color w:val="auto"/>
              </w:rPr>
            </w:pPr>
          </w:p>
        </w:tc>
      </w:tr>
      <w:tr>
        <w:trPr>
          <w:trHeight w:val="256"/>
        </w:trPr>
        <w:tc>
          <w:tcPr>
            <w:tcW w:w="2440" w:type="dxa"/>
            <w:vAlign w:val="bottom"/>
          </w:tcPr>
          <w:p>
            <w:pPr>
              <w:ind w:left="60"/>
              <w:spacing w:after="0"/>
              <w:rPr>
                <w:sz w:val="20"/>
                <w:szCs w:val="20"/>
                <w:color w:val="auto"/>
              </w:rPr>
            </w:pPr>
            <w:r>
              <w:rPr>
                <w:rFonts w:ascii="Arial" w:cs="Arial" w:eastAsia="Arial" w:hAnsi="Arial"/>
                <w:sz w:val="18"/>
                <w:szCs w:val="18"/>
                <w:b w:val="1"/>
                <w:bCs w:val="1"/>
                <w:color w:val="333333"/>
              </w:rPr>
              <w:t>Retirement Benefits</w:t>
            </w:r>
          </w:p>
        </w:tc>
        <w:tc>
          <w:tcPr>
            <w:tcW w:w="4340" w:type="dxa"/>
            <w:vAlign w:val="bottom"/>
          </w:tcPr>
          <w:p>
            <w:pPr>
              <w:ind w:left="320"/>
              <w:spacing w:after="0"/>
              <w:rPr>
                <w:sz w:val="20"/>
                <w:szCs w:val="20"/>
                <w:color w:val="auto"/>
              </w:rPr>
            </w:pPr>
            <w:r>
              <w:rPr>
                <w:rFonts w:ascii="Arial" w:cs="Arial" w:eastAsia="Arial" w:hAnsi="Arial"/>
                <w:sz w:val="16"/>
                <w:szCs w:val="16"/>
                <w:color w:val="333333"/>
              </w:rPr>
              <w:t>health and productivity and support financial security.</w:t>
            </w:r>
          </w:p>
        </w:tc>
        <w:tc>
          <w:tcPr>
            <w:tcW w:w="4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
        </w:trPr>
        <w:tc>
          <w:tcPr>
            <w:tcW w:w="24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60" w:type="dxa"/>
            <w:vAlign w:val="bottom"/>
            <w:gridSpan w:val="2"/>
          </w:tcPr>
          <w:p>
            <w:pPr>
              <w:spacing w:after="0"/>
              <w:rPr>
                <w:sz w:val="2"/>
                <w:szCs w:val="2"/>
                <w:color w:val="auto"/>
              </w:rPr>
            </w:pPr>
          </w:p>
        </w:tc>
      </w:tr>
      <w:tr>
        <w:trPr>
          <w:trHeight w:val="182"/>
        </w:trPr>
        <w:tc>
          <w:tcPr>
            <w:tcW w:w="244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b w:val="1"/>
                <w:bCs w:val="1"/>
                <w:color w:val="333333"/>
              </w:rPr>
              <w:t>Perquisites and</w:t>
            </w:r>
          </w:p>
        </w:tc>
        <w:tc>
          <w:tcPr>
            <w:tcW w:w="4340" w:type="dxa"/>
            <w:vAlign w:val="bottom"/>
            <w:tcBorders>
              <w:top w:val="single" w:sz="8" w:color="auto"/>
            </w:tcBorders>
          </w:tcPr>
          <w:p>
            <w:pPr>
              <w:ind w:left="320"/>
              <w:spacing w:after="0" w:line="182" w:lineRule="exact"/>
              <w:rPr>
                <w:sz w:val="20"/>
                <w:szCs w:val="20"/>
                <w:color w:val="auto"/>
              </w:rPr>
            </w:pPr>
            <w:r>
              <w:rPr>
                <w:rFonts w:ascii="Arial" w:cs="Arial" w:eastAsia="Arial" w:hAnsi="Arial"/>
                <w:sz w:val="16"/>
                <w:szCs w:val="16"/>
                <w:color w:val="333333"/>
              </w:rPr>
              <w:t>To provide limited business-related benefits, where</w:t>
            </w:r>
          </w:p>
        </w:tc>
        <w:tc>
          <w:tcPr>
            <w:tcW w:w="4240" w:type="dxa"/>
            <w:vAlign w:val="bottom"/>
            <w:tcBorders>
              <w:top w:val="single" w:sz="8" w:color="auto"/>
            </w:tcBorders>
          </w:tcPr>
          <w:p>
            <w:pPr>
              <w:ind w:left="200"/>
              <w:spacing w:after="0" w:line="182" w:lineRule="exact"/>
              <w:rPr>
                <w:sz w:val="20"/>
                <w:szCs w:val="20"/>
                <w:color w:val="auto"/>
              </w:rPr>
            </w:pPr>
            <w:r>
              <w:rPr>
                <w:rFonts w:ascii="Arial" w:cs="Arial" w:eastAsia="Arial" w:hAnsi="Arial"/>
                <w:sz w:val="16"/>
                <w:szCs w:val="16"/>
                <w:color w:val="333333"/>
              </w:rPr>
              <w:t>Fixed compensation component.</w:t>
            </w:r>
          </w:p>
        </w:tc>
        <w:tc>
          <w:tcPr>
            <w:tcW w:w="20" w:type="dxa"/>
            <w:vAlign w:val="bottom"/>
          </w:tcPr>
          <w:p>
            <w:pPr>
              <w:spacing w:after="0"/>
              <w:rPr>
                <w:sz w:val="15"/>
                <w:szCs w:val="15"/>
                <w:color w:val="auto"/>
              </w:rPr>
            </w:pPr>
          </w:p>
        </w:tc>
      </w:tr>
      <w:tr>
        <w:trPr>
          <w:trHeight w:val="190"/>
        </w:trPr>
        <w:tc>
          <w:tcPr>
            <w:tcW w:w="2440" w:type="dxa"/>
            <w:vAlign w:val="bottom"/>
          </w:tcPr>
          <w:p>
            <w:pPr>
              <w:ind w:left="60"/>
              <w:spacing w:after="0" w:line="189" w:lineRule="exact"/>
              <w:rPr>
                <w:sz w:val="20"/>
                <w:szCs w:val="20"/>
                <w:color w:val="auto"/>
              </w:rPr>
            </w:pPr>
            <w:r>
              <w:rPr>
                <w:rFonts w:ascii="Arial" w:cs="Arial" w:eastAsia="Arial" w:hAnsi="Arial"/>
                <w:sz w:val="18"/>
                <w:szCs w:val="18"/>
                <w:b w:val="1"/>
                <w:bCs w:val="1"/>
                <w:color w:val="333333"/>
              </w:rPr>
              <w:t>Other Benefits</w:t>
            </w:r>
          </w:p>
        </w:tc>
        <w:tc>
          <w:tcPr>
            <w:tcW w:w="4340" w:type="dxa"/>
            <w:vAlign w:val="bottom"/>
          </w:tcPr>
          <w:p>
            <w:pPr>
              <w:ind w:left="320"/>
              <w:spacing w:after="0"/>
              <w:rPr>
                <w:sz w:val="20"/>
                <w:szCs w:val="20"/>
                <w:color w:val="auto"/>
              </w:rPr>
            </w:pPr>
            <w:r>
              <w:rPr>
                <w:rFonts w:ascii="Arial" w:cs="Arial" w:eastAsia="Arial" w:hAnsi="Arial"/>
                <w:sz w:val="16"/>
                <w:szCs w:val="16"/>
                <w:color w:val="333333"/>
              </w:rPr>
              <w:t>appropriate, and to assist in attracting and retaining</w:t>
            </w:r>
          </w:p>
        </w:tc>
        <w:tc>
          <w:tcPr>
            <w:tcW w:w="4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44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6"/>
                <w:szCs w:val="16"/>
                <w:color w:val="333333"/>
              </w:rPr>
              <w:t>executive officers.</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44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560"/>
        </w:trPr>
        <w:tc>
          <w:tcPr>
            <w:tcW w:w="2440" w:type="dxa"/>
            <w:vAlign w:val="bottom"/>
          </w:tcPr>
          <w:p>
            <w:pPr>
              <w:spacing w:after="0"/>
              <w:rPr>
                <w:sz w:val="20"/>
                <w:szCs w:val="20"/>
                <w:color w:val="auto"/>
              </w:rPr>
            </w:pPr>
            <w:r>
              <w:rPr>
                <w:rFonts w:ascii="Arial" w:cs="Arial" w:eastAsia="Arial" w:hAnsi="Arial"/>
                <w:sz w:val="16"/>
                <w:szCs w:val="16"/>
                <w:color w:val="333333"/>
              </w:rPr>
              <w:t> </w:t>
            </w:r>
          </w:p>
        </w:tc>
        <w:tc>
          <w:tcPr>
            <w:tcW w:w="4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60</w:t>
            </w:r>
          </w:p>
        </w:tc>
        <w:tc>
          <w:tcPr>
            <w:tcW w:w="4340" w:type="dxa"/>
            <w:vAlign w:val="bottom"/>
          </w:tcPr>
          <w:p>
            <w:pPr>
              <w:spacing w:after="0"/>
              <w:rPr>
                <w:sz w:val="19"/>
                <w:szCs w:val="19"/>
                <w:color w:val="auto"/>
              </w:rPr>
            </w:pPr>
          </w:p>
        </w:tc>
        <w:tc>
          <w:tcPr>
            <w:tcW w:w="4260" w:type="dxa"/>
            <w:vAlign w:val="bottom"/>
            <w:gridSpan w:val="2"/>
          </w:tcPr>
          <w:p>
            <w:pPr>
              <w:ind w:left="3460"/>
              <w:spacing w:after="0"/>
              <w:rPr>
                <w:sz w:val="20"/>
                <w:szCs w:val="20"/>
                <w:color w:val="auto"/>
              </w:rPr>
            </w:pPr>
            <w:r>
              <w:rPr>
                <w:rFonts w:ascii="Arial" w:cs="Arial" w:eastAsia="Arial" w:hAnsi="Arial"/>
                <w:sz w:val="16"/>
                <w:szCs w:val="16"/>
                <w:color w:val="333333"/>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995160" cy="6000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type w:val="continuous"/>
        </w:sectPr>
      </w:pPr>
    </w:p>
    <w:bookmarkStart w:id="66" w:name="page67"/>
    <w:bookmarkEnd w:id="66"/>
    <w:tbl>
      <w:tblPr>
        <w:tblLayout w:type="fixed"/>
        <w:tblInd w:w="4" w:type="dxa"/>
        <w:tblCellMar>
          <w:top w:w="0" w:type="dxa"/>
          <w:left w:w="0" w:type="dxa"/>
          <w:bottom w:w="0" w:type="dxa"/>
          <w:right w:w="0" w:type="dxa"/>
        </w:tblCellMar>
      </w:tblPr>
      <w:tr>
        <w:trPr>
          <w:trHeight w:val="531"/>
        </w:trPr>
        <w:tc>
          <w:tcPr>
            <w:tcW w:w="22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40" w:type="dxa"/>
            <w:vAlign w:val="bottom"/>
            <w:shd w:val="clear" w:color="auto" w:fill="4D5357"/>
          </w:tcPr>
          <w:p>
            <w:pPr>
              <w:ind w:left="220"/>
              <w:spacing w:after="0"/>
              <w:rPr>
                <w:sz w:val="20"/>
                <w:szCs w:val="20"/>
                <w:color w:val="auto"/>
              </w:rPr>
            </w:pPr>
            <w:r>
              <w:rPr>
                <w:rFonts w:ascii="Arial" w:cs="Arial" w:eastAsia="Arial" w:hAnsi="Arial"/>
                <w:sz w:val="14"/>
                <w:szCs w:val="14"/>
                <w:b w:val="1"/>
                <w:bCs w:val="1"/>
                <w:color w:val="FFFFFF"/>
              </w:rPr>
              <w:t xml:space="preserve">      Compensation Discussion    </w:t>
            </w:r>
          </w:p>
        </w:tc>
      </w:tr>
      <w:tr>
        <w:trPr>
          <w:trHeight w:val="196"/>
        </w:trPr>
        <w:tc>
          <w:tcPr>
            <w:tcW w:w="22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40" w:type="dxa"/>
            <w:vAlign w:val="bottom"/>
            <w:shd w:val="clear" w:color="auto" w:fill="4D5357"/>
          </w:tcPr>
          <w:p>
            <w:pPr>
              <w:ind w:left="980"/>
              <w:spacing w:after="0"/>
              <w:rPr>
                <w:sz w:val="20"/>
                <w:szCs w:val="20"/>
                <w:color w:val="auto"/>
              </w:rPr>
            </w:pPr>
            <w:r>
              <w:rPr>
                <w:rFonts w:ascii="Arial" w:cs="Arial" w:eastAsia="Arial" w:hAnsi="Arial"/>
                <w:sz w:val="14"/>
                <w:szCs w:val="14"/>
                <w:b w:val="1"/>
                <w:bCs w:val="1"/>
                <w:color w:val="FFFFFF"/>
              </w:rPr>
              <w:t>and Analysis</w:t>
            </w:r>
          </w:p>
        </w:tc>
      </w:tr>
      <w:tr>
        <w:trPr>
          <w:trHeight w:val="110"/>
        </w:trPr>
        <w:tc>
          <w:tcPr>
            <w:tcW w:w="22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740" w:type="dxa"/>
            <w:vAlign w:val="bottom"/>
            <w:shd w:val="clear" w:color="auto" w:fill="4D5357"/>
          </w:tcPr>
          <w:p>
            <w:pPr>
              <w:spacing w:after="0"/>
              <w:rPr>
                <w:sz w:val="9"/>
                <w:szCs w:val="9"/>
                <w:color w:val="auto"/>
              </w:rPr>
            </w:pPr>
          </w:p>
        </w:tc>
      </w:tr>
      <w:tr>
        <w:trPr>
          <w:trHeight w:val="361"/>
        </w:trPr>
        <w:tc>
          <w:tcPr>
            <w:tcW w:w="22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ELEMENT</w:t>
            </w:r>
          </w:p>
        </w:tc>
        <w:tc>
          <w:tcPr>
            <w:tcW w:w="4660" w:type="dxa"/>
            <w:vAlign w:val="bottom"/>
            <w:tcBorders>
              <w:bottom w:val="single" w:sz="8" w:color="0086CC"/>
            </w:tcBorders>
          </w:tcPr>
          <w:p>
            <w:pPr>
              <w:ind w:left="560"/>
              <w:spacing w:after="0"/>
              <w:rPr>
                <w:sz w:val="20"/>
                <w:szCs w:val="20"/>
                <w:color w:val="auto"/>
              </w:rPr>
            </w:pPr>
            <w:r>
              <w:rPr>
                <w:rFonts w:ascii="Arial" w:cs="Arial" w:eastAsia="Arial" w:hAnsi="Arial"/>
                <w:sz w:val="16"/>
                <w:szCs w:val="16"/>
                <w:b w:val="1"/>
                <w:bCs w:val="1"/>
                <w:color w:val="0086CC"/>
              </w:rPr>
              <w:t>PRIMARY PURPOSE</w:t>
            </w:r>
          </w:p>
        </w:tc>
        <w:tc>
          <w:tcPr>
            <w:tcW w:w="4160" w:type="dxa"/>
            <w:vAlign w:val="bottom"/>
            <w:tcBorders>
              <w:bottom w:val="single" w:sz="8" w:color="0086CC"/>
            </w:tcBorders>
            <w:gridSpan w:val="2"/>
          </w:tcPr>
          <w:p>
            <w:pPr>
              <w:ind w:left="120"/>
              <w:spacing w:after="0"/>
              <w:rPr>
                <w:sz w:val="20"/>
                <w:szCs w:val="20"/>
                <w:color w:val="auto"/>
              </w:rPr>
            </w:pPr>
            <w:r>
              <w:rPr>
                <w:rFonts w:ascii="Arial" w:cs="Arial" w:eastAsia="Arial" w:hAnsi="Arial"/>
                <w:sz w:val="16"/>
                <w:szCs w:val="16"/>
                <w:b w:val="1"/>
                <w:bCs w:val="1"/>
                <w:color w:val="0086CC"/>
              </w:rPr>
              <w:t>KEY CHARACTERISTICS</w:t>
            </w:r>
          </w:p>
        </w:tc>
      </w:tr>
      <w:tr>
        <w:trPr>
          <w:trHeight w:val="172"/>
        </w:trPr>
        <w:tc>
          <w:tcPr>
            <w:tcW w:w="2200" w:type="dxa"/>
            <w:vAlign w:val="bottom"/>
          </w:tcPr>
          <w:p>
            <w:pPr>
              <w:ind w:left="60"/>
              <w:spacing w:after="0" w:line="172" w:lineRule="exact"/>
              <w:rPr>
                <w:sz w:val="20"/>
                <w:szCs w:val="20"/>
                <w:color w:val="auto"/>
              </w:rPr>
            </w:pPr>
            <w:r>
              <w:rPr>
                <w:rFonts w:ascii="Arial" w:cs="Arial" w:eastAsia="Arial" w:hAnsi="Arial"/>
                <w:sz w:val="18"/>
                <w:szCs w:val="18"/>
                <w:b w:val="1"/>
                <w:bCs w:val="1"/>
                <w:color w:val="333333"/>
              </w:rPr>
              <w:t>Change-in-Control</w:t>
            </w:r>
          </w:p>
        </w:tc>
        <w:tc>
          <w:tcPr>
            <w:tcW w:w="4660" w:type="dxa"/>
            <w:vAlign w:val="bottom"/>
          </w:tcPr>
          <w:p>
            <w:pPr>
              <w:ind w:left="560"/>
              <w:spacing w:after="0" w:line="172" w:lineRule="exact"/>
              <w:rPr>
                <w:sz w:val="20"/>
                <w:szCs w:val="20"/>
                <w:color w:val="auto"/>
              </w:rPr>
            </w:pPr>
            <w:r>
              <w:rPr>
                <w:rFonts w:ascii="Arial" w:cs="Arial" w:eastAsia="Arial" w:hAnsi="Arial"/>
                <w:sz w:val="16"/>
                <w:szCs w:val="16"/>
                <w:color w:val="333333"/>
              </w:rPr>
              <w:t>To provide continuity of management and bridge future</w:t>
            </w:r>
          </w:p>
        </w:tc>
        <w:tc>
          <w:tcPr>
            <w:tcW w:w="4160" w:type="dxa"/>
            <w:vAlign w:val="bottom"/>
            <w:gridSpan w:val="2"/>
          </w:tcPr>
          <w:p>
            <w:pPr>
              <w:ind w:left="120"/>
              <w:spacing w:after="0" w:line="172" w:lineRule="exact"/>
              <w:rPr>
                <w:sz w:val="20"/>
                <w:szCs w:val="20"/>
                <w:color w:val="auto"/>
              </w:rPr>
            </w:pPr>
            <w:r>
              <w:rPr>
                <w:rFonts w:ascii="Arial" w:cs="Arial" w:eastAsia="Arial" w:hAnsi="Arial"/>
                <w:sz w:val="16"/>
                <w:szCs w:val="16"/>
                <w:color w:val="333333"/>
              </w:rPr>
              <w:t>Fixed compensation component; only paid in the event</w:t>
            </w:r>
          </w:p>
        </w:tc>
      </w:tr>
      <w:tr>
        <w:trPr>
          <w:trHeight w:val="190"/>
        </w:trPr>
        <w:tc>
          <w:tcPr>
            <w:tcW w:w="2200" w:type="dxa"/>
            <w:vAlign w:val="bottom"/>
          </w:tcPr>
          <w:p>
            <w:pPr>
              <w:ind w:left="60"/>
              <w:spacing w:after="0" w:line="189" w:lineRule="exact"/>
              <w:rPr>
                <w:sz w:val="20"/>
                <w:szCs w:val="20"/>
                <w:color w:val="auto"/>
              </w:rPr>
            </w:pPr>
            <w:r>
              <w:rPr>
                <w:rFonts w:ascii="Arial" w:cs="Arial" w:eastAsia="Arial" w:hAnsi="Arial"/>
                <w:sz w:val="18"/>
                <w:szCs w:val="18"/>
                <w:b w:val="1"/>
                <w:bCs w:val="1"/>
                <w:color w:val="333333"/>
              </w:rPr>
              <w:t>Protection</w:t>
            </w:r>
          </w:p>
        </w:tc>
        <w:tc>
          <w:tcPr>
            <w:tcW w:w="4660" w:type="dxa"/>
            <w:vAlign w:val="bottom"/>
          </w:tcPr>
          <w:p>
            <w:pPr>
              <w:ind w:left="560"/>
              <w:spacing w:after="0"/>
              <w:rPr>
                <w:sz w:val="20"/>
                <w:szCs w:val="20"/>
                <w:color w:val="auto"/>
              </w:rPr>
            </w:pPr>
            <w:r>
              <w:rPr>
                <w:rFonts w:ascii="Arial" w:cs="Arial" w:eastAsia="Arial" w:hAnsi="Arial"/>
                <w:sz w:val="16"/>
                <w:szCs w:val="16"/>
                <w:color w:val="333333"/>
              </w:rPr>
              <w:t>employment if terminated following a change in control.</w:t>
            </w:r>
          </w:p>
        </w:tc>
        <w:tc>
          <w:tcPr>
            <w:tcW w:w="4160" w:type="dxa"/>
            <w:vAlign w:val="bottom"/>
            <w:gridSpan w:val="2"/>
          </w:tcPr>
          <w:p>
            <w:pPr>
              <w:ind w:left="120"/>
              <w:spacing w:after="0"/>
              <w:rPr>
                <w:sz w:val="20"/>
                <w:szCs w:val="20"/>
                <w:color w:val="auto"/>
              </w:rPr>
            </w:pPr>
            <w:r>
              <w:rPr>
                <w:rFonts w:ascii="Arial" w:cs="Arial" w:eastAsia="Arial" w:hAnsi="Arial"/>
                <w:sz w:val="16"/>
                <w:szCs w:val="16"/>
                <w:color w:val="333333"/>
              </w:rPr>
              <w:t>the executive’s employment is terminated other than for</w:t>
            </w:r>
          </w:p>
        </w:tc>
      </w:tr>
      <w:tr>
        <w:trPr>
          <w:trHeight w:val="188"/>
        </w:trPr>
        <w:tc>
          <w:tcPr>
            <w:tcW w:w="22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160" w:type="dxa"/>
            <w:vAlign w:val="bottom"/>
            <w:gridSpan w:val="2"/>
          </w:tcPr>
          <w:p>
            <w:pPr>
              <w:ind w:left="120"/>
              <w:spacing w:after="0"/>
              <w:rPr>
                <w:sz w:val="20"/>
                <w:szCs w:val="20"/>
                <w:color w:val="auto"/>
              </w:rPr>
            </w:pPr>
            <w:r>
              <w:rPr>
                <w:rFonts w:ascii="Arial" w:cs="Arial" w:eastAsia="Arial" w:hAnsi="Arial"/>
                <w:sz w:val="16"/>
                <w:szCs w:val="16"/>
                <w:color w:val="333333"/>
              </w:rPr>
              <w:t>“cause” or for “good reason,” in either case, in</w:t>
            </w:r>
          </w:p>
        </w:tc>
      </w:tr>
      <w:tr>
        <w:trPr>
          <w:trHeight w:val="203"/>
        </w:trPr>
        <w:tc>
          <w:tcPr>
            <w:tcW w:w="220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333333"/>
              </w:rPr>
              <w:t>connection with a change in control.</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spacing w:after="0"/>
        <w:rPr>
          <w:sz w:val="20"/>
          <w:szCs w:val="20"/>
          <w:color w:val="auto"/>
        </w:rPr>
      </w:pPr>
      <w:r>
        <w:rPr>
          <w:rFonts w:ascii="Arial" w:cs="Arial" w:eastAsia="Arial" w:hAnsi="Arial"/>
          <w:sz w:val="27"/>
          <w:szCs w:val="27"/>
          <w:b w:val="1"/>
          <w:bCs w:val="1"/>
          <w:color w:val="0086CC"/>
        </w:rPr>
        <w:t>Considerations Regarding 2025 Compensation</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following chart summarizes the target compensation in our 2025 executive compensation program:</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218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PAY COMPONENT</w:t>
            </w:r>
          </w:p>
        </w:tc>
        <w:tc>
          <w:tcPr>
            <w:tcW w:w="8840" w:type="dxa"/>
            <w:vAlign w:val="bottom"/>
            <w:tcBorders>
              <w:bottom w:val="single" w:sz="8" w:color="0086CC"/>
            </w:tcBorders>
            <w:gridSpan w:val="2"/>
          </w:tcPr>
          <w:p>
            <w:pPr>
              <w:ind w:left="380"/>
              <w:spacing w:after="0"/>
              <w:rPr>
                <w:sz w:val="20"/>
                <w:szCs w:val="20"/>
                <w:color w:val="auto"/>
              </w:rPr>
            </w:pPr>
            <w:r>
              <w:rPr>
                <w:rFonts w:ascii="Arial" w:cs="Arial" w:eastAsia="Arial" w:hAnsi="Arial"/>
                <w:sz w:val="16"/>
                <w:szCs w:val="16"/>
                <w:b w:val="1"/>
                <w:bCs w:val="1"/>
                <w:color w:val="0086CC"/>
              </w:rPr>
              <w:t>SUMMARY</w:t>
            </w:r>
          </w:p>
        </w:tc>
      </w:tr>
      <w:tr>
        <w:trPr>
          <w:trHeight w:val="226"/>
        </w:trPr>
        <w:tc>
          <w:tcPr>
            <w:tcW w:w="2180" w:type="dxa"/>
            <w:vAlign w:val="bottom"/>
          </w:tcPr>
          <w:p>
            <w:pPr>
              <w:ind w:left="60"/>
              <w:spacing w:after="0"/>
              <w:rPr>
                <w:sz w:val="20"/>
                <w:szCs w:val="20"/>
                <w:color w:val="auto"/>
              </w:rPr>
            </w:pPr>
            <w:r>
              <w:rPr>
                <w:rFonts w:ascii="Arial" w:cs="Arial" w:eastAsia="Arial" w:hAnsi="Arial"/>
                <w:sz w:val="18"/>
                <w:szCs w:val="18"/>
                <w:b w:val="1"/>
                <w:bCs w:val="1"/>
                <w:color w:val="333333"/>
              </w:rPr>
              <w:t>Base Salary</w:t>
            </w:r>
          </w:p>
        </w:tc>
        <w:tc>
          <w:tcPr>
            <w:tcW w:w="480" w:type="dxa"/>
            <w:vAlign w:val="bottom"/>
          </w:tcPr>
          <w:p>
            <w:pPr>
              <w:ind w:left="380"/>
              <w:spacing w:after="0"/>
              <w:rPr>
                <w:sz w:val="20"/>
                <w:szCs w:val="20"/>
                <w:color w:val="auto"/>
              </w:rPr>
            </w:pPr>
            <w:r>
              <w:rPr>
                <w:rFonts w:ascii="Arial" w:cs="Arial" w:eastAsia="Arial" w:hAnsi="Arial"/>
                <w:sz w:val="16"/>
                <w:szCs w:val="16"/>
                <w:color w:val="333333"/>
              </w:rPr>
              <w:t>•</w:t>
            </w:r>
          </w:p>
        </w:tc>
        <w:tc>
          <w:tcPr>
            <w:tcW w:w="8360" w:type="dxa"/>
            <w:vAlign w:val="bottom"/>
          </w:tcPr>
          <w:p>
            <w:pPr>
              <w:ind w:left="40"/>
              <w:spacing w:after="0"/>
              <w:rPr>
                <w:sz w:val="20"/>
                <w:szCs w:val="20"/>
                <w:color w:val="auto"/>
              </w:rPr>
            </w:pPr>
            <w:r>
              <w:rPr>
                <w:rFonts w:ascii="Arial" w:cs="Arial" w:eastAsia="Arial" w:hAnsi="Arial"/>
                <w:sz w:val="16"/>
                <w:szCs w:val="16"/>
                <w:color w:val="333333"/>
              </w:rPr>
              <w:t>At the February 2025 meeting, the Committee reviewed competitive market data and individual performance</w:t>
            </w:r>
          </w:p>
        </w:tc>
      </w:tr>
      <w:tr>
        <w:trPr>
          <w:trHeight w:val="224"/>
        </w:trPr>
        <w:tc>
          <w:tcPr>
            <w:tcW w:w="2180" w:type="dxa"/>
            <w:vAlign w:val="bottom"/>
            <w:tcBorders>
              <w:bottom w:val="single" w:sz="8" w:color="4D5357"/>
            </w:tcBorders>
          </w:tcPr>
          <w:p>
            <w:pPr>
              <w:spacing w:after="0"/>
              <w:rPr>
                <w:sz w:val="19"/>
                <w:szCs w:val="19"/>
                <w:color w:val="auto"/>
              </w:rPr>
            </w:pPr>
          </w:p>
        </w:tc>
        <w:tc>
          <w:tcPr>
            <w:tcW w:w="480" w:type="dxa"/>
            <w:vAlign w:val="bottom"/>
            <w:tcBorders>
              <w:bottom w:val="single" w:sz="8" w:color="4D5357"/>
            </w:tcBorders>
          </w:tcPr>
          <w:p>
            <w:pPr>
              <w:spacing w:after="0"/>
              <w:rPr>
                <w:sz w:val="19"/>
                <w:szCs w:val="19"/>
                <w:color w:val="auto"/>
              </w:rPr>
            </w:pPr>
          </w:p>
        </w:tc>
        <w:tc>
          <w:tcPr>
            <w:tcW w:w="8360" w:type="dxa"/>
            <w:vAlign w:val="bottom"/>
            <w:tcBorders>
              <w:bottom w:val="single" w:sz="8" w:color="4D5357"/>
            </w:tcBorders>
          </w:tcPr>
          <w:p>
            <w:pPr>
              <w:ind w:left="40"/>
              <w:spacing w:after="0"/>
              <w:rPr>
                <w:sz w:val="20"/>
                <w:szCs w:val="20"/>
                <w:color w:val="auto"/>
              </w:rPr>
            </w:pPr>
            <w:r>
              <w:rPr>
                <w:rFonts w:ascii="Arial" w:cs="Arial" w:eastAsia="Arial" w:hAnsi="Arial"/>
                <w:sz w:val="16"/>
                <w:szCs w:val="16"/>
                <w:color w:val="333333"/>
              </w:rPr>
              <w:t>evaluations. Increases approved by the Committee were effective March 1, 2025.</w:t>
            </w:r>
          </w:p>
        </w:tc>
      </w:tr>
      <w:tr>
        <w:trPr>
          <w:trHeight w:val="229"/>
        </w:trPr>
        <w:tc>
          <w:tcPr>
            <w:tcW w:w="2180" w:type="dxa"/>
            <w:vAlign w:val="bottom"/>
          </w:tcPr>
          <w:p>
            <w:pPr>
              <w:ind w:left="60"/>
              <w:spacing w:after="0"/>
              <w:rPr>
                <w:sz w:val="20"/>
                <w:szCs w:val="20"/>
                <w:color w:val="auto"/>
              </w:rPr>
            </w:pPr>
            <w:r>
              <w:rPr>
                <w:rFonts w:ascii="Arial" w:cs="Arial" w:eastAsia="Arial" w:hAnsi="Arial"/>
                <w:sz w:val="18"/>
                <w:szCs w:val="18"/>
                <w:b w:val="1"/>
                <w:bCs w:val="1"/>
                <w:color w:val="333333"/>
              </w:rPr>
              <w:t>Target Annual Cash</w:t>
            </w:r>
          </w:p>
        </w:tc>
        <w:tc>
          <w:tcPr>
            <w:tcW w:w="480" w:type="dxa"/>
            <w:vAlign w:val="bottom"/>
          </w:tcPr>
          <w:p>
            <w:pPr>
              <w:ind w:left="380"/>
              <w:spacing w:after="0"/>
              <w:rPr>
                <w:sz w:val="20"/>
                <w:szCs w:val="20"/>
                <w:color w:val="auto"/>
              </w:rPr>
            </w:pPr>
            <w:r>
              <w:rPr>
                <w:rFonts w:ascii="Arial" w:cs="Arial" w:eastAsia="Arial" w:hAnsi="Arial"/>
                <w:sz w:val="16"/>
                <w:szCs w:val="16"/>
                <w:color w:val="333333"/>
              </w:rPr>
              <w:t>•</w:t>
            </w:r>
          </w:p>
        </w:tc>
        <w:tc>
          <w:tcPr>
            <w:tcW w:w="8360" w:type="dxa"/>
            <w:vAlign w:val="bottom"/>
          </w:tcPr>
          <w:p>
            <w:pPr>
              <w:ind w:left="40"/>
              <w:spacing w:after="0"/>
              <w:rPr>
                <w:sz w:val="20"/>
                <w:szCs w:val="20"/>
                <w:color w:val="auto"/>
              </w:rPr>
            </w:pPr>
            <w:r>
              <w:rPr>
                <w:rFonts w:ascii="Arial" w:cs="Arial" w:eastAsia="Arial" w:hAnsi="Arial"/>
                <w:sz w:val="16"/>
                <w:szCs w:val="16"/>
                <w:color w:val="333333"/>
              </w:rPr>
              <w:t>Our CEO’s target incentive for 2025 was 160% of base earnings. For other NEOs’ target incentives for 2025 were</w:t>
            </w:r>
          </w:p>
        </w:tc>
      </w:tr>
      <w:tr>
        <w:trPr>
          <w:trHeight w:val="256"/>
        </w:trPr>
        <w:tc>
          <w:tcPr>
            <w:tcW w:w="2180" w:type="dxa"/>
            <w:vAlign w:val="bottom"/>
          </w:tcPr>
          <w:p>
            <w:pPr>
              <w:ind w:left="60"/>
              <w:spacing w:after="0"/>
              <w:rPr>
                <w:sz w:val="20"/>
                <w:szCs w:val="20"/>
                <w:color w:val="auto"/>
              </w:rPr>
            </w:pPr>
            <w:r>
              <w:rPr>
                <w:rFonts w:ascii="Arial" w:cs="Arial" w:eastAsia="Arial" w:hAnsi="Arial"/>
                <w:sz w:val="18"/>
                <w:szCs w:val="18"/>
                <w:b w:val="1"/>
                <w:bCs w:val="1"/>
                <w:color w:val="333333"/>
              </w:rPr>
              <w:t>Incentives</w:t>
            </w:r>
          </w:p>
        </w:tc>
        <w:tc>
          <w:tcPr>
            <w:tcW w:w="480" w:type="dxa"/>
            <w:vAlign w:val="bottom"/>
          </w:tcPr>
          <w:p>
            <w:pPr>
              <w:spacing w:after="0"/>
              <w:rPr>
                <w:sz w:val="22"/>
                <w:szCs w:val="22"/>
                <w:color w:val="auto"/>
              </w:rPr>
            </w:pPr>
          </w:p>
        </w:tc>
        <w:tc>
          <w:tcPr>
            <w:tcW w:w="8360" w:type="dxa"/>
            <w:vAlign w:val="bottom"/>
          </w:tcPr>
          <w:p>
            <w:pPr>
              <w:ind w:left="40"/>
              <w:spacing w:after="0"/>
              <w:rPr>
                <w:sz w:val="20"/>
                <w:szCs w:val="20"/>
                <w:color w:val="auto"/>
              </w:rPr>
            </w:pPr>
            <w:r>
              <w:rPr>
                <w:rFonts w:ascii="Arial" w:cs="Arial" w:eastAsia="Arial" w:hAnsi="Arial"/>
                <w:sz w:val="16"/>
                <w:szCs w:val="16"/>
                <w:color w:val="333333"/>
              </w:rPr>
              <w:t>90% to 100% of base earnings.</w:t>
            </w:r>
          </w:p>
        </w:tc>
      </w:tr>
      <w:tr>
        <w:trPr>
          <w:trHeight w:val="190"/>
        </w:trPr>
        <w:tc>
          <w:tcPr>
            <w:tcW w:w="2180" w:type="dxa"/>
            <w:vAlign w:val="bottom"/>
          </w:tcPr>
          <w:p>
            <w:pPr>
              <w:spacing w:after="0"/>
              <w:rPr>
                <w:sz w:val="16"/>
                <w:szCs w:val="16"/>
                <w:color w:val="auto"/>
              </w:rPr>
            </w:pPr>
          </w:p>
        </w:tc>
        <w:tc>
          <w:tcPr>
            <w:tcW w:w="480" w:type="dxa"/>
            <w:vAlign w:val="bottom"/>
          </w:tcPr>
          <w:p>
            <w:pPr>
              <w:ind w:left="380"/>
              <w:spacing w:after="0"/>
              <w:rPr>
                <w:sz w:val="20"/>
                <w:szCs w:val="20"/>
                <w:color w:val="auto"/>
              </w:rPr>
            </w:pPr>
            <w:r>
              <w:rPr>
                <w:rFonts w:ascii="Arial" w:cs="Arial" w:eastAsia="Arial" w:hAnsi="Arial"/>
                <w:sz w:val="16"/>
                <w:szCs w:val="16"/>
                <w:color w:val="333333"/>
              </w:rPr>
              <w:t>•</w:t>
            </w:r>
          </w:p>
        </w:tc>
        <w:tc>
          <w:tcPr>
            <w:tcW w:w="8360" w:type="dxa"/>
            <w:vAlign w:val="bottom"/>
          </w:tcPr>
          <w:p>
            <w:pPr>
              <w:ind w:left="40"/>
              <w:spacing w:after="0"/>
              <w:rPr>
                <w:sz w:val="20"/>
                <w:szCs w:val="20"/>
                <w:color w:val="auto"/>
              </w:rPr>
            </w:pPr>
            <w:r>
              <w:rPr>
                <w:rFonts w:ascii="Arial" w:cs="Arial" w:eastAsia="Arial" w:hAnsi="Arial"/>
                <w:sz w:val="16"/>
                <w:szCs w:val="16"/>
                <w:color w:val="333333"/>
              </w:rPr>
              <w:t>Our CEO and other NEOs have the option to invest up to 50% of their annual cash bonuses into stock units, which</w:t>
            </w:r>
          </w:p>
        </w:tc>
      </w:tr>
      <w:tr>
        <w:trPr>
          <w:trHeight w:val="224"/>
        </w:trPr>
        <w:tc>
          <w:tcPr>
            <w:tcW w:w="2180" w:type="dxa"/>
            <w:vAlign w:val="bottom"/>
            <w:tcBorders>
              <w:bottom w:val="single" w:sz="8" w:color="4D5357"/>
            </w:tcBorders>
          </w:tcPr>
          <w:p>
            <w:pPr>
              <w:spacing w:after="0"/>
              <w:rPr>
                <w:sz w:val="19"/>
                <w:szCs w:val="19"/>
                <w:color w:val="auto"/>
              </w:rPr>
            </w:pPr>
          </w:p>
        </w:tc>
        <w:tc>
          <w:tcPr>
            <w:tcW w:w="480" w:type="dxa"/>
            <w:vAlign w:val="bottom"/>
            <w:tcBorders>
              <w:bottom w:val="single" w:sz="8" w:color="4D5357"/>
            </w:tcBorders>
          </w:tcPr>
          <w:p>
            <w:pPr>
              <w:spacing w:after="0"/>
              <w:rPr>
                <w:sz w:val="19"/>
                <w:szCs w:val="19"/>
                <w:color w:val="auto"/>
              </w:rPr>
            </w:pPr>
          </w:p>
        </w:tc>
        <w:tc>
          <w:tcPr>
            <w:tcW w:w="8360" w:type="dxa"/>
            <w:vAlign w:val="bottom"/>
            <w:tcBorders>
              <w:bottom w:val="single" w:sz="8" w:color="4D5357"/>
            </w:tcBorders>
          </w:tcPr>
          <w:p>
            <w:pPr>
              <w:ind w:left="40"/>
              <w:spacing w:after="0"/>
              <w:rPr>
                <w:sz w:val="20"/>
                <w:szCs w:val="20"/>
                <w:color w:val="auto"/>
              </w:rPr>
            </w:pPr>
            <w:r>
              <w:rPr>
                <w:rFonts w:ascii="Arial" w:cs="Arial" w:eastAsia="Arial" w:hAnsi="Arial"/>
                <w:sz w:val="16"/>
                <w:szCs w:val="16"/>
                <w:color w:val="333333"/>
              </w:rPr>
              <w:t>are required to be held generally for a period of approximately three years.</w:t>
            </w:r>
          </w:p>
        </w:tc>
      </w:tr>
      <w:tr>
        <w:trPr>
          <w:trHeight w:val="238"/>
        </w:trPr>
        <w:tc>
          <w:tcPr>
            <w:tcW w:w="2180" w:type="dxa"/>
            <w:vAlign w:val="bottom"/>
          </w:tcPr>
          <w:p>
            <w:pPr>
              <w:ind w:left="60"/>
              <w:spacing w:after="0"/>
              <w:rPr>
                <w:sz w:val="20"/>
                <w:szCs w:val="20"/>
                <w:color w:val="auto"/>
              </w:rPr>
            </w:pPr>
            <w:r>
              <w:rPr>
                <w:rFonts w:ascii="Arial" w:cs="Arial" w:eastAsia="Arial" w:hAnsi="Arial"/>
                <w:sz w:val="18"/>
                <w:szCs w:val="18"/>
                <w:b w:val="1"/>
                <w:bCs w:val="1"/>
                <w:color w:val="333333"/>
              </w:rPr>
              <w:t>Long-Term</w:t>
            </w:r>
          </w:p>
        </w:tc>
        <w:tc>
          <w:tcPr>
            <w:tcW w:w="480" w:type="dxa"/>
            <w:vAlign w:val="bottom"/>
          </w:tcPr>
          <w:p>
            <w:pPr>
              <w:ind w:left="380"/>
              <w:spacing w:after="0"/>
              <w:rPr>
                <w:sz w:val="20"/>
                <w:szCs w:val="20"/>
                <w:color w:val="auto"/>
              </w:rPr>
            </w:pPr>
            <w:r>
              <w:rPr>
                <w:rFonts w:ascii="Arial" w:cs="Arial" w:eastAsia="Arial" w:hAnsi="Arial"/>
                <w:sz w:val="16"/>
                <w:szCs w:val="16"/>
                <w:color w:val="333333"/>
              </w:rPr>
              <w:t>•</w:t>
            </w:r>
          </w:p>
        </w:tc>
        <w:tc>
          <w:tcPr>
            <w:tcW w:w="8360" w:type="dxa"/>
            <w:vAlign w:val="bottom"/>
          </w:tcPr>
          <w:p>
            <w:pPr>
              <w:ind w:left="40"/>
              <w:spacing w:after="0"/>
              <w:rPr>
                <w:sz w:val="20"/>
                <w:szCs w:val="20"/>
                <w:color w:val="auto"/>
              </w:rPr>
            </w:pPr>
            <w:r>
              <w:rPr>
                <w:rFonts w:ascii="Arial" w:cs="Arial" w:eastAsia="Arial" w:hAnsi="Arial"/>
                <w:sz w:val="16"/>
                <w:szCs w:val="16"/>
                <w:color w:val="333333"/>
              </w:rPr>
              <w:t>Our LTI structure consists of PSUs and RSUs.</w:t>
            </w:r>
          </w:p>
        </w:tc>
      </w:tr>
      <w:tr>
        <w:trPr>
          <w:trHeight w:val="248"/>
        </w:trPr>
        <w:tc>
          <w:tcPr>
            <w:tcW w:w="2180" w:type="dxa"/>
            <w:vAlign w:val="bottom"/>
          </w:tcPr>
          <w:p>
            <w:pPr>
              <w:ind w:left="60"/>
              <w:spacing w:after="0"/>
              <w:rPr>
                <w:sz w:val="20"/>
                <w:szCs w:val="20"/>
                <w:color w:val="auto"/>
              </w:rPr>
            </w:pPr>
            <w:r>
              <w:rPr>
                <w:rFonts w:ascii="Arial" w:cs="Arial" w:eastAsia="Arial" w:hAnsi="Arial"/>
                <w:sz w:val="18"/>
                <w:szCs w:val="18"/>
                <w:b w:val="1"/>
                <w:bCs w:val="1"/>
                <w:color w:val="333333"/>
              </w:rPr>
              <w:t>Incentives</w:t>
            </w:r>
          </w:p>
        </w:tc>
        <w:tc>
          <w:tcPr>
            <w:tcW w:w="8840" w:type="dxa"/>
            <w:vAlign w:val="bottom"/>
            <w:gridSpan w:val="2"/>
          </w:tcPr>
          <w:p>
            <w:pPr>
              <w:ind w:left="380"/>
              <w:spacing w:after="0"/>
              <w:rPr>
                <w:sz w:val="20"/>
                <w:szCs w:val="20"/>
                <w:color w:val="auto"/>
              </w:rPr>
            </w:pPr>
            <w:r>
              <w:rPr>
                <w:rFonts w:ascii="Arial" w:cs="Arial" w:eastAsia="Arial" w:hAnsi="Arial"/>
                <w:sz w:val="16"/>
                <w:szCs w:val="16"/>
                <w:color w:val="333333"/>
              </w:rPr>
              <w:t>• The LTI awards for NEOs in 2025 were weighted 55% PSUs and 45% RSUs. The LTI grant size is based on</w:t>
            </w:r>
          </w:p>
        </w:tc>
      </w:tr>
      <w:tr>
        <w:trPr>
          <w:trHeight w:val="215"/>
        </w:trPr>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60" w:type="dxa"/>
            <w:vAlign w:val="bottom"/>
          </w:tcPr>
          <w:p>
            <w:pPr>
              <w:ind w:left="40"/>
              <w:spacing w:after="0"/>
              <w:rPr>
                <w:sz w:val="20"/>
                <w:szCs w:val="20"/>
                <w:color w:val="auto"/>
              </w:rPr>
            </w:pPr>
            <w:r>
              <w:rPr>
                <w:rFonts w:ascii="Arial" w:cs="Arial" w:eastAsia="Arial" w:hAnsi="Arial"/>
                <w:sz w:val="16"/>
                <w:szCs w:val="16"/>
                <w:color w:val="333333"/>
              </w:rPr>
              <w:t>competitive market data.</w:t>
            </w:r>
          </w:p>
        </w:tc>
      </w:tr>
      <w:tr>
        <w:trPr>
          <w:trHeight w:val="231"/>
        </w:trPr>
        <w:tc>
          <w:tcPr>
            <w:tcW w:w="2180" w:type="dxa"/>
            <w:vAlign w:val="bottom"/>
          </w:tcPr>
          <w:p>
            <w:pPr>
              <w:spacing w:after="0"/>
              <w:rPr>
                <w:sz w:val="20"/>
                <w:szCs w:val="20"/>
                <w:color w:val="auto"/>
              </w:rPr>
            </w:pPr>
          </w:p>
        </w:tc>
        <w:tc>
          <w:tcPr>
            <w:tcW w:w="480" w:type="dxa"/>
            <w:vAlign w:val="bottom"/>
          </w:tcPr>
          <w:p>
            <w:pPr>
              <w:ind w:left="380"/>
              <w:spacing w:after="0"/>
              <w:rPr>
                <w:sz w:val="20"/>
                <w:szCs w:val="20"/>
                <w:color w:val="auto"/>
              </w:rPr>
            </w:pPr>
            <w:r>
              <w:rPr>
                <w:rFonts w:ascii="Arial" w:cs="Arial" w:eastAsia="Arial" w:hAnsi="Arial"/>
                <w:sz w:val="16"/>
                <w:szCs w:val="16"/>
                <w:color w:val="333333"/>
              </w:rPr>
              <w:t>•</w:t>
            </w:r>
          </w:p>
        </w:tc>
        <w:tc>
          <w:tcPr>
            <w:tcW w:w="8360" w:type="dxa"/>
            <w:vAlign w:val="bottom"/>
          </w:tcPr>
          <w:p>
            <w:pPr>
              <w:ind w:left="40"/>
              <w:spacing w:after="0"/>
              <w:rPr>
                <w:sz w:val="20"/>
                <w:szCs w:val="20"/>
                <w:color w:val="auto"/>
              </w:rPr>
            </w:pPr>
            <w:r>
              <w:rPr>
                <w:rFonts w:ascii="Arial" w:cs="Arial" w:eastAsia="Arial" w:hAnsi="Arial"/>
                <w:sz w:val="16"/>
                <w:szCs w:val="16"/>
                <w:color w:val="333333"/>
              </w:rPr>
              <w:t>PSU awards in 2025 are earned based on achievement of performance levels, with 33% based on three-year</w:t>
            </w:r>
          </w:p>
        </w:tc>
      </w:tr>
      <w:tr>
        <w:trPr>
          <w:trHeight w:val="189"/>
        </w:trPr>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360" w:type="dxa"/>
            <w:vAlign w:val="bottom"/>
          </w:tcPr>
          <w:p>
            <w:pPr>
              <w:ind w:left="40"/>
              <w:spacing w:after="0"/>
              <w:rPr>
                <w:sz w:val="20"/>
                <w:szCs w:val="20"/>
                <w:color w:val="auto"/>
              </w:rPr>
            </w:pPr>
            <w:r>
              <w:rPr>
                <w:rFonts w:ascii="Arial" w:cs="Arial" w:eastAsia="Arial" w:hAnsi="Arial"/>
                <w:sz w:val="16"/>
                <w:szCs w:val="16"/>
                <w:color w:val="333333"/>
              </w:rPr>
              <w:t>cumulative Sales Growth and 67% based on three-year cumulative adjusted EBITDA performance. The Company’s</w:t>
            </w:r>
          </w:p>
        </w:tc>
      </w:tr>
      <w:tr>
        <w:trPr>
          <w:trHeight w:val="189"/>
        </w:trPr>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360" w:type="dxa"/>
            <w:vAlign w:val="bottom"/>
          </w:tcPr>
          <w:p>
            <w:pPr>
              <w:ind w:left="40"/>
              <w:spacing w:after="0"/>
              <w:rPr>
                <w:sz w:val="20"/>
                <w:szCs w:val="20"/>
                <w:color w:val="auto"/>
              </w:rPr>
            </w:pPr>
            <w:r>
              <w:rPr>
                <w:rFonts w:ascii="Arial" w:cs="Arial" w:eastAsia="Arial" w:hAnsi="Arial"/>
                <w:sz w:val="16"/>
                <w:szCs w:val="16"/>
                <w:color w:val="333333"/>
              </w:rPr>
              <w:t>relative TSR ranking compared to the S&amp;P 500 provides a modifier to the award, which may be adjusted up or down</w:t>
            </w:r>
          </w:p>
        </w:tc>
      </w:tr>
      <w:tr>
        <w:trPr>
          <w:trHeight w:val="215"/>
        </w:trPr>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60" w:type="dxa"/>
            <w:vAlign w:val="bottom"/>
          </w:tcPr>
          <w:p>
            <w:pPr>
              <w:ind w:left="40"/>
              <w:spacing w:after="0"/>
              <w:rPr>
                <w:sz w:val="20"/>
                <w:szCs w:val="20"/>
                <w:color w:val="auto"/>
              </w:rPr>
            </w:pPr>
            <w:r>
              <w:rPr>
                <w:rFonts w:ascii="Arial" w:cs="Arial" w:eastAsia="Arial" w:hAnsi="Arial"/>
                <w:sz w:val="16"/>
                <w:szCs w:val="16"/>
                <w:color w:val="333333"/>
              </w:rPr>
              <w:t>by up to 20%.</w:t>
            </w:r>
          </w:p>
        </w:tc>
      </w:tr>
      <w:tr>
        <w:trPr>
          <w:trHeight w:val="266"/>
        </w:trPr>
        <w:tc>
          <w:tcPr>
            <w:tcW w:w="2180" w:type="dxa"/>
            <w:vAlign w:val="bottom"/>
            <w:tcBorders>
              <w:bottom w:val="single" w:sz="8" w:color="4D5357"/>
            </w:tcBorders>
          </w:tcPr>
          <w:p>
            <w:pPr>
              <w:spacing w:after="0"/>
              <w:rPr>
                <w:sz w:val="23"/>
                <w:szCs w:val="23"/>
                <w:color w:val="auto"/>
              </w:rPr>
            </w:pPr>
          </w:p>
        </w:tc>
        <w:tc>
          <w:tcPr>
            <w:tcW w:w="480" w:type="dxa"/>
            <w:vAlign w:val="bottom"/>
            <w:tcBorders>
              <w:bottom w:val="single" w:sz="8" w:color="4D5357"/>
            </w:tcBorders>
          </w:tcPr>
          <w:p>
            <w:pPr>
              <w:ind w:left="380"/>
              <w:spacing w:after="0"/>
              <w:rPr>
                <w:sz w:val="20"/>
                <w:szCs w:val="20"/>
                <w:color w:val="auto"/>
              </w:rPr>
            </w:pPr>
            <w:r>
              <w:rPr>
                <w:rFonts w:ascii="Arial" w:cs="Arial" w:eastAsia="Arial" w:hAnsi="Arial"/>
                <w:sz w:val="16"/>
                <w:szCs w:val="16"/>
                <w:color w:val="333333"/>
              </w:rPr>
              <w:t>•</w:t>
            </w:r>
          </w:p>
        </w:tc>
        <w:tc>
          <w:tcPr>
            <w:tcW w:w="8360" w:type="dxa"/>
            <w:vAlign w:val="bottom"/>
            <w:tcBorders>
              <w:bottom w:val="single" w:sz="8" w:color="4D5357"/>
            </w:tcBorders>
          </w:tcPr>
          <w:p>
            <w:pPr>
              <w:ind w:left="40"/>
              <w:spacing w:after="0"/>
              <w:rPr>
                <w:sz w:val="20"/>
                <w:szCs w:val="20"/>
                <w:color w:val="auto"/>
              </w:rPr>
            </w:pPr>
            <w:r>
              <w:rPr>
                <w:rFonts w:ascii="Arial" w:cs="Arial" w:eastAsia="Arial" w:hAnsi="Arial"/>
                <w:sz w:val="16"/>
                <w:szCs w:val="16"/>
                <w:color w:val="333333"/>
              </w:rPr>
              <w:t>RSU and PSU awards are generally subject to continued employment for three years</w:t>
            </w:r>
          </w:p>
        </w:tc>
      </w:tr>
      <w:tr>
        <w:trPr>
          <w:trHeight w:val="229"/>
        </w:trPr>
        <w:tc>
          <w:tcPr>
            <w:tcW w:w="2180" w:type="dxa"/>
            <w:vAlign w:val="bottom"/>
          </w:tcPr>
          <w:p>
            <w:pPr>
              <w:ind w:left="60"/>
              <w:spacing w:after="0"/>
              <w:rPr>
                <w:sz w:val="20"/>
                <w:szCs w:val="20"/>
                <w:color w:val="auto"/>
              </w:rPr>
            </w:pPr>
            <w:r>
              <w:rPr>
                <w:rFonts w:ascii="Arial" w:cs="Arial" w:eastAsia="Arial" w:hAnsi="Arial"/>
                <w:sz w:val="18"/>
                <w:szCs w:val="18"/>
                <w:b w:val="1"/>
                <w:bCs w:val="1"/>
                <w:color w:val="333333"/>
              </w:rPr>
              <w:t>Total Compensation</w:t>
            </w:r>
          </w:p>
        </w:tc>
        <w:tc>
          <w:tcPr>
            <w:tcW w:w="480" w:type="dxa"/>
            <w:vAlign w:val="bottom"/>
          </w:tcPr>
          <w:p>
            <w:pPr>
              <w:ind w:left="380"/>
              <w:spacing w:after="0"/>
              <w:rPr>
                <w:sz w:val="20"/>
                <w:szCs w:val="20"/>
                <w:color w:val="auto"/>
              </w:rPr>
            </w:pPr>
            <w:r>
              <w:rPr>
                <w:rFonts w:ascii="Arial" w:cs="Arial" w:eastAsia="Arial" w:hAnsi="Arial"/>
                <w:sz w:val="16"/>
                <w:szCs w:val="16"/>
                <w:color w:val="333333"/>
              </w:rPr>
              <w:t>•</w:t>
            </w:r>
          </w:p>
        </w:tc>
        <w:tc>
          <w:tcPr>
            <w:tcW w:w="8360" w:type="dxa"/>
            <w:vAlign w:val="bottom"/>
          </w:tcPr>
          <w:p>
            <w:pPr>
              <w:ind w:left="40"/>
              <w:spacing w:after="0"/>
              <w:rPr>
                <w:sz w:val="20"/>
                <w:szCs w:val="20"/>
                <w:color w:val="auto"/>
              </w:rPr>
            </w:pPr>
            <w:r>
              <w:rPr>
                <w:rFonts w:ascii="Arial" w:cs="Arial" w:eastAsia="Arial" w:hAnsi="Arial"/>
                <w:sz w:val="16"/>
                <w:szCs w:val="16"/>
                <w:color w:val="333333"/>
              </w:rPr>
              <w:t>The Committee uses the size-adjusted 50th percentile of our Compensation Peer Group as a guide in setting the</w:t>
            </w:r>
          </w:p>
        </w:tc>
      </w:tr>
      <w:tr>
        <w:trPr>
          <w:trHeight w:val="189"/>
        </w:trPr>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360" w:type="dxa"/>
            <w:vAlign w:val="bottom"/>
          </w:tcPr>
          <w:p>
            <w:pPr>
              <w:ind w:left="40"/>
              <w:spacing w:after="0"/>
              <w:rPr>
                <w:sz w:val="20"/>
                <w:szCs w:val="20"/>
                <w:color w:val="auto"/>
              </w:rPr>
            </w:pPr>
            <w:r>
              <w:rPr>
                <w:rFonts w:ascii="Arial" w:cs="Arial" w:eastAsia="Arial" w:hAnsi="Arial"/>
                <w:sz w:val="16"/>
                <w:szCs w:val="16"/>
                <w:color w:val="333333"/>
              </w:rPr>
              <w:t>target for the total compensation opportunity, but considers a variety of factors in setting compensation, including</w:t>
            </w:r>
          </w:p>
        </w:tc>
      </w:tr>
      <w:tr>
        <w:trPr>
          <w:trHeight w:val="189"/>
        </w:trPr>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360" w:type="dxa"/>
            <w:vAlign w:val="bottom"/>
          </w:tcPr>
          <w:p>
            <w:pPr>
              <w:ind w:left="40"/>
              <w:spacing w:after="0"/>
              <w:rPr>
                <w:sz w:val="20"/>
                <w:szCs w:val="20"/>
                <w:color w:val="auto"/>
              </w:rPr>
            </w:pPr>
            <w:r>
              <w:rPr>
                <w:rFonts w:ascii="Arial" w:cs="Arial" w:eastAsia="Arial" w:hAnsi="Arial"/>
                <w:sz w:val="16"/>
                <w:szCs w:val="16"/>
                <w:color w:val="333333"/>
              </w:rPr>
              <w:t>the short-term and longer-term performance and leadership characteristics of the executive, and compensation may</w:t>
            </w:r>
          </w:p>
        </w:tc>
      </w:tr>
      <w:tr>
        <w:trPr>
          <w:trHeight w:val="189"/>
        </w:trPr>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360" w:type="dxa"/>
            <w:vAlign w:val="bottom"/>
          </w:tcPr>
          <w:p>
            <w:pPr>
              <w:ind w:left="40"/>
              <w:spacing w:after="0"/>
              <w:rPr>
                <w:sz w:val="20"/>
                <w:szCs w:val="20"/>
                <w:color w:val="auto"/>
              </w:rPr>
            </w:pPr>
            <w:r>
              <w:rPr>
                <w:rFonts w:ascii="Arial" w:cs="Arial" w:eastAsia="Arial" w:hAnsi="Arial"/>
                <w:sz w:val="16"/>
                <w:szCs w:val="16"/>
                <w:color w:val="333333"/>
              </w:rPr>
              <w:t>vary materially. Overall, the Committee believes targeted compensation should be more heavily weighted on</w:t>
            </w:r>
          </w:p>
        </w:tc>
      </w:tr>
      <w:tr>
        <w:trPr>
          <w:trHeight w:val="224"/>
        </w:trPr>
        <w:tc>
          <w:tcPr>
            <w:tcW w:w="2180" w:type="dxa"/>
            <w:vAlign w:val="bottom"/>
            <w:tcBorders>
              <w:bottom w:val="single" w:sz="8" w:color="4D5357"/>
            </w:tcBorders>
          </w:tcPr>
          <w:p>
            <w:pPr>
              <w:spacing w:after="0"/>
              <w:rPr>
                <w:sz w:val="19"/>
                <w:szCs w:val="19"/>
                <w:color w:val="auto"/>
              </w:rPr>
            </w:pPr>
          </w:p>
        </w:tc>
        <w:tc>
          <w:tcPr>
            <w:tcW w:w="480" w:type="dxa"/>
            <w:vAlign w:val="bottom"/>
            <w:tcBorders>
              <w:bottom w:val="single" w:sz="8" w:color="4D5357"/>
            </w:tcBorders>
          </w:tcPr>
          <w:p>
            <w:pPr>
              <w:spacing w:after="0"/>
              <w:rPr>
                <w:sz w:val="19"/>
                <w:szCs w:val="19"/>
                <w:color w:val="auto"/>
              </w:rPr>
            </w:pPr>
          </w:p>
        </w:tc>
        <w:tc>
          <w:tcPr>
            <w:tcW w:w="8360" w:type="dxa"/>
            <w:vAlign w:val="bottom"/>
            <w:tcBorders>
              <w:bottom w:val="single" w:sz="8" w:color="4D5357"/>
            </w:tcBorders>
          </w:tcPr>
          <w:p>
            <w:pPr>
              <w:ind w:left="40"/>
              <w:spacing w:after="0"/>
              <w:rPr>
                <w:sz w:val="20"/>
                <w:szCs w:val="20"/>
                <w:color w:val="auto"/>
              </w:rPr>
            </w:pPr>
            <w:r>
              <w:rPr>
                <w:rFonts w:ascii="Arial" w:cs="Arial" w:eastAsia="Arial" w:hAnsi="Arial"/>
                <w:sz w:val="16"/>
                <w:szCs w:val="16"/>
                <w:color w:val="333333"/>
              </w:rPr>
              <w:t>variable “at-risk” compensation and longer-term components.</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The Committee approved the following </w:t>
      </w:r>
      <w:r>
        <w:rPr>
          <w:rFonts w:ascii="Arial" w:cs="Arial" w:eastAsia="Arial" w:hAnsi="Arial"/>
          <w:sz w:val="16"/>
          <w:szCs w:val="16"/>
          <w:b w:val="1"/>
          <w:bCs w:val="1"/>
          <w:color w:val="333333"/>
        </w:rPr>
        <w:t>actual</w:t>
      </w:r>
      <w:r>
        <w:rPr>
          <w:rFonts w:ascii="Arial" w:cs="Arial" w:eastAsia="Arial" w:hAnsi="Arial"/>
          <w:sz w:val="16"/>
          <w:szCs w:val="16"/>
          <w:color w:val="333333"/>
        </w:rPr>
        <w:t xml:space="preserve"> compensation items in February 2025:</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2025 Base Salary</w:t>
      </w:r>
    </w:p>
    <w:p>
      <w:pPr>
        <w:spacing w:after="0" w:line="123"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333333"/>
        </w:rPr>
        <w:t>The Committee determines base salaries for the NEOs and other executives based on a number of factors, including but not limited to, market data, individual performance, the Company’s performance, internal pay equity, the advice of the Committee’s independent compensation consultant, management recommendations (except for the CEO), and, for the CEO, the Committee’s assessment of Mr. Nye’s performance. Based on these factors, the Committee approved the following increases in base salary during 2025.</w:t>
      </w:r>
    </w:p>
    <w:p>
      <w:pPr>
        <w:spacing w:after="0" w:line="83" w:lineRule="exact"/>
        <w:rPr>
          <w:sz w:val="20"/>
          <w:szCs w:val="20"/>
          <w:color w:val="auto"/>
        </w:rPr>
      </w:pPr>
    </w:p>
    <w:p>
      <w:pPr>
        <w:ind w:left="224" w:hanging="224"/>
        <w:spacing w:after="0"/>
        <w:tabs>
          <w:tab w:leader="none" w:pos="224" w:val="left"/>
        </w:tabs>
        <w:numPr>
          <w:ilvl w:val="0"/>
          <w:numId w:val="78"/>
        </w:numPr>
        <w:rPr>
          <w:rFonts w:ascii="Arial" w:cs="Arial" w:eastAsia="Arial" w:hAnsi="Arial"/>
          <w:sz w:val="16"/>
          <w:szCs w:val="16"/>
          <w:color w:val="333333"/>
        </w:rPr>
      </w:pPr>
      <w:r>
        <w:rPr>
          <w:rFonts w:ascii="Arial" w:cs="Arial" w:eastAsia="Arial" w:hAnsi="Arial"/>
          <w:sz w:val="16"/>
          <w:szCs w:val="16"/>
          <w:color w:val="333333"/>
        </w:rPr>
        <w:t>Mr. Nye: 7.8% increase</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78"/>
        </w:numPr>
        <w:rPr>
          <w:rFonts w:ascii="Arial" w:cs="Arial" w:eastAsia="Arial" w:hAnsi="Arial"/>
          <w:sz w:val="16"/>
          <w:szCs w:val="16"/>
          <w:color w:val="333333"/>
        </w:rPr>
      </w:pPr>
      <w:r>
        <w:rPr>
          <w:rFonts w:ascii="Arial" w:cs="Arial" w:eastAsia="Arial" w:hAnsi="Arial"/>
          <w:sz w:val="16"/>
          <w:szCs w:val="16"/>
          <w:color w:val="333333"/>
        </w:rPr>
        <w:t>Other NEOs: 4.0% to 44% increases*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Increases are based on a review of competitive market data and individual performance evaluations.</w:t>
      </w:r>
    </w:p>
    <w:p>
      <w:pPr>
        <w:spacing w:after="0" w:line="200" w:lineRule="exact"/>
        <w:rPr>
          <w:sz w:val="20"/>
          <w:szCs w:val="20"/>
          <w:color w:val="auto"/>
        </w:rPr>
      </w:pPr>
    </w:p>
    <w:p>
      <w:pPr>
        <w:spacing w:after="0" w:line="210"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61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315" w:right="439" w:bottom="1440" w:gutter="0" w:footer="0" w:header="0"/>
          <w:type w:val="continuous"/>
        </w:sectPr>
      </w:pPr>
    </w:p>
    <w:bookmarkStart w:id="67" w:name="page68"/>
    <w:bookmarkEnd w:id="67"/>
    <w:tbl>
      <w:tblPr>
        <w:tblLayout w:type="fixed"/>
        <w:tblInd w:w="4" w:type="dxa"/>
        <w:tblCellMar>
          <w:top w:w="0" w:type="dxa"/>
          <w:left w:w="0" w:type="dxa"/>
          <w:bottom w:w="0" w:type="dxa"/>
          <w:right w:w="0" w:type="dxa"/>
        </w:tblCellMar>
      </w:tblPr>
      <w:tr>
        <w:trPr>
          <w:trHeight w:val="531"/>
        </w:trPr>
        <w:tc>
          <w:tcPr>
            <w:tcW w:w="2300" w:type="dxa"/>
            <w:vAlign w:val="bottom"/>
            <w:shd w:val="clear" w:color="auto" w:fill="4D5357"/>
          </w:tcPr>
          <w:p>
            <w:pPr>
              <w:ind w:left="120"/>
              <w:spacing w:after="0"/>
              <w:rPr>
                <w:sz w:val="20"/>
                <w:szCs w:val="20"/>
                <w:color w:val="auto"/>
              </w:rPr>
            </w:pPr>
            <w:r>
              <w:rPr>
                <w:rFonts w:ascii="Arial" w:cs="Arial" w:eastAsia="Arial" w:hAnsi="Arial"/>
                <w:sz w:val="14"/>
                <w:szCs w:val="14"/>
                <w:b w:val="1"/>
                <w:bCs w:val="1"/>
                <w:color w:val="FFFFFF"/>
                <w:w w:val="96"/>
              </w:rPr>
              <w:t>      Compensation Discussion </w:t>
            </w:r>
          </w:p>
        </w:tc>
        <w:tc>
          <w:tcPr>
            <w:tcW w:w="3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c>
          <w:tcPr>
            <w:tcW w:w="4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00" w:type="dxa"/>
            <w:vAlign w:val="bottom"/>
            <w:shd w:val="clear" w:color="auto" w:fill="4D5357"/>
          </w:tcPr>
          <w:p>
            <w:pPr>
              <w:ind w:left="860"/>
              <w:spacing w:after="0"/>
              <w:rPr>
                <w:sz w:val="20"/>
                <w:szCs w:val="20"/>
                <w:color w:val="auto"/>
              </w:rPr>
            </w:pPr>
            <w:r>
              <w:rPr>
                <w:rFonts w:ascii="Arial" w:cs="Arial" w:eastAsia="Arial" w:hAnsi="Arial"/>
                <w:sz w:val="14"/>
                <w:szCs w:val="14"/>
                <w:b w:val="1"/>
                <w:bCs w:val="1"/>
                <w:color w:val="FFFFFF"/>
              </w:rPr>
              <w:t>and Analysis</w:t>
            </w:r>
          </w:p>
        </w:tc>
        <w:tc>
          <w:tcPr>
            <w:tcW w:w="320" w:type="dxa"/>
            <w:vAlign w:val="bottom"/>
            <w:shd w:val="clear" w:color="auto" w:fill="4D5357"/>
          </w:tcPr>
          <w:p>
            <w:pPr>
              <w:spacing w:after="0"/>
              <w:rPr>
                <w:sz w:val="17"/>
                <w:szCs w:val="17"/>
                <w:color w:val="auto"/>
              </w:rPr>
            </w:pPr>
          </w:p>
        </w:tc>
        <w:tc>
          <w:tcPr>
            <w:tcW w:w="4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300" w:type="dxa"/>
            <w:vAlign w:val="bottom"/>
            <w:shd w:val="clear" w:color="auto" w:fill="4D5357"/>
          </w:tcPr>
          <w:p>
            <w:pPr>
              <w:spacing w:after="0"/>
              <w:rPr>
                <w:sz w:val="9"/>
                <w:szCs w:val="9"/>
                <w:color w:val="auto"/>
              </w:rPr>
            </w:pPr>
          </w:p>
        </w:tc>
        <w:tc>
          <w:tcPr>
            <w:tcW w:w="320" w:type="dxa"/>
            <w:vAlign w:val="bottom"/>
            <w:shd w:val="clear" w:color="auto" w:fill="4D5357"/>
          </w:tcPr>
          <w:p>
            <w:pPr>
              <w:spacing w:after="0"/>
              <w:rPr>
                <w:sz w:val="9"/>
                <w:szCs w:val="9"/>
                <w:color w:val="auto"/>
              </w:rPr>
            </w:pPr>
          </w:p>
        </w:tc>
        <w:tc>
          <w:tcPr>
            <w:tcW w:w="4580" w:type="dxa"/>
            <w:vAlign w:val="bottom"/>
          </w:tcPr>
          <w:p>
            <w:pPr>
              <w:spacing w:after="0"/>
              <w:rPr>
                <w:sz w:val="9"/>
                <w:szCs w:val="9"/>
                <w:color w:val="auto"/>
              </w:rPr>
            </w:pPr>
          </w:p>
        </w:tc>
        <w:tc>
          <w:tcPr>
            <w:tcW w:w="1580" w:type="dxa"/>
            <w:vAlign w:val="bottom"/>
            <w:vMerge w:val="restart"/>
          </w:tcPr>
          <w:p>
            <w:pPr>
              <w:jc w:val="right"/>
              <w:ind w:right="1019"/>
              <w:spacing w:after="0"/>
              <w:rPr>
                <w:sz w:val="20"/>
                <w:szCs w:val="20"/>
                <w:color w:val="auto"/>
              </w:rPr>
            </w:pPr>
            <w:r>
              <w:rPr>
                <w:rFonts w:ascii="Arial" w:cs="Arial" w:eastAsia="Arial" w:hAnsi="Arial"/>
                <w:sz w:val="16"/>
                <w:szCs w:val="16"/>
                <w:b w:val="1"/>
                <w:bCs w:val="1"/>
                <w:color w:val="0086CC"/>
              </w:rPr>
              <w:t>2025</w:t>
            </w:r>
          </w:p>
        </w:tc>
        <w:tc>
          <w:tcPr>
            <w:tcW w:w="960" w:type="dxa"/>
            <w:vAlign w:val="bottom"/>
          </w:tcPr>
          <w:p>
            <w:pPr>
              <w:spacing w:after="0"/>
              <w:rPr>
                <w:sz w:val="9"/>
                <w:szCs w:val="9"/>
                <w:color w:val="auto"/>
              </w:rPr>
            </w:pPr>
          </w:p>
        </w:tc>
        <w:tc>
          <w:tcPr>
            <w:tcW w:w="128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0086CC"/>
              </w:rPr>
              <w:t>2024</w:t>
            </w:r>
          </w:p>
        </w:tc>
        <w:tc>
          <w:tcPr>
            <w:tcW w:w="0" w:type="dxa"/>
            <w:vAlign w:val="bottom"/>
          </w:tcPr>
          <w:p>
            <w:pPr>
              <w:spacing w:after="0"/>
              <w:rPr>
                <w:sz w:val="1"/>
                <w:szCs w:val="1"/>
                <w:color w:val="auto"/>
              </w:rPr>
            </w:pPr>
          </w:p>
        </w:tc>
      </w:tr>
      <w:tr>
        <w:trPr>
          <w:trHeight w:val="323"/>
        </w:trPr>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NEO</w:t>
            </w:r>
          </w:p>
        </w:tc>
        <w:tc>
          <w:tcPr>
            <w:tcW w:w="320" w:type="dxa"/>
            <w:vAlign w:val="bottom"/>
            <w:tcBorders>
              <w:bottom w:val="single" w:sz="8" w:color="0086CC"/>
            </w:tcBorders>
          </w:tcPr>
          <w:p>
            <w:pPr>
              <w:spacing w:after="0"/>
              <w:rPr>
                <w:sz w:val="20"/>
                <w:szCs w:val="20"/>
                <w:color w:val="auto"/>
              </w:rPr>
            </w:pPr>
          </w:p>
        </w:tc>
        <w:tc>
          <w:tcPr>
            <w:tcW w:w="6160" w:type="dxa"/>
            <w:vAlign w:val="bottom"/>
            <w:tcBorders>
              <w:bottom w:val="single" w:sz="8" w:color="0086CC"/>
            </w:tcBorders>
            <w:gridSpan w:val="2"/>
          </w:tcPr>
          <w:p>
            <w:pPr>
              <w:jc w:val="right"/>
              <w:ind w:right="619"/>
              <w:spacing w:after="0"/>
              <w:rPr>
                <w:sz w:val="20"/>
                <w:szCs w:val="20"/>
                <w:color w:val="auto"/>
              </w:rPr>
            </w:pPr>
            <w:r>
              <w:rPr>
                <w:rFonts w:ascii="Arial" w:cs="Arial" w:eastAsia="Arial" w:hAnsi="Arial"/>
                <w:sz w:val="16"/>
                <w:szCs w:val="16"/>
                <w:b w:val="1"/>
                <w:bCs w:val="1"/>
                <w:color w:val="0086CC"/>
              </w:rPr>
              <w:t>BASE SALARY</w:t>
            </w:r>
          </w:p>
        </w:tc>
        <w:tc>
          <w:tcPr>
            <w:tcW w:w="2240" w:type="dxa"/>
            <w:vAlign w:val="bottom"/>
            <w:tcBorders>
              <w:bottom w:val="single" w:sz="8" w:color="0086CC"/>
            </w:tcBorders>
            <w:gridSpan w:val="2"/>
          </w:tcPr>
          <w:p>
            <w:pPr>
              <w:jc w:val="right"/>
              <w:ind w:right="319"/>
              <w:spacing w:after="0"/>
              <w:rPr>
                <w:sz w:val="20"/>
                <w:szCs w:val="20"/>
                <w:color w:val="auto"/>
              </w:rPr>
            </w:pPr>
            <w:r>
              <w:rPr>
                <w:rFonts w:ascii="Arial" w:cs="Arial" w:eastAsia="Arial" w:hAnsi="Arial"/>
                <w:sz w:val="16"/>
                <w:szCs w:val="16"/>
                <w:b w:val="1"/>
                <w:bCs w:val="1"/>
                <w:color w:val="0086CC"/>
              </w:rPr>
              <w:t>BASE SALARY</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 Howard Nye</w:t>
            </w:r>
          </w:p>
        </w:tc>
        <w:tc>
          <w:tcPr>
            <w:tcW w:w="4900" w:type="dxa"/>
            <w:vAlign w:val="bottom"/>
            <w:tcBorders>
              <w:bottom w:val="single" w:sz="8" w:color="4D5357"/>
            </w:tcBorders>
            <w:gridSpan w:val="2"/>
          </w:tcPr>
          <w:p>
            <w:pPr>
              <w:jc w:val="right"/>
              <w:spacing w:after="0"/>
              <w:rPr>
                <w:sz w:val="20"/>
                <w:szCs w:val="20"/>
                <w:color w:val="auto"/>
              </w:rPr>
            </w:pPr>
            <w:r>
              <w:rPr>
                <w:rFonts w:ascii="Arial" w:cs="Arial" w:eastAsia="Arial" w:hAnsi="Arial"/>
                <w:sz w:val="16"/>
                <w:szCs w:val="16"/>
                <w:color w:val="4D5357"/>
              </w:rPr>
              <w:t>$</w:t>
            </w:r>
          </w:p>
        </w:tc>
        <w:tc>
          <w:tcPr>
            <w:tcW w:w="1580" w:type="dxa"/>
            <w:vAlign w:val="bottom"/>
            <w:tcBorders>
              <w:bottom w:val="single" w:sz="8" w:color="4D5357"/>
            </w:tcBorders>
          </w:tcPr>
          <w:p>
            <w:pPr>
              <w:jc w:val="right"/>
              <w:ind w:right="779"/>
              <w:spacing w:after="0"/>
              <w:rPr>
                <w:sz w:val="20"/>
                <w:szCs w:val="20"/>
                <w:color w:val="auto"/>
              </w:rPr>
            </w:pPr>
            <w:r>
              <w:rPr>
                <w:rFonts w:ascii="Arial" w:cs="Arial" w:eastAsia="Arial" w:hAnsi="Arial"/>
                <w:sz w:val="16"/>
                <w:szCs w:val="16"/>
                <w:color w:val="4D5357"/>
                <w:w w:val="98"/>
              </w:rPr>
              <w:t>1,385,000</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1280" w:type="dxa"/>
            <w:vAlign w:val="bottom"/>
            <w:tcBorders>
              <w:bottom w:val="single" w:sz="8" w:color="4D5357"/>
            </w:tcBorders>
          </w:tcPr>
          <w:p>
            <w:pPr>
              <w:jc w:val="right"/>
              <w:ind w:right="479"/>
              <w:spacing w:after="0"/>
              <w:rPr>
                <w:sz w:val="20"/>
                <w:szCs w:val="20"/>
                <w:color w:val="auto"/>
              </w:rPr>
            </w:pPr>
            <w:r>
              <w:rPr>
                <w:rFonts w:ascii="Arial" w:cs="Arial" w:eastAsia="Arial" w:hAnsi="Arial"/>
                <w:sz w:val="16"/>
                <w:szCs w:val="16"/>
                <w:color w:val="4D5357"/>
                <w:w w:val="98"/>
              </w:rPr>
              <w:t>1,285,000</w:t>
            </w:r>
          </w:p>
        </w:tc>
        <w:tc>
          <w:tcPr>
            <w:tcW w:w="0" w:type="dxa"/>
            <w:vAlign w:val="bottom"/>
          </w:tcPr>
          <w:p>
            <w:pPr>
              <w:spacing w:after="0"/>
              <w:rPr>
                <w:sz w:val="1"/>
                <w:szCs w:val="1"/>
                <w:color w:val="auto"/>
              </w:rPr>
            </w:pPr>
          </w:p>
        </w:tc>
      </w:tr>
      <w:tr>
        <w:trPr>
          <w:trHeight w:val="267"/>
        </w:trPr>
        <w:tc>
          <w:tcPr>
            <w:tcW w:w="2300" w:type="dxa"/>
            <w:vAlign w:val="bottom"/>
            <w:tcBorders>
              <w:bottom w:val="single" w:sz="8" w:color="4D5357"/>
            </w:tcBorders>
          </w:tcPr>
          <w:p>
            <w:pPr>
              <w:ind w:left="60"/>
              <w:spacing w:after="0" w:line="267" w:lineRule="exact"/>
              <w:rPr>
                <w:sz w:val="20"/>
                <w:szCs w:val="20"/>
                <w:color w:val="auto"/>
              </w:rPr>
            </w:pPr>
            <w:r>
              <w:rPr>
                <w:rFonts w:ascii="Arial" w:cs="Arial" w:eastAsia="Arial" w:hAnsi="Arial"/>
                <w:sz w:val="16"/>
                <w:szCs w:val="16"/>
                <w:b w:val="1"/>
                <w:bCs w:val="1"/>
                <w:color w:val="4D5357"/>
              </w:rPr>
              <w:t>Michael J. Petro</w:t>
            </w:r>
            <w:r>
              <w:rPr>
                <w:rFonts w:ascii="Arial" w:cs="Arial" w:eastAsia="Arial" w:hAnsi="Arial"/>
                <w:sz w:val="24"/>
                <w:szCs w:val="24"/>
                <w:b w:val="1"/>
                <w:bCs w:val="1"/>
                <w:color w:val="4D5357"/>
                <w:vertAlign w:val="superscript"/>
              </w:rPr>
              <w:t>*</w:t>
            </w:r>
          </w:p>
        </w:tc>
        <w:tc>
          <w:tcPr>
            <w:tcW w:w="4900" w:type="dxa"/>
            <w:vAlign w:val="bottom"/>
            <w:tcBorders>
              <w:bottom w:val="single" w:sz="8" w:color="4D5357"/>
            </w:tcBorders>
            <w:gridSpan w:val="2"/>
          </w:tcPr>
          <w:p>
            <w:pPr>
              <w:jc w:val="right"/>
              <w:spacing w:after="0"/>
              <w:rPr>
                <w:sz w:val="20"/>
                <w:szCs w:val="20"/>
                <w:color w:val="auto"/>
              </w:rPr>
            </w:pPr>
            <w:r>
              <w:rPr>
                <w:rFonts w:ascii="Arial" w:cs="Arial" w:eastAsia="Arial" w:hAnsi="Arial"/>
                <w:sz w:val="16"/>
                <w:szCs w:val="16"/>
                <w:color w:val="4D5357"/>
              </w:rPr>
              <w:t>$</w:t>
            </w:r>
          </w:p>
        </w:tc>
        <w:tc>
          <w:tcPr>
            <w:tcW w:w="1580" w:type="dxa"/>
            <w:vAlign w:val="bottom"/>
            <w:tcBorders>
              <w:bottom w:val="single" w:sz="8" w:color="4D5357"/>
            </w:tcBorders>
          </w:tcPr>
          <w:p>
            <w:pPr>
              <w:jc w:val="right"/>
              <w:ind w:right="779"/>
              <w:spacing w:after="0"/>
              <w:rPr>
                <w:sz w:val="20"/>
                <w:szCs w:val="20"/>
                <w:color w:val="auto"/>
              </w:rPr>
            </w:pPr>
            <w:r>
              <w:rPr>
                <w:rFonts w:ascii="Arial" w:cs="Arial" w:eastAsia="Arial" w:hAnsi="Arial"/>
                <w:sz w:val="16"/>
                <w:szCs w:val="16"/>
                <w:color w:val="4D5357"/>
              </w:rPr>
              <w:t>600,000</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1280" w:type="dxa"/>
            <w:vAlign w:val="bottom"/>
            <w:tcBorders>
              <w:bottom w:val="single" w:sz="8" w:color="4D5357"/>
            </w:tcBorders>
          </w:tcPr>
          <w:p>
            <w:pPr>
              <w:jc w:val="right"/>
              <w:ind w:right="479"/>
              <w:spacing w:after="0"/>
              <w:rPr>
                <w:sz w:val="20"/>
                <w:szCs w:val="20"/>
                <w:color w:val="auto"/>
              </w:rPr>
            </w:pPr>
            <w:r>
              <w:rPr>
                <w:rFonts w:ascii="Arial" w:cs="Arial" w:eastAsia="Arial" w:hAnsi="Arial"/>
                <w:sz w:val="16"/>
                <w:szCs w:val="16"/>
                <w:color w:val="4D5357"/>
              </w:rPr>
              <w:t>417,000</w:t>
            </w:r>
          </w:p>
        </w:tc>
        <w:tc>
          <w:tcPr>
            <w:tcW w:w="0" w:type="dxa"/>
            <w:vAlign w:val="bottom"/>
          </w:tcPr>
          <w:p>
            <w:pPr>
              <w:spacing w:after="0"/>
              <w:rPr>
                <w:sz w:val="1"/>
                <w:szCs w:val="1"/>
                <w:color w:val="auto"/>
              </w:rPr>
            </w:pPr>
          </w:p>
        </w:tc>
      </w:tr>
      <w:tr>
        <w:trPr>
          <w:trHeight w:val="260"/>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James A. J. Nickolas</w:t>
            </w:r>
          </w:p>
        </w:tc>
        <w:tc>
          <w:tcPr>
            <w:tcW w:w="4900" w:type="dxa"/>
            <w:vAlign w:val="bottom"/>
            <w:tcBorders>
              <w:bottom w:val="single" w:sz="8" w:color="4D5357"/>
            </w:tcBorders>
            <w:gridSpan w:val="2"/>
          </w:tcPr>
          <w:p>
            <w:pPr>
              <w:jc w:val="right"/>
              <w:spacing w:after="0"/>
              <w:rPr>
                <w:sz w:val="20"/>
                <w:szCs w:val="20"/>
                <w:color w:val="auto"/>
              </w:rPr>
            </w:pPr>
            <w:r>
              <w:rPr>
                <w:rFonts w:ascii="Arial" w:cs="Arial" w:eastAsia="Arial" w:hAnsi="Arial"/>
                <w:sz w:val="16"/>
                <w:szCs w:val="16"/>
                <w:color w:val="4D5357"/>
              </w:rPr>
              <w:t>$</w:t>
            </w:r>
          </w:p>
        </w:tc>
        <w:tc>
          <w:tcPr>
            <w:tcW w:w="1580" w:type="dxa"/>
            <w:vAlign w:val="bottom"/>
            <w:tcBorders>
              <w:bottom w:val="single" w:sz="8" w:color="4D5357"/>
            </w:tcBorders>
          </w:tcPr>
          <w:p>
            <w:pPr>
              <w:jc w:val="right"/>
              <w:ind w:right="779"/>
              <w:spacing w:after="0"/>
              <w:rPr>
                <w:sz w:val="20"/>
                <w:szCs w:val="20"/>
                <w:color w:val="auto"/>
              </w:rPr>
            </w:pPr>
            <w:r>
              <w:rPr>
                <w:rFonts w:ascii="Arial" w:cs="Arial" w:eastAsia="Arial" w:hAnsi="Arial"/>
                <w:sz w:val="16"/>
                <w:szCs w:val="16"/>
                <w:color w:val="4D5357"/>
              </w:rPr>
              <w:t>744,708</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1280" w:type="dxa"/>
            <w:vAlign w:val="bottom"/>
            <w:tcBorders>
              <w:bottom w:val="single" w:sz="8" w:color="4D5357"/>
            </w:tcBorders>
          </w:tcPr>
          <w:p>
            <w:pPr>
              <w:jc w:val="right"/>
              <w:ind w:right="479"/>
              <w:spacing w:after="0"/>
              <w:rPr>
                <w:sz w:val="20"/>
                <w:szCs w:val="20"/>
                <w:color w:val="auto"/>
              </w:rPr>
            </w:pPr>
            <w:r>
              <w:rPr>
                <w:rFonts w:ascii="Arial" w:cs="Arial" w:eastAsia="Arial" w:hAnsi="Arial"/>
                <w:sz w:val="16"/>
                <w:szCs w:val="16"/>
                <w:color w:val="4D5357"/>
              </w:rPr>
              <w:t>716,065</w:t>
            </w:r>
          </w:p>
        </w:tc>
        <w:tc>
          <w:tcPr>
            <w:tcW w:w="0" w:type="dxa"/>
            <w:vAlign w:val="bottom"/>
          </w:tcPr>
          <w:p>
            <w:pPr>
              <w:spacing w:after="0"/>
              <w:rPr>
                <w:sz w:val="1"/>
                <w:szCs w:val="1"/>
                <w:color w:val="auto"/>
              </w:rPr>
            </w:pPr>
          </w:p>
        </w:tc>
      </w:tr>
      <w:tr>
        <w:trPr>
          <w:trHeight w:val="263"/>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Robert J. Cardin</w:t>
            </w:r>
          </w:p>
        </w:tc>
        <w:tc>
          <w:tcPr>
            <w:tcW w:w="4900" w:type="dxa"/>
            <w:vAlign w:val="bottom"/>
            <w:tcBorders>
              <w:bottom w:val="single" w:sz="8" w:color="4D5357"/>
            </w:tcBorders>
            <w:gridSpan w:val="2"/>
          </w:tcPr>
          <w:p>
            <w:pPr>
              <w:jc w:val="right"/>
              <w:spacing w:after="0"/>
              <w:rPr>
                <w:sz w:val="20"/>
                <w:szCs w:val="20"/>
                <w:color w:val="auto"/>
              </w:rPr>
            </w:pPr>
            <w:r>
              <w:rPr>
                <w:rFonts w:ascii="Arial" w:cs="Arial" w:eastAsia="Arial" w:hAnsi="Arial"/>
                <w:sz w:val="16"/>
                <w:szCs w:val="16"/>
                <w:color w:val="4D5357"/>
              </w:rPr>
              <w:t>$</w:t>
            </w:r>
          </w:p>
        </w:tc>
        <w:tc>
          <w:tcPr>
            <w:tcW w:w="1580" w:type="dxa"/>
            <w:vAlign w:val="bottom"/>
            <w:tcBorders>
              <w:bottom w:val="single" w:sz="8" w:color="4D5357"/>
            </w:tcBorders>
          </w:tcPr>
          <w:p>
            <w:pPr>
              <w:jc w:val="right"/>
              <w:ind w:right="779"/>
              <w:spacing w:after="0"/>
              <w:rPr>
                <w:sz w:val="20"/>
                <w:szCs w:val="20"/>
                <w:color w:val="auto"/>
              </w:rPr>
            </w:pPr>
            <w:r>
              <w:rPr>
                <w:rFonts w:ascii="Arial" w:cs="Arial" w:eastAsia="Arial" w:hAnsi="Arial"/>
                <w:sz w:val="16"/>
                <w:szCs w:val="16"/>
                <w:color w:val="4D5357"/>
              </w:rPr>
              <w:t>470,190</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1280" w:type="dxa"/>
            <w:vAlign w:val="bottom"/>
            <w:tcBorders>
              <w:bottom w:val="single" w:sz="8" w:color="4D5357"/>
            </w:tcBorders>
          </w:tcPr>
          <w:p>
            <w:pPr>
              <w:jc w:val="right"/>
              <w:ind w:right="479"/>
              <w:spacing w:after="0"/>
              <w:rPr>
                <w:sz w:val="20"/>
                <w:szCs w:val="20"/>
                <w:color w:val="auto"/>
              </w:rPr>
            </w:pPr>
            <w:r>
              <w:rPr>
                <w:rFonts w:ascii="Arial" w:cs="Arial" w:eastAsia="Arial" w:hAnsi="Arial"/>
                <w:sz w:val="16"/>
                <w:szCs w:val="16"/>
                <w:color w:val="4D5357"/>
              </w:rPr>
              <w:t>452,106</w:t>
            </w:r>
          </w:p>
        </w:tc>
        <w:tc>
          <w:tcPr>
            <w:tcW w:w="0" w:type="dxa"/>
            <w:vAlign w:val="bottom"/>
          </w:tcPr>
          <w:p>
            <w:pPr>
              <w:spacing w:after="0"/>
              <w:rPr>
                <w:sz w:val="1"/>
                <w:szCs w:val="1"/>
                <w:color w:val="auto"/>
              </w:rPr>
            </w:pPr>
          </w:p>
        </w:tc>
      </w:tr>
      <w:tr>
        <w:trPr>
          <w:trHeight w:val="263"/>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A. McCunniff</w:t>
            </w:r>
          </w:p>
        </w:tc>
        <w:tc>
          <w:tcPr>
            <w:tcW w:w="4900" w:type="dxa"/>
            <w:vAlign w:val="bottom"/>
            <w:tcBorders>
              <w:bottom w:val="single" w:sz="8" w:color="4D5357"/>
            </w:tcBorders>
            <w:gridSpan w:val="2"/>
          </w:tcPr>
          <w:p>
            <w:pPr>
              <w:jc w:val="right"/>
              <w:spacing w:after="0"/>
              <w:rPr>
                <w:sz w:val="20"/>
                <w:szCs w:val="20"/>
                <w:color w:val="auto"/>
              </w:rPr>
            </w:pPr>
            <w:r>
              <w:rPr>
                <w:rFonts w:ascii="Arial" w:cs="Arial" w:eastAsia="Arial" w:hAnsi="Arial"/>
                <w:sz w:val="16"/>
                <w:szCs w:val="16"/>
                <w:color w:val="4D5357"/>
              </w:rPr>
              <w:t>$</w:t>
            </w:r>
          </w:p>
        </w:tc>
        <w:tc>
          <w:tcPr>
            <w:tcW w:w="1580" w:type="dxa"/>
            <w:vAlign w:val="bottom"/>
            <w:tcBorders>
              <w:bottom w:val="single" w:sz="8" w:color="4D5357"/>
            </w:tcBorders>
          </w:tcPr>
          <w:p>
            <w:pPr>
              <w:jc w:val="right"/>
              <w:ind w:right="779"/>
              <w:spacing w:after="0"/>
              <w:rPr>
                <w:sz w:val="20"/>
                <w:szCs w:val="20"/>
                <w:color w:val="auto"/>
              </w:rPr>
            </w:pPr>
            <w:r>
              <w:rPr>
                <w:rFonts w:ascii="Arial" w:cs="Arial" w:eastAsia="Arial" w:hAnsi="Arial"/>
                <w:sz w:val="16"/>
                <w:szCs w:val="16"/>
                <w:color w:val="4D5357"/>
              </w:rPr>
              <w:t>702,000</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1280" w:type="dxa"/>
            <w:vAlign w:val="bottom"/>
            <w:tcBorders>
              <w:bottom w:val="single" w:sz="8" w:color="4D5357"/>
            </w:tcBorders>
          </w:tcPr>
          <w:p>
            <w:pPr>
              <w:jc w:val="right"/>
              <w:ind w:right="479"/>
              <w:spacing w:after="0"/>
              <w:rPr>
                <w:sz w:val="20"/>
                <w:szCs w:val="20"/>
                <w:color w:val="auto"/>
              </w:rPr>
            </w:pPr>
            <w:r>
              <w:rPr>
                <w:rFonts w:ascii="Arial" w:cs="Arial" w:eastAsia="Arial" w:hAnsi="Arial"/>
                <w:sz w:val="16"/>
                <w:szCs w:val="16"/>
                <w:color w:val="4D5357"/>
              </w:rPr>
              <w:t>675,000</w:t>
            </w:r>
          </w:p>
        </w:tc>
        <w:tc>
          <w:tcPr>
            <w:tcW w:w="0" w:type="dxa"/>
            <w:vAlign w:val="bottom"/>
          </w:tcPr>
          <w:p>
            <w:pPr>
              <w:spacing w:after="0"/>
              <w:rPr>
                <w:sz w:val="1"/>
                <w:szCs w:val="1"/>
                <w:color w:val="auto"/>
              </w:rPr>
            </w:pPr>
          </w:p>
        </w:tc>
      </w:tr>
      <w:tr>
        <w:trPr>
          <w:trHeight w:val="263"/>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Jason P. Flynn</w:t>
            </w:r>
          </w:p>
        </w:tc>
        <w:tc>
          <w:tcPr>
            <w:tcW w:w="4900" w:type="dxa"/>
            <w:vAlign w:val="bottom"/>
            <w:tcBorders>
              <w:bottom w:val="single" w:sz="8" w:color="4D5357"/>
            </w:tcBorders>
            <w:gridSpan w:val="2"/>
          </w:tcPr>
          <w:p>
            <w:pPr>
              <w:jc w:val="right"/>
              <w:spacing w:after="0"/>
              <w:rPr>
                <w:sz w:val="20"/>
                <w:szCs w:val="20"/>
                <w:color w:val="auto"/>
              </w:rPr>
            </w:pPr>
            <w:r>
              <w:rPr>
                <w:rFonts w:ascii="Arial" w:cs="Arial" w:eastAsia="Arial" w:hAnsi="Arial"/>
                <w:sz w:val="16"/>
                <w:szCs w:val="16"/>
                <w:color w:val="4D5357"/>
              </w:rPr>
              <w:t>$</w:t>
            </w:r>
          </w:p>
        </w:tc>
        <w:tc>
          <w:tcPr>
            <w:tcW w:w="1580" w:type="dxa"/>
            <w:vAlign w:val="bottom"/>
            <w:tcBorders>
              <w:bottom w:val="single" w:sz="8" w:color="4D5357"/>
            </w:tcBorders>
          </w:tcPr>
          <w:p>
            <w:pPr>
              <w:jc w:val="right"/>
              <w:ind w:right="779"/>
              <w:spacing w:after="0"/>
              <w:rPr>
                <w:sz w:val="20"/>
                <w:szCs w:val="20"/>
                <w:color w:val="auto"/>
              </w:rPr>
            </w:pPr>
            <w:r>
              <w:rPr>
                <w:rFonts w:ascii="Arial" w:cs="Arial" w:eastAsia="Arial" w:hAnsi="Arial"/>
                <w:sz w:val="16"/>
                <w:szCs w:val="16"/>
                <w:color w:val="4D5357"/>
              </w:rPr>
              <w:t>425,000</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1280" w:type="dxa"/>
            <w:vAlign w:val="bottom"/>
            <w:tcBorders>
              <w:bottom w:val="single" w:sz="8" w:color="4D5357"/>
            </w:tcBorders>
          </w:tcPr>
          <w:p>
            <w:pPr>
              <w:jc w:val="right"/>
              <w:ind w:right="479"/>
              <w:spacing w:after="0"/>
              <w:rPr>
                <w:sz w:val="20"/>
                <w:szCs w:val="20"/>
                <w:color w:val="auto"/>
              </w:rPr>
            </w:pPr>
            <w:r>
              <w:rPr>
                <w:rFonts w:ascii="Arial" w:cs="Arial" w:eastAsia="Arial" w:hAnsi="Arial"/>
                <w:sz w:val="16"/>
                <w:szCs w:val="16"/>
                <w:color w:val="4D5357"/>
              </w:rPr>
              <w:t>350,000</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Bradley D. Kohn</w:t>
            </w:r>
          </w:p>
        </w:tc>
        <w:tc>
          <w:tcPr>
            <w:tcW w:w="4900" w:type="dxa"/>
            <w:vAlign w:val="bottom"/>
            <w:tcBorders>
              <w:bottom w:val="single" w:sz="8" w:color="4D5357"/>
            </w:tcBorders>
            <w:gridSpan w:val="2"/>
          </w:tcPr>
          <w:p>
            <w:pPr>
              <w:jc w:val="right"/>
              <w:spacing w:after="0"/>
              <w:rPr>
                <w:sz w:val="20"/>
                <w:szCs w:val="20"/>
                <w:color w:val="auto"/>
              </w:rPr>
            </w:pPr>
            <w:r>
              <w:rPr>
                <w:rFonts w:ascii="Arial" w:cs="Arial" w:eastAsia="Arial" w:hAnsi="Arial"/>
                <w:sz w:val="16"/>
                <w:szCs w:val="16"/>
                <w:color w:val="4D5357"/>
              </w:rPr>
              <w:t>$</w:t>
            </w:r>
          </w:p>
        </w:tc>
        <w:tc>
          <w:tcPr>
            <w:tcW w:w="1580" w:type="dxa"/>
            <w:vAlign w:val="bottom"/>
            <w:tcBorders>
              <w:bottom w:val="single" w:sz="8" w:color="4D5357"/>
            </w:tcBorders>
          </w:tcPr>
          <w:p>
            <w:pPr>
              <w:jc w:val="right"/>
              <w:ind w:right="779"/>
              <w:spacing w:after="0"/>
              <w:rPr>
                <w:sz w:val="20"/>
                <w:szCs w:val="20"/>
                <w:color w:val="auto"/>
              </w:rPr>
            </w:pPr>
            <w:r>
              <w:rPr>
                <w:rFonts w:ascii="Arial" w:cs="Arial" w:eastAsia="Arial" w:hAnsi="Arial"/>
                <w:sz w:val="16"/>
                <w:szCs w:val="16"/>
                <w:color w:val="4D5357"/>
              </w:rPr>
              <w:t>580,000</w:t>
            </w:r>
          </w:p>
        </w:tc>
        <w:tc>
          <w:tcPr>
            <w:tcW w:w="9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1280" w:type="dxa"/>
            <w:vAlign w:val="bottom"/>
            <w:tcBorders>
              <w:bottom w:val="single" w:sz="8" w:color="4D5357"/>
            </w:tcBorders>
          </w:tcPr>
          <w:p>
            <w:pPr>
              <w:jc w:val="right"/>
              <w:ind w:right="479"/>
              <w:spacing w:after="0"/>
              <w:rPr>
                <w:sz w:val="20"/>
                <w:szCs w:val="20"/>
                <w:color w:val="auto"/>
              </w:rPr>
            </w:pPr>
            <w:r>
              <w:rPr>
                <w:rFonts w:ascii="Arial" w:cs="Arial" w:eastAsia="Arial" w:hAnsi="Arial"/>
                <w:sz w:val="16"/>
                <w:szCs w:val="16"/>
                <w:color w:val="4D5357"/>
              </w:rPr>
              <w:t>580,000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24" w:right="20" w:hanging="224"/>
        <w:spacing w:after="0" w:line="233" w:lineRule="auto"/>
        <w:tabs>
          <w:tab w:leader="none" w:pos="224" w:val="left"/>
        </w:tabs>
        <w:numPr>
          <w:ilvl w:val="0"/>
          <w:numId w:val="79"/>
        </w:numPr>
        <w:rPr>
          <w:rFonts w:ascii="Arial" w:cs="Arial" w:eastAsia="Arial" w:hAnsi="Arial"/>
          <w:sz w:val="13"/>
          <w:szCs w:val="13"/>
          <w:color w:val="333333"/>
        </w:rPr>
      </w:pPr>
      <w:r>
        <w:rPr>
          <w:rFonts w:ascii="Arial" w:cs="Arial" w:eastAsia="Arial" w:hAnsi="Arial"/>
          <w:sz w:val="13"/>
          <w:szCs w:val="13"/>
          <w:color w:val="333333"/>
        </w:rPr>
        <w:t>Effective July 8, 2025, in connection with his promotion to Senior Vice President and Chief Financial Officer, Michael J. Petro’s annual base salary was increased from $433,680 to $600,000, representing a 38% increase at that time. This adjustment was designed to align Mr. Petro’s compensation with the increased scope and complexity of his new role and to position his base salary competitively, relative to our peer group for comparable positions.</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2025 Annual Cash Incentive Goals and Results</w:t>
      </w:r>
    </w:p>
    <w:p>
      <w:pPr>
        <w:spacing w:after="0" w:line="123"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333333"/>
        </w:rPr>
        <w:t>NEOs and other executives are eligible to earn annual incentive compensation under our Executive Cash Incentive Plan based on the achievement of identified and formula-defined performance metrics and goals. Individual NEO targets (as a percent of base salary) are approved by the Committee at the beginning of the year based on a review of competitive market data, the advice of the Committee’s independent compensation consultant, and internal pay equity.</w:t>
      </w:r>
    </w:p>
    <w:p>
      <w:pPr>
        <w:spacing w:after="0" w:line="70"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333333"/>
        </w:rPr>
        <w:t>The Committee awards actual annual cash incentive compensation based on achievement against corporate performance objectives and individualized targeted goals. The Company uses a formula for annual cash incentive awards for all NEOs wherein 80% of the target incentive is based on achievement of financial goals and 20% is based on achievement of identified safety and sustainability metrics. After the formulaic award percentage is determined, an assessment of individual performance is conducted by the Committee to allow for a potential positive or negative adjustment of 20% for each executive.</w:t>
      </w:r>
    </w:p>
    <w:p>
      <w:pPr>
        <w:spacing w:after="0" w:line="70" w:lineRule="exact"/>
        <w:rPr>
          <w:sz w:val="20"/>
          <w:szCs w:val="20"/>
          <w:color w:val="auto"/>
        </w:rPr>
      </w:pPr>
    </w:p>
    <w:p>
      <w:pPr>
        <w:ind w:left="4" w:right="20"/>
        <w:spacing w:after="0" w:line="256" w:lineRule="auto"/>
        <w:rPr>
          <w:sz w:val="20"/>
          <w:szCs w:val="20"/>
          <w:color w:val="auto"/>
        </w:rPr>
      </w:pPr>
      <w:r>
        <w:rPr>
          <w:rFonts w:ascii="Arial" w:cs="Arial" w:eastAsia="Arial" w:hAnsi="Arial"/>
          <w:sz w:val="16"/>
          <w:szCs w:val="16"/>
          <w:color w:val="333333"/>
        </w:rPr>
        <w:t>The maximum incentive compensation for executives based on the annual cash incentive plan formula, with the 20% assessment factor, is 250% of target. When the incentive payout percentage is calculated, the minimum amount for the payout will be 50% of target if the Company successfully pays an unreduced dividend in the year and records positive Net Earnings Attributable to Martin Marietta. If the criteria for the 50% minimum payout level are met and the Company’s one-year operating margin ranks in the top three of six direct publicly traded peers (CRH plc, Eagle Materials, Inc., Heidelberg Materials, Holcim Ltd., Knife River Corporation, and Vulcan Materials Company), the minimum amount of the payout will be 100%.</w:t>
      </w:r>
    </w:p>
    <w:p>
      <w:pPr>
        <w:spacing w:after="0" w:line="72" w:lineRule="exact"/>
        <w:rPr>
          <w:sz w:val="20"/>
          <w:szCs w:val="20"/>
          <w:color w:val="auto"/>
        </w:rPr>
      </w:pPr>
    </w:p>
    <w:p>
      <w:pPr>
        <w:ind w:left="4" w:right="160"/>
        <w:spacing w:after="0" w:line="253" w:lineRule="auto"/>
        <w:rPr>
          <w:sz w:val="20"/>
          <w:szCs w:val="20"/>
          <w:color w:val="auto"/>
        </w:rPr>
      </w:pPr>
      <w:r>
        <w:rPr>
          <w:rFonts w:ascii="Arial" w:cs="Arial" w:eastAsia="Arial" w:hAnsi="Arial"/>
          <w:sz w:val="16"/>
          <w:szCs w:val="16"/>
          <w:color w:val="333333"/>
        </w:rPr>
        <w:t>The Committee determines the adjustment to annual cash incentive compensation for each executive based on the achievement of individualized target goals tied to each executive’s specific areas of responsibility and the then-current and longer-term goals of the Company. The Committee also reviews and considers management’s furtherance of its strategic plan, including a primary objective of value-enhancing growth, and the advancement of the Mission, Vision, and Values of the Company to unify management with the same objectives. The Committee conducts a comparative review of the individual contributions of each of the executive officers towards achieving these goals. The Committee also considers qualitative measures of performance for the executive officers, such as adherence to and implementation of Martin Marietta’s Code of Ethical Business Conduct, customer satisfaction, and product quality.</w:t>
      </w:r>
    </w:p>
    <w:p>
      <w:pPr>
        <w:spacing w:after="0" w:line="73" w:lineRule="exact"/>
        <w:rPr>
          <w:sz w:val="20"/>
          <w:szCs w:val="20"/>
          <w:color w:val="auto"/>
        </w:rPr>
      </w:pPr>
    </w:p>
    <w:p>
      <w:pPr>
        <w:ind w:left="4" w:right="40"/>
        <w:spacing w:after="0" w:line="266" w:lineRule="auto"/>
        <w:rPr>
          <w:sz w:val="20"/>
          <w:szCs w:val="20"/>
          <w:color w:val="auto"/>
        </w:rPr>
      </w:pPr>
      <w:r>
        <w:rPr>
          <w:rFonts w:ascii="Arial" w:cs="Arial" w:eastAsia="Arial" w:hAnsi="Arial"/>
          <w:sz w:val="16"/>
          <w:szCs w:val="16"/>
          <w:color w:val="333333"/>
        </w:rPr>
        <w:t>Ultimately, the incentive payments determined through the annual cash incentive compensation formula support Martin Marietta’s longstanding compensation philosophy of encouraging superior performance and rewarding the achievement of Martin Marietta’s annual goals. We set challenging, but attainable targets, approved by the Board, and designed to continue to drive shareholder value and exceptional corporate stewardship.</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2025 Actual Incentive Cash Earned</w:t>
      </w:r>
    </w:p>
    <w:p>
      <w:pPr>
        <w:spacing w:after="0" w:line="123"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333333"/>
        </w:rPr>
        <w:t>For 2025, the Committee determined in February 2026 that the achievement of the goals included in the Company’s annual cash incentive compensation formula warranted the payment of annual incentives to executive officers. In 2025, all of the company’s executive officers participated in the plan. The annual incentive compensation level paid for 2025 for all NEOs, including Mr. Nye, was 185% of target. These amounts were consistent with the formula short term incentive plan adopted by the Committee.</w:t>
      </w:r>
    </w:p>
    <w:p>
      <w:pPr>
        <w:spacing w:after="0" w:line="35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62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315" w:right="439" w:bottom="1440" w:gutter="0" w:footer="0" w:header="0"/>
          <w:type w:val="continuous"/>
        </w:sectPr>
      </w:pPr>
    </w:p>
    <w:bookmarkStart w:id="68" w:name="page69"/>
    <w:bookmarkEnd w:id="68"/>
    <w:p>
      <w:pPr>
        <w:ind w:left="850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Compensation Discussion    </w:t>
      </w:r>
    </w:p>
    <w:p>
      <w:pPr>
        <w:spacing w:after="0" w:line="15" w:lineRule="exact"/>
        <w:rPr>
          <w:sz w:val="20"/>
          <w:szCs w:val="20"/>
          <w:color w:val="auto"/>
        </w:rPr>
      </w:pPr>
    </w:p>
    <w:p>
      <w:pPr>
        <w:ind w:left="9264"/>
        <w:spacing w:after="0"/>
        <w:rPr>
          <w:sz w:val="20"/>
          <w:szCs w:val="20"/>
          <w:color w:val="auto"/>
        </w:rPr>
      </w:pPr>
      <w:r>
        <w:rPr>
          <w:rFonts w:ascii="Arial" w:cs="Arial" w:eastAsia="Arial" w:hAnsi="Arial"/>
          <w:sz w:val="14"/>
          <w:szCs w:val="14"/>
          <w:b w:val="1"/>
          <w:bCs w:val="1"/>
          <w:color w:val="FFFFFF"/>
        </w:rPr>
        <w:t>and Analysis</w:t>
      </w:r>
    </w:p>
    <w:p>
      <w:pPr>
        <w:spacing w:after="0" w:line="266"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333333"/>
        </w:rPr>
        <w:t>The table below summarizes the specific targets set for the 2025 annual cash incentive plan for Martin Marietta’s executive officers (before the application of a potential 20% discretionary individual adjustment factor):</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86CC"/>
              </w:rPr>
              <w:t>GUIDANCE</w:t>
            </w: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86CC"/>
                <w:w w:val="98"/>
              </w:rPr>
              <w:t>GOAL/</w:t>
            </w: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86CC"/>
              </w:rPr>
              <w:t>TARGET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086CC"/>
              </w:rPr>
              <w:t>MAXIMUM</w:t>
            </w:r>
          </w:p>
        </w:tc>
        <w:tc>
          <w:tcPr>
            <w:tcW w:w="1540" w:type="dxa"/>
            <w:vAlign w:val="bottom"/>
          </w:tcPr>
          <w:p>
            <w:pPr>
              <w:spacing w:after="0"/>
              <w:rPr>
                <w:sz w:val="16"/>
                <w:szCs w:val="16"/>
                <w:color w:val="auto"/>
              </w:rPr>
            </w:pP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0086CC"/>
              </w:rPr>
              <w:t>THRESHOLD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86CC"/>
                <w:w w:val="97"/>
              </w:rPr>
              <w:t>(PAYOUT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086CC"/>
                <w:w w:val="99"/>
              </w:rPr>
              <w:t>(PAYOUT</w:t>
            </w:r>
          </w:p>
        </w:tc>
        <w:tc>
          <w:tcPr>
            <w:tcW w:w="1540" w:type="dxa"/>
            <w:vAlign w:val="bottom"/>
          </w:tcPr>
          <w:p>
            <w:pPr>
              <w:spacing w:after="0"/>
              <w:rPr>
                <w:sz w:val="16"/>
                <w:szCs w:val="16"/>
                <w:color w:val="auto"/>
              </w:rPr>
            </w:pP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ind w:left="880"/>
              <w:spacing w:after="0"/>
              <w:rPr>
                <w:sz w:val="20"/>
                <w:szCs w:val="20"/>
                <w:color w:val="auto"/>
              </w:rPr>
            </w:pPr>
            <w:r>
              <w:rPr>
                <w:rFonts w:ascii="Arial" w:cs="Arial" w:eastAsia="Arial" w:hAnsi="Arial"/>
                <w:sz w:val="16"/>
                <w:szCs w:val="16"/>
                <w:b w:val="1"/>
                <w:bCs w:val="1"/>
                <w:color w:val="0086CC"/>
              </w:rPr>
              <w:t>PERFORMANCE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0086CC"/>
                <w:w w:val="98"/>
              </w:rPr>
              <w:t>(PAYOUT % OF</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086CC"/>
              </w:rPr>
              <w:t>%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086CC"/>
                <w:w w:val="97"/>
              </w:rPr>
              <w:t>% OF</w:t>
            </w:r>
          </w:p>
        </w:tc>
        <w:tc>
          <w:tcPr>
            <w:tcW w:w="1540" w:type="dxa"/>
            <w:vAlign w:val="bottom"/>
          </w:tcPr>
          <w:p>
            <w:pPr>
              <w:ind w:left="540"/>
              <w:spacing w:after="0"/>
              <w:rPr>
                <w:sz w:val="20"/>
                <w:szCs w:val="20"/>
                <w:color w:val="auto"/>
              </w:rPr>
            </w:pPr>
            <w:r>
              <w:rPr>
                <w:rFonts w:ascii="Arial" w:cs="Arial" w:eastAsia="Arial" w:hAnsi="Arial"/>
                <w:sz w:val="16"/>
                <w:szCs w:val="16"/>
                <w:b w:val="1"/>
                <w:bCs w:val="1"/>
                <w:color w:val="0086CC"/>
              </w:rPr>
              <w:t>TOTAL</w:t>
            </w:r>
          </w:p>
        </w:tc>
      </w:tr>
      <w:tr>
        <w:trPr>
          <w:trHeight w:val="240"/>
        </w:trPr>
        <w:tc>
          <w:tcPr>
            <w:tcW w:w="11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 WEIGHT</w:t>
            </w:r>
          </w:p>
        </w:tc>
        <w:tc>
          <w:tcPr>
            <w:tcW w:w="1380" w:type="dxa"/>
            <w:vAlign w:val="bottom"/>
            <w:tcBorders>
              <w:bottom w:val="single" w:sz="8" w:color="0086CC"/>
            </w:tcBorders>
          </w:tcPr>
          <w:p>
            <w:pPr>
              <w:ind w:left="480"/>
              <w:spacing w:after="0"/>
              <w:rPr>
                <w:sz w:val="20"/>
                <w:szCs w:val="20"/>
                <w:color w:val="auto"/>
              </w:rPr>
            </w:pPr>
            <w:r>
              <w:rPr>
                <w:rFonts w:ascii="Arial" w:cs="Arial" w:eastAsia="Arial" w:hAnsi="Arial"/>
                <w:sz w:val="16"/>
                <w:szCs w:val="16"/>
                <w:b w:val="1"/>
                <w:bCs w:val="1"/>
                <w:color w:val="0086CC"/>
              </w:rPr>
              <w:t>METRIC</w:t>
            </w:r>
          </w:p>
        </w:tc>
        <w:tc>
          <w:tcPr>
            <w:tcW w:w="2960" w:type="dxa"/>
            <w:vAlign w:val="bottom"/>
            <w:tcBorders>
              <w:bottom w:val="single" w:sz="8" w:color="0086CC"/>
            </w:tcBorders>
          </w:tcPr>
          <w:p>
            <w:pPr>
              <w:ind w:left="1240"/>
              <w:spacing w:after="0"/>
              <w:rPr>
                <w:sz w:val="20"/>
                <w:szCs w:val="20"/>
                <w:color w:val="auto"/>
              </w:rPr>
            </w:pPr>
            <w:r>
              <w:rPr>
                <w:rFonts w:ascii="Arial" w:cs="Arial" w:eastAsia="Arial" w:hAnsi="Arial"/>
                <w:sz w:val="16"/>
                <w:szCs w:val="16"/>
                <w:b w:val="1"/>
                <w:bCs w:val="1"/>
                <w:color w:val="0086CC"/>
              </w:rPr>
              <w:t>GOALS</w:t>
            </w:r>
          </w:p>
        </w:tc>
        <w:tc>
          <w:tcPr>
            <w:tcW w:w="150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w w:val="98"/>
              </w:rPr>
              <w:t>TARGET)</w:t>
            </w:r>
          </w:p>
        </w:tc>
        <w:tc>
          <w:tcPr>
            <w:tcW w:w="130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w w:val="98"/>
              </w:rPr>
              <w:t>TARGET)</w:t>
            </w:r>
          </w:p>
        </w:tc>
        <w:tc>
          <w:tcPr>
            <w:tcW w:w="124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rPr>
              <w:t>TARGET)</w:t>
            </w:r>
          </w:p>
        </w:tc>
        <w:tc>
          <w:tcPr>
            <w:tcW w:w="1540" w:type="dxa"/>
            <w:vAlign w:val="bottom"/>
            <w:tcBorders>
              <w:bottom w:val="single" w:sz="8" w:color="0086CC"/>
            </w:tcBorders>
          </w:tcPr>
          <w:p>
            <w:pPr>
              <w:ind w:left="400"/>
              <w:spacing w:after="0"/>
              <w:rPr>
                <w:sz w:val="20"/>
                <w:szCs w:val="20"/>
                <w:color w:val="auto"/>
              </w:rPr>
            </w:pPr>
            <w:r>
              <w:rPr>
                <w:rFonts w:ascii="Arial" w:cs="Arial" w:eastAsia="Arial" w:hAnsi="Arial"/>
                <w:sz w:val="16"/>
                <w:szCs w:val="16"/>
                <w:b w:val="1"/>
                <w:bCs w:val="1"/>
                <w:color w:val="0086CC"/>
              </w:rPr>
              <w:t>ACHIEVED</w:t>
            </w:r>
          </w:p>
        </w:tc>
      </w:tr>
      <w:tr>
        <w:trPr>
          <w:trHeight w:val="226"/>
        </w:trPr>
        <w:tc>
          <w:tcPr>
            <w:tcW w:w="1100" w:type="dxa"/>
            <w:vAlign w:val="bottom"/>
          </w:tcPr>
          <w:p>
            <w:pPr>
              <w:ind w:left="60"/>
              <w:spacing w:after="0"/>
              <w:rPr>
                <w:sz w:val="20"/>
                <w:szCs w:val="20"/>
                <w:color w:val="auto"/>
              </w:rPr>
            </w:pPr>
            <w:r>
              <w:rPr>
                <w:rFonts w:ascii="Arial" w:cs="Arial" w:eastAsia="Arial" w:hAnsi="Arial"/>
                <w:sz w:val="16"/>
                <w:szCs w:val="16"/>
                <w:b w:val="1"/>
                <w:bCs w:val="1"/>
                <w:color w:val="4D5357"/>
              </w:rPr>
              <w:t>  50%</w:t>
            </w:r>
          </w:p>
        </w:tc>
        <w:tc>
          <w:tcPr>
            <w:tcW w:w="1380" w:type="dxa"/>
            <w:vAlign w:val="bottom"/>
          </w:tcPr>
          <w:p>
            <w:pPr>
              <w:ind w:left="200"/>
              <w:spacing w:after="0"/>
              <w:rPr>
                <w:sz w:val="20"/>
                <w:szCs w:val="20"/>
                <w:color w:val="auto"/>
              </w:rPr>
            </w:pPr>
            <w:r>
              <w:rPr>
                <w:rFonts w:ascii="Arial" w:cs="Arial" w:eastAsia="Arial" w:hAnsi="Arial"/>
                <w:sz w:val="16"/>
                <w:szCs w:val="16"/>
                <w:b w:val="1"/>
                <w:bCs w:val="1"/>
                <w:color w:val="4D5357"/>
              </w:rPr>
              <w:t>Adjusted</w:t>
            </w:r>
          </w:p>
        </w:tc>
        <w:tc>
          <w:tcPr>
            <w:tcW w:w="2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9"/>
        </w:trPr>
        <w:tc>
          <w:tcPr>
            <w:tcW w:w="1100" w:type="dxa"/>
            <w:vAlign w:val="bottom"/>
          </w:tcPr>
          <w:p>
            <w:pPr>
              <w:spacing w:after="0"/>
              <w:rPr>
                <w:sz w:val="16"/>
                <w:szCs w:val="16"/>
                <w:color w:val="auto"/>
              </w:rPr>
            </w:pPr>
          </w:p>
        </w:tc>
        <w:tc>
          <w:tcPr>
            <w:tcW w:w="1380" w:type="dxa"/>
            <w:vAlign w:val="bottom"/>
          </w:tcPr>
          <w:p>
            <w:pPr>
              <w:ind w:left="200"/>
              <w:spacing w:after="0"/>
              <w:rPr>
                <w:sz w:val="20"/>
                <w:szCs w:val="20"/>
                <w:color w:val="auto"/>
              </w:rPr>
            </w:pPr>
            <w:r>
              <w:rPr>
                <w:rFonts w:ascii="Arial" w:cs="Arial" w:eastAsia="Arial" w:hAnsi="Arial"/>
                <w:sz w:val="16"/>
                <w:szCs w:val="16"/>
                <w:b w:val="1"/>
                <w:bCs w:val="1"/>
                <w:color w:val="4D5357"/>
              </w:rPr>
              <w:t>Cash Gross</w:t>
            </w: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4D5357"/>
              </w:rPr>
              <w:t>$1.605 billion</w:t>
            </w:r>
          </w:p>
        </w:tc>
        <w:tc>
          <w:tcPr>
            <w:tcW w:w="1300" w:type="dxa"/>
            <w:vAlign w:val="bottom"/>
          </w:tcPr>
          <w:p>
            <w:pPr>
              <w:ind w:left="80"/>
              <w:spacing w:after="0"/>
              <w:rPr>
                <w:sz w:val="20"/>
                <w:szCs w:val="20"/>
                <w:color w:val="auto"/>
              </w:rPr>
            </w:pPr>
            <w:r>
              <w:rPr>
                <w:rFonts w:ascii="Arial" w:cs="Arial" w:eastAsia="Arial" w:hAnsi="Arial"/>
                <w:sz w:val="16"/>
                <w:szCs w:val="16"/>
                <w:color w:val="4D5357"/>
              </w:rPr>
              <w:t>$2.675 billion</w:t>
            </w:r>
          </w:p>
        </w:tc>
        <w:tc>
          <w:tcPr>
            <w:tcW w:w="1240" w:type="dxa"/>
            <w:vAlign w:val="bottom"/>
          </w:tcPr>
          <w:p>
            <w:pPr>
              <w:ind w:left="60"/>
              <w:spacing w:after="0"/>
              <w:rPr>
                <w:sz w:val="20"/>
                <w:szCs w:val="20"/>
                <w:color w:val="auto"/>
              </w:rPr>
            </w:pPr>
            <w:r>
              <w:rPr>
                <w:rFonts w:ascii="Arial" w:cs="Arial" w:eastAsia="Arial" w:hAnsi="Arial"/>
                <w:sz w:val="16"/>
                <w:szCs w:val="16"/>
                <w:color w:val="4D5357"/>
              </w:rPr>
              <w:t>$2.870 billion</w:t>
            </w:r>
          </w:p>
        </w:tc>
        <w:tc>
          <w:tcPr>
            <w:tcW w:w="1540" w:type="dxa"/>
            <w:vAlign w:val="bottom"/>
          </w:tcPr>
          <w:p>
            <w:pPr>
              <w:spacing w:after="0"/>
              <w:rPr>
                <w:sz w:val="16"/>
                <w:szCs w:val="16"/>
                <w:color w:val="auto"/>
              </w:rPr>
            </w:pPr>
          </w:p>
        </w:tc>
      </w:tr>
      <w:tr>
        <w:trPr>
          <w:trHeight w:val="237"/>
        </w:trPr>
        <w:tc>
          <w:tcPr>
            <w:tcW w:w="1100" w:type="dxa"/>
            <w:vAlign w:val="bottom"/>
            <w:tcBorders>
              <w:bottom w:val="single" w:sz="8" w:color="4D5357"/>
            </w:tcBorders>
          </w:tcPr>
          <w:p>
            <w:pPr>
              <w:spacing w:after="0"/>
              <w:rPr>
                <w:sz w:val="20"/>
                <w:szCs w:val="20"/>
                <w:color w:val="auto"/>
              </w:rPr>
            </w:pPr>
          </w:p>
        </w:tc>
        <w:tc>
          <w:tcPr>
            <w:tcW w:w="1380" w:type="dxa"/>
            <w:vAlign w:val="bottom"/>
            <w:tcBorders>
              <w:bottom w:val="single" w:sz="8" w:color="4D5357"/>
            </w:tcBorders>
          </w:tcPr>
          <w:p>
            <w:pPr>
              <w:ind w:left="200"/>
              <w:spacing w:after="0"/>
              <w:rPr>
                <w:sz w:val="20"/>
                <w:szCs w:val="20"/>
                <w:color w:val="auto"/>
              </w:rPr>
            </w:pPr>
            <w:r>
              <w:rPr>
                <w:rFonts w:ascii="Arial" w:cs="Arial" w:eastAsia="Arial" w:hAnsi="Arial"/>
                <w:sz w:val="16"/>
                <w:szCs w:val="16"/>
                <w:b w:val="1"/>
                <w:bCs w:val="1"/>
                <w:color w:val="4D5357"/>
              </w:rPr>
              <w:t>Profit*</w:t>
            </w:r>
          </w:p>
        </w:tc>
        <w:tc>
          <w:tcPr>
            <w:tcW w:w="2960" w:type="dxa"/>
            <w:vAlign w:val="bottom"/>
            <w:tcBorders>
              <w:bottom w:val="single" w:sz="8" w:color="4D5357"/>
            </w:tcBorders>
          </w:tcPr>
          <w:p>
            <w:pPr>
              <w:ind w:left="120"/>
              <w:spacing w:after="0"/>
              <w:rPr>
                <w:sz w:val="20"/>
                <w:szCs w:val="20"/>
                <w:color w:val="auto"/>
              </w:rPr>
            </w:pPr>
            <w:r>
              <w:rPr>
                <w:rFonts w:ascii="Arial" w:cs="Arial" w:eastAsia="Arial" w:hAnsi="Arial"/>
                <w:sz w:val="16"/>
                <w:szCs w:val="16"/>
                <w:color w:val="4D5357"/>
              </w:rPr>
              <w:t>Metric Aligned with February Guidance</w:t>
            </w:r>
          </w:p>
        </w:tc>
        <w:tc>
          <w:tcPr>
            <w:tcW w:w="150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4D5357"/>
              </w:rPr>
              <w:t>(0%)</w:t>
            </w:r>
          </w:p>
        </w:tc>
        <w:tc>
          <w:tcPr>
            <w:tcW w:w="1300" w:type="dxa"/>
            <w:vAlign w:val="bottom"/>
            <w:tcBorders>
              <w:bottom w:val="single" w:sz="8" w:color="4D5357"/>
            </w:tcBorders>
          </w:tcPr>
          <w:p>
            <w:pPr>
              <w:ind w:left="80"/>
              <w:spacing w:after="0"/>
              <w:rPr>
                <w:sz w:val="20"/>
                <w:szCs w:val="20"/>
                <w:color w:val="auto"/>
              </w:rPr>
            </w:pPr>
            <w:r>
              <w:rPr>
                <w:rFonts w:ascii="Arial" w:cs="Arial" w:eastAsia="Arial" w:hAnsi="Arial"/>
                <w:sz w:val="16"/>
                <w:szCs w:val="16"/>
                <w:color w:val="4D5357"/>
              </w:rPr>
              <w:t>(100%)</w:t>
            </w:r>
          </w:p>
        </w:tc>
        <w:tc>
          <w:tcPr>
            <w:tcW w:w="124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4D5357"/>
              </w:rPr>
              <w:t>(230%)</w:t>
            </w:r>
          </w:p>
        </w:tc>
        <w:tc>
          <w:tcPr>
            <w:tcW w:w="1540" w:type="dxa"/>
            <w:vAlign w:val="bottom"/>
            <w:tcBorders>
              <w:bottom w:val="single" w:sz="8" w:color="4D5357"/>
            </w:tcBorders>
          </w:tcPr>
          <w:p>
            <w:pPr>
              <w:ind w:left="80"/>
              <w:spacing w:after="0"/>
              <w:rPr>
                <w:sz w:val="20"/>
                <w:szCs w:val="20"/>
                <w:color w:val="auto"/>
              </w:rPr>
            </w:pPr>
            <w:r>
              <w:rPr>
                <w:rFonts w:ascii="Arial" w:cs="Arial" w:eastAsia="Arial" w:hAnsi="Arial"/>
                <w:sz w:val="16"/>
                <w:szCs w:val="16"/>
                <w:color w:val="4D5357"/>
              </w:rPr>
              <w:t>$2.68 billion (101%)</w:t>
            </w:r>
          </w:p>
        </w:tc>
      </w:tr>
      <w:tr>
        <w:trPr>
          <w:trHeight w:val="229"/>
        </w:trPr>
        <w:tc>
          <w:tcPr>
            <w:tcW w:w="1100" w:type="dxa"/>
            <w:vAlign w:val="bottom"/>
          </w:tcPr>
          <w:p>
            <w:pPr>
              <w:ind w:left="60"/>
              <w:spacing w:after="0"/>
              <w:rPr>
                <w:sz w:val="20"/>
                <w:szCs w:val="20"/>
                <w:color w:val="auto"/>
              </w:rPr>
            </w:pPr>
            <w:r>
              <w:rPr>
                <w:rFonts w:ascii="Arial" w:cs="Arial" w:eastAsia="Arial" w:hAnsi="Arial"/>
                <w:sz w:val="16"/>
                <w:szCs w:val="16"/>
                <w:b w:val="1"/>
                <w:bCs w:val="1"/>
                <w:color w:val="4D5357"/>
              </w:rPr>
              <w:t>  30%</w:t>
            </w:r>
          </w:p>
        </w:tc>
        <w:tc>
          <w:tcPr>
            <w:tcW w:w="1380" w:type="dxa"/>
            <w:vAlign w:val="bottom"/>
          </w:tcPr>
          <w:p>
            <w:pPr>
              <w:ind w:left="200"/>
              <w:spacing w:after="0"/>
              <w:rPr>
                <w:sz w:val="20"/>
                <w:szCs w:val="20"/>
                <w:color w:val="auto"/>
              </w:rPr>
            </w:pPr>
            <w:r>
              <w:rPr>
                <w:rFonts w:ascii="Arial" w:cs="Arial" w:eastAsia="Arial" w:hAnsi="Arial"/>
                <w:sz w:val="16"/>
                <w:szCs w:val="16"/>
                <w:b w:val="1"/>
                <w:bCs w:val="1"/>
                <w:color w:val="4D5357"/>
              </w:rPr>
              <w:t>SG&amp;A as a</w:t>
            </w:r>
          </w:p>
        </w:tc>
        <w:tc>
          <w:tcPr>
            <w:tcW w:w="2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9"/>
        </w:trPr>
        <w:tc>
          <w:tcPr>
            <w:tcW w:w="1100" w:type="dxa"/>
            <w:vAlign w:val="bottom"/>
          </w:tcPr>
          <w:p>
            <w:pPr>
              <w:spacing w:after="0"/>
              <w:rPr>
                <w:sz w:val="16"/>
                <w:szCs w:val="16"/>
                <w:color w:val="auto"/>
              </w:rPr>
            </w:pPr>
          </w:p>
        </w:tc>
        <w:tc>
          <w:tcPr>
            <w:tcW w:w="1380" w:type="dxa"/>
            <w:vAlign w:val="bottom"/>
          </w:tcPr>
          <w:p>
            <w:pPr>
              <w:ind w:left="200"/>
              <w:spacing w:after="0"/>
              <w:rPr>
                <w:sz w:val="20"/>
                <w:szCs w:val="20"/>
                <w:color w:val="auto"/>
              </w:rPr>
            </w:pPr>
            <w:r>
              <w:rPr>
                <w:rFonts w:ascii="Arial" w:cs="Arial" w:eastAsia="Arial" w:hAnsi="Arial"/>
                <w:sz w:val="16"/>
                <w:szCs w:val="16"/>
                <w:b w:val="1"/>
                <w:bCs w:val="1"/>
                <w:color w:val="4D5357"/>
              </w:rPr>
              <w:t>% of Total</w:t>
            </w: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4D5357"/>
              </w:rPr>
              <w:t>8.00%</w:t>
            </w:r>
          </w:p>
        </w:tc>
        <w:tc>
          <w:tcPr>
            <w:tcW w:w="1300" w:type="dxa"/>
            <w:vAlign w:val="bottom"/>
          </w:tcPr>
          <w:p>
            <w:pPr>
              <w:ind w:left="80"/>
              <w:spacing w:after="0"/>
              <w:rPr>
                <w:sz w:val="20"/>
                <w:szCs w:val="20"/>
                <w:color w:val="auto"/>
              </w:rPr>
            </w:pPr>
            <w:r>
              <w:rPr>
                <w:rFonts w:ascii="Arial" w:cs="Arial" w:eastAsia="Arial" w:hAnsi="Arial"/>
                <w:sz w:val="16"/>
                <w:szCs w:val="16"/>
                <w:color w:val="4D5357"/>
              </w:rPr>
              <w:t>7.15%</w:t>
            </w:r>
          </w:p>
        </w:tc>
        <w:tc>
          <w:tcPr>
            <w:tcW w:w="1240" w:type="dxa"/>
            <w:vAlign w:val="bottom"/>
          </w:tcPr>
          <w:p>
            <w:pPr>
              <w:ind w:left="60"/>
              <w:spacing w:after="0"/>
              <w:rPr>
                <w:sz w:val="20"/>
                <w:szCs w:val="20"/>
                <w:color w:val="auto"/>
              </w:rPr>
            </w:pPr>
            <w:r>
              <w:rPr>
                <w:rFonts w:ascii="Arial" w:cs="Arial" w:eastAsia="Arial" w:hAnsi="Arial"/>
                <w:sz w:val="16"/>
                <w:szCs w:val="16"/>
                <w:color w:val="4D5357"/>
              </w:rPr>
              <w:t>6.75%</w:t>
            </w:r>
          </w:p>
        </w:tc>
        <w:tc>
          <w:tcPr>
            <w:tcW w:w="1540" w:type="dxa"/>
            <w:vAlign w:val="bottom"/>
          </w:tcPr>
          <w:p>
            <w:pPr>
              <w:ind w:left="80"/>
              <w:spacing w:after="0"/>
              <w:rPr>
                <w:sz w:val="20"/>
                <w:szCs w:val="20"/>
                <w:color w:val="auto"/>
              </w:rPr>
            </w:pPr>
            <w:r>
              <w:rPr>
                <w:rFonts w:ascii="Arial" w:cs="Arial" w:eastAsia="Arial" w:hAnsi="Arial"/>
                <w:sz w:val="16"/>
                <w:szCs w:val="16"/>
                <w:color w:val="4D5357"/>
              </w:rPr>
              <w:t>6.59%</w:t>
            </w:r>
          </w:p>
        </w:tc>
      </w:tr>
      <w:tr>
        <w:trPr>
          <w:trHeight w:val="237"/>
        </w:trPr>
        <w:tc>
          <w:tcPr>
            <w:tcW w:w="1100" w:type="dxa"/>
            <w:vAlign w:val="bottom"/>
            <w:tcBorders>
              <w:bottom w:val="single" w:sz="8" w:color="4D5357"/>
            </w:tcBorders>
          </w:tcPr>
          <w:p>
            <w:pPr>
              <w:spacing w:after="0"/>
              <w:rPr>
                <w:sz w:val="20"/>
                <w:szCs w:val="20"/>
                <w:color w:val="auto"/>
              </w:rPr>
            </w:pPr>
          </w:p>
        </w:tc>
        <w:tc>
          <w:tcPr>
            <w:tcW w:w="1380" w:type="dxa"/>
            <w:vAlign w:val="bottom"/>
            <w:tcBorders>
              <w:bottom w:val="single" w:sz="8" w:color="4D5357"/>
            </w:tcBorders>
          </w:tcPr>
          <w:p>
            <w:pPr>
              <w:ind w:left="200"/>
              <w:spacing w:after="0"/>
              <w:rPr>
                <w:sz w:val="20"/>
                <w:szCs w:val="20"/>
                <w:color w:val="auto"/>
              </w:rPr>
            </w:pPr>
            <w:r>
              <w:rPr>
                <w:rFonts w:ascii="Arial" w:cs="Arial" w:eastAsia="Arial" w:hAnsi="Arial"/>
                <w:sz w:val="16"/>
                <w:szCs w:val="16"/>
                <w:b w:val="1"/>
                <w:bCs w:val="1"/>
                <w:color w:val="4D5357"/>
              </w:rPr>
              <w:t>Revenue**</w:t>
            </w:r>
          </w:p>
        </w:tc>
        <w:tc>
          <w:tcPr>
            <w:tcW w:w="2960" w:type="dxa"/>
            <w:vAlign w:val="bottom"/>
            <w:tcBorders>
              <w:bottom w:val="single" w:sz="8" w:color="4D5357"/>
            </w:tcBorders>
          </w:tcPr>
          <w:p>
            <w:pPr>
              <w:ind w:left="120"/>
              <w:spacing w:after="0"/>
              <w:rPr>
                <w:sz w:val="20"/>
                <w:szCs w:val="20"/>
                <w:color w:val="auto"/>
              </w:rPr>
            </w:pPr>
            <w:r>
              <w:rPr>
                <w:rFonts w:ascii="Arial" w:cs="Arial" w:eastAsia="Arial" w:hAnsi="Arial"/>
                <w:sz w:val="16"/>
                <w:szCs w:val="16"/>
                <w:color w:val="4D5357"/>
              </w:rPr>
              <w:t>Metric Aligned with February Guidance</w:t>
            </w:r>
          </w:p>
        </w:tc>
        <w:tc>
          <w:tcPr>
            <w:tcW w:w="150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4D5357"/>
              </w:rPr>
              <w:t>(0%)</w:t>
            </w:r>
          </w:p>
        </w:tc>
        <w:tc>
          <w:tcPr>
            <w:tcW w:w="1300" w:type="dxa"/>
            <w:vAlign w:val="bottom"/>
            <w:tcBorders>
              <w:bottom w:val="single" w:sz="8" w:color="4D5357"/>
            </w:tcBorders>
          </w:tcPr>
          <w:p>
            <w:pPr>
              <w:ind w:left="80"/>
              <w:spacing w:after="0"/>
              <w:rPr>
                <w:sz w:val="20"/>
                <w:szCs w:val="20"/>
                <w:color w:val="auto"/>
              </w:rPr>
            </w:pPr>
            <w:r>
              <w:rPr>
                <w:rFonts w:ascii="Arial" w:cs="Arial" w:eastAsia="Arial" w:hAnsi="Arial"/>
                <w:sz w:val="16"/>
                <w:szCs w:val="16"/>
                <w:color w:val="4D5357"/>
              </w:rPr>
              <w:t>(100%)</w:t>
            </w:r>
          </w:p>
        </w:tc>
        <w:tc>
          <w:tcPr>
            <w:tcW w:w="124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4D5357"/>
              </w:rPr>
              <w:t>(230%)</w:t>
            </w:r>
          </w:p>
        </w:tc>
        <w:tc>
          <w:tcPr>
            <w:tcW w:w="1540" w:type="dxa"/>
            <w:vAlign w:val="bottom"/>
            <w:tcBorders>
              <w:bottom w:val="single" w:sz="8" w:color="4D5357"/>
            </w:tcBorders>
          </w:tcPr>
          <w:p>
            <w:pPr>
              <w:ind w:left="80"/>
              <w:spacing w:after="0"/>
              <w:rPr>
                <w:sz w:val="20"/>
                <w:szCs w:val="20"/>
                <w:color w:val="auto"/>
              </w:rPr>
            </w:pPr>
            <w:r>
              <w:rPr>
                <w:rFonts w:ascii="Arial" w:cs="Arial" w:eastAsia="Arial" w:hAnsi="Arial"/>
                <w:sz w:val="16"/>
                <w:szCs w:val="16"/>
                <w:color w:val="4D5357"/>
              </w:rPr>
              <w:t>(230%)</w:t>
            </w:r>
          </w:p>
        </w:tc>
      </w:tr>
      <w:tr>
        <w:trPr>
          <w:trHeight w:val="175"/>
        </w:trPr>
        <w:tc>
          <w:tcPr>
            <w:tcW w:w="1100" w:type="dxa"/>
            <w:vAlign w:val="bottom"/>
          </w:tcPr>
          <w:p>
            <w:pPr>
              <w:spacing w:after="0" w:line="175" w:lineRule="exact"/>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333333"/>
              </w:rPr>
              <w:t>20%</w:t>
            </w:r>
          </w:p>
        </w:tc>
        <w:tc>
          <w:tcPr>
            <w:tcW w:w="1380" w:type="dxa"/>
            <w:vAlign w:val="bottom"/>
          </w:tcPr>
          <w:p>
            <w:pPr>
              <w:ind w:left="200"/>
              <w:spacing w:after="0" w:line="175" w:lineRule="exact"/>
              <w:rPr>
                <w:sz w:val="20"/>
                <w:szCs w:val="20"/>
                <w:color w:val="auto"/>
              </w:rPr>
            </w:pPr>
            <w:r>
              <w:rPr>
                <w:rFonts w:ascii="Arial" w:cs="Arial" w:eastAsia="Arial" w:hAnsi="Arial"/>
                <w:sz w:val="16"/>
                <w:szCs w:val="16"/>
                <w:b w:val="1"/>
                <w:bCs w:val="1"/>
                <w:color w:val="333333"/>
              </w:rPr>
              <w:t>Safety &amp;</w:t>
            </w:r>
          </w:p>
        </w:tc>
        <w:tc>
          <w:tcPr>
            <w:tcW w:w="2960" w:type="dxa"/>
            <w:vAlign w:val="bottom"/>
          </w:tcPr>
          <w:p>
            <w:pPr>
              <w:ind w:left="120"/>
              <w:spacing w:after="0" w:line="175" w:lineRule="exact"/>
              <w:rPr>
                <w:sz w:val="20"/>
                <w:szCs w:val="20"/>
                <w:color w:val="auto"/>
              </w:rPr>
            </w:pPr>
            <w:r>
              <w:rPr>
                <w:rFonts w:ascii="Arial" w:cs="Arial" w:eastAsia="Arial" w:hAnsi="Arial"/>
                <w:sz w:val="16"/>
                <w:szCs w:val="16"/>
                <w:color w:val="333333"/>
              </w:rPr>
              <w:t>Execution of Identified Safety &amp;</w:t>
            </w:r>
          </w:p>
        </w:tc>
        <w:tc>
          <w:tcPr>
            <w:tcW w:w="1500" w:type="dxa"/>
            <w:vAlign w:val="bottom"/>
          </w:tcPr>
          <w:p>
            <w:pPr>
              <w:ind w:left="60"/>
              <w:spacing w:after="0" w:line="175" w:lineRule="exact"/>
              <w:rPr>
                <w:sz w:val="20"/>
                <w:szCs w:val="20"/>
                <w:color w:val="auto"/>
              </w:rPr>
            </w:pPr>
            <w:r>
              <w:rPr>
                <w:rFonts w:ascii="Arial" w:cs="Arial" w:eastAsia="Arial" w:hAnsi="Arial"/>
                <w:sz w:val="16"/>
                <w:szCs w:val="16"/>
                <w:b w:val="1"/>
                <w:bCs w:val="1"/>
                <w:color w:val="333333"/>
              </w:rPr>
              <w:t>Safety</w:t>
            </w:r>
            <w:r>
              <w:rPr>
                <w:rFonts w:ascii="Arial" w:cs="Arial" w:eastAsia="Arial" w:hAnsi="Arial"/>
                <w:sz w:val="16"/>
                <w:szCs w:val="16"/>
                <w:color w:val="333333"/>
              </w:rPr>
              <w:t>: Implement</w:t>
            </w:r>
          </w:p>
        </w:tc>
        <w:tc>
          <w:tcPr>
            <w:tcW w:w="1300" w:type="dxa"/>
            <w:vAlign w:val="bottom"/>
          </w:tcPr>
          <w:p>
            <w:pPr>
              <w:ind w:left="80"/>
              <w:spacing w:after="0" w:line="175" w:lineRule="exact"/>
              <w:rPr>
                <w:sz w:val="20"/>
                <w:szCs w:val="20"/>
                <w:color w:val="auto"/>
              </w:rPr>
            </w:pPr>
            <w:r>
              <w:rPr>
                <w:rFonts w:ascii="Arial" w:cs="Arial" w:eastAsia="Arial" w:hAnsi="Arial"/>
                <w:sz w:val="16"/>
                <w:szCs w:val="16"/>
                <w:b w:val="1"/>
                <w:bCs w:val="1"/>
                <w:color w:val="333333"/>
              </w:rPr>
              <w:t xml:space="preserve">Safety: </w:t>
            </w:r>
            <w:r>
              <w:rPr>
                <w:rFonts w:ascii="Arial" w:cs="Arial" w:eastAsia="Arial" w:hAnsi="Arial"/>
                <w:sz w:val="16"/>
                <w:szCs w:val="16"/>
                <w:color w:val="333333"/>
              </w:rPr>
              <w:t>At least</w:t>
            </w:r>
          </w:p>
        </w:tc>
        <w:tc>
          <w:tcPr>
            <w:tcW w:w="1240" w:type="dxa"/>
            <w:vAlign w:val="bottom"/>
          </w:tcPr>
          <w:p>
            <w:pPr>
              <w:ind w:left="60"/>
              <w:spacing w:after="0" w:line="175" w:lineRule="exact"/>
              <w:rPr>
                <w:sz w:val="20"/>
                <w:szCs w:val="20"/>
                <w:color w:val="auto"/>
              </w:rPr>
            </w:pPr>
            <w:r>
              <w:rPr>
                <w:rFonts w:ascii="Arial" w:cs="Arial" w:eastAsia="Arial" w:hAnsi="Arial"/>
                <w:sz w:val="16"/>
                <w:szCs w:val="16"/>
                <w:b w:val="1"/>
                <w:bCs w:val="1"/>
                <w:color w:val="333333"/>
              </w:rPr>
              <w:t>Safety:</w:t>
            </w:r>
          </w:p>
        </w:tc>
        <w:tc>
          <w:tcPr>
            <w:tcW w:w="1540" w:type="dxa"/>
            <w:vAlign w:val="bottom"/>
          </w:tcPr>
          <w:p>
            <w:pPr>
              <w:ind w:left="80"/>
              <w:spacing w:after="0" w:line="175" w:lineRule="exact"/>
              <w:rPr>
                <w:sz w:val="20"/>
                <w:szCs w:val="20"/>
                <w:color w:val="auto"/>
              </w:rPr>
            </w:pPr>
            <w:r>
              <w:rPr>
                <w:rFonts w:ascii="Arial" w:cs="Arial" w:eastAsia="Arial" w:hAnsi="Arial"/>
                <w:sz w:val="16"/>
                <w:szCs w:val="16"/>
                <w:b w:val="1"/>
                <w:bCs w:val="1"/>
                <w:color w:val="333333"/>
              </w:rPr>
              <w:t xml:space="preserve">Safety: </w:t>
            </w:r>
            <w:r>
              <w:rPr>
                <w:rFonts w:ascii="Arial" w:cs="Arial" w:eastAsia="Arial" w:hAnsi="Arial"/>
                <w:sz w:val="16"/>
                <w:szCs w:val="16"/>
                <w:color w:val="333333"/>
              </w:rPr>
              <w:t>Achieved</w:t>
            </w:r>
          </w:p>
        </w:tc>
      </w:tr>
      <w:tr>
        <w:trPr>
          <w:trHeight w:val="189"/>
        </w:trPr>
        <w:tc>
          <w:tcPr>
            <w:tcW w:w="1100" w:type="dxa"/>
            <w:vAlign w:val="bottom"/>
          </w:tcPr>
          <w:p>
            <w:pPr>
              <w:spacing w:after="0"/>
              <w:rPr>
                <w:sz w:val="16"/>
                <w:szCs w:val="16"/>
                <w:color w:val="auto"/>
              </w:rPr>
            </w:pPr>
          </w:p>
        </w:tc>
        <w:tc>
          <w:tcPr>
            <w:tcW w:w="1380" w:type="dxa"/>
            <w:vAlign w:val="bottom"/>
          </w:tcPr>
          <w:p>
            <w:pPr>
              <w:ind w:left="200"/>
              <w:spacing w:after="0"/>
              <w:rPr>
                <w:sz w:val="20"/>
                <w:szCs w:val="20"/>
                <w:color w:val="auto"/>
              </w:rPr>
            </w:pPr>
            <w:r>
              <w:rPr>
                <w:rFonts w:ascii="Arial" w:cs="Arial" w:eastAsia="Arial" w:hAnsi="Arial"/>
                <w:sz w:val="16"/>
                <w:szCs w:val="16"/>
                <w:b w:val="1"/>
                <w:bCs w:val="1"/>
                <w:color w:val="333333"/>
              </w:rPr>
              <w:t>Sustainability</w:t>
            </w:r>
          </w:p>
        </w:tc>
        <w:tc>
          <w:tcPr>
            <w:tcW w:w="2960" w:type="dxa"/>
            <w:vAlign w:val="bottom"/>
          </w:tcPr>
          <w:p>
            <w:pPr>
              <w:ind w:left="120"/>
              <w:spacing w:after="0"/>
              <w:rPr>
                <w:sz w:val="20"/>
                <w:szCs w:val="20"/>
                <w:color w:val="auto"/>
              </w:rPr>
            </w:pPr>
            <w:r>
              <w:rPr>
                <w:rFonts w:ascii="Arial" w:cs="Arial" w:eastAsia="Arial" w:hAnsi="Arial"/>
                <w:sz w:val="16"/>
                <w:szCs w:val="16"/>
                <w:color w:val="333333"/>
              </w:rPr>
              <w:t>ESG Activities, World-Class LTIR &amp;</w:t>
            </w:r>
          </w:p>
        </w:tc>
        <w:tc>
          <w:tcPr>
            <w:tcW w:w="1500" w:type="dxa"/>
            <w:vAlign w:val="bottom"/>
          </w:tcPr>
          <w:p>
            <w:pPr>
              <w:ind w:left="60"/>
              <w:spacing w:after="0"/>
              <w:rPr>
                <w:sz w:val="20"/>
                <w:szCs w:val="20"/>
                <w:color w:val="auto"/>
              </w:rPr>
            </w:pPr>
            <w:r>
              <w:rPr>
                <w:rFonts w:ascii="Arial" w:cs="Arial" w:eastAsia="Arial" w:hAnsi="Arial"/>
                <w:sz w:val="16"/>
                <w:szCs w:val="16"/>
                <w:color w:val="333333"/>
              </w:rPr>
              <w:t>at least three</w:t>
            </w:r>
          </w:p>
        </w:tc>
        <w:tc>
          <w:tcPr>
            <w:tcW w:w="1300" w:type="dxa"/>
            <w:vAlign w:val="bottom"/>
          </w:tcPr>
          <w:p>
            <w:pPr>
              <w:ind w:left="80"/>
              <w:spacing w:after="0"/>
              <w:rPr>
                <w:sz w:val="20"/>
                <w:szCs w:val="20"/>
                <w:color w:val="auto"/>
              </w:rPr>
            </w:pPr>
            <w:r>
              <w:rPr>
                <w:rFonts w:ascii="Arial" w:cs="Arial" w:eastAsia="Arial" w:hAnsi="Arial"/>
                <w:sz w:val="16"/>
                <w:szCs w:val="16"/>
                <w:color w:val="333333"/>
              </w:rPr>
              <w:t>99% of</w:t>
            </w:r>
          </w:p>
        </w:tc>
        <w:tc>
          <w:tcPr>
            <w:tcW w:w="1240" w:type="dxa"/>
            <w:vAlign w:val="bottom"/>
          </w:tcPr>
          <w:p>
            <w:pPr>
              <w:ind w:left="60"/>
              <w:spacing w:after="0"/>
              <w:rPr>
                <w:sz w:val="20"/>
                <w:szCs w:val="20"/>
                <w:color w:val="auto"/>
              </w:rPr>
            </w:pPr>
            <w:r>
              <w:rPr>
                <w:rFonts w:ascii="Arial" w:cs="Arial" w:eastAsia="Arial" w:hAnsi="Arial"/>
                <w:sz w:val="16"/>
                <w:szCs w:val="16"/>
                <w:color w:val="333333"/>
              </w:rPr>
              <w:t>Achieve two</w:t>
            </w:r>
          </w:p>
        </w:tc>
        <w:tc>
          <w:tcPr>
            <w:tcW w:w="1540" w:type="dxa"/>
            <w:vAlign w:val="bottom"/>
          </w:tcPr>
          <w:p>
            <w:pPr>
              <w:ind w:left="80"/>
              <w:spacing w:after="0"/>
              <w:rPr>
                <w:sz w:val="20"/>
                <w:szCs w:val="20"/>
                <w:color w:val="auto"/>
              </w:rPr>
            </w:pPr>
            <w:r>
              <w:rPr>
                <w:rFonts w:ascii="Arial" w:cs="Arial" w:eastAsia="Arial" w:hAnsi="Arial"/>
                <w:sz w:val="16"/>
                <w:szCs w:val="16"/>
                <w:color w:val="333333"/>
              </w:rPr>
              <w:t>2 World-Class</w:t>
            </w:r>
          </w:p>
        </w:tc>
      </w:tr>
      <w:tr>
        <w:trPr>
          <w:trHeight w:val="189"/>
        </w:trPr>
        <w:tc>
          <w:tcPr>
            <w:tcW w:w="1100" w:type="dxa"/>
            <w:vAlign w:val="bottom"/>
          </w:tcPr>
          <w:p>
            <w:pPr>
              <w:spacing w:after="0"/>
              <w:rPr>
                <w:sz w:val="16"/>
                <w:szCs w:val="16"/>
                <w:color w:val="auto"/>
              </w:rPr>
            </w:pPr>
          </w:p>
        </w:tc>
        <w:tc>
          <w:tcPr>
            <w:tcW w:w="1380" w:type="dxa"/>
            <w:vAlign w:val="bottom"/>
          </w:tcPr>
          <w:p>
            <w:pPr>
              <w:ind w:left="200"/>
              <w:spacing w:after="0"/>
              <w:rPr>
                <w:sz w:val="20"/>
                <w:szCs w:val="20"/>
                <w:color w:val="auto"/>
              </w:rPr>
            </w:pPr>
            <w:r>
              <w:rPr>
                <w:rFonts w:ascii="Arial" w:cs="Arial" w:eastAsia="Arial" w:hAnsi="Arial"/>
                <w:sz w:val="16"/>
                <w:szCs w:val="16"/>
                <w:b w:val="1"/>
                <w:bCs w:val="1"/>
                <w:color w:val="333333"/>
              </w:rPr>
              <w:t>Performance</w:t>
            </w:r>
          </w:p>
        </w:tc>
        <w:tc>
          <w:tcPr>
            <w:tcW w:w="2960" w:type="dxa"/>
            <w:vAlign w:val="bottom"/>
          </w:tcPr>
          <w:p>
            <w:pPr>
              <w:ind w:left="120"/>
              <w:spacing w:after="0"/>
              <w:rPr>
                <w:sz w:val="20"/>
                <w:szCs w:val="20"/>
                <w:color w:val="auto"/>
              </w:rPr>
            </w:pPr>
            <w:r>
              <w:rPr>
                <w:rFonts w:ascii="Arial" w:cs="Arial" w:eastAsia="Arial" w:hAnsi="Arial"/>
                <w:sz w:val="16"/>
                <w:szCs w:val="16"/>
                <w:color w:val="333333"/>
              </w:rPr>
              <w:t>TIIR</w:t>
            </w:r>
          </w:p>
        </w:tc>
        <w:tc>
          <w:tcPr>
            <w:tcW w:w="1500" w:type="dxa"/>
            <w:vAlign w:val="bottom"/>
          </w:tcPr>
          <w:p>
            <w:pPr>
              <w:ind w:left="60"/>
              <w:spacing w:after="0"/>
              <w:rPr>
                <w:sz w:val="20"/>
                <w:szCs w:val="20"/>
                <w:color w:val="auto"/>
              </w:rPr>
            </w:pPr>
            <w:r>
              <w:rPr>
                <w:rFonts w:ascii="Arial" w:cs="Arial" w:eastAsia="Arial" w:hAnsi="Arial"/>
                <w:sz w:val="16"/>
                <w:szCs w:val="16"/>
                <w:color w:val="333333"/>
              </w:rPr>
              <w:t>priority processes</w:t>
            </w:r>
          </w:p>
        </w:tc>
        <w:tc>
          <w:tcPr>
            <w:tcW w:w="1300" w:type="dxa"/>
            <w:vAlign w:val="bottom"/>
          </w:tcPr>
          <w:p>
            <w:pPr>
              <w:ind w:left="80"/>
              <w:spacing w:after="0"/>
              <w:rPr>
                <w:sz w:val="20"/>
                <w:szCs w:val="20"/>
                <w:color w:val="auto"/>
              </w:rPr>
            </w:pPr>
            <w:r>
              <w:rPr>
                <w:rFonts w:ascii="Arial" w:cs="Arial" w:eastAsia="Arial" w:hAnsi="Arial"/>
                <w:sz w:val="16"/>
                <w:szCs w:val="16"/>
                <w:color w:val="333333"/>
              </w:rPr>
              <w:t>employees</w:t>
            </w:r>
          </w:p>
        </w:tc>
        <w:tc>
          <w:tcPr>
            <w:tcW w:w="1240" w:type="dxa"/>
            <w:vAlign w:val="bottom"/>
          </w:tcPr>
          <w:p>
            <w:pPr>
              <w:ind w:left="60"/>
              <w:spacing w:after="0"/>
              <w:rPr>
                <w:sz w:val="20"/>
                <w:szCs w:val="20"/>
                <w:color w:val="auto"/>
              </w:rPr>
            </w:pPr>
            <w:r>
              <w:rPr>
                <w:rFonts w:ascii="Arial" w:cs="Arial" w:eastAsia="Arial" w:hAnsi="Arial"/>
                <w:sz w:val="16"/>
                <w:szCs w:val="16"/>
                <w:color w:val="333333"/>
              </w:rPr>
              <w:t>World-Class</w:t>
            </w:r>
          </w:p>
        </w:tc>
        <w:tc>
          <w:tcPr>
            <w:tcW w:w="1540" w:type="dxa"/>
            <w:vAlign w:val="bottom"/>
          </w:tcPr>
          <w:p>
            <w:pPr>
              <w:ind w:left="80"/>
              <w:spacing w:after="0"/>
              <w:rPr>
                <w:sz w:val="20"/>
                <w:szCs w:val="20"/>
                <w:color w:val="auto"/>
              </w:rPr>
            </w:pPr>
            <w:r>
              <w:rPr>
                <w:rFonts w:ascii="Arial" w:cs="Arial" w:eastAsia="Arial" w:hAnsi="Arial"/>
                <w:sz w:val="16"/>
                <w:szCs w:val="16"/>
                <w:color w:val="333333"/>
              </w:rPr>
              <w:t>Metrics executed</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designed to</w:t>
            </w:r>
          </w:p>
        </w:tc>
        <w:tc>
          <w:tcPr>
            <w:tcW w:w="1300" w:type="dxa"/>
            <w:vAlign w:val="bottom"/>
          </w:tcPr>
          <w:p>
            <w:pPr>
              <w:ind w:left="80"/>
              <w:spacing w:after="0"/>
              <w:rPr>
                <w:sz w:val="20"/>
                <w:szCs w:val="20"/>
                <w:color w:val="auto"/>
              </w:rPr>
            </w:pPr>
            <w:r>
              <w:rPr>
                <w:rFonts w:ascii="Arial" w:cs="Arial" w:eastAsia="Arial" w:hAnsi="Arial"/>
                <w:sz w:val="16"/>
                <w:szCs w:val="16"/>
                <w:color w:val="333333"/>
              </w:rPr>
              <w:t>experience zero</w:t>
            </w:r>
          </w:p>
        </w:tc>
        <w:tc>
          <w:tcPr>
            <w:tcW w:w="1240" w:type="dxa"/>
            <w:vAlign w:val="bottom"/>
          </w:tcPr>
          <w:p>
            <w:pPr>
              <w:ind w:left="60"/>
              <w:spacing w:after="0"/>
              <w:rPr>
                <w:sz w:val="20"/>
                <w:szCs w:val="20"/>
                <w:color w:val="auto"/>
              </w:rPr>
            </w:pPr>
            <w:r>
              <w:rPr>
                <w:rFonts w:ascii="Arial" w:cs="Arial" w:eastAsia="Arial" w:hAnsi="Arial"/>
                <w:sz w:val="16"/>
                <w:szCs w:val="16"/>
                <w:color w:val="333333"/>
              </w:rPr>
              <w:t>safety metrics</w:t>
            </w:r>
          </w:p>
        </w:tc>
        <w:tc>
          <w:tcPr>
            <w:tcW w:w="1540" w:type="dxa"/>
            <w:vAlign w:val="bottom"/>
          </w:tcPr>
          <w:p>
            <w:pPr>
              <w:ind w:left="80"/>
              <w:spacing w:after="0"/>
              <w:rPr>
                <w:sz w:val="20"/>
                <w:szCs w:val="20"/>
                <w:color w:val="auto"/>
              </w:rPr>
            </w:pPr>
            <w:r>
              <w:rPr>
                <w:rFonts w:ascii="Arial" w:cs="Arial" w:eastAsia="Arial" w:hAnsi="Arial"/>
                <w:sz w:val="16"/>
                <w:szCs w:val="16"/>
                <w:color w:val="333333"/>
              </w:rPr>
              <w:t>recommendation of</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improve safety</w:t>
            </w:r>
          </w:p>
        </w:tc>
        <w:tc>
          <w:tcPr>
            <w:tcW w:w="1300" w:type="dxa"/>
            <w:vAlign w:val="bottom"/>
          </w:tcPr>
          <w:p>
            <w:pPr>
              <w:ind w:left="80"/>
              <w:spacing w:after="0"/>
              <w:rPr>
                <w:sz w:val="20"/>
                <w:szCs w:val="20"/>
                <w:color w:val="auto"/>
              </w:rPr>
            </w:pPr>
            <w:r>
              <w:rPr>
                <w:rFonts w:ascii="Arial" w:cs="Arial" w:eastAsia="Arial" w:hAnsi="Arial"/>
                <w:sz w:val="16"/>
                <w:szCs w:val="16"/>
                <w:color w:val="333333"/>
              </w:rPr>
              <w:t>lost time</w:t>
            </w:r>
          </w:p>
        </w:tc>
        <w:tc>
          <w:tcPr>
            <w:tcW w:w="1240" w:type="dxa"/>
            <w:vAlign w:val="bottom"/>
          </w:tcPr>
          <w:p>
            <w:pPr>
              <w:ind w:left="60"/>
              <w:spacing w:after="0"/>
              <w:rPr>
                <w:sz w:val="20"/>
                <w:szCs w:val="20"/>
                <w:color w:val="auto"/>
              </w:rPr>
            </w:pPr>
            <w:r>
              <w:rPr>
                <w:rFonts w:ascii="Arial" w:cs="Arial" w:eastAsia="Arial" w:hAnsi="Arial"/>
                <w:sz w:val="16"/>
                <w:szCs w:val="16"/>
                <w:b w:val="1"/>
                <w:bCs w:val="1"/>
                <w:color w:val="333333"/>
              </w:rPr>
              <w:t>Sustainability:</w:t>
            </w:r>
          </w:p>
        </w:tc>
        <w:tc>
          <w:tcPr>
            <w:tcW w:w="1540" w:type="dxa"/>
            <w:vAlign w:val="bottom"/>
          </w:tcPr>
          <w:p>
            <w:pPr>
              <w:ind w:left="80"/>
              <w:spacing w:after="0"/>
              <w:rPr>
                <w:sz w:val="20"/>
                <w:szCs w:val="20"/>
                <w:color w:val="auto"/>
              </w:rPr>
            </w:pPr>
            <w:r>
              <w:rPr>
                <w:rFonts w:ascii="Arial" w:cs="Arial" w:eastAsia="Arial" w:hAnsi="Arial"/>
                <w:sz w:val="16"/>
                <w:szCs w:val="16"/>
                <w:color w:val="333333"/>
              </w:rPr>
              <w:t>Safety Task Force;</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performance;</w:t>
            </w:r>
          </w:p>
        </w:tc>
        <w:tc>
          <w:tcPr>
            <w:tcW w:w="1300" w:type="dxa"/>
            <w:vAlign w:val="bottom"/>
          </w:tcPr>
          <w:p>
            <w:pPr>
              <w:ind w:left="80"/>
              <w:spacing w:after="0"/>
              <w:rPr>
                <w:sz w:val="20"/>
                <w:szCs w:val="20"/>
                <w:color w:val="auto"/>
              </w:rPr>
            </w:pPr>
            <w:r>
              <w:rPr>
                <w:rFonts w:ascii="Arial" w:cs="Arial" w:eastAsia="Arial" w:hAnsi="Arial"/>
                <w:sz w:val="16"/>
                <w:szCs w:val="16"/>
                <w:color w:val="333333"/>
              </w:rPr>
              <w:t>incidents</w:t>
            </w:r>
          </w:p>
        </w:tc>
        <w:tc>
          <w:tcPr>
            <w:tcW w:w="1240" w:type="dxa"/>
            <w:vAlign w:val="bottom"/>
          </w:tcPr>
          <w:p>
            <w:pPr>
              <w:ind w:left="60"/>
              <w:spacing w:after="0"/>
              <w:rPr>
                <w:sz w:val="20"/>
                <w:szCs w:val="20"/>
                <w:color w:val="auto"/>
              </w:rPr>
            </w:pPr>
            <w:r>
              <w:rPr>
                <w:rFonts w:ascii="Arial" w:cs="Arial" w:eastAsia="Arial" w:hAnsi="Arial"/>
                <w:sz w:val="16"/>
                <w:szCs w:val="16"/>
                <w:color w:val="333333"/>
              </w:rPr>
              <w:t>Develop Scope</w:t>
            </w:r>
          </w:p>
        </w:tc>
        <w:tc>
          <w:tcPr>
            <w:tcW w:w="1540" w:type="dxa"/>
            <w:vAlign w:val="bottom"/>
          </w:tcPr>
          <w:p>
            <w:pPr>
              <w:ind w:left="80"/>
              <w:spacing w:after="0"/>
              <w:rPr>
                <w:sz w:val="20"/>
                <w:szCs w:val="20"/>
                <w:color w:val="auto"/>
              </w:rPr>
            </w:pPr>
            <w:r>
              <w:rPr>
                <w:rFonts w:ascii="Arial" w:cs="Arial" w:eastAsia="Arial" w:hAnsi="Arial"/>
                <w:sz w:val="16"/>
                <w:szCs w:val="16"/>
                <w:color w:val="333333"/>
              </w:rPr>
              <w:t>Continuous</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b w:val="1"/>
                <w:bCs w:val="1"/>
                <w:color w:val="333333"/>
              </w:rPr>
              <w:t>Sustainability</w:t>
            </w:r>
            <w:r>
              <w:rPr>
                <w:rFonts w:ascii="Arial" w:cs="Arial" w:eastAsia="Arial" w:hAnsi="Arial"/>
                <w:sz w:val="16"/>
                <w:szCs w:val="16"/>
                <w:color w:val="333333"/>
              </w:rPr>
              <w:t>:</w:t>
            </w:r>
          </w:p>
        </w:tc>
        <w:tc>
          <w:tcPr>
            <w:tcW w:w="1300" w:type="dxa"/>
            <w:vAlign w:val="bottom"/>
          </w:tcPr>
          <w:p>
            <w:pPr>
              <w:ind w:left="80"/>
              <w:spacing w:after="0"/>
              <w:rPr>
                <w:sz w:val="20"/>
                <w:szCs w:val="20"/>
                <w:color w:val="auto"/>
              </w:rPr>
            </w:pPr>
            <w:r>
              <w:rPr>
                <w:rFonts w:ascii="Arial" w:cs="Arial" w:eastAsia="Arial" w:hAnsi="Arial"/>
                <w:sz w:val="16"/>
                <w:szCs w:val="16"/>
                <w:b w:val="1"/>
                <w:bCs w:val="1"/>
                <w:color w:val="333333"/>
              </w:rPr>
              <w:t>Sustainability:</w:t>
            </w:r>
          </w:p>
        </w:tc>
        <w:tc>
          <w:tcPr>
            <w:tcW w:w="1240" w:type="dxa"/>
            <w:vAlign w:val="bottom"/>
          </w:tcPr>
          <w:p>
            <w:pPr>
              <w:ind w:left="60"/>
              <w:spacing w:after="0"/>
              <w:rPr>
                <w:sz w:val="20"/>
                <w:szCs w:val="20"/>
                <w:color w:val="auto"/>
              </w:rPr>
            </w:pPr>
            <w:r>
              <w:rPr>
                <w:rFonts w:ascii="Arial" w:cs="Arial" w:eastAsia="Arial" w:hAnsi="Arial"/>
                <w:sz w:val="16"/>
                <w:szCs w:val="16"/>
                <w:color w:val="333333"/>
              </w:rPr>
              <w:t>3 roadmap for</w:t>
            </w:r>
          </w:p>
        </w:tc>
        <w:tc>
          <w:tcPr>
            <w:tcW w:w="1540" w:type="dxa"/>
            <w:vAlign w:val="bottom"/>
          </w:tcPr>
          <w:p>
            <w:pPr>
              <w:ind w:left="80"/>
              <w:spacing w:after="0"/>
              <w:rPr>
                <w:sz w:val="20"/>
                <w:szCs w:val="20"/>
                <w:color w:val="auto"/>
              </w:rPr>
            </w:pPr>
            <w:r>
              <w:rPr>
                <w:rFonts w:ascii="Arial" w:cs="Arial" w:eastAsia="Arial" w:hAnsi="Arial"/>
                <w:sz w:val="16"/>
                <w:szCs w:val="16"/>
                <w:color w:val="333333"/>
              </w:rPr>
              <w:t>improvement to</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Reduce purchased</w:t>
            </w:r>
          </w:p>
        </w:tc>
        <w:tc>
          <w:tcPr>
            <w:tcW w:w="1300" w:type="dxa"/>
            <w:vAlign w:val="bottom"/>
          </w:tcPr>
          <w:p>
            <w:pPr>
              <w:ind w:left="80"/>
              <w:spacing w:after="0"/>
              <w:rPr>
                <w:sz w:val="20"/>
                <w:szCs w:val="20"/>
                <w:color w:val="auto"/>
              </w:rPr>
            </w:pPr>
            <w:r>
              <w:rPr>
                <w:rFonts w:ascii="Arial" w:cs="Arial" w:eastAsia="Arial" w:hAnsi="Arial"/>
                <w:sz w:val="16"/>
                <w:szCs w:val="16"/>
                <w:color w:val="333333"/>
              </w:rPr>
              <w:t>Include GRI</w:t>
            </w:r>
          </w:p>
        </w:tc>
        <w:tc>
          <w:tcPr>
            <w:tcW w:w="1240" w:type="dxa"/>
            <w:vAlign w:val="bottom"/>
          </w:tcPr>
          <w:p>
            <w:pPr>
              <w:ind w:left="60"/>
              <w:spacing w:after="0"/>
              <w:rPr>
                <w:sz w:val="20"/>
                <w:szCs w:val="20"/>
                <w:color w:val="auto"/>
              </w:rPr>
            </w:pPr>
            <w:r>
              <w:rPr>
                <w:rFonts w:ascii="Arial" w:cs="Arial" w:eastAsia="Arial" w:hAnsi="Arial"/>
                <w:sz w:val="16"/>
                <w:szCs w:val="16"/>
                <w:color w:val="333333"/>
              </w:rPr>
              <w:t>quantifying</w:t>
            </w:r>
          </w:p>
        </w:tc>
        <w:tc>
          <w:tcPr>
            <w:tcW w:w="1540" w:type="dxa"/>
            <w:vAlign w:val="bottom"/>
          </w:tcPr>
          <w:p>
            <w:pPr>
              <w:ind w:left="80"/>
              <w:spacing w:after="0"/>
              <w:rPr>
                <w:sz w:val="20"/>
                <w:szCs w:val="20"/>
                <w:color w:val="auto"/>
              </w:rPr>
            </w:pPr>
            <w:r>
              <w:rPr>
                <w:rFonts w:ascii="Arial" w:cs="Arial" w:eastAsia="Arial" w:hAnsi="Arial"/>
                <w:sz w:val="16"/>
                <w:szCs w:val="16"/>
                <w:color w:val="333333"/>
              </w:rPr>
              <w:t>Total Injury</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renewable energy</w:t>
            </w:r>
          </w:p>
        </w:tc>
        <w:tc>
          <w:tcPr>
            <w:tcW w:w="1300" w:type="dxa"/>
            <w:vAlign w:val="bottom"/>
          </w:tcPr>
          <w:p>
            <w:pPr>
              <w:ind w:left="80"/>
              <w:spacing w:after="0"/>
              <w:rPr>
                <w:sz w:val="20"/>
                <w:szCs w:val="20"/>
                <w:color w:val="auto"/>
              </w:rPr>
            </w:pPr>
            <w:r>
              <w:rPr>
                <w:rFonts w:ascii="Arial" w:cs="Arial" w:eastAsia="Arial" w:hAnsi="Arial"/>
                <w:sz w:val="16"/>
                <w:szCs w:val="16"/>
                <w:color w:val="333333"/>
              </w:rPr>
              <w:t>Index in</w:t>
            </w:r>
          </w:p>
        </w:tc>
        <w:tc>
          <w:tcPr>
            <w:tcW w:w="1240" w:type="dxa"/>
            <w:vAlign w:val="bottom"/>
          </w:tcPr>
          <w:p>
            <w:pPr>
              <w:ind w:left="60"/>
              <w:spacing w:after="0"/>
              <w:rPr>
                <w:sz w:val="20"/>
                <w:szCs w:val="20"/>
                <w:color w:val="auto"/>
              </w:rPr>
            </w:pPr>
            <w:r>
              <w:rPr>
                <w:rFonts w:ascii="Arial" w:cs="Arial" w:eastAsia="Arial" w:hAnsi="Arial"/>
                <w:sz w:val="16"/>
                <w:szCs w:val="16"/>
                <w:color w:val="333333"/>
              </w:rPr>
              <w:t>emissions</w:t>
            </w:r>
          </w:p>
        </w:tc>
        <w:tc>
          <w:tcPr>
            <w:tcW w:w="1540" w:type="dxa"/>
            <w:vAlign w:val="bottom"/>
          </w:tcPr>
          <w:p>
            <w:pPr>
              <w:ind w:left="80"/>
              <w:spacing w:after="0"/>
              <w:rPr>
                <w:sz w:val="20"/>
                <w:szCs w:val="20"/>
                <w:color w:val="auto"/>
              </w:rPr>
            </w:pPr>
            <w:r>
              <w:rPr>
                <w:rFonts w:ascii="Arial" w:cs="Arial" w:eastAsia="Arial" w:hAnsi="Arial"/>
                <w:sz w:val="16"/>
                <w:szCs w:val="16"/>
                <w:color w:val="333333"/>
              </w:rPr>
              <w:t>Incidence Rate;</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credits (RECs) in</w:t>
            </w:r>
          </w:p>
        </w:tc>
        <w:tc>
          <w:tcPr>
            <w:tcW w:w="1300" w:type="dxa"/>
            <w:vAlign w:val="bottom"/>
          </w:tcPr>
          <w:p>
            <w:pPr>
              <w:ind w:left="80"/>
              <w:spacing w:after="0"/>
              <w:rPr>
                <w:sz w:val="20"/>
                <w:szCs w:val="20"/>
                <w:color w:val="auto"/>
              </w:rPr>
            </w:pPr>
            <w:r>
              <w:rPr>
                <w:rFonts w:ascii="Arial" w:cs="Arial" w:eastAsia="Arial" w:hAnsi="Arial"/>
                <w:sz w:val="16"/>
                <w:szCs w:val="16"/>
                <w:color w:val="333333"/>
              </w:rPr>
              <w:t>sustainability</w:t>
            </w:r>
          </w:p>
        </w:tc>
        <w:tc>
          <w:tcPr>
            <w:tcW w:w="1240" w:type="dxa"/>
            <w:vAlign w:val="bottom"/>
          </w:tcPr>
          <w:p>
            <w:pPr>
              <w:ind w:left="60"/>
              <w:spacing w:after="0"/>
              <w:rPr>
                <w:sz w:val="20"/>
                <w:szCs w:val="20"/>
                <w:color w:val="auto"/>
              </w:rPr>
            </w:pPr>
            <w:r>
              <w:rPr>
                <w:rFonts w:ascii="Arial" w:cs="Arial" w:eastAsia="Arial" w:hAnsi="Arial"/>
                <w:sz w:val="16"/>
                <w:szCs w:val="16"/>
                <w:color w:val="333333"/>
              </w:rPr>
              <w:t>(230%)</w:t>
            </w:r>
          </w:p>
        </w:tc>
        <w:tc>
          <w:tcPr>
            <w:tcW w:w="1540" w:type="dxa"/>
            <w:vAlign w:val="bottom"/>
          </w:tcPr>
          <w:p>
            <w:pPr>
              <w:ind w:left="80"/>
              <w:spacing w:after="0"/>
              <w:rPr>
                <w:sz w:val="20"/>
                <w:szCs w:val="20"/>
                <w:color w:val="auto"/>
              </w:rPr>
            </w:pPr>
            <w:r>
              <w:rPr>
                <w:rFonts w:ascii="Arial" w:cs="Arial" w:eastAsia="Arial" w:hAnsi="Arial"/>
                <w:sz w:val="16"/>
                <w:szCs w:val="16"/>
                <w:b w:val="1"/>
                <w:bCs w:val="1"/>
                <w:color w:val="333333"/>
              </w:rPr>
              <w:t>Sustainability:</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achieving Scope 2</w:t>
            </w:r>
          </w:p>
        </w:tc>
        <w:tc>
          <w:tcPr>
            <w:tcW w:w="1300" w:type="dxa"/>
            <w:vAlign w:val="bottom"/>
          </w:tcPr>
          <w:p>
            <w:pPr>
              <w:ind w:left="80"/>
              <w:spacing w:after="0"/>
              <w:rPr>
                <w:sz w:val="20"/>
                <w:szCs w:val="20"/>
                <w:color w:val="auto"/>
              </w:rPr>
            </w:pPr>
            <w:r>
              <w:rPr>
                <w:rFonts w:ascii="Arial" w:cs="Arial" w:eastAsia="Arial" w:hAnsi="Arial"/>
                <w:sz w:val="16"/>
                <w:szCs w:val="16"/>
                <w:color w:val="333333"/>
              </w:rPr>
              <w:t>reporting</w:t>
            </w: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Submitted to 3</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targets for 2030</w:t>
            </w:r>
          </w:p>
        </w:tc>
        <w:tc>
          <w:tcPr>
            <w:tcW w:w="1300" w:type="dxa"/>
            <w:vAlign w:val="bottom"/>
          </w:tcPr>
          <w:p>
            <w:pPr>
              <w:ind w:left="80"/>
              <w:spacing w:after="0"/>
              <w:rPr>
                <w:sz w:val="20"/>
                <w:szCs w:val="20"/>
                <w:color w:val="auto"/>
              </w:rPr>
            </w:pPr>
            <w:r>
              <w:rPr>
                <w:rFonts w:ascii="Arial" w:cs="Arial" w:eastAsia="Arial" w:hAnsi="Arial"/>
                <w:sz w:val="16"/>
                <w:szCs w:val="16"/>
                <w:color w:val="333333"/>
              </w:rPr>
              <w:t>(100%)</w:t>
            </w: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additional key</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333333"/>
              </w:rPr>
              <w:t>(50%)</w:t>
            </w: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public indices;</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Completed Water</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Risk Assessment;</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Achieved</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continuous</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improvements to</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Energy Usage from</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Renewable /</w:t>
            </w:r>
          </w:p>
        </w:tc>
      </w:tr>
      <w:tr>
        <w:trPr>
          <w:trHeight w:val="189"/>
        </w:trPr>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Decrease Scope 2</w:t>
            </w:r>
          </w:p>
        </w:tc>
      </w:tr>
      <w:tr>
        <w:trPr>
          <w:trHeight w:val="215"/>
        </w:trPr>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tcPr>
          <w:p>
            <w:pPr>
              <w:ind w:left="80"/>
              <w:spacing w:after="0"/>
              <w:rPr>
                <w:sz w:val="20"/>
                <w:szCs w:val="20"/>
                <w:color w:val="auto"/>
              </w:rPr>
            </w:pPr>
            <w:r>
              <w:rPr>
                <w:rFonts w:ascii="Arial" w:cs="Arial" w:eastAsia="Arial" w:hAnsi="Arial"/>
                <w:sz w:val="16"/>
                <w:szCs w:val="16"/>
                <w:color w:val="333333"/>
              </w:rPr>
              <w:t>Emissions (230%)</w:t>
            </w:r>
          </w:p>
        </w:tc>
      </w:tr>
      <w:tr>
        <w:trPr>
          <w:trHeight w:val="69"/>
        </w:trPr>
        <w:tc>
          <w:tcPr>
            <w:tcW w:w="1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bl>
    <w:p>
      <w:pPr>
        <w:spacing w:after="0" w:line="198" w:lineRule="exact"/>
        <w:rPr>
          <w:sz w:val="20"/>
          <w:szCs w:val="20"/>
          <w:color w:val="auto"/>
        </w:rPr>
      </w:pPr>
    </w:p>
    <w:p>
      <w:pPr>
        <w:ind w:left="224" w:right="40" w:hanging="224"/>
        <w:spacing w:after="0" w:line="223" w:lineRule="auto"/>
        <w:tabs>
          <w:tab w:leader="none" w:pos="224" w:val="left"/>
        </w:tabs>
        <w:numPr>
          <w:ilvl w:val="0"/>
          <w:numId w:val="80"/>
        </w:numPr>
        <w:rPr>
          <w:rFonts w:ascii="Arial" w:cs="Arial" w:eastAsia="Arial" w:hAnsi="Arial"/>
          <w:sz w:val="13"/>
          <w:szCs w:val="13"/>
          <w:color w:val="333333"/>
        </w:rPr>
      </w:pPr>
      <w:r>
        <w:rPr>
          <w:rFonts w:ascii="Arial" w:cs="Arial" w:eastAsia="Arial" w:hAnsi="Arial"/>
          <w:sz w:val="13"/>
          <w:szCs w:val="13"/>
          <w:color w:val="333333"/>
        </w:rPr>
        <w:t>Adjusted cash gross profit reflects growth in revenues and profitability, which correlates to growth in the Company’s share price. The Company calculates this metric by adding back depreciation, depletion and amortization expenses and nonrecurring expenses, including the impact of marking up inventory to fair value as part of acquisition accounting, to gross profit. For 2025, the metric includes the impact of acquisitions and dispositions that were known to management at the time the metric was set.</w:t>
      </w:r>
    </w:p>
    <w:p>
      <w:pPr>
        <w:ind w:left="4"/>
        <w:spacing w:after="0"/>
        <w:tabs>
          <w:tab w:leader="none" w:pos="204" w:val="left"/>
        </w:tabs>
        <w:rPr>
          <w:sz w:val="20"/>
          <w:szCs w:val="20"/>
          <w:color w:val="auto"/>
        </w:rPr>
      </w:pPr>
      <w:r>
        <w:rPr>
          <w:rFonts w:ascii="Arial" w:cs="Arial" w:eastAsia="Arial" w:hAnsi="Arial"/>
          <w:sz w:val="13"/>
          <w:szCs w:val="13"/>
          <w:color w:val="333333"/>
        </w:rPr>
        <w:t>**</w:t>
      </w:r>
      <w:r>
        <w:rPr>
          <w:sz w:val="20"/>
          <w:szCs w:val="20"/>
          <w:color w:val="auto"/>
        </w:rPr>
        <w:tab/>
      </w:r>
      <w:r>
        <w:rPr>
          <w:rFonts w:ascii="Arial" w:cs="Arial" w:eastAsia="Arial" w:hAnsi="Arial"/>
          <w:sz w:val="12"/>
          <w:szCs w:val="12"/>
          <w:color w:val="333333"/>
        </w:rPr>
        <w:t>SG&amp;A as a Percentage of Total Revenue incentivizes management to properly balance SG&amp;A investments to support business growth and overall cost discipline.</w:t>
      </w:r>
    </w:p>
    <w:p>
      <w:pPr>
        <w:spacing w:after="0" w:line="153" w:lineRule="exact"/>
        <w:rPr>
          <w:sz w:val="20"/>
          <w:szCs w:val="20"/>
          <w:color w:val="auto"/>
        </w:rPr>
      </w:pPr>
    </w:p>
    <w:p>
      <w:pPr>
        <w:ind w:left="4" w:right="180"/>
        <w:spacing w:after="0" w:line="253" w:lineRule="auto"/>
        <w:rPr>
          <w:sz w:val="20"/>
          <w:szCs w:val="20"/>
          <w:color w:val="auto"/>
        </w:rPr>
      </w:pPr>
      <w:r>
        <w:rPr>
          <w:rFonts w:ascii="Arial" w:cs="Arial" w:eastAsia="Arial" w:hAnsi="Arial"/>
          <w:sz w:val="16"/>
          <w:szCs w:val="16"/>
          <w:color w:val="333333"/>
        </w:rPr>
        <w:t>Based on the Company’s Adjusted Cash Gross Profit of $2.68 billion and SG&amp;A as a Percentage of Total Revenue of 6.59% in 2025, a payout of 119% was earned for the two financial metrics for the CEO and other NEOs. These two metrics make up 80% of the incentive formula. For the remaining 20% of the incentive formula, the Company achieved world-class safety metrics for the year and successfully executed its targeted sustainability activities. In response to the Company’s achievements of our safety metrics and sustainability activities a payout of 230% was determined by the Committee. As a result of the 119% achieved for both financial metrics and 230% achieved for the safety and sustainability metric, the total formulaic award percentage was 165%. The Committee applied a 20% modifier based on individual performance during 2025 for Mr. Nye, Mr. McCunniff, Mr. Petro, Mr. Cardin and Mr. Flynn for a total payout of 185%.</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684"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63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684" w:right="439" w:bottom="1440" w:gutter="0" w:footer="0" w:header="0"/>
          <w:type w:val="continuous"/>
        </w:sectPr>
      </w:pPr>
    </w:p>
    <w:bookmarkStart w:id="69" w:name="page70"/>
    <w:bookmarkEnd w:id="69"/>
    <w:p>
      <w:pPr>
        <w:ind w:left="1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Compensation Discussion    </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FFFFFF"/>
        </w:rPr>
        <w:t>and Analysis</w:t>
      </w:r>
    </w:p>
    <w:p>
      <w:pPr>
        <w:spacing w:after="0" w:line="26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Using the formula described above, the formulaic award percentage was determined for 2025 and subsequently an assessment of individual performance was conducted by the Committee to allow for a potential positive or negative adjustment of up to 20% to the cash incentive award percentage for each executive. The individual executive goals considered in the evaluation of potential discretionary adjustments for the NEOs are summarized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80" w:type="dxa"/>
            <w:vAlign w:val="bottom"/>
          </w:tcPr>
          <w:p>
            <w:pPr>
              <w:jc w:val="center"/>
              <w:ind w:right="79"/>
              <w:spacing w:after="0"/>
              <w:rPr>
                <w:sz w:val="20"/>
                <w:szCs w:val="20"/>
                <w:color w:val="auto"/>
              </w:rPr>
            </w:pPr>
            <w:r>
              <w:rPr>
                <w:rFonts w:ascii="Arial" w:cs="Arial" w:eastAsia="Arial" w:hAnsi="Arial"/>
                <w:sz w:val="16"/>
                <w:szCs w:val="16"/>
                <w:b w:val="1"/>
                <w:bCs w:val="1"/>
                <w:color w:val="0086CC"/>
              </w:rPr>
              <w:t>TARGET ANNUAL</w:t>
            </w:r>
          </w:p>
        </w:tc>
        <w:tc>
          <w:tcPr>
            <w:tcW w:w="208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0086CC"/>
              </w:rPr>
              <w:t>2025 TARGET</w:t>
            </w:r>
          </w:p>
        </w:tc>
        <w:tc>
          <w:tcPr>
            <w:tcW w:w="22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0086CC"/>
              </w:rPr>
              <w:t>  2025 ACTUAL</w:t>
            </w: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80" w:type="dxa"/>
            <w:vAlign w:val="bottom"/>
          </w:tcPr>
          <w:p>
            <w:pPr>
              <w:jc w:val="center"/>
              <w:ind w:right="79"/>
              <w:spacing w:after="0"/>
              <w:rPr>
                <w:sz w:val="20"/>
                <w:szCs w:val="20"/>
                <w:color w:val="auto"/>
              </w:rPr>
            </w:pPr>
            <w:r>
              <w:rPr>
                <w:rFonts w:ascii="Arial" w:cs="Arial" w:eastAsia="Arial" w:hAnsi="Arial"/>
                <w:sz w:val="16"/>
                <w:szCs w:val="16"/>
                <w:b w:val="1"/>
                <w:bCs w:val="1"/>
                <w:color w:val="0086CC"/>
              </w:rPr>
              <w:t>INCENTIVE BONUS</w:t>
            </w:r>
          </w:p>
        </w:tc>
        <w:tc>
          <w:tcPr>
            <w:tcW w:w="208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0086CC"/>
              </w:rPr>
              <w:t>ANNUAL</w:t>
            </w:r>
          </w:p>
        </w:tc>
        <w:tc>
          <w:tcPr>
            <w:tcW w:w="224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0086CC"/>
              </w:rPr>
              <w:t>ANNUAL</w:t>
            </w:r>
          </w:p>
        </w:tc>
      </w:tr>
      <w:tr>
        <w:trPr>
          <w:trHeight w:val="240"/>
        </w:trPr>
        <w:tc>
          <w:tcPr>
            <w:tcW w:w="198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NEO</w:t>
            </w:r>
          </w:p>
        </w:tc>
        <w:tc>
          <w:tcPr>
            <w:tcW w:w="2540" w:type="dxa"/>
            <w:vAlign w:val="bottom"/>
            <w:tcBorders>
              <w:bottom w:val="single" w:sz="8" w:color="0086CC"/>
            </w:tcBorders>
            <w:gridSpan w:val="2"/>
          </w:tcPr>
          <w:p>
            <w:pPr>
              <w:ind w:left="320"/>
              <w:spacing w:after="0"/>
              <w:rPr>
                <w:sz w:val="20"/>
                <w:szCs w:val="20"/>
                <w:color w:val="auto"/>
              </w:rPr>
            </w:pPr>
            <w:r>
              <w:rPr>
                <w:rFonts w:ascii="Arial" w:cs="Arial" w:eastAsia="Arial" w:hAnsi="Arial"/>
                <w:sz w:val="16"/>
                <w:szCs w:val="16"/>
                <w:b w:val="1"/>
                <w:bCs w:val="1"/>
                <w:color w:val="0086CC"/>
              </w:rPr>
              <w:t>2025 INDIVIDUAL GOALS</w:t>
            </w:r>
          </w:p>
        </w:tc>
        <w:tc>
          <w:tcPr>
            <w:tcW w:w="2180" w:type="dxa"/>
            <w:vAlign w:val="bottom"/>
            <w:tcBorders>
              <w:bottom w:val="single" w:sz="8" w:color="0086CC"/>
            </w:tcBorders>
          </w:tcPr>
          <w:p>
            <w:pPr>
              <w:jc w:val="center"/>
              <w:ind w:right="79"/>
              <w:spacing w:after="0"/>
              <w:rPr>
                <w:sz w:val="20"/>
                <w:szCs w:val="20"/>
                <w:color w:val="auto"/>
              </w:rPr>
            </w:pPr>
            <w:r>
              <w:rPr>
                <w:rFonts w:ascii="Arial" w:cs="Arial" w:eastAsia="Arial" w:hAnsi="Arial"/>
                <w:sz w:val="16"/>
                <w:szCs w:val="16"/>
                <w:b w:val="1"/>
                <w:bCs w:val="1"/>
                <w:color w:val="0086CC"/>
              </w:rPr>
              <w:t>(% OF SALARY)</w:t>
            </w:r>
          </w:p>
        </w:tc>
        <w:tc>
          <w:tcPr>
            <w:tcW w:w="2080" w:type="dxa"/>
            <w:vAlign w:val="bottom"/>
            <w:tcBorders>
              <w:bottom w:val="single" w:sz="8" w:color="0086CC"/>
            </w:tcBorders>
            <w:gridSpan w:val="2"/>
          </w:tcPr>
          <w:p>
            <w:pPr>
              <w:jc w:val="center"/>
              <w:ind w:right="59"/>
              <w:spacing w:after="0"/>
              <w:rPr>
                <w:sz w:val="20"/>
                <w:szCs w:val="20"/>
                <w:color w:val="auto"/>
              </w:rPr>
            </w:pPr>
            <w:r>
              <w:rPr>
                <w:rFonts w:ascii="Arial" w:cs="Arial" w:eastAsia="Arial" w:hAnsi="Arial"/>
                <w:sz w:val="16"/>
                <w:szCs w:val="16"/>
                <w:b w:val="1"/>
                <w:bCs w:val="1"/>
                <w:color w:val="0086CC"/>
              </w:rPr>
              <w:t>INCENTIVE*</w:t>
            </w:r>
          </w:p>
        </w:tc>
        <w:tc>
          <w:tcPr>
            <w:tcW w:w="2240" w:type="dxa"/>
            <w:vAlign w:val="bottom"/>
            <w:tcBorders>
              <w:bottom w:val="single" w:sz="8" w:color="0086CC"/>
            </w:tcBorders>
            <w:gridSpan w:val="2"/>
          </w:tcPr>
          <w:p>
            <w:pPr>
              <w:ind w:left="760"/>
              <w:spacing w:after="0"/>
              <w:rPr>
                <w:sz w:val="20"/>
                <w:szCs w:val="20"/>
                <w:color w:val="auto"/>
              </w:rPr>
            </w:pPr>
            <w:r>
              <w:rPr>
                <w:rFonts w:ascii="Arial" w:cs="Arial" w:eastAsia="Arial" w:hAnsi="Arial"/>
                <w:sz w:val="16"/>
                <w:szCs w:val="16"/>
                <w:b w:val="1"/>
                <w:bCs w:val="1"/>
                <w:color w:val="0086CC"/>
              </w:rPr>
              <w:t>INCENTIVE</w:t>
            </w:r>
          </w:p>
        </w:tc>
      </w:tr>
      <w:tr>
        <w:trPr>
          <w:trHeight w:val="226"/>
        </w:trPr>
        <w:tc>
          <w:tcPr>
            <w:tcW w:w="1980" w:type="dxa"/>
            <w:vAlign w:val="bottom"/>
          </w:tcPr>
          <w:p>
            <w:pPr>
              <w:ind w:left="60"/>
              <w:spacing w:after="0"/>
              <w:rPr>
                <w:sz w:val="20"/>
                <w:szCs w:val="20"/>
                <w:color w:val="auto"/>
              </w:rPr>
            </w:pPr>
            <w:r>
              <w:rPr>
                <w:rFonts w:ascii="Arial" w:cs="Arial" w:eastAsia="Arial" w:hAnsi="Arial"/>
                <w:sz w:val="16"/>
                <w:szCs w:val="16"/>
                <w:b w:val="1"/>
                <w:bCs w:val="1"/>
                <w:color w:val="4D5357"/>
              </w:rPr>
              <w:t>C. Howard Nye</w:t>
            </w: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Drive continuous</w:t>
            </w:r>
          </w:p>
        </w:tc>
        <w:tc>
          <w:tcPr>
            <w:tcW w:w="2180" w:type="dxa"/>
            <w:vAlign w:val="bottom"/>
          </w:tcPr>
          <w:p>
            <w:pPr>
              <w:jc w:val="right"/>
              <w:ind w:right="779"/>
              <w:spacing w:after="0"/>
              <w:rPr>
                <w:sz w:val="20"/>
                <w:szCs w:val="20"/>
                <w:color w:val="auto"/>
              </w:rPr>
            </w:pPr>
            <w:r>
              <w:rPr>
                <w:rFonts w:ascii="Arial" w:cs="Arial" w:eastAsia="Arial" w:hAnsi="Arial"/>
                <w:sz w:val="16"/>
                <w:szCs w:val="16"/>
                <w:color w:val="4D5357"/>
              </w:rPr>
              <w:t>160%</w:t>
            </w:r>
          </w:p>
        </w:tc>
        <w:tc>
          <w:tcPr>
            <w:tcW w:w="660" w:type="dxa"/>
            <w:vAlign w:val="bottom"/>
          </w:tcPr>
          <w:p>
            <w:pPr>
              <w:jc w:val="right"/>
              <w:spacing w:after="0"/>
              <w:rPr>
                <w:sz w:val="20"/>
                <w:szCs w:val="20"/>
                <w:color w:val="auto"/>
              </w:rPr>
            </w:pPr>
            <w:r>
              <w:rPr>
                <w:rFonts w:ascii="Arial" w:cs="Arial" w:eastAsia="Arial" w:hAnsi="Arial"/>
                <w:sz w:val="16"/>
                <w:szCs w:val="16"/>
                <w:color w:val="4D5357"/>
              </w:rPr>
              <w:t>$</w:t>
            </w:r>
          </w:p>
        </w:tc>
        <w:tc>
          <w:tcPr>
            <w:tcW w:w="1420" w:type="dxa"/>
            <w:vAlign w:val="bottom"/>
          </w:tcPr>
          <w:p>
            <w:pPr>
              <w:jc w:val="right"/>
              <w:ind w:right="619"/>
              <w:spacing w:after="0"/>
              <w:rPr>
                <w:sz w:val="20"/>
                <w:szCs w:val="20"/>
                <w:color w:val="auto"/>
              </w:rPr>
            </w:pPr>
            <w:r>
              <w:rPr>
                <w:rFonts w:ascii="Arial" w:cs="Arial" w:eastAsia="Arial" w:hAnsi="Arial"/>
                <w:sz w:val="16"/>
                <w:szCs w:val="16"/>
                <w:color w:val="4D5357"/>
                <w:w w:val="98"/>
              </w:rPr>
              <w:t>2,189,333</w:t>
            </w:r>
          </w:p>
        </w:tc>
        <w:tc>
          <w:tcPr>
            <w:tcW w:w="880" w:type="dxa"/>
            <w:vAlign w:val="bottom"/>
          </w:tcPr>
          <w:p>
            <w:pPr>
              <w:ind w:left="780"/>
              <w:spacing w:after="0"/>
              <w:rPr>
                <w:sz w:val="20"/>
                <w:szCs w:val="20"/>
                <w:color w:val="auto"/>
              </w:rPr>
            </w:pPr>
            <w:r>
              <w:rPr>
                <w:rFonts w:ascii="Arial" w:cs="Arial" w:eastAsia="Arial" w:hAnsi="Arial"/>
                <w:sz w:val="16"/>
                <w:szCs w:val="16"/>
                <w:color w:val="4D5357"/>
                <w:w w:val="89"/>
              </w:rPr>
              <w:t>$</w:t>
            </w:r>
          </w:p>
        </w:tc>
        <w:tc>
          <w:tcPr>
            <w:tcW w:w="1360" w:type="dxa"/>
            <w:vAlign w:val="bottom"/>
          </w:tcPr>
          <w:p>
            <w:pPr>
              <w:jc w:val="right"/>
              <w:ind w:right="539"/>
              <w:spacing w:after="0"/>
              <w:rPr>
                <w:sz w:val="20"/>
                <w:szCs w:val="20"/>
                <w:color w:val="auto"/>
              </w:rPr>
            </w:pPr>
            <w:r>
              <w:rPr>
                <w:rFonts w:ascii="Arial" w:cs="Arial" w:eastAsia="Arial" w:hAnsi="Arial"/>
                <w:sz w:val="16"/>
                <w:szCs w:val="16"/>
                <w:color w:val="4D5357"/>
              </w:rPr>
              <w:t>4,051,753</w:t>
            </w: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improvement in the</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Company’s safety culture</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and performance</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Generate long-term value</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for shareholders through</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development and</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execution of the</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Company’s Strategic</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Operating Analysis and</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Review (SOAR) Plan,</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organic and inorganic</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growth, including prudent</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allocation of capital</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Ongoing delivery and</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execution of</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management succession</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and development plans</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6"/>
                <w:szCs w:val="16"/>
                <w:color w:val="333333"/>
              </w:rPr>
              <w:t>• Management of</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4"/>
        </w:trPr>
        <w:tc>
          <w:tcPr>
            <w:tcW w:w="1980" w:type="dxa"/>
            <w:vAlign w:val="bottom"/>
            <w:tcBorders>
              <w:bottom w:val="single" w:sz="8" w:color="4D5357"/>
            </w:tcBorders>
          </w:tcPr>
          <w:p>
            <w:pPr>
              <w:spacing w:after="0"/>
              <w:rPr>
                <w:sz w:val="19"/>
                <w:szCs w:val="19"/>
                <w:color w:val="auto"/>
              </w:rPr>
            </w:pPr>
          </w:p>
        </w:tc>
        <w:tc>
          <w:tcPr>
            <w:tcW w:w="400" w:type="dxa"/>
            <w:vAlign w:val="bottom"/>
            <w:tcBorders>
              <w:bottom w:val="single" w:sz="8" w:color="4D5357"/>
            </w:tcBorders>
          </w:tcPr>
          <w:p>
            <w:pPr>
              <w:spacing w:after="0"/>
              <w:rPr>
                <w:sz w:val="19"/>
                <w:szCs w:val="19"/>
                <w:color w:val="auto"/>
              </w:rPr>
            </w:pPr>
          </w:p>
        </w:tc>
        <w:tc>
          <w:tcPr>
            <w:tcW w:w="2140" w:type="dxa"/>
            <w:vAlign w:val="bottom"/>
            <w:tcBorders>
              <w:bottom w:val="single" w:sz="8" w:color="4D5357"/>
            </w:tcBorders>
          </w:tcPr>
          <w:p>
            <w:pPr>
              <w:ind w:left="40"/>
              <w:spacing w:after="0"/>
              <w:rPr>
                <w:sz w:val="20"/>
                <w:szCs w:val="20"/>
                <w:color w:val="auto"/>
              </w:rPr>
            </w:pPr>
            <w:r>
              <w:rPr>
                <w:rFonts w:ascii="Arial" w:cs="Arial" w:eastAsia="Arial" w:hAnsi="Arial"/>
                <w:sz w:val="16"/>
                <w:szCs w:val="16"/>
                <w:color w:val="333333"/>
              </w:rPr>
              <w:t>enterprise challenges</w:t>
            </w:r>
          </w:p>
        </w:tc>
        <w:tc>
          <w:tcPr>
            <w:tcW w:w="2180" w:type="dxa"/>
            <w:vAlign w:val="bottom"/>
            <w:tcBorders>
              <w:bottom w:val="single" w:sz="8" w:color="4D5357"/>
            </w:tcBorders>
          </w:tcPr>
          <w:p>
            <w:pPr>
              <w:spacing w:after="0"/>
              <w:rPr>
                <w:sz w:val="19"/>
                <w:szCs w:val="19"/>
                <w:color w:val="auto"/>
              </w:rPr>
            </w:pPr>
          </w:p>
        </w:tc>
        <w:tc>
          <w:tcPr>
            <w:tcW w:w="660" w:type="dxa"/>
            <w:vAlign w:val="bottom"/>
            <w:tcBorders>
              <w:bottom w:val="single" w:sz="8" w:color="4D5357"/>
            </w:tcBorders>
          </w:tcPr>
          <w:p>
            <w:pPr>
              <w:spacing w:after="0"/>
              <w:rPr>
                <w:sz w:val="19"/>
                <w:szCs w:val="19"/>
                <w:color w:val="auto"/>
              </w:rPr>
            </w:pPr>
          </w:p>
        </w:tc>
        <w:tc>
          <w:tcPr>
            <w:tcW w:w="1420" w:type="dxa"/>
            <w:vAlign w:val="bottom"/>
            <w:tcBorders>
              <w:bottom w:val="single" w:sz="8" w:color="4D5357"/>
            </w:tcBorders>
          </w:tcPr>
          <w:p>
            <w:pPr>
              <w:spacing w:after="0"/>
              <w:rPr>
                <w:sz w:val="19"/>
                <w:szCs w:val="19"/>
                <w:color w:val="auto"/>
              </w:rPr>
            </w:pPr>
          </w:p>
        </w:tc>
        <w:tc>
          <w:tcPr>
            <w:tcW w:w="880" w:type="dxa"/>
            <w:vAlign w:val="bottom"/>
            <w:tcBorders>
              <w:bottom w:val="single" w:sz="8" w:color="4D5357"/>
            </w:tcBorders>
          </w:tcPr>
          <w:p>
            <w:pPr>
              <w:spacing w:after="0"/>
              <w:rPr>
                <w:sz w:val="19"/>
                <w:szCs w:val="19"/>
                <w:color w:val="auto"/>
              </w:rPr>
            </w:pPr>
          </w:p>
        </w:tc>
        <w:tc>
          <w:tcPr>
            <w:tcW w:w="1360" w:type="dxa"/>
            <w:vAlign w:val="bottom"/>
            <w:tcBorders>
              <w:bottom w:val="single" w:sz="8" w:color="4D5357"/>
            </w:tcBorders>
          </w:tcPr>
          <w:p>
            <w:pPr>
              <w:spacing w:after="0"/>
              <w:rPr>
                <w:sz w:val="19"/>
                <w:szCs w:val="19"/>
                <w:color w:val="auto"/>
              </w:rPr>
            </w:pPr>
          </w:p>
        </w:tc>
      </w:tr>
      <w:tr>
        <w:trPr>
          <w:trHeight w:val="229"/>
        </w:trPr>
        <w:tc>
          <w:tcPr>
            <w:tcW w:w="1980" w:type="dxa"/>
            <w:vAlign w:val="bottom"/>
          </w:tcPr>
          <w:p>
            <w:pPr>
              <w:ind w:left="60"/>
              <w:spacing w:after="0"/>
              <w:rPr>
                <w:sz w:val="20"/>
                <w:szCs w:val="20"/>
                <w:color w:val="auto"/>
              </w:rPr>
            </w:pPr>
            <w:r>
              <w:rPr>
                <w:rFonts w:ascii="Arial" w:cs="Arial" w:eastAsia="Arial" w:hAnsi="Arial"/>
                <w:sz w:val="16"/>
                <w:szCs w:val="16"/>
                <w:b w:val="1"/>
                <w:bCs w:val="1"/>
                <w:color w:val="4D5357"/>
              </w:rPr>
              <w:t>Michael J. Petro</w:t>
            </w: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Effective oversight of</w:t>
            </w:r>
          </w:p>
        </w:tc>
        <w:tc>
          <w:tcPr>
            <w:tcW w:w="2180" w:type="dxa"/>
            <w:vAlign w:val="bottom"/>
          </w:tcPr>
          <w:p>
            <w:pPr>
              <w:jc w:val="right"/>
              <w:ind w:right="779"/>
              <w:spacing w:after="0"/>
              <w:rPr>
                <w:sz w:val="20"/>
                <w:szCs w:val="20"/>
                <w:color w:val="auto"/>
              </w:rPr>
            </w:pPr>
            <w:r>
              <w:rPr>
                <w:rFonts w:ascii="Arial" w:cs="Arial" w:eastAsia="Arial" w:hAnsi="Arial"/>
                <w:sz w:val="16"/>
                <w:szCs w:val="16"/>
                <w:color w:val="4D5357"/>
              </w:rPr>
              <w:t>90%</w:t>
            </w:r>
          </w:p>
        </w:tc>
        <w:tc>
          <w:tcPr>
            <w:tcW w:w="660" w:type="dxa"/>
            <w:vAlign w:val="bottom"/>
          </w:tcPr>
          <w:p>
            <w:pPr>
              <w:jc w:val="right"/>
              <w:spacing w:after="0"/>
              <w:rPr>
                <w:sz w:val="20"/>
                <w:szCs w:val="20"/>
                <w:color w:val="auto"/>
              </w:rPr>
            </w:pPr>
            <w:r>
              <w:rPr>
                <w:rFonts w:ascii="Arial" w:cs="Arial" w:eastAsia="Arial" w:hAnsi="Arial"/>
                <w:sz w:val="16"/>
                <w:szCs w:val="16"/>
                <w:color w:val="4D5357"/>
              </w:rPr>
              <w:t>$</w:t>
            </w:r>
          </w:p>
        </w:tc>
        <w:tc>
          <w:tcPr>
            <w:tcW w:w="1420" w:type="dxa"/>
            <w:vAlign w:val="bottom"/>
          </w:tcPr>
          <w:p>
            <w:pPr>
              <w:jc w:val="right"/>
              <w:ind w:right="619"/>
              <w:spacing w:after="0"/>
              <w:rPr>
                <w:sz w:val="20"/>
                <w:szCs w:val="20"/>
                <w:color w:val="auto"/>
              </w:rPr>
            </w:pPr>
            <w:r>
              <w:rPr>
                <w:rFonts w:ascii="Arial" w:cs="Arial" w:eastAsia="Arial" w:hAnsi="Arial"/>
                <w:sz w:val="16"/>
                <w:szCs w:val="16"/>
                <w:color w:val="4D5357"/>
              </w:rPr>
              <w:t>459,819</w:t>
            </w:r>
          </w:p>
        </w:tc>
        <w:tc>
          <w:tcPr>
            <w:tcW w:w="880" w:type="dxa"/>
            <w:vAlign w:val="bottom"/>
          </w:tcPr>
          <w:p>
            <w:pPr>
              <w:ind w:left="780"/>
              <w:spacing w:after="0"/>
              <w:rPr>
                <w:sz w:val="20"/>
                <w:szCs w:val="20"/>
                <w:color w:val="auto"/>
              </w:rPr>
            </w:pPr>
            <w:r>
              <w:rPr>
                <w:rFonts w:ascii="Arial" w:cs="Arial" w:eastAsia="Arial" w:hAnsi="Arial"/>
                <w:sz w:val="16"/>
                <w:szCs w:val="16"/>
                <w:color w:val="4D5357"/>
                <w:w w:val="89"/>
              </w:rPr>
              <w:t>$</w:t>
            </w:r>
          </w:p>
        </w:tc>
        <w:tc>
          <w:tcPr>
            <w:tcW w:w="1360" w:type="dxa"/>
            <w:vAlign w:val="bottom"/>
          </w:tcPr>
          <w:p>
            <w:pPr>
              <w:jc w:val="right"/>
              <w:ind w:right="539"/>
              <w:spacing w:after="0"/>
              <w:rPr>
                <w:sz w:val="20"/>
                <w:szCs w:val="20"/>
                <w:color w:val="auto"/>
              </w:rPr>
            </w:pPr>
            <w:r>
              <w:rPr>
                <w:rFonts w:ascii="Arial" w:cs="Arial" w:eastAsia="Arial" w:hAnsi="Arial"/>
                <w:sz w:val="16"/>
                <w:szCs w:val="16"/>
                <w:color w:val="4D5357"/>
              </w:rPr>
              <w:t>851,877</w:t>
            </w: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financial filings, audits</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and accounting</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Develop and execute</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necessary plans to</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ensure the strength of the</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Company’s balance</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sheet</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Develop the talent and</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capability of the finance</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and strategy teams</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Develop and execute the</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Company’s strategic plan</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(SOAR) while identifying</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new market opportunities</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and business areas for</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4"/>
        </w:trPr>
        <w:tc>
          <w:tcPr>
            <w:tcW w:w="1980" w:type="dxa"/>
            <w:vAlign w:val="bottom"/>
            <w:tcBorders>
              <w:bottom w:val="single" w:sz="8" w:color="4D5357"/>
            </w:tcBorders>
          </w:tcPr>
          <w:p>
            <w:pPr>
              <w:spacing w:after="0"/>
              <w:rPr>
                <w:sz w:val="19"/>
                <w:szCs w:val="19"/>
                <w:color w:val="auto"/>
              </w:rPr>
            </w:pPr>
          </w:p>
        </w:tc>
        <w:tc>
          <w:tcPr>
            <w:tcW w:w="400" w:type="dxa"/>
            <w:vAlign w:val="bottom"/>
            <w:tcBorders>
              <w:bottom w:val="single" w:sz="8" w:color="4D5357"/>
            </w:tcBorders>
          </w:tcPr>
          <w:p>
            <w:pPr>
              <w:spacing w:after="0"/>
              <w:rPr>
                <w:sz w:val="19"/>
                <w:szCs w:val="19"/>
                <w:color w:val="auto"/>
              </w:rPr>
            </w:pPr>
          </w:p>
        </w:tc>
        <w:tc>
          <w:tcPr>
            <w:tcW w:w="2140" w:type="dxa"/>
            <w:vAlign w:val="bottom"/>
            <w:tcBorders>
              <w:bottom w:val="single" w:sz="8" w:color="4D5357"/>
            </w:tcBorders>
          </w:tcPr>
          <w:p>
            <w:pPr>
              <w:ind w:left="40"/>
              <w:spacing w:after="0"/>
              <w:rPr>
                <w:sz w:val="20"/>
                <w:szCs w:val="20"/>
                <w:color w:val="auto"/>
              </w:rPr>
            </w:pPr>
            <w:r>
              <w:rPr>
                <w:rFonts w:ascii="Arial" w:cs="Arial" w:eastAsia="Arial" w:hAnsi="Arial"/>
                <w:sz w:val="16"/>
                <w:szCs w:val="16"/>
                <w:color w:val="333333"/>
              </w:rPr>
              <w:t>growth</w:t>
            </w:r>
          </w:p>
        </w:tc>
        <w:tc>
          <w:tcPr>
            <w:tcW w:w="2180" w:type="dxa"/>
            <w:vAlign w:val="bottom"/>
            <w:tcBorders>
              <w:bottom w:val="single" w:sz="8" w:color="4D5357"/>
            </w:tcBorders>
          </w:tcPr>
          <w:p>
            <w:pPr>
              <w:spacing w:after="0"/>
              <w:rPr>
                <w:sz w:val="19"/>
                <w:szCs w:val="19"/>
                <w:color w:val="auto"/>
              </w:rPr>
            </w:pPr>
          </w:p>
        </w:tc>
        <w:tc>
          <w:tcPr>
            <w:tcW w:w="660" w:type="dxa"/>
            <w:vAlign w:val="bottom"/>
            <w:tcBorders>
              <w:bottom w:val="single" w:sz="8" w:color="4D5357"/>
            </w:tcBorders>
          </w:tcPr>
          <w:p>
            <w:pPr>
              <w:spacing w:after="0"/>
              <w:rPr>
                <w:sz w:val="19"/>
                <w:szCs w:val="19"/>
                <w:color w:val="auto"/>
              </w:rPr>
            </w:pPr>
          </w:p>
        </w:tc>
        <w:tc>
          <w:tcPr>
            <w:tcW w:w="1420" w:type="dxa"/>
            <w:vAlign w:val="bottom"/>
            <w:tcBorders>
              <w:bottom w:val="single" w:sz="8" w:color="4D5357"/>
            </w:tcBorders>
          </w:tcPr>
          <w:p>
            <w:pPr>
              <w:spacing w:after="0"/>
              <w:rPr>
                <w:sz w:val="19"/>
                <w:szCs w:val="19"/>
                <w:color w:val="auto"/>
              </w:rPr>
            </w:pPr>
          </w:p>
        </w:tc>
        <w:tc>
          <w:tcPr>
            <w:tcW w:w="880" w:type="dxa"/>
            <w:vAlign w:val="bottom"/>
            <w:tcBorders>
              <w:bottom w:val="single" w:sz="8" w:color="4D5357"/>
            </w:tcBorders>
          </w:tcPr>
          <w:p>
            <w:pPr>
              <w:spacing w:after="0"/>
              <w:rPr>
                <w:sz w:val="19"/>
                <w:szCs w:val="19"/>
                <w:color w:val="auto"/>
              </w:rPr>
            </w:pPr>
          </w:p>
        </w:tc>
        <w:tc>
          <w:tcPr>
            <w:tcW w:w="1360" w:type="dxa"/>
            <w:vAlign w:val="bottom"/>
            <w:tcBorders>
              <w:bottom w:val="single" w:sz="8" w:color="4D5357"/>
            </w:tcBorders>
          </w:tcPr>
          <w:p>
            <w:pPr>
              <w:spacing w:after="0"/>
              <w:rPr>
                <w:sz w:val="19"/>
                <w:szCs w:val="19"/>
                <w:color w:val="auto"/>
              </w:rPr>
            </w:pPr>
          </w:p>
        </w:tc>
      </w:tr>
      <w:tr>
        <w:trPr>
          <w:trHeight w:val="229"/>
        </w:trPr>
        <w:tc>
          <w:tcPr>
            <w:tcW w:w="1980" w:type="dxa"/>
            <w:vAlign w:val="bottom"/>
          </w:tcPr>
          <w:p>
            <w:pPr>
              <w:ind w:left="60"/>
              <w:spacing w:after="0"/>
              <w:rPr>
                <w:sz w:val="20"/>
                <w:szCs w:val="20"/>
                <w:color w:val="auto"/>
              </w:rPr>
            </w:pPr>
            <w:r>
              <w:rPr>
                <w:rFonts w:ascii="Arial" w:cs="Arial" w:eastAsia="Arial" w:hAnsi="Arial"/>
                <w:sz w:val="16"/>
                <w:szCs w:val="16"/>
                <w:b w:val="1"/>
                <w:bCs w:val="1"/>
                <w:color w:val="4D5357"/>
              </w:rPr>
              <w:t>James A. J. Nickolas</w:t>
            </w: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Effective development</w:t>
            </w:r>
          </w:p>
        </w:tc>
        <w:tc>
          <w:tcPr>
            <w:tcW w:w="2180" w:type="dxa"/>
            <w:vAlign w:val="bottom"/>
          </w:tcPr>
          <w:p>
            <w:pPr>
              <w:jc w:val="right"/>
              <w:ind w:right="779"/>
              <w:spacing w:after="0"/>
              <w:rPr>
                <w:sz w:val="20"/>
                <w:szCs w:val="20"/>
                <w:color w:val="auto"/>
              </w:rPr>
            </w:pPr>
            <w:r>
              <w:rPr>
                <w:rFonts w:ascii="Arial" w:cs="Arial" w:eastAsia="Arial" w:hAnsi="Arial"/>
                <w:sz w:val="16"/>
                <w:szCs w:val="16"/>
                <w:color w:val="4D5357"/>
              </w:rPr>
              <w:t>100%</w:t>
            </w:r>
          </w:p>
        </w:tc>
        <w:tc>
          <w:tcPr>
            <w:tcW w:w="660" w:type="dxa"/>
            <w:vAlign w:val="bottom"/>
          </w:tcPr>
          <w:p>
            <w:pPr>
              <w:jc w:val="right"/>
              <w:spacing w:after="0"/>
              <w:rPr>
                <w:sz w:val="20"/>
                <w:szCs w:val="20"/>
                <w:color w:val="auto"/>
              </w:rPr>
            </w:pPr>
            <w:r>
              <w:rPr>
                <w:rFonts w:ascii="Arial" w:cs="Arial" w:eastAsia="Arial" w:hAnsi="Arial"/>
                <w:sz w:val="16"/>
                <w:szCs w:val="16"/>
                <w:color w:val="4D5357"/>
              </w:rPr>
              <w:t>$</w:t>
            </w:r>
          </w:p>
        </w:tc>
        <w:tc>
          <w:tcPr>
            <w:tcW w:w="1420" w:type="dxa"/>
            <w:vAlign w:val="bottom"/>
          </w:tcPr>
          <w:p>
            <w:pPr>
              <w:jc w:val="right"/>
              <w:ind w:right="619"/>
              <w:spacing w:after="0"/>
              <w:rPr>
                <w:sz w:val="20"/>
                <w:szCs w:val="20"/>
                <w:color w:val="auto"/>
              </w:rPr>
            </w:pPr>
            <w:r>
              <w:rPr>
                <w:rFonts w:ascii="Arial" w:cs="Arial" w:eastAsia="Arial" w:hAnsi="Arial"/>
                <w:sz w:val="16"/>
                <w:szCs w:val="16"/>
                <w:color w:val="4D5357"/>
              </w:rPr>
              <w:t>206,704</w:t>
            </w:r>
          </w:p>
        </w:tc>
        <w:tc>
          <w:tcPr>
            <w:tcW w:w="880" w:type="dxa"/>
            <w:vAlign w:val="bottom"/>
          </w:tcPr>
          <w:p>
            <w:pPr>
              <w:spacing w:after="0"/>
              <w:rPr>
                <w:sz w:val="19"/>
                <w:szCs w:val="19"/>
                <w:color w:val="auto"/>
              </w:rPr>
            </w:pPr>
          </w:p>
        </w:tc>
        <w:tc>
          <w:tcPr>
            <w:tcW w:w="1360" w:type="dxa"/>
            <w:vAlign w:val="bottom"/>
          </w:tcPr>
          <w:p>
            <w:pPr>
              <w:jc w:val="right"/>
              <w:ind w:right="419"/>
              <w:spacing w:after="0"/>
              <w:rPr>
                <w:sz w:val="20"/>
                <w:szCs w:val="20"/>
                <w:color w:val="auto"/>
              </w:rPr>
            </w:pPr>
            <w:r>
              <w:rPr>
                <w:rFonts w:ascii="Arial" w:cs="Arial" w:eastAsia="Arial" w:hAnsi="Arial"/>
                <w:sz w:val="16"/>
                <w:szCs w:val="16"/>
                <w:color w:val="4D5357"/>
              </w:rPr>
              <w:t>—**</w:t>
            </w: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and oversight of financial</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filings, audits and</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accounting</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Continue to develop and</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execute necessary plans</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to ensure the strength of</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the Company’s balance</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sheet</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Continue to develop the</w:t>
            </w: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talent and capability of</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4"/>
        </w:trPr>
        <w:tc>
          <w:tcPr>
            <w:tcW w:w="1980" w:type="dxa"/>
            <w:vAlign w:val="bottom"/>
            <w:tcBorders>
              <w:bottom w:val="single" w:sz="8" w:color="4D5357"/>
            </w:tcBorders>
          </w:tcPr>
          <w:p>
            <w:pPr>
              <w:spacing w:after="0"/>
              <w:rPr>
                <w:sz w:val="19"/>
                <w:szCs w:val="19"/>
                <w:color w:val="auto"/>
              </w:rPr>
            </w:pPr>
          </w:p>
        </w:tc>
        <w:tc>
          <w:tcPr>
            <w:tcW w:w="400" w:type="dxa"/>
            <w:vAlign w:val="bottom"/>
            <w:tcBorders>
              <w:bottom w:val="single" w:sz="8" w:color="4D5357"/>
            </w:tcBorders>
          </w:tcPr>
          <w:p>
            <w:pPr>
              <w:spacing w:after="0"/>
              <w:rPr>
                <w:sz w:val="19"/>
                <w:szCs w:val="19"/>
                <w:color w:val="auto"/>
              </w:rPr>
            </w:pPr>
          </w:p>
        </w:tc>
        <w:tc>
          <w:tcPr>
            <w:tcW w:w="2140" w:type="dxa"/>
            <w:vAlign w:val="bottom"/>
            <w:tcBorders>
              <w:bottom w:val="single" w:sz="8" w:color="4D5357"/>
            </w:tcBorders>
          </w:tcPr>
          <w:p>
            <w:pPr>
              <w:ind w:left="40"/>
              <w:spacing w:after="0"/>
              <w:rPr>
                <w:sz w:val="20"/>
                <w:szCs w:val="20"/>
                <w:color w:val="auto"/>
              </w:rPr>
            </w:pPr>
            <w:r>
              <w:rPr>
                <w:rFonts w:ascii="Arial" w:cs="Arial" w:eastAsia="Arial" w:hAnsi="Arial"/>
                <w:sz w:val="16"/>
                <w:szCs w:val="16"/>
                <w:color w:val="333333"/>
              </w:rPr>
              <w:t>finance team</w:t>
            </w:r>
          </w:p>
        </w:tc>
        <w:tc>
          <w:tcPr>
            <w:tcW w:w="2180" w:type="dxa"/>
            <w:vAlign w:val="bottom"/>
            <w:tcBorders>
              <w:bottom w:val="single" w:sz="8" w:color="4D5357"/>
            </w:tcBorders>
          </w:tcPr>
          <w:p>
            <w:pPr>
              <w:spacing w:after="0"/>
              <w:rPr>
                <w:sz w:val="19"/>
                <w:szCs w:val="19"/>
                <w:color w:val="auto"/>
              </w:rPr>
            </w:pPr>
          </w:p>
        </w:tc>
        <w:tc>
          <w:tcPr>
            <w:tcW w:w="660" w:type="dxa"/>
            <w:vAlign w:val="bottom"/>
            <w:tcBorders>
              <w:bottom w:val="single" w:sz="8" w:color="4D5357"/>
            </w:tcBorders>
          </w:tcPr>
          <w:p>
            <w:pPr>
              <w:spacing w:after="0"/>
              <w:rPr>
                <w:sz w:val="19"/>
                <w:szCs w:val="19"/>
                <w:color w:val="auto"/>
              </w:rPr>
            </w:pPr>
          </w:p>
        </w:tc>
        <w:tc>
          <w:tcPr>
            <w:tcW w:w="1420" w:type="dxa"/>
            <w:vAlign w:val="bottom"/>
            <w:tcBorders>
              <w:bottom w:val="single" w:sz="8" w:color="4D5357"/>
            </w:tcBorders>
          </w:tcPr>
          <w:p>
            <w:pPr>
              <w:spacing w:after="0"/>
              <w:rPr>
                <w:sz w:val="19"/>
                <w:szCs w:val="19"/>
                <w:color w:val="auto"/>
              </w:rPr>
            </w:pPr>
          </w:p>
        </w:tc>
        <w:tc>
          <w:tcPr>
            <w:tcW w:w="880" w:type="dxa"/>
            <w:vAlign w:val="bottom"/>
            <w:tcBorders>
              <w:bottom w:val="single" w:sz="8" w:color="4D5357"/>
            </w:tcBorders>
          </w:tcPr>
          <w:p>
            <w:pPr>
              <w:spacing w:after="0"/>
              <w:rPr>
                <w:sz w:val="19"/>
                <w:szCs w:val="19"/>
                <w:color w:val="auto"/>
              </w:rPr>
            </w:pPr>
          </w:p>
        </w:tc>
        <w:tc>
          <w:tcPr>
            <w:tcW w:w="1360" w:type="dxa"/>
            <w:vAlign w:val="bottom"/>
            <w:tcBorders>
              <w:bottom w:val="single" w:sz="8" w:color="4D5357"/>
            </w:tcBorders>
          </w:tcPr>
          <w:p>
            <w:pPr>
              <w:spacing w:after="0"/>
              <w:rPr>
                <w:sz w:val="19"/>
                <w:szCs w:val="19"/>
                <w:color w:val="auto"/>
              </w:rPr>
            </w:pPr>
          </w:p>
        </w:tc>
      </w:tr>
      <w:tr>
        <w:trPr>
          <w:trHeight w:val="229"/>
        </w:trPr>
        <w:tc>
          <w:tcPr>
            <w:tcW w:w="1980" w:type="dxa"/>
            <w:vAlign w:val="bottom"/>
          </w:tcPr>
          <w:p>
            <w:pPr>
              <w:ind w:left="60"/>
              <w:spacing w:after="0"/>
              <w:rPr>
                <w:sz w:val="20"/>
                <w:szCs w:val="20"/>
                <w:color w:val="auto"/>
              </w:rPr>
            </w:pPr>
            <w:r>
              <w:rPr>
                <w:rFonts w:ascii="Arial" w:cs="Arial" w:eastAsia="Arial" w:hAnsi="Arial"/>
                <w:sz w:val="16"/>
                <w:szCs w:val="16"/>
                <w:b w:val="1"/>
                <w:bCs w:val="1"/>
                <w:color w:val="4D5357"/>
              </w:rPr>
              <w:t>Robert J. Cardin</w:t>
            </w:r>
          </w:p>
        </w:tc>
        <w:tc>
          <w:tcPr>
            <w:tcW w:w="400" w:type="dxa"/>
            <w:vAlign w:val="bottom"/>
          </w:tcPr>
          <w:p>
            <w:pPr>
              <w:ind w:left="300"/>
              <w:spacing w:after="0"/>
              <w:rPr>
                <w:sz w:val="20"/>
                <w:szCs w:val="20"/>
                <w:color w:val="auto"/>
              </w:rPr>
            </w:pPr>
            <w:r>
              <w:rPr>
                <w:rFonts w:ascii="Arial" w:cs="Arial" w:eastAsia="Arial" w:hAnsi="Arial"/>
                <w:sz w:val="16"/>
                <w:szCs w:val="16"/>
                <w:color w:val="333333"/>
              </w:rPr>
              <w:t>•</w:t>
            </w:r>
          </w:p>
        </w:tc>
        <w:tc>
          <w:tcPr>
            <w:tcW w:w="2140" w:type="dxa"/>
            <w:vAlign w:val="bottom"/>
          </w:tcPr>
          <w:p>
            <w:pPr>
              <w:ind w:left="40"/>
              <w:spacing w:after="0"/>
              <w:rPr>
                <w:sz w:val="20"/>
                <w:szCs w:val="20"/>
                <w:color w:val="auto"/>
              </w:rPr>
            </w:pPr>
            <w:r>
              <w:rPr>
                <w:rFonts w:ascii="Arial" w:cs="Arial" w:eastAsia="Arial" w:hAnsi="Arial"/>
                <w:sz w:val="16"/>
                <w:szCs w:val="16"/>
                <w:color w:val="333333"/>
              </w:rPr>
              <w:t>Ensure accurate financial</w:t>
            </w:r>
          </w:p>
        </w:tc>
        <w:tc>
          <w:tcPr>
            <w:tcW w:w="2180" w:type="dxa"/>
            <w:vAlign w:val="bottom"/>
          </w:tcPr>
          <w:p>
            <w:pPr>
              <w:jc w:val="right"/>
              <w:ind w:right="779"/>
              <w:spacing w:after="0"/>
              <w:rPr>
                <w:sz w:val="20"/>
                <w:szCs w:val="20"/>
                <w:color w:val="auto"/>
              </w:rPr>
            </w:pPr>
            <w:r>
              <w:rPr>
                <w:rFonts w:ascii="Arial" w:cs="Arial" w:eastAsia="Arial" w:hAnsi="Arial"/>
                <w:sz w:val="16"/>
                <w:szCs w:val="16"/>
                <w:color w:val="4D5357"/>
              </w:rPr>
              <w:t>90%</w:t>
            </w:r>
          </w:p>
        </w:tc>
        <w:tc>
          <w:tcPr>
            <w:tcW w:w="660" w:type="dxa"/>
            <w:vAlign w:val="bottom"/>
          </w:tcPr>
          <w:p>
            <w:pPr>
              <w:jc w:val="right"/>
              <w:spacing w:after="0"/>
              <w:rPr>
                <w:sz w:val="20"/>
                <w:szCs w:val="20"/>
                <w:color w:val="auto"/>
              </w:rPr>
            </w:pPr>
            <w:r>
              <w:rPr>
                <w:rFonts w:ascii="Arial" w:cs="Arial" w:eastAsia="Arial" w:hAnsi="Arial"/>
                <w:sz w:val="16"/>
                <w:szCs w:val="16"/>
                <w:color w:val="4D5357"/>
              </w:rPr>
              <w:t>$</w:t>
            </w:r>
          </w:p>
        </w:tc>
        <w:tc>
          <w:tcPr>
            <w:tcW w:w="1420" w:type="dxa"/>
            <w:vAlign w:val="bottom"/>
          </w:tcPr>
          <w:p>
            <w:pPr>
              <w:jc w:val="right"/>
              <w:ind w:right="619"/>
              <w:spacing w:after="0"/>
              <w:rPr>
                <w:sz w:val="20"/>
                <w:szCs w:val="20"/>
                <w:color w:val="auto"/>
              </w:rPr>
            </w:pPr>
            <w:r>
              <w:rPr>
                <w:rFonts w:ascii="Arial" w:cs="Arial" w:eastAsia="Arial" w:hAnsi="Arial"/>
                <w:sz w:val="16"/>
                <w:szCs w:val="16"/>
                <w:color w:val="4D5357"/>
              </w:rPr>
              <w:t>420,458</w:t>
            </w:r>
          </w:p>
        </w:tc>
        <w:tc>
          <w:tcPr>
            <w:tcW w:w="880" w:type="dxa"/>
            <w:vAlign w:val="bottom"/>
          </w:tcPr>
          <w:p>
            <w:pPr>
              <w:ind w:left="780"/>
              <w:spacing w:after="0"/>
              <w:rPr>
                <w:sz w:val="20"/>
                <w:szCs w:val="20"/>
                <w:color w:val="auto"/>
              </w:rPr>
            </w:pPr>
            <w:r>
              <w:rPr>
                <w:rFonts w:ascii="Arial" w:cs="Arial" w:eastAsia="Arial" w:hAnsi="Arial"/>
                <w:sz w:val="16"/>
                <w:szCs w:val="16"/>
                <w:color w:val="4D5357"/>
                <w:w w:val="89"/>
              </w:rPr>
              <w:t>$</w:t>
            </w:r>
          </w:p>
        </w:tc>
        <w:tc>
          <w:tcPr>
            <w:tcW w:w="1360" w:type="dxa"/>
            <w:vAlign w:val="bottom"/>
          </w:tcPr>
          <w:p>
            <w:pPr>
              <w:jc w:val="right"/>
              <w:ind w:right="539"/>
              <w:spacing w:after="0"/>
              <w:rPr>
                <w:sz w:val="20"/>
                <w:szCs w:val="20"/>
                <w:color w:val="auto"/>
              </w:rPr>
            </w:pPr>
            <w:r>
              <w:rPr>
                <w:rFonts w:ascii="Arial" w:cs="Arial" w:eastAsia="Arial" w:hAnsi="Arial"/>
                <w:sz w:val="16"/>
                <w:szCs w:val="16"/>
                <w:color w:val="4D5357"/>
              </w:rPr>
              <w:t>777,999</w:t>
            </w: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reporting in compliance</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with regulatory standards</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and company policies</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while maintaining</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333333"/>
              </w:rPr>
              <w:t>effective internal controls</w:t>
            </w:r>
          </w:p>
        </w:tc>
        <w:tc>
          <w:tcPr>
            <w:tcW w:w="2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1980" w:type="dxa"/>
            <w:vAlign w:val="bottom"/>
            <w:tcBorders>
              <w:bottom w:val="single" w:sz="8" w:color="4D5357"/>
            </w:tcBorders>
          </w:tcPr>
          <w:p>
            <w:pPr>
              <w:spacing w:after="0"/>
              <w:rPr>
                <w:sz w:val="17"/>
                <w:szCs w:val="17"/>
                <w:color w:val="auto"/>
              </w:rPr>
            </w:pPr>
          </w:p>
        </w:tc>
        <w:tc>
          <w:tcPr>
            <w:tcW w:w="400" w:type="dxa"/>
            <w:vAlign w:val="bottom"/>
            <w:tcBorders>
              <w:bottom w:val="single" w:sz="8" w:color="4D5357"/>
            </w:tcBorders>
          </w:tcPr>
          <w:p>
            <w:pPr>
              <w:spacing w:after="0"/>
              <w:rPr>
                <w:sz w:val="17"/>
                <w:szCs w:val="17"/>
                <w:color w:val="auto"/>
              </w:rPr>
            </w:pPr>
          </w:p>
        </w:tc>
        <w:tc>
          <w:tcPr>
            <w:tcW w:w="2140" w:type="dxa"/>
            <w:vAlign w:val="bottom"/>
            <w:tcBorders>
              <w:bottom w:val="single" w:sz="8" w:color="4D5357"/>
            </w:tcBorders>
          </w:tcPr>
          <w:p>
            <w:pPr>
              <w:ind w:left="40"/>
              <w:spacing w:after="0"/>
              <w:rPr>
                <w:sz w:val="20"/>
                <w:szCs w:val="20"/>
                <w:color w:val="auto"/>
              </w:rPr>
            </w:pPr>
            <w:r>
              <w:rPr>
                <w:rFonts w:ascii="Arial" w:cs="Arial" w:eastAsia="Arial" w:hAnsi="Arial"/>
                <w:sz w:val="16"/>
                <w:szCs w:val="16"/>
                <w:color w:val="333333"/>
              </w:rPr>
              <w:t>over financial reporting</w:t>
            </w:r>
          </w:p>
        </w:tc>
        <w:tc>
          <w:tcPr>
            <w:tcW w:w="2180" w:type="dxa"/>
            <w:vAlign w:val="bottom"/>
            <w:tcBorders>
              <w:bottom w:val="single" w:sz="8" w:color="4D5357"/>
            </w:tcBorders>
          </w:tcPr>
          <w:p>
            <w:pPr>
              <w:spacing w:after="0"/>
              <w:rPr>
                <w:sz w:val="17"/>
                <w:szCs w:val="17"/>
                <w:color w:val="auto"/>
              </w:rPr>
            </w:pPr>
          </w:p>
        </w:tc>
        <w:tc>
          <w:tcPr>
            <w:tcW w:w="660" w:type="dxa"/>
            <w:vAlign w:val="bottom"/>
            <w:tcBorders>
              <w:bottom w:val="single" w:sz="8" w:color="4D5357"/>
            </w:tcBorders>
          </w:tcPr>
          <w:p>
            <w:pPr>
              <w:spacing w:after="0"/>
              <w:rPr>
                <w:sz w:val="17"/>
                <w:szCs w:val="17"/>
                <w:color w:val="auto"/>
              </w:rPr>
            </w:pPr>
          </w:p>
        </w:tc>
        <w:tc>
          <w:tcPr>
            <w:tcW w:w="1420" w:type="dxa"/>
            <w:vAlign w:val="bottom"/>
            <w:tcBorders>
              <w:bottom w:val="single" w:sz="8" w:color="4D5357"/>
            </w:tcBorders>
          </w:tcPr>
          <w:p>
            <w:pPr>
              <w:spacing w:after="0"/>
              <w:rPr>
                <w:sz w:val="17"/>
                <w:szCs w:val="17"/>
                <w:color w:val="auto"/>
              </w:rPr>
            </w:pPr>
          </w:p>
        </w:tc>
        <w:tc>
          <w:tcPr>
            <w:tcW w:w="880" w:type="dxa"/>
            <w:vAlign w:val="bottom"/>
            <w:tcBorders>
              <w:bottom w:val="single" w:sz="8" w:color="4D5357"/>
            </w:tcBorders>
          </w:tcPr>
          <w:p>
            <w:pPr>
              <w:spacing w:after="0"/>
              <w:rPr>
                <w:sz w:val="17"/>
                <w:szCs w:val="17"/>
                <w:color w:val="auto"/>
              </w:rPr>
            </w:pPr>
          </w:p>
        </w:tc>
        <w:tc>
          <w:tcPr>
            <w:tcW w:w="1360" w:type="dxa"/>
            <w:vAlign w:val="bottom"/>
            <w:tcBorders>
              <w:bottom w:val="single" w:sz="8" w:color="4D5357"/>
            </w:tcBorders>
          </w:tcPr>
          <w:p>
            <w:pPr>
              <w:spacing w:after="0"/>
              <w:rPr>
                <w:sz w:val="17"/>
                <w:szCs w:val="17"/>
                <w:color w:val="auto"/>
              </w:rPr>
            </w:pPr>
          </w:p>
        </w:tc>
      </w:tr>
      <w:tr>
        <w:trPr>
          <w:trHeight w:val="560"/>
        </w:trPr>
        <w:tc>
          <w:tcPr>
            <w:tcW w:w="1980" w:type="dxa"/>
            <w:vAlign w:val="bottom"/>
          </w:tcPr>
          <w:p>
            <w:pPr>
              <w:spacing w:after="0"/>
              <w:rPr>
                <w:sz w:val="20"/>
                <w:szCs w:val="20"/>
                <w:color w:val="auto"/>
              </w:rPr>
            </w:pPr>
            <w:r>
              <w:rPr>
                <w:rFonts w:ascii="Arial" w:cs="Arial" w:eastAsia="Arial" w:hAnsi="Arial"/>
                <w:sz w:val="16"/>
                <w:szCs w:val="16"/>
                <w:color w:val="333333"/>
              </w:rPr>
              <w:t> </w:t>
            </w:r>
          </w:p>
        </w:tc>
        <w:tc>
          <w:tcPr>
            <w:tcW w:w="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1980" w:type="dxa"/>
            <w:vAlign w:val="bottom"/>
          </w:tcPr>
          <w:p>
            <w:pPr>
              <w:spacing w:after="0"/>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64</w:t>
            </w:r>
          </w:p>
        </w:tc>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333333"/>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995160" cy="6000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684" w:right="439" w:bottom="1116" w:gutter="0" w:footer="0" w:header="0"/>
        </w:sectPr>
      </w:pPr>
    </w:p>
    <w:bookmarkStart w:id="70" w:name="page71"/>
    <w:bookmarkEnd w:id="70"/>
    <w:tbl>
      <w:tblPr>
        <w:tblLayout w:type="fixed"/>
        <w:tblInd w:w="4" w:type="dxa"/>
        <w:tblCellMar>
          <w:top w:w="0" w:type="dxa"/>
          <w:left w:w="0" w:type="dxa"/>
          <w:bottom w:w="0" w:type="dxa"/>
          <w:right w:w="0" w:type="dxa"/>
        </w:tblCellMar>
      </w:tblPr>
      <w:tr>
        <w:trPr>
          <w:trHeight w:val="531"/>
        </w:trPr>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shd w:val="clear" w:color="auto" w:fill="4D5357"/>
          </w:tcPr>
          <w:p>
            <w:pPr>
              <w:ind w:left="220"/>
              <w:spacing w:after="0"/>
              <w:rPr>
                <w:sz w:val="20"/>
                <w:szCs w:val="20"/>
                <w:color w:val="auto"/>
              </w:rPr>
            </w:pPr>
            <w:r>
              <w:rPr>
                <w:rFonts w:ascii="Arial" w:cs="Arial" w:eastAsia="Arial" w:hAnsi="Arial"/>
                <w:sz w:val="11"/>
                <w:szCs w:val="11"/>
                <w:b w:val="1"/>
                <w:bCs w:val="1"/>
                <w:color w:val="FFFFFF"/>
                <w:w w:val="72"/>
              </w:rPr>
              <w:t> </w:t>
            </w:r>
          </w:p>
        </w:tc>
        <w:tc>
          <w:tcPr>
            <w:tcW w:w="2420" w:type="dxa"/>
            <w:vAlign w:val="bottom"/>
            <w:gridSpan w:val="2"/>
            <w:shd w:val="clear" w:color="auto" w:fill="4D5357"/>
          </w:tcPr>
          <w:p>
            <w:pPr>
              <w:jc w:val="center"/>
              <w:ind w:right="119"/>
              <w:spacing w:after="0"/>
              <w:rPr>
                <w:sz w:val="20"/>
                <w:szCs w:val="20"/>
                <w:color w:val="auto"/>
              </w:rPr>
            </w:pPr>
            <w:r>
              <w:rPr>
                <w:rFonts w:ascii="Arial" w:cs="Arial" w:eastAsia="Arial" w:hAnsi="Arial"/>
                <w:sz w:val="14"/>
                <w:szCs w:val="14"/>
                <w:b w:val="1"/>
                <w:bCs w:val="1"/>
                <w:color w:val="FFFFFF"/>
              </w:rPr>
              <w:t xml:space="preserve">   Compensation Discussion    </w:t>
            </w:r>
          </w:p>
        </w:tc>
      </w:tr>
      <w:tr>
        <w:trPr>
          <w:trHeight w:val="196"/>
        </w:trPr>
        <w:tc>
          <w:tcPr>
            <w:tcW w:w="1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shd w:val="clear" w:color="auto" w:fill="4D5357"/>
          </w:tcPr>
          <w:p>
            <w:pPr>
              <w:spacing w:after="0"/>
              <w:rPr>
                <w:sz w:val="17"/>
                <w:szCs w:val="17"/>
                <w:color w:val="auto"/>
              </w:rPr>
            </w:pPr>
          </w:p>
        </w:tc>
        <w:tc>
          <w:tcPr>
            <w:tcW w:w="2420" w:type="dxa"/>
            <w:vAlign w:val="bottom"/>
            <w:gridSpan w:val="2"/>
            <w:shd w:val="clear" w:color="auto" w:fill="4D5357"/>
          </w:tcPr>
          <w:p>
            <w:pPr>
              <w:jc w:val="center"/>
              <w:ind w:right="139"/>
              <w:spacing w:after="0"/>
              <w:rPr>
                <w:sz w:val="20"/>
                <w:szCs w:val="20"/>
                <w:color w:val="auto"/>
              </w:rPr>
            </w:pPr>
            <w:r>
              <w:rPr>
                <w:rFonts w:ascii="Arial" w:cs="Arial" w:eastAsia="Arial" w:hAnsi="Arial"/>
                <w:sz w:val="14"/>
                <w:szCs w:val="14"/>
                <w:b w:val="1"/>
                <w:bCs w:val="1"/>
                <w:color w:val="FFFFFF"/>
              </w:rPr>
              <w:t>and Analysis</w:t>
            </w:r>
          </w:p>
        </w:tc>
      </w:tr>
      <w:tr>
        <w:trPr>
          <w:trHeight w:val="110"/>
        </w:trPr>
        <w:tc>
          <w:tcPr>
            <w:tcW w:w="1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20" w:type="dxa"/>
            <w:vAlign w:val="bottom"/>
            <w:shd w:val="clear" w:color="auto" w:fill="4D5357"/>
          </w:tcPr>
          <w:p>
            <w:pPr>
              <w:spacing w:after="0"/>
              <w:rPr>
                <w:sz w:val="9"/>
                <w:szCs w:val="9"/>
                <w:color w:val="auto"/>
              </w:rPr>
            </w:pPr>
          </w:p>
        </w:tc>
        <w:tc>
          <w:tcPr>
            <w:tcW w:w="2420" w:type="dxa"/>
            <w:vAlign w:val="bottom"/>
            <w:gridSpan w:val="2"/>
            <w:shd w:val="clear" w:color="auto" w:fill="4D5357"/>
          </w:tcPr>
          <w:p>
            <w:pPr>
              <w:spacing w:after="0"/>
              <w:rPr>
                <w:sz w:val="9"/>
                <w:szCs w:val="9"/>
                <w:color w:val="auto"/>
              </w:rPr>
            </w:pPr>
          </w:p>
        </w:tc>
      </w:tr>
      <w:tr>
        <w:trPr>
          <w:trHeight w:val="323"/>
        </w:trPr>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80" w:type="dxa"/>
            <w:vAlign w:val="bottom"/>
          </w:tcPr>
          <w:p>
            <w:pPr>
              <w:jc w:val="center"/>
              <w:ind w:right="79"/>
              <w:spacing w:after="0"/>
              <w:rPr>
                <w:sz w:val="20"/>
                <w:szCs w:val="20"/>
                <w:color w:val="auto"/>
              </w:rPr>
            </w:pPr>
            <w:r>
              <w:rPr>
                <w:rFonts w:ascii="Arial" w:cs="Arial" w:eastAsia="Arial" w:hAnsi="Arial"/>
                <w:sz w:val="16"/>
                <w:szCs w:val="16"/>
                <w:b w:val="1"/>
                <w:bCs w:val="1"/>
                <w:color w:val="0086CC"/>
              </w:rPr>
              <w:t>TARGET ANNUAL</w:t>
            </w: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0086CC"/>
              </w:rPr>
              <w:t>2025 TARGET</w:t>
            </w:r>
          </w:p>
        </w:tc>
        <w:tc>
          <w:tcPr>
            <w:tcW w:w="242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0086CC"/>
              </w:rPr>
              <w:t>  2025 ACTUAL</w:t>
            </w: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80" w:type="dxa"/>
            <w:vAlign w:val="bottom"/>
          </w:tcPr>
          <w:p>
            <w:pPr>
              <w:jc w:val="center"/>
              <w:ind w:right="79"/>
              <w:spacing w:after="0"/>
              <w:rPr>
                <w:sz w:val="20"/>
                <w:szCs w:val="20"/>
                <w:color w:val="auto"/>
              </w:rPr>
            </w:pPr>
            <w:r>
              <w:rPr>
                <w:rFonts w:ascii="Arial" w:cs="Arial" w:eastAsia="Arial" w:hAnsi="Arial"/>
                <w:sz w:val="16"/>
                <w:szCs w:val="16"/>
                <w:b w:val="1"/>
                <w:bCs w:val="1"/>
                <w:color w:val="0086CC"/>
              </w:rPr>
              <w:t>INCENTIVE BONUS</w:t>
            </w: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0086CC"/>
              </w:rPr>
              <w:t>ANNUAL</w:t>
            </w:r>
          </w:p>
        </w:tc>
        <w:tc>
          <w:tcPr>
            <w:tcW w:w="2420" w:type="dxa"/>
            <w:vAlign w:val="bottom"/>
            <w:gridSpan w:val="2"/>
          </w:tcPr>
          <w:p>
            <w:pPr>
              <w:ind w:left="1040"/>
              <w:spacing w:after="0"/>
              <w:rPr>
                <w:sz w:val="20"/>
                <w:szCs w:val="20"/>
                <w:color w:val="auto"/>
              </w:rPr>
            </w:pPr>
            <w:r>
              <w:rPr>
                <w:rFonts w:ascii="Arial" w:cs="Arial" w:eastAsia="Arial" w:hAnsi="Arial"/>
                <w:sz w:val="16"/>
                <w:szCs w:val="16"/>
                <w:b w:val="1"/>
                <w:bCs w:val="1"/>
                <w:color w:val="0086CC"/>
              </w:rPr>
              <w:t>ANNUAL</w:t>
            </w:r>
          </w:p>
        </w:tc>
      </w:tr>
      <w:tr>
        <w:trPr>
          <w:trHeight w:val="240"/>
        </w:trPr>
        <w:tc>
          <w:tcPr>
            <w:tcW w:w="198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NEO</w:t>
            </w:r>
          </w:p>
        </w:tc>
        <w:tc>
          <w:tcPr>
            <w:tcW w:w="2560" w:type="dxa"/>
            <w:vAlign w:val="bottom"/>
            <w:tcBorders>
              <w:bottom w:val="single" w:sz="8" w:color="0086CC"/>
            </w:tcBorders>
            <w:gridSpan w:val="2"/>
          </w:tcPr>
          <w:p>
            <w:pPr>
              <w:ind w:left="320"/>
              <w:spacing w:after="0"/>
              <w:rPr>
                <w:sz w:val="20"/>
                <w:szCs w:val="20"/>
                <w:color w:val="auto"/>
              </w:rPr>
            </w:pPr>
            <w:r>
              <w:rPr>
                <w:rFonts w:ascii="Arial" w:cs="Arial" w:eastAsia="Arial" w:hAnsi="Arial"/>
                <w:sz w:val="16"/>
                <w:szCs w:val="16"/>
                <w:b w:val="1"/>
                <w:bCs w:val="1"/>
                <w:color w:val="0086CC"/>
              </w:rPr>
              <w:t>2025 INDIVIDUAL GOALS</w:t>
            </w:r>
          </w:p>
        </w:tc>
        <w:tc>
          <w:tcPr>
            <w:tcW w:w="2180" w:type="dxa"/>
            <w:vAlign w:val="bottom"/>
            <w:tcBorders>
              <w:bottom w:val="single" w:sz="8" w:color="0086CC"/>
            </w:tcBorders>
          </w:tcPr>
          <w:p>
            <w:pPr>
              <w:jc w:val="center"/>
              <w:ind w:right="79"/>
              <w:spacing w:after="0"/>
              <w:rPr>
                <w:sz w:val="20"/>
                <w:szCs w:val="20"/>
                <w:color w:val="auto"/>
              </w:rPr>
            </w:pPr>
            <w:r>
              <w:rPr>
                <w:rFonts w:ascii="Arial" w:cs="Arial" w:eastAsia="Arial" w:hAnsi="Arial"/>
                <w:sz w:val="16"/>
                <w:szCs w:val="16"/>
                <w:b w:val="1"/>
                <w:bCs w:val="1"/>
                <w:color w:val="0086CC"/>
              </w:rPr>
              <w:t>(% OF SALARY)</w:t>
            </w:r>
          </w:p>
        </w:tc>
        <w:tc>
          <w:tcPr>
            <w:tcW w:w="1880" w:type="dxa"/>
            <w:vAlign w:val="bottom"/>
            <w:tcBorders>
              <w:bottom w:val="single" w:sz="8" w:color="0086CC"/>
            </w:tcBorders>
            <w:gridSpan w:val="2"/>
          </w:tcPr>
          <w:p>
            <w:pPr>
              <w:jc w:val="center"/>
              <w:spacing w:after="0"/>
              <w:rPr>
                <w:sz w:val="20"/>
                <w:szCs w:val="20"/>
                <w:color w:val="auto"/>
              </w:rPr>
            </w:pPr>
            <w:r>
              <w:rPr>
                <w:rFonts w:ascii="Arial" w:cs="Arial" w:eastAsia="Arial" w:hAnsi="Arial"/>
                <w:sz w:val="16"/>
                <w:szCs w:val="16"/>
                <w:b w:val="1"/>
                <w:bCs w:val="1"/>
                <w:color w:val="0086CC"/>
              </w:rPr>
              <w:t>INCENTIVE*</w:t>
            </w:r>
          </w:p>
        </w:tc>
        <w:tc>
          <w:tcPr>
            <w:tcW w:w="2420" w:type="dxa"/>
            <w:vAlign w:val="bottom"/>
            <w:tcBorders>
              <w:bottom w:val="single" w:sz="8" w:color="0086CC"/>
            </w:tcBorders>
            <w:gridSpan w:val="2"/>
          </w:tcPr>
          <w:p>
            <w:pPr>
              <w:ind w:left="940"/>
              <w:spacing w:after="0"/>
              <w:rPr>
                <w:sz w:val="20"/>
                <w:szCs w:val="20"/>
                <w:color w:val="auto"/>
              </w:rPr>
            </w:pPr>
            <w:r>
              <w:rPr>
                <w:rFonts w:ascii="Arial" w:cs="Arial" w:eastAsia="Arial" w:hAnsi="Arial"/>
                <w:sz w:val="16"/>
                <w:szCs w:val="16"/>
                <w:b w:val="1"/>
                <w:bCs w:val="1"/>
                <w:color w:val="0086CC"/>
              </w:rPr>
              <w:t>INCENTIVE</w:t>
            </w:r>
          </w:p>
        </w:tc>
      </w:tr>
      <w:tr>
        <w:trPr>
          <w:trHeight w:val="226"/>
        </w:trPr>
        <w:tc>
          <w:tcPr>
            <w:tcW w:w="1980" w:type="dxa"/>
            <w:vAlign w:val="bottom"/>
          </w:tcPr>
          <w:p>
            <w:pPr>
              <w:ind w:left="60"/>
              <w:spacing w:after="0"/>
              <w:rPr>
                <w:sz w:val="20"/>
                <w:szCs w:val="20"/>
                <w:color w:val="auto"/>
              </w:rPr>
            </w:pPr>
            <w:r>
              <w:rPr>
                <w:rFonts w:ascii="Arial" w:cs="Arial" w:eastAsia="Arial" w:hAnsi="Arial"/>
                <w:sz w:val="16"/>
                <w:szCs w:val="16"/>
                <w:b w:val="1"/>
                <w:bCs w:val="1"/>
                <w:color w:val="4D5357"/>
              </w:rPr>
              <w:t>Donald A. McCunniff</w:t>
            </w:r>
          </w:p>
        </w:tc>
        <w:tc>
          <w:tcPr>
            <w:tcW w:w="2560" w:type="dxa"/>
            <w:vAlign w:val="bottom"/>
            <w:gridSpan w:val="2"/>
          </w:tcPr>
          <w:p>
            <w:pPr>
              <w:ind w:left="320"/>
              <w:spacing w:after="0"/>
              <w:rPr>
                <w:sz w:val="20"/>
                <w:szCs w:val="20"/>
                <w:color w:val="auto"/>
              </w:rPr>
            </w:pPr>
            <w:r>
              <w:rPr>
                <w:rFonts w:ascii="Arial" w:cs="Arial" w:eastAsia="Arial" w:hAnsi="Arial"/>
                <w:sz w:val="16"/>
                <w:szCs w:val="16"/>
                <w:color w:val="333333"/>
              </w:rPr>
              <w:t>• Develop and implement</w:t>
            </w:r>
          </w:p>
        </w:tc>
        <w:tc>
          <w:tcPr>
            <w:tcW w:w="2180" w:type="dxa"/>
            <w:vAlign w:val="bottom"/>
          </w:tcPr>
          <w:p>
            <w:pPr>
              <w:jc w:val="right"/>
              <w:ind w:right="779"/>
              <w:spacing w:after="0"/>
              <w:rPr>
                <w:sz w:val="20"/>
                <w:szCs w:val="20"/>
                <w:color w:val="auto"/>
              </w:rPr>
            </w:pPr>
            <w:r>
              <w:rPr>
                <w:rFonts w:ascii="Arial" w:cs="Arial" w:eastAsia="Arial" w:hAnsi="Arial"/>
                <w:sz w:val="16"/>
                <w:szCs w:val="16"/>
                <w:color w:val="4D5357"/>
              </w:rPr>
              <w:t>100%</w:t>
            </w:r>
          </w:p>
        </w:tc>
        <w:tc>
          <w:tcPr>
            <w:tcW w:w="1560" w:type="dxa"/>
            <w:vAlign w:val="bottom"/>
          </w:tcPr>
          <w:p>
            <w:pPr>
              <w:jc w:val="center"/>
              <w:ind w:left="279"/>
              <w:spacing w:after="0"/>
              <w:rPr>
                <w:sz w:val="20"/>
                <w:szCs w:val="20"/>
                <w:color w:val="auto"/>
              </w:rPr>
            </w:pPr>
            <w:r>
              <w:rPr>
                <w:rFonts w:ascii="Arial" w:cs="Arial" w:eastAsia="Arial" w:hAnsi="Arial"/>
                <w:sz w:val="16"/>
                <w:szCs w:val="16"/>
                <w:color w:val="4D5357"/>
              </w:rPr>
              <w:t>$697,500</w:t>
            </w:r>
          </w:p>
        </w:tc>
        <w:tc>
          <w:tcPr>
            <w:tcW w:w="320" w:type="dxa"/>
            <w:vAlign w:val="bottom"/>
          </w:tcPr>
          <w:p>
            <w:pPr>
              <w:spacing w:after="0"/>
              <w:rPr>
                <w:sz w:val="19"/>
                <w:szCs w:val="19"/>
                <w:color w:val="auto"/>
              </w:rPr>
            </w:pPr>
          </w:p>
        </w:tc>
        <w:tc>
          <w:tcPr>
            <w:tcW w:w="1060" w:type="dxa"/>
            <w:vAlign w:val="bottom"/>
          </w:tcPr>
          <w:p>
            <w:pPr>
              <w:ind w:left="960"/>
              <w:spacing w:after="0"/>
              <w:rPr>
                <w:sz w:val="20"/>
                <w:szCs w:val="20"/>
                <w:color w:val="auto"/>
              </w:rPr>
            </w:pPr>
            <w:r>
              <w:rPr>
                <w:rFonts w:ascii="Arial" w:cs="Arial" w:eastAsia="Arial" w:hAnsi="Arial"/>
                <w:sz w:val="16"/>
                <w:szCs w:val="16"/>
                <w:color w:val="4D5357"/>
                <w:w w:val="89"/>
              </w:rPr>
              <w:t>$</w:t>
            </w:r>
          </w:p>
        </w:tc>
        <w:tc>
          <w:tcPr>
            <w:tcW w:w="1360" w:type="dxa"/>
            <w:vAlign w:val="bottom"/>
          </w:tcPr>
          <w:p>
            <w:pPr>
              <w:jc w:val="right"/>
              <w:ind w:right="539"/>
              <w:spacing w:after="0"/>
              <w:rPr>
                <w:sz w:val="20"/>
                <w:szCs w:val="20"/>
                <w:color w:val="auto"/>
              </w:rPr>
            </w:pPr>
            <w:r>
              <w:rPr>
                <w:rFonts w:ascii="Arial" w:cs="Arial" w:eastAsia="Arial" w:hAnsi="Arial"/>
                <w:sz w:val="16"/>
                <w:szCs w:val="16"/>
                <w:color w:val="4D5357"/>
              </w:rPr>
              <w:t>1,290,627</w:t>
            </w: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key Human Resources</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priorities, which include</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talent acquisition,</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employee development,</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performance</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management and</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succession planning</w:t>
            </w: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333333"/>
              </w:rPr>
              <w:t>•</w:t>
            </w:r>
          </w:p>
        </w:tc>
        <w:tc>
          <w:tcPr>
            <w:tcW w:w="2140" w:type="dxa"/>
            <w:vAlign w:val="bottom"/>
          </w:tcPr>
          <w:p>
            <w:pPr>
              <w:ind w:left="60"/>
              <w:spacing w:after="0"/>
              <w:rPr>
                <w:sz w:val="20"/>
                <w:szCs w:val="20"/>
                <w:color w:val="auto"/>
              </w:rPr>
            </w:pPr>
            <w:r>
              <w:rPr>
                <w:rFonts w:ascii="Arial" w:cs="Arial" w:eastAsia="Arial" w:hAnsi="Arial"/>
                <w:sz w:val="16"/>
                <w:szCs w:val="16"/>
                <w:color w:val="333333"/>
              </w:rPr>
              <w:t>Define and develop the</w:t>
            </w:r>
          </w:p>
        </w:tc>
        <w:tc>
          <w:tcPr>
            <w:tcW w:w="2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safety strategy and gain</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business alignment on</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long-term safety</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initiatives</w:t>
            </w: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333333"/>
              </w:rPr>
              <w:t>•</w:t>
            </w:r>
          </w:p>
        </w:tc>
        <w:tc>
          <w:tcPr>
            <w:tcW w:w="2140" w:type="dxa"/>
            <w:vAlign w:val="bottom"/>
          </w:tcPr>
          <w:p>
            <w:pPr>
              <w:ind w:left="60"/>
              <w:spacing w:after="0"/>
              <w:rPr>
                <w:sz w:val="20"/>
                <w:szCs w:val="20"/>
                <w:color w:val="auto"/>
              </w:rPr>
            </w:pPr>
            <w:r>
              <w:rPr>
                <w:rFonts w:ascii="Arial" w:cs="Arial" w:eastAsia="Arial" w:hAnsi="Arial"/>
                <w:sz w:val="16"/>
                <w:szCs w:val="16"/>
                <w:color w:val="333333"/>
              </w:rPr>
              <w:t>Execute human capital</w:t>
            </w:r>
          </w:p>
        </w:tc>
        <w:tc>
          <w:tcPr>
            <w:tcW w:w="2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due diligence to identify</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and mitigate risks related</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to leadership retention,</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benefits and</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compensation liabilities</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and organizational</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4"/>
        </w:trPr>
        <w:tc>
          <w:tcPr>
            <w:tcW w:w="1980" w:type="dxa"/>
            <w:vAlign w:val="bottom"/>
            <w:tcBorders>
              <w:bottom w:val="single" w:sz="8" w:color="4D5357"/>
            </w:tcBorders>
          </w:tcPr>
          <w:p>
            <w:pPr>
              <w:spacing w:after="0"/>
              <w:rPr>
                <w:sz w:val="19"/>
                <w:szCs w:val="19"/>
                <w:color w:val="auto"/>
              </w:rPr>
            </w:pPr>
          </w:p>
        </w:tc>
        <w:tc>
          <w:tcPr>
            <w:tcW w:w="420" w:type="dxa"/>
            <w:vAlign w:val="bottom"/>
            <w:tcBorders>
              <w:bottom w:val="single" w:sz="8" w:color="4D5357"/>
            </w:tcBorders>
          </w:tcPr>
          <w:p>
            <w:pPr>
              <w:spacing w:after="0"/>
              <w:rPr>
                <w:sz w:val="19"/>
                <w:szCs w:val="19"/>
                <w:color w:val="auto"/>
              </w:rPr>
            </w:pPr>
          </w:p>
        </w:tc>
        <w:tc>
          <w:tcPr>
            <w:tcW w:w="214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333333"/>
              </w:rPr>
              <w:t>culture</w:t>
            </w:r>
          </w:p>
        </w:tc>
        <w:tc>
          <w:tcPr>
            <w:tcW w:w="2180" w:type="dxa"/>
            <w:vAlign w:val="bottom"/>
            <w:tcBorders>
              <w:bottom w:val="single" w:sz="8" w:color="4D5357"/>
            </w:tcBorders>
          </w:tcPr>
          <w:p>
            <w:pPr>
              <w:spacing w:after="0"/>
              <w:rPr>
                <w:sz w:val="19"/>
                <w:szCs w:val="19"/>
                <w:color w:val="auto"/>
              </w:rPr>
            </w:pPr>
          </w:p>
        </w:tc>
        <w:tc>
          <w:tcPr>
            <w:tcW w:w="1560" w:type="dxa"/>
            <w:vAlign w:val="bottom"/>
            <w:tcBorders>
              <w:bottom w:val="single" w:sz="8" w:color="4D5357"/>
            </w:tcBorders>
          </w:tcPr>
          <w:p>
            <w:pPr>
              <w:spacing w:after="0"/>
              <w:rPr>
                <w:sz w:val="19"/>
                <w:szCs w:val="19"/>
                <w:color w:val="auto"/>
              </w:rPr>
            </w:pPr>
          </w:p>
        </w:tc>
        <w:tc>
          <w:tcPr>
            <w:tcW w:w="320" w:type="dxa"/>
            <w:vAlign w:val="bottom"/>
            <w:tcBorders>
              <w:bottom w:val="single" w:sz="8" w:color="4D5357"/>
            </w:tcBorders>
          </w:tcPr>
          <w:p>
            <w:pPr>
              <w:spacing w:after="0"/>
              <w:rPr>
                <w:sz w:val="19"/>
                <w:szCs w:val="19"/>
                <w:color w:val="auto"/>
              </w:rPr>
            </w:pPr>
          </w:p>
        </w:tc>
        <w:tc>
          <w:tcPr>
            <w:tcW w:w="1060" w:type="dxa"/>
            <w:vAlign w:val="bottom"/>
            <w:tcBorders>
              <w:bottom w:val="single" w:sz="8" w:color="4D5357"/>
            </w:tcBorders>
          </w:tcPr>
          <w:p>
            <w:pPr>
              <w:spacing w:after="0"/>
              <w:rPr>
                <w:sz w:val="19"/>
                <w:szCs w:val="19"/>
                <w:color w:val="auto"/>
              </w:rPr>
            </w:pPr>
          </w:p>
        </w:tc>
        <w:tc>
          <w:tcPr>
            <w:tcW w:w="1360" w:type="dxa"/>
            <w:vAlign w:val="bottom"/>
            <w:tcBorders>
              <w:bottom w:val="single" w:sz="8" w:color="4D5357"/>
            </w:tcBorders>
          </w:tcPr>
          <w:p>
            <w:pPr>
              <w:spacing w:after="0"/>
              <w:rPr>
                <w:sz w:val="19"/>
                <w:szCs w:val="19"/>
                <w:color w:val="auto"/>
              </w:rPr>
            </w:pPr>
          </w:p>
        </w:tc>
      </w:tr>
      <w:tr>
        <w:trPr>
          <w:trHeight w:val="229"/>
        </w:trPr>
        <w:tc>
          <w:tcPr>
            <w:tcW w:w="1980" w:type="dxa"/>
            <w:vAlign w:val="bottom"/>
          </w:tcPr>
          <w:p>
            <w:pPr>
              <w:ind w:left="60"/>
              <w:spacing w:after="0"/>
              <w:rPr>
                <w:sz w:val="20"/>
                <w:szCs w:val="20"/>
                <w:color w:val="auto"/>
              </w:rPr>
            </w:pPr>
            <w:r>
              <w:rPr>
                <w:rFonts w:ascii="Arial" w:cs="Arial" w:eastAsia="Arial" w:hAnsi="Arial"/>
                <w:sz w:val="16"/>
                <w:szCs w:val="16"/>
                <w:b w:val="1"/>
                <w:bCs w:val="1"/>
                <w:color w:val="4D5357"/>
              </w:rPr>
              <w:t>Bradley D. Kohn</w:t>
            </w:r>
          </w:p>
        </w:tc>
        <w:tc>
          <w:tcPr>
            <w:tcW w:w="2560" w:type="dxa"/>
            <w:vAlign w:val="bottom"/>
            <w:gridSpan w:val="2"/>
          </w:tcPr>
          <w:p>
            <w:pPr>
              <w:ind w:left="320"/>
              <w:spacing w:after="0"/>
              <w:rPr>
                <w:sz w:val="20"/>
                <w:szCs w:val="20"/>
                <w:color w:val="auto"/>
              </w:rPr>
            </w:pPr>
            <w:r>
              <w:rPr>
                <w:rFonts w:ascii="Arial" w:cs="Arial" w:eastAsia="Arial" w:hAnsi="Arial"/>
                <w:sz w:val="16"/>
                <w:szCs w:val="16"/>
                <w:color w:val="333333"/>
              </w:rPr>
              <w:t>• Effective management of</w:t>
            </w:r>
          </w:p>
        </w:tc>
        <w:tc>
          <w:tcPr>
            <w:tcW w:w="2180" w:type="dxa"/>
            <w:vAlign w:val="bottom"/>
          </w:tcPr>
          <w:p>
            <w:pPr>
              <w:jc w:val="right"/>
              <w:ind w:right="779"/>
              <w:spacing w:after="0"/>
              <w:rPr>
                <w:sz w:val="20"/>
                <w:szCs w:val="20"/>
                <w:color w:val="auto"/>
              </w:rPr>
            </w:pPr>
            <w:r>
              <w:rPr>
                <w:rFonts w:ascii="Arial" w:cs="Arial" w:eastAsia="Arial" w:hAnsi="Arial"/>
                <w:sz w:val="16"/>
                <w:szCs w:val="16"/>
                <w:color w:val="4D5357"/>
              </w:rPr>
              <w:t>90%</w:t>
            </w:r>
          </w:p>
        </w:tc>
        <w:tc>
          <w:tcPr>
            <w:tcW w:w="1560" w:type="dxa"/>
            <w:vAlign w:val="bottom"/>
          </w:tcPr>
          <w:p>
            <w:pPr>
              <w:jc w:val="center"/>
              <w:ind w:left="279"/>
              <w:spacing w:after="0"/>
              <w:rPr>
                <w:sz w:val="20"/>
                <w:szCs w:val="20"/>
                <w:color w:val="auto"/>
              </w:rPr>
            </w:pPr>
            <w:r>
              <w:rPr>
                <w:rFonts w:ascii="Arial" w:cs="Arial" w:eastAsia="Arial" w:hAnsi="Arial"/>
                <w:sz w:val="16"/>
                <w:szCs w:val="16"/>
                <w:color w:val="4D5357"/>
              </w:rPr>
              <w:t>$522,000</w:t>
            </w:r>
          </w:p>
        </w:tc>
        <w:tc>
          <w:tcPr>
            <w:tcW w:w="320" w:type="dxa"/>
            <w:vAlign w:val="bottom"/>
          </w:tcPr>
          <w:p>
            <w:pPr>
              <w:spacing w:after="0"/>
              <w:rPr>
                <w:sz w:val="19"/>
                <w:szCs w:val="19"/>
                <w:color w:val="auto"/>
              </w:rPr>
            </w:pPr>
          </w:p>
        </w:tc>
        <w:tc>
          <w:tcPr>
            <w:tcW w:w="1060" w:type="dxa"/>
            <w:vAlign w:val="bottom"/>
          </w:tcPr>
          <w:p>
            <w:pPr>
              <w:ind w:left="960"/>
              <w:spacing w:after="0"/>
              <w:rPr>
                <w:sz w:val="20"/>
                <w:szCs w:val="20"/>
                <w:color w:val="auto"/>
              </w:rPr>
            </w:pPr>
            <w:r>
              <w:rPr>
                <w:rFonts w:ascii="Arial" w:cs="Arial" w:eastAsia="Arial" w:hAnsi="Arial"/>
                <w:sz w:val="16"/>
                <w:szCs w:val="16"/>
                <w:color w:val="4D5357"/>
                <w:w w:val="89"/>
              </w:rPr>
              <w:t>$</w:t>
            </w:r>
          </w:p>
        </w:tc>
        <w:tc>
          <w:tcPr>
            <w:tcW w:w="1360" w:type="dxa"/>
            <w:vAlign w:val="bottom"/>
          </w:tcPr>
          <w:p>
            <w:pPr>
              <w:jc w:val="right"/>
              <w:ind w:right="419"/>
              <w:spacing w:after="0"/>
              <w:rPr>
                <w:sz w:val="20"/>
                <w:szCs w:val="20"/>
                <w:color w:val="auto"/>
              </w:rPr>
            </w:pPr>
            <w:r>
              <w:rPr>
                <w:rFonts w:ascii="Arial" w:cs="Arial" w:eastAsia="Arial" w:hAnsi="Arial"/>
                <w:sz w:val="16"/>
                <w:szCs w:val="16"/>
                <w:color w:val="4D5357"/>
              </w:rPr>
              <w:t>—**</w:t>
            </w: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the legal department,</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including appropriate</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handling of compliance</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and securities laws</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matters, annual and</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periodic reporting,</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corporate governance,</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transactions, and robust</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case assessment</w:t>
            </w: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333333"/>
              </w:rPr>
              <w:t>•</w:t>
            </w:r>
          </w:p>
        </w:tc>
        <w:tc>
          <w:tcPr>
            <w:tcW w:w="2140" w:type="dxa"/>
            <w:vAlign w:val="bottom"/>
          </w:tcPr>
          <w:p>
            <w:pPr>
              <w:ind w:left="60"/>
              <w:spacing w:after="0"/>
              <w:rPr>
                <w:sz w:val="20"/>
                <w:szCs w:val="20"/>
                <w:color w:val="auto"/>
              </w:rPr>
            </w:pPr>
            <w:r>
              <w:rPr>
                <w:rFonts w:ascii="Arial" w:cs="Arial" w:eastAsia="Arial" w:hAnsi="Arial"/>
                <w:sz w:val="16"/>
                <w:szCs w:val="16"/>
                <w:color w:val="333333"/>
              </w:rPr>
              <w:t>Provide oversight of</w:t>
            </w:r>
          </w:p>
        </w:tc>
        <w:tc>
          <w:tcPr>
            <w:tcW w:w="2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ethics program as Chief</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Ethics Officer</w:t>
            </w: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333333"/>
              </w:rPr>
              <w:t>•</w:t>
            </w:r>
          </w:p>
        </w:tc>
        <w:tc>
          <w:tcPr>
            <w:tcW w:w="2140" w:type="dxa"/>
            <w:vAlign w:val="bottom"/>
          </w:tcPr>
          <w:p>
            <w:pPr>
              <w:ind w:left="60"/>
              <w:spacing w:after="0"/>
              <w:rPr>
                <w:sz w:val="20"/>
                <w:szCs w:val="20"/>
                <w:color w:val="auto"/>
              </w:rPr>
            </w:pPr>
            <w:r>
              <w:rPr>
                <w:rFonts w:ascii="Arial" w:cs="Arial" w:eastAsia="Arial" w:hAnsi="Arial"/>
                <w:sz w:val="16"/>
                <w:szCs w:val="16"/>
                <w:color w:val="333333"/>
              </w:rPr>
              <w:t>Oversee Sustainability</w:t>
            </w:r>
          </w:p>
        </w:tc>
        <w:tc>
          <w:tcPr>
            <w:tcW w:w="2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5"/>
        </w:trPr>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function</w:t>
            </w: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1980" w:type="dxa"/>
            <w:vAlign w:val="bottom"/>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333333"/>
              </w:rPr>
              <w:t>•</w:t>
            </w:r>
          </w:p>
        </w:tc>
        <w:tc>
          <w:tcPr>
            <w:tcW w:w="2140" w:type="dxa"/>
            <w:vAlign w:val="bottom"/>
          </w:tcPr>
          <w:p>
            <w:pPr>
              <w:ind w:left="60"/>
              <w:spacing w:after="0"/>
              <w:rPr>
                <w:sz w:val="20"/>
                <w:szCs w:val="20"/>
                <w:color w:val="auto"/>
              </w:rPr>
            </w:pPr>
            <w:r>
              <w:rPr>
                <w:rFonts w:ascii="Arial" w:cs="Arial" w:eastAsia="Arial" w:hAnsi="Arial"/>
                <w:sz w:val="16"/>
                <w:szCs w:val="16"/>
                <w:color w:val="333333"/>
              </w:rPr>
              <w:t>Continue to execute the</w:t>
            </w:r>
          </w:p>
        </w:tc>
        <w:tc>
          <w:tcPr>
            <w:tcW w:w="2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Company’s development</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and sale of non-</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4"/>
        </w:trPr>
        <w:tc>
          <w:tcPr>
            <w:tcW w:w="1980" w:type="dxa"/>
            <w:vAlign w:val="bottom"/>
            <w:tcBorders>
              <w:bottom w:val="single" w:sz="8" w:color="4D5357"/>
            </w:tcBorders>
          </w:tcPr>
          <w:p>
            <w:pPr>
              <w:spacing w:after="0"/>
              <w:rPr>
                <w:sz w:val="19"/>
                <w:szCs w:val="19"/>
                <w:color w:val="auto"/>
              </w:rPr>
            </w:pPr>
          </w:p>
        </w:tc>
        <w:tc>
          <w:tcPr>
            <w:tcW w:w="420" w:type="dxa"/>
            <w:vAlign w:val="bottom"/>
            <w:tcBorders>
              <w:bottom w:val="single" w:sz="8" w:color="4D5357"/>
            </w:tcBorders>
          </w:tcPr>
          <w:p>
            <w:pPr>
              <w:spacing w:after="0"/>
              <w:rPr>
                <w:sz w:val="19"/>
                <w:szCs w:val="19"/>
                <w:color w:val="auto"/>
              </w:rPr>
            </w:pPr>
          </w:p>
        </w:tc>
        <w:tc>
          <w:tcPr>
            <w:tcW w:w="214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333333"/>
              </w:rPr>
              <w:t>operating land</w:t>
            </w:r>
          </w:p>
        </w:tc>
        <w:tc>
          <w:tcPr>
            <w:tcW w:w="2180" w:type="dxa"/>
            <w:vAlign w:val="bottom"/>
            <w:tcBorders>
              <w:bottom w:val="single" w:sz="8" w:color="4D5357"/>
            </w:tcBorders>
          </w:tcPr>
          <w:p>
            <w:pPr>
              <w:spacing w:after="0"/>
              <w:rPr>
                <w:sz w:val="19"/>
                <w:szCs w:val="19"/>
                <w:color w:val="auto"/>
              </w:rPr>
            </w:pPr>
          </w:p>
        </w:tc>
        <w:tc>
          <w:tcPr>
            <w:tcW w:w="1560" w:type="dxa"/>
            <w:vAlign w:val="bottom"/>
            <w:tcBorders>
              <w:bottom w:val="single" w:sz="8" w:color="4D5357"/>
            </w:tcBorders>
          </w:tcPr>
          <w:p>
            <w:pPr>
              <w:spacing w:after="0"/>
              <w:rPr>
                <w:sz w:val="19"/>
                <w:szCs w:val="19"/>
                <w:color w:val="auto"/>
              </w:rPr>
            </w:pPr>
          </w:p>
        </w:tc>
        <w:tc>
          <w:tcPr>
            <w:tcW w:w="320" w:type="dxa"/>
            <w:vAlign w:val="bottom"/>
            <w:tcBorders>
              <w:bottom w:val="single" w:sz="8" w:color="4D5357"/>
            </w:tcBorders>
          </w:tcPr>
          <w:p>
            <w:pPr>
              <w:spacing w:after="0"/>
              <w:rPr>
                <w:sz w:val="19"/>
                <w:szCs w:val="19"/>
                <w:color w:val="auto"/>
              </w:rPr>
            </w:pPr>
          </w:p>
        </w:tc>
        <w:tc>
          <w:tcPr>
            <w:tcW w:w="1060" w:type="dxa"/>
            <w:vAlign w:val="bottom"/>
            <w:tcBorders>
              <w:bottom w:val="single" w:sz="8" w:color="4D5357"/>
            </w:tcBorders>
          </w:tcPr>
          <w:p>
            <w:pPr>
              <w:spacing w:after="0"/>
              <w:rPr>
                <w:sz w:val="19"/>
                <w:szCs w:val="19"/>
                <w:color w:val="auto"/>
              </w:rPr>
            </w:pPr>
          </w:p>
        </w:tc>
        <w:tc>
          <w:tcPr>
            <w:tcW w:w="1360" w:type="dxa"/>
            <w:vAlign w:val="bottom"/>
            <w:tcBorders>
              <w:bottom w:val="single" w:sz="8" w:color="4D5357"/>
            </w:tcBorders>
          </w:tcPr>
          <w:p>
            <w:pPr>
              <w:spacing w:after="0"/>
              <w:rPr>
                <w:sz w:val="19"/>
                <w:szCs w:val="19"/>
                <w:color w:val="auto"/>
              </w:rPr>
            </w:pPr>
          </w:p>
        </w:tc>
      </w:tr>
      <w:tr>
        <w:trPr>
          <w:trHeight w:val="229"/>
        </w:trPr>
        <w:tc>
          <w:tcPr>
            <w:tcW w:w="1980" w:type="dxa"/>
            <w:vAlign w:val="bottom"/>
          </w:tcPr>
          <w:p>
            <w:pPr>
              <w:ind w:left="60"/>
              <w:spacing w:after="0"/>
              <w:rPr>
                <w:sz w:val="20"/>
                <w:szCs w:val="20"/>
                <w:color w:val="auto"/>
              </w:rPr>
            </w:pPr>
            <w:r>
              <w:rPr>
                <w:rFonts w:ascii="Arial" w:cs="Arial" w:eastAsia="Arial" w:hAnsi="Arial"/>
                <w:sz w:val="16"/>
                <w:szCs w:val="16"/>
                <w:b w:val="1"/>
                <w:bCs w:val="1"/>
                <w:color w:val="4D5357"/>
              </w:rPr>
              <w:t>Jason P. Flynn</w:t>
            </w:r>
          </w:p>
        </w:tc>
        <w:tc>
          <w:tcPr>
            <w:tcW w:w="420" w:type="dxa"/>
            <w:vAlign w:val="bottom"/>
          </w:tcPr>
          <w:p>
            <w:pPr>
              <w:ind w:left="320"/>
              <w:spacing w:after="0"/>
              <w:rPr>
                <w:sz w:val="20"/>
                <w:szCs w:val="20"/>
                <w:color w:val="auto"/>
              </w:rPr>
            </w:pPr>
            <w:r>
              <w:rPr>
                <w:rFonts w:ascii="Arial" w:cs="Arial" w:eastAsia="Arial" w:hAnsi="Arial"/>
                <w:sz w:val="16"/>
                <w:szCs w:val="16"/>
                <w:color w:val="333333"/>
              </w:rPr>
              <w:t>•</w:t>
            </w:r>
          </w:p>
        </w:tc>
        <w:tc>
          <w:tcPr>
            <w:tcW w:w="2140" w:type="dxa"/>
            <w:vAlign w:val="bottom"/>
          </w:tcPr>
          <w:p>
            <w:pPr>
              <w:ind w:left="60"/>
              <w:spacing w:after="0"/>
              <w:rPr>
                <w:sz w:val="20"/>
                <w:szCs w:val="20"/>
                <w:color w:val="auto"/>
              </w:rPr>
            </w:pPr>
            <w:r>
              <w:rPr>
                <w:rFonts w:ascii="Arial" w:cs="Arial" w:eastAsia="Arial" w:hAnsi="Arial"/>
                <w:sz w:val="16"/>
                <w:szCs w:val="16"/>
                <w:color w:val="333333"/>
              </w:rPr>
              <w:t>Lead the operation of the</w:t>
            </w:r>
          </w:p>
        </w:tc>
        <w:tc>
          <w:tcPr>
            <w:tcW w:w="2180" w:type="dxa"/>
            <w:vAlign w:val="bottom"/>
          </w:tcPr>
          <w:p>
            <w:pPr>
              <w:jc w:val="right"/>
              <w:ind w:right="779"/>
              <w:spacing w:after="0"/>
              <w:rPr>
                <w:sz w:val="20"/>
                <w:szCs w:val="20"/>
                <w:color w:val="auto"/>
              </w:rPr>
            </w:pPr>
            <w:r>
              <w:rPr>
                <w:rFonts w:ascii="Arial" w:cs="Arial" w:eastAsia="Arial" w:hAnsi="Arial"/>
                <w:sz w:val="16"/>
                <w:szCs w:val="16"/>
                <w:color w:val="4D5357"/>
              </w:rPr>
              <w:t>90%</w:t>
            </w:r>
          </w:p>
        </w:tc>
        <w:tc>
          <w:tcPr>
            <w:tcW w:w="1560" w:type="dxa"/>
            <w:vAlign w:val="bottom"/>
          </w:tcPr>
          <w:p>
            <w:pPr>
              <w:jc w:val="center"/>
              <w:ind w:left="279"/>
              <w:spacing w:after="0"/>
              <w:rPr>
                <w:sz w:val="20"/>
                <w:szCs w:val="20"/>
                <w:color w:val="auto"/>
              </w:rPr>
            </w:pPr>
            <w:r>
              <w:rPr>
                <w:rFonts w:ascii="Arial" w:cs="Arial" w:eastAsia="Arial" w:hAnsi="Arial"/>
                <w:sz w:val="16"/>
                <w:szCs w:val="16"/>
                <w:color w:val="4D5357"/>
              </w:rPr>
              <w:t>$350,870</w:t>
            </w:r>
          </w:p>
        </w:tc>
        <w:tc>
          <w:tcPr>
            <w:tcW w:w="320" w:type="dxa"/>
            <w:vAlign w:val="bottom"/>
          </w:tcPr>
          <w:p>
            <w:pPr>
              <w:spacing w:after="0"/>
              <w:rPr>
                <w:sz w:val="19"/>
                <w:szCs w:val="19"/>
                <w:color w:val="auto"/>
              </w:rPr>
            </w:pPr>
          </w:p>
        </w:tc>
        <w:tc>
          <w:tcPr>
            <w:tcW w:w="1060" w:type="dxa"/>
            <w:vAlign w:val="bottom"/>
          </w:tcPr>
          <w:p>
            <w:pPr>
              <w:ind w:left="960"/>
              <w:spacing w:after="0"/>
              <w:rPr>
                <w:sz w:val="20"/>
                <w:szCs w:val="20"/>
                <w:color w:val="auto"/>
              </w:rPr>
            </w:pPr>
            <w:r>
              <w:rPr>
                <w:rFonts w:ascii="Arial" w:cs="Arial" w:eastAsia="Arial" w:hAnsi="Arial"/>
                <w:sz w:val="16"/>
                <w:szCs w:val="16"/>
                <w:color w:val="4D5357"/>
                <w:w w:val="89"/>
              </w:rPr>
              <w:t>$</w:t>
            </w:r>
          </w:p>
        </w:tc>
        <w:tc>
          <w:tcPr>
            <w:tcW w:w="1360" w:type="dxa"/>
            <w:vAlign w:val="bottom"/>
          </w:tcPr>
          <w:p>
            <w:pPr>
              <w:jc w:val="right"/>
              <w:ind w:right="539"/>
              <w:spacing w:after="0"/>
              <w:rPr>
                <w:sz w:val="20"/>
                <w:szCs w:val="20"/>
                <w:color w:val="auto"/>
              </w:rPr>
            </w:pPr>
            <w:r>
              <w:rPr>
                <w:rFonts w:ascii="Arial" w:cs="Arial" w:eastAsia="Arial" w:hAnsi="Arial"/>
                <w:sz w:val="16"/>
                <w:szCs w:val="16"/>
                <w:color w:val="4D5357"/>
              </w:rPr>
              <w:t>649,596</w:t>
            </w: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technology environment</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to ensure security,</w:t>
            </w: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333333"/>
              </w:rPr>
              <w:t>reliability, and integrity</w:t>
            </w: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464" w:right="7020" w:hanging="156"/>
        <w:spacing w:after="0" w:line="254" w:lineRule="auto"/>
        <w:tabs>
          <w:tab w:leader="none" w:pos="2464" w:val="left"/>
        </w:tabs>
        <w:numPr>
          <w:ilvl w:val="1"/>
          <w:numId w:val="81"/>
        </w:numPr>
        <w:rPr>
          <w:rFonts w:ascii="Arial" w:cs="Arial" w:eastAsia="Arial" w:hAnsi="Arial"/>
          <w:sz w:val="16"/>
          <w:szCs w:val="16"/>
          <w:color w:val="333333"/>
        </w:rPr>
      </w:pPr>
      <w:r>
        <w:rPr>
          <w:rFonts w:ascii="Arial" w:cs="Arial" w:eastAsia="Arial" w:hAnsi="Arial"/>
          <w:sz w:val="16"/>
          <w:szCs w:val="16"/>
          <w:color w:val="333333"/>
        </w:rPr>
        <w:t>Promote and drive technology initiatives that support business needs and create a foundation for future growth</w:t>
      </w:r>
    </w:p>
    <w:p>
      <w:pPr>
        <w:spacing w:after="0" w:line="33" w:lineRule="exact"/>
        <w:rPr>
          <w:rFonts w:ascii="Arial" w:cs="Arial" w:eastAsia="Arial" w:hAnsi="Arial"/>
          <w:sz w:val="16"/>
          <w:szCs w:val="16"/>
          <w:color w:val="333333"/>
        </w:rPr>
      </w:pPr>
    </w:p>
    <w:p>
      <w:pPr>
        <w:ind w:left="2464" w:right="6760" w:hanging="156"/>
        <w:spacing w:after="0" w:line="254" w:lineRule="auto"/>
        <w:tabs>
          <w:tab w:leader="none" w:pos="2464" w:val="left"/>
        </w:tabs>
        <w:numPr>
          <w:ilvl w:val="1"/>
          <w:numId w:val="81"/>
        </w:numPr>
        <w:rPr>
          <w:rFonts w:ascii="Arial" w:cs="Arial" w:eastAsia="Arial" w:hAnsi="Arial"/>
          <w:sz w:val="16"/>
          <w:szCs w:val="16"/>
          <w:color w:val="333333"/>
        </w:rPr>
      </w:pPr>
      <w:r>
        <w:rPr>
          <w:rFonts w:ascii="Arial" w:cs="Arial" w:eastAsia="Arial" w:hAnsi="Arial"/>
          <w:sz w:val="16"/>
          <w:szCs w:val="16"/>
          <w:color w:val="333333"/>
        </w:rPr>
        <w:t>Simplify and modernize the technology portfolio and support integration activities for acquisitions, divestitures, and portfolio optimization</w:t>
      </w:r>
    </w:p>
    <w:p>
      <w:pPr>
        <w:spacing w:after="0" w:line="33" w:lineRule="exact"/>
        <w:rPr>
          <w:rFonts w:ascii="Arial" w:cs="Arial" w:eastAsia="Arial" w:hAnsi="Arial"/>
          <w:sz w:val="16"/>
          <w:szCs w:val="16"/>
          <w:color w:val="333333"/>
        </w:rPr>
      </w:pPr>
    </w:p>
    <w:p>
      <w:pPr>
        <w:ind w:left="2464" w:right="6940" w:hanging="156"/>
        <w:spacing w:after="0" w:line="252" w:lineRule="auto"/>
        <w:tabs>
          <w:tab w:leader="none" w:pos="2464" w:val="left"/>
        </w:tabs>
        <w:numPr>
          <w:ilvl w:val="1"/>
          <w:numId w:val="81"/>
        </w:numPr>
        <w:rPr>
          <w:rFonts w:ascii="Arial" w:cs="Arial" w:eastAsia="Arial" w:hAnsi="Arial"/>
          <w:sz w:val="16"/>
          <w:szCs w:val="16"/>
          <w:color w:val="333333"/>
        </w:rPr>
      </w:pPr>
      <w:r>
        <w:rPr>
          <w:rFonts w:ascii="Arial" w:cs="Arial" w:eastAsia="Arial" w:hAnsi="Arial"/>
          <w:sz w:val="16"/>
          <w:szCs w:val="16"/>
          <w:color w:val="333333"/>
        </w:rPr>
        <w:t>Develop the talent and capability of the Information Services organization to remain ready for emerging technologies and evolving business challenges</w:t>
      </w:r>
    </w:p>
    <w:p>
      <w:pPr>
        <w:spacing w:after="0" w:line="219" w:lineRule="exact"/>
        <w:rPr>
          <w:rFonts w:ascii="Arial" w:cs="Arial" w:eastAsia="Arial" w:hAnsi="Arial"/>
          <w:sz w:val="16"/>
          <w:szCs w:val="16"/>
          <w:color w:val="333333"/>
        </w:rPr>
      </w:pPr>
    </w:p>
    <w:p>
      <w:pPr>
        <w:ind w:left="4"/>
        <w:spacing w:after="0"/>
        <w:rPr>
          <w:rFonts w:ascii="Arial" w:cs="Arial" w:eastAsia="Arial" w:hAnsi="Arial"/>
          <w:sz w:val="16"/>
          <w:szCs w:val="16"/>
          <w:color w:val="333333"/>
        </w:rPr>
      </w:pPr>
      <w:r>
        <w:rPr>
          <w:rFonts w:ascii="Arial" w:cs="Arial" w:eastAsia="Arial" w:hAnsi="Arial"/>
          <w:sz w:val="13"/>
          <w:szCs w:val="13"/>
          <w:color w:val="333333"/>
        </w:rPr>
        <w:t>*</w:t>
      </w:r>
      <w:r>
        <w:rPr>
          <w:rFonts w:ascii="Arial" w:cs="Arial" w:eastAsia="Arial" w:hAnsi="Arial"/>
          <w:sz w:val="12"/>
          <w:szCs w:val="12"/>
          <w:color w:val="333333"/>
        </w:rPr>
        <w:t>Based on actual base salary earned in 2025.</w:t>
      </w:r>
    </w:p>
    <w:p>
      <w:pPr>
        <w:spacing w:after="0" w:line="53" w:lineRule="exact"/>
        <w:rPr>
          <w:rFonts w:ascii="Arial" w:cs="Arial" w:eastAsia="Arial" w:hAnsi="Arial"/>
          <w:sz w:val="16"/>
          <w:szCs w:val="16"/>
          <w:color w:val="333333"/>
        </w:rPr>
      </w:pPr>
    </w:p>
    <w:p>
      <w:pPr>
        <w:ind w:left="324" w:hanging="324"/>
        <w:spacing w:after="0"/>
        <w:tabs>
          <w:tab w:leader="none" w:pos="324" w:val="left"/>
        </w:tabs>
        <w:numPr>
          <w:ilvl w:val="0"/>
          <w:numId w:val="82"/>
        </w:numPr>
        <w:rPr>
          <w:rFonts w:ascii="Arial" w:cs="Arial" w:eastAsia="Arial" w:hAnsi="Arial"/>
          <w:sz w:val="13"/>
          <w:szCs w:val="13"/>
          <w:color w:val="333333"/>
        </w:rPr>
      </w:pPr>
      <w:r>
        <w:rPr>
          <w:rFonts w:ascii="Arial" w:cs="Arial" w:eastAsia="Arial" w:hAnsi="Arial"/>
          <w:sz w:val="13"/>
          <w:szCs w:val="13"/>
          <w:color w:val="333333"/>
        </w:rPr>
        <w:t>Mr. Nickolas was not entitled an annual cash incentive compensation payment for 2025 as a result of his departure in April 2025.</w:t>
      </w:r>
    </w:p>
    <w:p>
      <w:pPr>
        <w:spacing w:after="0" w:line="53" w:lineRule="exact"/>
        <w:rPr>
          <w:rFonts w:ascii="Arial" w:cs="Arial" w:eastAsia="Arial" w:hAnsi="Arial"/>
          <w:sz w:val="13"/>
          <w:szCs w:val="13"/>
          <w:color w:val="333333"/>
        </w:rPr>
      </w:pPr>
    </w:p>
    <w:p>
      <w:pPr>
        <w:ind w:left="324" w:hanging="324"/>
        <w:spacing w:after="0"/>
        <w:tabs>
          <w:tab w:leader="none" w:pos="324" w:val="left"/>
        </w:tabs>
        <w:numPr>
          <w:ilvl w:val="0"/>
          <w:numId w:val="83"/>
        </w:numPr>
        <w:rPr>
          <w:rFonts w:ascii="Arial" w:cs="Arial" w:eastAsia="Arial" w:hAnsi="Arial"/>
          <w:sz w:val="13"/>
          <w:szCs w:val="13"/>
          <w:color w:val="333333"/>
        </w:rPr>
      </w:pPr>
      <w:r>
        <w:rPr>
          <w:rFonts w:ascii="Arial" w:cs="Arial" w:eastAsia="Arial" w:hAnsi="Arial"/>
          <w:sz w:val="13"/>
          <w:szCs w:val="13"/>
          <w:color w:val="333333"/>
        </w:rPr>
        <w:t>Mr. Kohn was not entitled to an annual cash incentive compensation payment for 2025 as a result of his departure in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-485775</wp:posOffset>
            </wp:positionV>
            <wp:extent cx="69951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15" w:right="439" w:bottom="680" w:gutter="0" w:footer="0" w:header="0"/>
        </w:sectPr>
      </w:pPr>
    </w:p>
    <w:bookmarkStart w:id="71" w:name="page72"/>
    <w:bookmarkEnd w:id="71"/>
    <w:p>
      <w:pPr>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6995160" cy="6000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65 </w:t>
      </w:r>
      <w:r>
        <w:rPr>
          <w:rFonts w:ascii="Arial" w:cs="Arial" w:eastAsia="Arial" w:hAnsi="Arial"/>
          <w:sz w:val="16"/>
          <w:szCs w:val="16"/>
          <w:color w:val="333333"/>
        </w:rPr>
        <w:t xml:space="preserve">               </w:t>
      </w:r>
    </w:p>
    <w:p>
      <w:pPr>
        <w:sectPr>
          <w:pgSz w:w="11900" w:h="16838" w:orient="portrait"/>
          <w:cols w:equalWidth="0" w:num="3">
            <w:col w:w="3860" w:space="720"/>
            <w:col w:w="4660" w:space="720"/>
            <w:col w:w="1060"/>
          </w:cols>
          <w:pgMar w:left="440" w:top="125" w:right="439" w:bottom="1440" w:gutter="0" w:footer="0" w:header="0"/>
          <w:type w:val="continuous"/>
        </w:sectPr>
      </w:pPr>
    </w:p>
    <w:bookmarkStart w:id="72" w:name="page73"/>
    <w:bookmarkEnd w:id="72"/>
    <w:p>
      <w:pPr>
        <w:ind w:left="12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Compensation Discussion    </w:t>
      </w:r>
    </w:p>
    <w:p>
      <w:pPr>
        <w:spacing w:after="0" w:line="15" w:lineRule="exact"/>
        <w:rPr>
          <w:sz w:val="20"/>
          <w:szCs w:val="20"/>
          <w:color w:val="auto"/>
        </w:rPr>
      </w:pPr>
    </w:p>
    <w:p>
      <w:pPr>
        <w:ind w:left="864"/>
        <w:spacing w:after="0"/>
        <w:rPr>
          <w:sz w:val="20"/>
          <w:szCs w:val="20"/>
          <w:color w:val="auto"/>
        </w:rPr>
      </w:pPr>
      <w:r>
        <w:rPr>
          <w:rFonts w:ascii="Arial" w:cs="Arial" w:eastAsia="Arial" w:hAnsi="Arial"/>
          <w:sz w:val="14"/>
          <w:szCs w:val="14"/>
          <w:b w:val="1"/>
          <w:bCs w:val="1"/>
          <w:color w:val="FFFFFF"/>
        </w:rPr>
        <w:t>and Analysis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Annual Incentive Feature: Incentive Stock Plan</w:t>
      </w:r>
    </w:p>
    <w:p>
      <w:pPr>
        <w:spacing w:after="0" w:line="123" w:lineRule="exact"/>
        <w:rPr>
          <w:sz w:val="20"/>
          <w:szCs w:val="20"/>
          <w:color w:val="auto"/>
        </w:rPr>
      </w:pPr>
    </w:p>
    <w:p>
      <w:pPr>
        <w:ind w:left="4" w:right="80"/>
        <w:spacing w:after="0" w:line="255" w:lineRule="auto"/>
        <w:rPr>
          <w:sz w:val="20"/>
          <w:szCs w:val="20"/>
          <w:color w:val="auto"/>
        </w:rPr>
      </w:pPr>
      <w:r>
        <w:rPr>
          <w:rFonts w:ascii="Arial" w:cs="Arial" w:eastAsia="Arial" w:hAnsi="Arial"/>
          <w:sz w:val="16"/>
          <w:szCs w:val="16"/>
          <w:color w:val="333333"/>
        </w:rPr>
        <w:t>The Incentive Stock Plan further promotes the alignment of executive compensation levels with our investors’ financial interests by allowing a portion of the annual bonus award to be deferred into Company stock units that vest based on continued service. The voluntary election allows executives to invest up to 50% of their annual cash incentive compensation to purchase units that are subsequently converted into shares of common stock pursuant to the terms of the Incentive Stock Plan at a 20% discount from the market price of Martin Marietta’s common stock on the date the amount of the incentive compensation is determined. The discount is used to account for the risk of trading current cash compensation for “at-risk” shares which may decline in value.</w:t>
      </w:r>
    </w:p>
    <w:p>
      <w:pPr>
        <w:spacing w:after="0" w:line="265" w:lineRule="exact"/>
        <w:rPr>
          <w:sz w:val="20"/>
          <w:szCs w:val="20"/>
          <w:color w:val="auto"/>
        </w:rPr>
      </w:pPr>
    </w:p>
    <w:p>
      <w:pPr>
        <w:ind w:left="4" w:right="340"/>
        <w:spacing w:after="0" w:line="266" w:lineRule="auto"/>
        <w:rPr>
          <w:sz w:val="20"/>
          <w:szCs w:val="20"/>
          <w:color w:val="auto"/>
        </w:rPr>
      </w:pPr>
      <w:r>
        <w:rPr>
          <w:rFonts w:ascii="Arial" w:cs="Arial" w:eastAsia="Arial" w:hAnsi="Arial"/>
          <w:sz w:val="16"/>
          <w:szCs w:val="16"/>
          <w:color w:val="333333"/>
        </w:rPr>
        <w:t>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w:t>
      </w:r>
    </w:p>
    <w:p>
      <w:pPr>
        <w:spacing w:after="0" w:line="63"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333333"/>
        </w:rPr>
        <w:t>The contribution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2025 Long-Term Incentive Compensation Overview</w:t>
      </w:r>
    </w:p>
    <w:p>
      <w:pPr>
        <w:spacing w:after="0" w:line="123" w:lineRule="exact"/>
        <w:rPr>
          <w:sz w:val="20"/>
          <w:szCs w:val="20"/>
          <w:color w:val="auto"/>
        </w:rPr>
      </w:pPr>
    </w:p>
    <w:p>
      <w:pPr>
        <w:ind w:left="4" w:right="160"/>
        <w:spacing w:after="0" w:line="266" w:lineRule="auto"/>
        <w:rPr>
          <w:sz w:val="20"/>
          <w:szCs w:val="20"/>
          <w:color w:val="auto"/>
        </w:rPr>
      </w:pPr>
      <w:r>
        <w:rPr>
          <w:rFonts w:ascii="Arial" w:cs="Arial" w:eastAsia="Arial" w:hAnsi="Arial"/>
          <w:sz w:val="16"/>
          <w:szCs w:val="16"/>
          <w:color w:val="333333"/>
        </w:rPr>
        <w:t>Our LTI plan design reflects the objectives of our compensation program and is in-line with current market approaches, based on the advice of the Committee’s independent compensation consultant. Our plan design objectives are a simplified LTI program that is transparent and enhances the line of sight between our performance and compensation.</w:t>
      </w:r>
    </w:p>
    <w:p>
      <w:pPr>
        <w:spacing w:after="0" w:line="63"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333333"/>
        </w:rPr>
        <w:t>The annual award in 2025 for all NEOs was determined as a fixed percentage of base salary with some variation for position and grade, which amount was converted into common stock units based on the average Martin Marietta stock price for the 20-day period ending on February 21, 2025, the day the Committee confirmed the award, or $532.56. This award value was then divided into PSUs and RSUs, with 55% of the total award for NEOs consisting of the PSUs at target level and 45% of the total award for NEOs consisting of RSUs. The Committee believes that the incentive mix (PSUs and RSUs) constitutes an appropriate pay process and streamlined plan, which more fully reflects the performance of the Company and is better aligned with each NEO’s role within Martin Marietta. See a further description under Outstanding Equity Awards at Fiscal Year-End and corresponding footnotes on page 80.</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following table provides a notional example of the LTI plan design.</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086CC"/>
                <w:w w:val="91"/>
              </w:rPr>
              <w:t>LTI</w:t>
            </w: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086CC"/>
                <w:w w:val="91"/>
              </w:rPr>
              <w:t>LTI</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086CC"/>
              </w:rPr>
              <w:t>TARGET</w:t>
            </w:r>
          </w:p>
        </w:tc>
        <w:tc>
          <w:tcPr>
            <w:tcW w:w="1500" w:type="dxa"/>
            <w:vAlign w:val="bottom"/>
          </w:tcPr>
          <w:p>
            <w:pPr>
              <w:spacing w:after="0"/>
              <w:rPr>
                <w:sz w:val="16"/>
                <w:szCs w:val="16"/>
                <w:color w:val="auto"/>
              </w:rPr>
            </w:pPr>
          </w:p>
        </w:tc>
        <w:tc>
          <w:tcPr>
            <w:tcW w:w="1820" w:type="dxa"/>
            <w:vAlign w:val="bottom"/>
          </w:tcPr>
          <w:p>
            <w:pPr>
              <w:jc w:val="center"/>
              <w:ind w:right="79"/>
              <w:spacing w:after="0"/>
              <w:rPr>
                <w:sz w:val="20"/>
                <w:szCs w:val="20"/>
                <w:color w:val="auto"/>
              </w:rPr>
            </w:pPr>
            <w:r>
              <w:rPr>
                <w:rFonts w:ascii="Arial" w:cs="Arial" w:eastAsia="Arial" w:hAnsi="Arial"/>
                <w:sz w:val="16"/>
                <w:szCs w:val="16"/>
                <w:b w:val="1"/>
                <w:bCs w:val="1"/>
                <w:color w:val="0086CC"/>
              </w:rPr>
              <w:t>PSU</w:t>
            </w:r>
          </w:p>
        </w:tc>
        <w:tc>
          <w:tcPr>
            <w:tcW w:w="1520" w:type="dxa"/>
            <w:vAlign w:val="bottom"/>
          </w:tcPr>
          <w:p>
            <w:pPr>
              <w:spacing w:after="0"/>
              <w:rPr>
                <w:sz w:val="16"/>
                <w:szCs w:val="16"/>
                <w:color w:val="auto"/>
              </w:rPr>
            </w:pPr>
          </w:p>
        </w:tc>
        <w:tc>
          <w:tcPr>
            <w:tcW w:w="1120" w:type="dxa"/>
            <w:vAlign w:val="bottom"/>
          </w:tcPr>
          <w:p>
            <w:pPr>
              <w:jc w:val="center"/>
              <w:ind w:left="379"/>
              <w:spacing w:after="0"/>
              <w:rPr>
                <w:sz w:val="20"/>
                <w:szCs w:val="20"/>
                <w:color w:val="auto"/>
              </w:rPr>
            </w:pPr>
            <w:r>
              <w:rPr>
                <w:rFonts w:ascii="Arial" w:cs="Arial" w:eastAsia="Arial" w:hAnsi="Arial"/>
                <w:sz w:val="16"/>
                <w:szCs w:val="16"/>
                <w:b w:val="1"/>
                <w:bCs w:val="1"/>
                <w:color w:val="0086CC"/>
              </w:rPr>
              <w:t>RSU</w:t>
            </w:r>
          </w:p>
        </w:tc>
      </w:tr>
      <w:tr>
        <w:trPr>
          <w:trHeight w:val="189"/>
        </w:trPr>
        <w:tc>
          <w:tcPr>
            <w:tcW w:w="1360" w:type="dxa"/>
            <w:vAlign w:val="bottom"/>
          </w:tcPr>
          <w:p>
            <w:pPr>
              <w:jc w:val="center"/>
              <w:ind w:right="379"/>
              <w:spacing w:after="0"/>
              <w:rPr>
                <w:sz w:val="20"/>
                <w:szCs w:val="20"/>
                <w:color w:val="auto"/>
              </w:rPr>
            </w:pPr>
            <w:r>
              <w:rPr>
                <w:rFonts w:ascii="Arial" w:cs="Arial" w:eastAsia="Arial" w:hAnsi="Arial"/>
                <w:sz w:val="16"/>
                <w:szCs w:val="16"/>
                <w:b w:val="1"/>
                <w:bCs w:val="1"/>
                <w:color w:val="0086CC"/>
              </w:rPr>
              <w:t>SALARY</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086CC"/>
              </w:rPr>
              <w:t>TARGET</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086CC"/>
                <w:w w:val="99"/>
              </w:rPr>
              <w:t>VALUE</w:t>
            </w:r>
          </w:p>
        </w:tc>
        <w:tc>
          <w:tcPr>
            <w:tcW w:w="1500" w:type="dxa"/>
            <w:vAlign w:val="bottom"/>
          </w:tcPr>
          <w:p>
            <w:pPr>
              <w:jc w:val="right"/>
              <w:ind w:right="479"/>
              <w:spacing w:after="0"/>
              <w:rPr>
                <w:sz w:val="20"/>
                <w:szCs w:val="20"/>
                <w:color w:val="auto"/>
              </w:rPr>
            </w:pPr>
            <w:r>
              <w:rPr>
                <w:rFonts w:ascii="Arial" w:cs="Arial" w:eastAsia="Arial" w:hAnsi="Arial"/>
                <w:sz w:val="16"/>
                <w:szCs w:val="16"/>
                <w:b w:val="1"/>
                <w:bCs w:val="1"/>
                <w:color w:val="0086CC"/>
              </w:rPr>
              <w:t>PSU</w:t>
            </w:r>
          </w:p>
        </w:tc>
        <w:tc>
          <w:tcPr>
            <w:tcW w:w="1820" w:type="dxa"/>
            <w:vAlign w:val="bottom"/>
          </w:tcPr>
          <w:p>
            <w:pPr>
              <w:jc w:val="center"/>
              <w:ind w:right="79"/>
              <w:spacing w:after="0"/>
              <w:rPr>
                <w:sz w:val="20"/>
                <w:szCs w:val="20"/>
                <w:color w:val="auto"/>
              </w:rPr>
            </w:pPr>
            <w:r>
              <w:rPr>
                <w:rFonts w:ascii="Arial" w:cs="Arial" w:eastAsia="Arial" w:hAnsi="Arial"/>
                <w:sz w:val="16"/>
                <w:szCs w:val="16"/>
                <w:b w:val="1"/>
                <w:bCs w:val="1"/>
                <w:color w:val="0086CC"/>
                <w:w w:val="99"/>
              </w:rPr>
              <w:t>VALUE</w:t>
            </w:r>
          </w:p>
        </w:tc>
        <w:tc>
          <w:tcPr>
            <w:tcW w:w="1520" w:type="dxa"/>
            <w:vAlign w:val="bottom"/>
          </w:tcPr>
          <w:p>
            <w:pPr>
              <w:jc w:val="right"/>
              <w:ind w:right="479"/>
              <w:spacing w:after="0"/>
              <w:rPr>
                <w:sz w:val="20"/>
                <w:szCs w:val="20"/>
                <w:color w:val="auto"/>
              </w:rPr>
            </w:pPr>
            <w:r>
              <w:rPr>
                <w:rFonts w:ascii="Arial" w:cs="Arial" w:eastAsia="Arial" w:hAnsi="Arial"/>
                <w:sz w:val="16"/>
                <w:szCs w:val="16"/>
                <w:b w:val="1"/>
                <w:bCs w:val="1"/>
                <w:color w:val="0086CC"/>
              </w:rPr>
              <w:t>RSU</w:t>
            </w:r>
          </w:p>
        </w:tc>
        <w:tc>
          <w:tcPr>
            <w:tcW w:w="1120" w:type="dxa"/>
            <w:vAlign w:val="bottom"/>
          </w:tcPr>
          <w:p>
            <w:pPr>
              <w:jc w:val="center"/>
              <w:ind w:left="379"/>
              <w:spacing w:after="0"/>
              <w:rPr>
                <w:sz w:val="20"/>
                <w:szCs w:val="20"/>
                <w:color w:val="auto"/>
              </w:rPr>
            </w:pPr>
            <w:r>
              <w:rPr>
                <w:rFonts w:ascii="Arial" w:cs="Arial" w:eastAsia="Arial" w:hAnsi="Arial"/>
                <w:sz w:val="16"/>
                <w:szCs w:val="16"/>
                <w:b w:val="1"/>
                <w:bCs w:val="1"/>
                <w:color w:val="0086CC"/>
                <w:w w:val="99"/>
              </w:rPr>
              <w:t>VALUE</w:t>
            </w:r>
          </w:p>
        </w:tc>
      </w:tr>
      <w:tr>
        <w:trPr>
          <w:trHeight w:val="223"/>
        </w:trPr>
        <w:tc>
          <w:tcPr>
            <w:tcW w:w="1360" w:type="dxa"/>
            <w:vAlign w:val="bottom"/>
          </w:tcPr>
          <w:p>
            <w:pPr>
              <w:jc w:val="center"/>
              <w:ind w:right="359"/>
              <w:spacing w:after="0"/>
              <w:rPr>
                <w:sz w:val="20"/>
                <w:szCs w:val="20"/>
                <w:color w:val="auto"/>
              </w:rPr>
            </w:pPr>
            <w:r>
              <w:rPr>
                <w:rFonts w:ascii="Arial" w:cs="Arial" w:eastAsia="Arial" w:hAnsi="Arial"/>
                <w:sz w:val="16"/>
                <w:szCs w:val="16"/>
                <w:b w:val="1"/>
                <w:bCs w:val="1"/>
                <w:color w:val="0086CC"/>
                <w:w w:val="89"/>
              </w:rPr>
              <w:t>$</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086CC"/>
                <w:w w:val="98"/>
              </w:rPr>
              <w:t>%</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086CC"/>
              </w:rPr>
              <w:t>$</w:t>
            </w:r>
          </w:p>
        </w:tc>
        <w:tc>
          <w:tcPr>
            <w:tcW w:w="1500" w:type="dxa"/>
            <w:vAlign w:val="bottom"/>
          </w:tcPr>
          <w:p>
            <w:pPr>
              <w:jc w:val="right"/>
              <w:ind w:right="579"/>
              <w:spacing w:after="0"/>
              <w:rPr>
                <w:sz w:val="20"/>
                <w:szCs w:val="20"/>
                <w:color w:val="auto"/>
              </w:rPr>
            </w:pPr>
            <w:r>
              <w:rPr>
                <w:rFonts w:ascii="Arial" w:cs="Arial" w:eastAsia="Arial" w:hAnsi="Arial"/>
                <w:sz w:val="16"/>
                <w:szCs w:val="16"/>
                <w:b w:val="1"/>
                <w:bCs w:val="1"/>
                <w:color w:val="0086CC"/>
              </w:rPr>
              <w:t>%</w:t>
            </w:r>
          </w:p>
        </w:tc>
        <w:tc>
          <w:tcPr>
            <w:tcW w:w="1820" w:type="dxa"/>
            <w:vAlign w:val="bottom"/>
          </w:tcPr>
          <w:p>
            <w:pPr>
              <w:jc w:val="center"/>
              <w:ind w:right="79"/>
              <w:spacing w:after="0"/>
              <w:rPr>
                <w:sz w:val="20"/>
                <w:szCs w:val="20"/>
                <w:color w:val="auto"/>
              </w:rPr>
            </w:pPr>
            <w:r>
              <w:rPr>
                <w:rFonts w:ascii="Arial" w:cs="Arial" w:eastAsia="Arial" w:hAnsi="Arial"/>
                <w:sz w:val="16"/>
                <w:szCs w:val="16"/>
                <w:b w:val="1"/>
                <w:bCs w:val="1"/>
                <w:color w:val="0086CC"/>
              </w:rPr>
              <w:t>$</w:t>
            </w:r>
          </w:p>
        </w:tc>
        <w:tc>
          <w:tcPr>
            <w:tcW w:w="1520" w:type="dxa"/>
            <w:vAlign w:val="bottom"/>
          </w:tcPr>
          <w:p>
            <w:pPr>
              <w:jc w:val="right"/>
              <w:ind w:right="579"/>
              <w:spacing w:after="0"/>
              <w:rPr>
                <w:sz w:val="20"/>
                <w:szCs w:val="20"/>
                <w:color w:val="auto"/>
              </w:rPr>
            </w:pPr>
            <w:r>
              <w:rPr>
                <w:rFonts w:ascii="Arial" w:cs="Arial" w:eastAsia="Arial" w:hAnsi="Arial"/>
                <w:sz w:val="16"/>
                <w:szCs w:val="16"/>
                <w:b w:val="1"/>
                <w:bCs w:val="1"/>
                <w:color w:val="0086CC"/>
              </w:rPr>
              <w:t>%</w:t>
            </w:r>
          </w:p>
        </w:tc>
        <w:tc>
          <w:tcPr>
            <w:tcW w:w="1120" w:type="dxa"/>
            <w:vAlign w:val="bottom"/>
          </w:tcPr>
          <w:p>
            <w:pPr>
              <w:jc w:val="center"/>
              <w:ind w:left="379"/>
              <w:spacing w:after="0"/>
              <w:rPr>
                <w:sz w:val="20"/>
                <w:szCs w:val="20"/>
                <w:color w:val="auto"/>
              </w:rPr>
            </w:pPr>
            <w:r>
              <w:rPr>
                <w:rFonts w:ascii="Arial" w:cs="Arial" w:eastAsia="Arial" w:hAnsi="Arial"/>
                <w:sz w:val="16"/>
                <w:szCs w:val="16"/>
                <w:b w:val="1"/>
                <w:bCs w:val="1"/>
                <w:color w:val="0086CC"/>
              </w:rPr>
              <w:t>$</w:t>
            </w:r>
          </w:p>
        </w:tc>
      </w:tr>
      <w:tr>
        <w:trPr>
          <w:trHeight w:val="21"/>
        </w:trPr>
        <w:tc>
          <w:tcPr>
            <w:tcW w:w="1360" w:type="dxa"/>
            <w:vAlign w:val="bottom"/>
            <w:tcBorders>
              <w:bottom w:val="single" w:sz="8" w:color="0086CC"/>
            </w:tcBorders>
          </w:tcPr>
          <w:p>
            <w:pPr>
              <w:spacing w:after="0" w:line="20" w:lineRule="exact"/>
              <w:rPr>
                <w:sz w:val="1"/>
                <w:szCs w:val="1"/>
                <w:color w:val="auto"/>
              </w:rPr>
            </w:pPr>
          </w:p>
        </w:tc>
        <w:tc>
          <w:tcPr>
            <w:tcW w:w="1800" w:type="dxa"/>
            <w:vAlign w:val="bottom"/>
            <w:tcBorders>
              <w:bottom w:val="single" w:sz="8" w:color="0086CC"/>
            </w:tcBorders>
          </w:tcPr>
          <w:p>
            <w:pPr>
              <w:spacing w:after="0" w:line="20" w:lineRule="exact"/>
              <w:rPr>
                <w:sz w:val="1"/>
                <w:szCs w:val="1"/>
                <w:color w:val="auto"/>
              </w:rPr>
            </w:pPr>
          </w:p>
        </w:tc>
        <w:tc>
          <w:tcPr>
            <w:tcW w:w="1900" w:type="dxa"/>
            <w:vAlign w:val="bottom"/>
            <w:tcBorders>
              <w:bottom w:val="single" w:sz="8" w:color="0086CC"/>
            </w:tcBorders>
          </w:tcPr>
          <w:p>
            <w:pPr>
              <w:spacing w:after="0" w:line="20" w:lineRule="exact"/>
              <w:rPr>
                <w:sz w:val="1"/>
                <w:szCs w:val="1"/>
                <w:color w:val="auto"/>
              </w:rPr>
            </w:pPr>
          </w:p>
        </w:tc>
        <w:tc>
          <w:tcPr>
            <w:tcW w:w="1500" w:type="dxa"/>
            <w:vAlign w:val="bottom"/>
            <w:tcBorders>
              <w:bottom w:val="single" w:sz="8" w:color="0086CC"/>
            </w:tcBorders>
          </w:tcPr>
          <w:p>
            <w:pPr>
              <w:spacing w:after="0" w:line="20" w:lineRule="exact"/>
              <w:rPr>
                <w:sz w:val="1"/>
                <w:szCs w:val="1"/>
                <w:color w:val="auto"/>
              </w:rPr>
            </w:pPr>
          </w:p>
        </w:tc>
        <w:tc>
          <w:tcPr>
            <w:tcW w:w="1820" w:type="dxa"/>
            <w:vAlign w:val="bottom"/>
            <w:tcBorders>
              <w:bottom w:val="single" w:sz="8" w:color="0086CC"/>
            </w:tcBorders>
          </w:tcPr>
          <w:p>
            <w:pPr>
              <w:spacing w:after="0" w:line="20" w:lineRule="exact"/>
              <w:rPr>
                <w:sz w:val="1"/>
                <w:szCs w:val="1"/>
                <w:color w:val="auto"/>
              </w:rPr>
            </w:pPr>
          </w:p>
        </w:tc>
        <w:tc>
          <w:tcPr>
            <w:tcW w:w="1520" w:type="dxa"/>
            <w:vAlign w:val="bottom"/>
            <w:tcBorders>
              <w:bottom w:val="single" w:sz="8" w:color="0086CC"/>
            </w:tcBorders>
          </w:tcPr>
          <w:p>
            <w:pPr>
              <w:spacing w:after="0" w:line="20" w:lineRule="exact"/>
              <w:rPr>
                <w:sz w:val="1"/>
                <w:szCs w:val="1"/>
                <w:color w:val="auto"/>
              </w:rPr>
            </w:pPr>
          </w:p>
        </w:tc>
        <w:tc>
          <w:tcPr>
            <w:tcW w:w="1120" w:type="dxa"/>
            <w:vAlign w:val="bottom"/>
            <w:tcBorders>
              <w:bottom w:val="single" w:sz="8" w:color="0086CC"/>
            </w:tcBorders>
          </w:tcPr>
          <w:p>
            <w:pPr>
              <w:spacing w:after="0" w:line="20" w:lineRule="exact"/>
              <w:rPr>
                <w:sz w:val="1"/>
                <w:szCs w:val="1"/>
                <w:color w:val="auto"/>
              </w:rPr>
            </w:pPr>
          </w:p>
        </w:tc>
      </w:tr>
      <w:tr>
        <w:trPr>
          <w:trHeight w:val="257"/>
        </w:trPr>
        <w:tc>
          <w:tcPr>
            <w:tcW w:w="1360" w:type="dxa"/>
            <w:vAlign w:val="bottom"/>
            <w:tcBorders>
              <w:bottom w:val="single" w:sz="8" w:color="4D5357"/>
            </w:tcBorders>
          </w:tcPr>
          <w:p>
            <w:pPr>
              <w:jc w:val="center"/>
              <w:ind w:right="379"/>
              <w:spacing w:after="0"/>
              <w:rPr>
                <w:sz w:val="20"/>
                <w:szCs w:val="20"/>
                <w:color w:val="auto"/>
              </w:rPr>
            </w:pPr>
            <w:r>
              <w:rPr>
                <w:rFonts w:ascii="Arial" w:cs="Arial" w:eastAsia="Arial" w:hAnsi="Arial"/>
                <w:sz w:val="16"/>
                <w:szCs w:val="16"/>
                <w:color w:val="4D5357"/>
                <w:w w:val="98"/>
              </w:rPr>
              <w:t>$150,000</w:t>
            </w:r>
          </w:p>
        </w:tc>
        <w:tc>
          <w:tcPr>
            <w:tcW w:w="1800" w:type="dxa"/>
            <w:vAlign w:val="bottom"/>
            <w:tcBorders>
              <w:bottom w:val="single" w:sz="8" w:color="4D5357"/>
            </w:tcBorders>
          </w:tcPr>
          <w:p>
            <w:pPr>
              <w:jc w:val="right"/>
              <w:ind w:right="499"/>
              <w:spacing w:after="0"/>
              <w:rPr>
                <w:sz w:val="20"/>
                <w:szCs w:val="20"/>
                <w:color w:val="auto"/>
              </w:rPr>
            </w:pPr>
            <w:r>
              <w:rPr>
                <w:rFonts w:ascii="Arial" w:cs="Arial" w:eastAsia="Arial" w:hAnsi="Arial"/>
                <w:sz w:val="16"/>
                <w:szCs w:val="16"/>
                <w:color w:val="4D5357"/>
              </w:rPr>
              <w:t>140%</w:t>
            </w:r>
          </w:p>
        </w:tc>
        <w:tc>
          <w:tcPr>
            <w:tcW w:w="1900" w:type="dxa"/>
            <w:vAlign w:val="bottom"/>
            <w:tcBorders>
              <w:bottom w:val="single" w:sz="8" w:color="4D5357"/>
            </w:tcBorders>
          </w:tcPr>
          <w:p>
            <w:pPr>
              <w:jc w:val="center"/>
              <w:spacing w:after="0"/>
              <w:rPr>
                <w:sz w:val="20"/>
                <w:szCs w:val="20"/>
                <w:color w:val="auto"/>
              </w:rPr>
            </w:pPr>
            <w:r>
              <w:rPr>
                <w:rFonts w:ascii="Arial" w:cs="Arial" w:eastAsia="Arial" w:hAnsi="Arial"/>
                <w:sz w:val="16"/>
                <w:szCs w:val="16"/>
                <w:color w:val="4D5357"/>
              </w:rPr>
              <w:t>$210,000</w:t>
            </w:r>
          </w:p>
        </w:tc>
        <w:tc>
          <w:tcPr>
            <w:tcW w:w="1500" w:type="dxa"/>
            <w:vAlign w:val="bottom"/>
            <w:tcBorders>
              <w:bottom w:val="single" w:sz="8" w:color="4D5357"/>
            </w:tcBorders>
          </w:tcPr>
          <w:p>
            <w:pPr>
              <w:jc w:val="right"/>
              <w:ind w:right="419"/>
              <w:spacing w:after="0"/>
              <w:rPr>
                <w:sz w:val="20"/>
                <w:szCs w:val="20"/>
                <w:color w:val="auto"/>
              </w:rPr>
            </w:pPr>
            <w:r>
              <w:rPr>
                <w:rFonts w:ascii="Arial" w:cs="Arial" w:eastAsia="Arial" w:hAnsi="Arial"/>
                <w:sz w:val="16"/>
                <w:szCs w:val="16"/>
                <w:color w:val="4D5357"/>
              </w:rPr>
              <w:t>55%</w:t>
            </w:r>
          </w:p>
        </w:tc>
        <w:tc>
          <w:tcPr>
            <w:tcW w:w="1820" w:type="dxa"/>
            <w:vAlign w:val="bottom"/>
            <w:tcBorders>
              <w:bottom w:val="single" w:sz="8" w:color="4D5357"/>
            </w:tcBorders>
          </w:tcPr>
          <w:p>
            <w:pPr>
              <w:jc w:val="center"/>
              <w:ind w:right="19"/>
              <w:spacing w:after="0"/>
              <w:rPr>
                <w:sz w:val="20"/>
                <w:szCs w:val="20"/>
                <w:color w:val="auto"/>
              </w:rPr>
            </w:pPr>
            <w:r>
              <w:rPr>
                <w:rFonts w:ascii="Arial" w:cs="Arial" w:eastAsia="Arial" w:hAnsi="Arial"/>
                <w:sz w:val="16"/>
                <w:szCs w:val="16"/>
                <w:color w:val="4D5357"/>
              </w:rPr>
              <w:t>$115,500</w:t>
            </w:r>
          </w:p>
        </w:tc>
        <w:tc>
          <w:tcPr>
            <w:tcW w:w="1520" w:type="dxa"/>
            <w:vAlign w:val="bottom"/>
            <w:tcBorders>
              <w:bottom w:val="single" w:sz="8" w:color="4D5357"/>
            </w:tcBorders>
          </w:tcPr>
          <w:p>
            <w:pPr>
              <w:jc w:val="right"/>
              <w:ind w:right="439"/>
              <w:spacing w:after="0"/>
              <w:rPr>
                <w:sz w:val="20"/>
                <w:szCs w:val="20"/>
                <w:color w:val="auto"/>
              </w:rPr>
            </w:pPr>
            <w:r>
              <w:rPr>
                <w:rFonts w:ascii="Arial" w:cs="Arial" w:eastAsia="Arial" w:hAnsi="Arial"/>
                <w:sz w:val="16"/>
                <w:szCs w:val="16"/>
                <w:color w:val="4D5357"/>
              </w:rPr>
              <w:t>45%</w:t>
            </w:r>
          </w:p>
        </w:tc>
        <w:tc>
          <w:tcPr>
            <w:tcW w:w="1120" w:type="dxa"/>
            <w:vAlign w:val="bottom"/>
            <w:tcBorders>
              <w:bottom w:val="single" w:sz="8" w:color="4D5357"/>
            </w:tcBorders>
          </w:tcPr>
          <w:p>
            <w:pPr>
              <w:jc w:val="center"/>
              <w:ind w:left="439"/>
              <w:spacing w:after="0"/>
              <w:rPr>
                <w:sz w:val="20"/>
                <w:szCs w:val="20"/>
                <w:color w:val="auto"/>
              </w:rPr>
            </w:pPr>
            <w:r>
              <w:rPr>
                <w:rFonts w:ascii="Arial" w:cs="Arial" w:eastAsia="Arial" w:hAnsi="Arial"/>
                <w:sz w:val="16"/>
                <w:szCs w:val="16"/>
                <w:color w:val="4D5357"/>
              </w:rPr>
              <w:t>$94,500</w:t>
            </w:r>
          </w:p>
        </w:tc>
      </w:tr>
    </w:tbl>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following table provides a summary of the long-term incentives that each of the NEOs was granted in 2025.</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0086CC"/>
                <w:w w:val="99"/>
              </w:rPr>
              <w:t>PSU – TARGET</w:t>
            </w:r>
          </w:p>
        </w:tc>
      </w:tr>
      <w:tr>
        <w:trPr>
          <w:trHeight w:val="189"/>
        </w:trPr>
        <w:tc>
          <w:tcPr>
            <w:tcW w:w="38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760" w:type="dxa"/>
            <w:vAlign w:val="bottom"/>
          </w:tcPr>
          <w:p>
            <w:pPr>
              <w:jc w:val="center"/>
              <w:ind w:left="19"/>
              <w:spacing w:after="0"/>
              <w:rPr>
                <w:sz w:val="20"/>
                <w:szCs w:val="20"/>
                <w:color w:val="auto"/>
              </w:rPr>
            </w:pPr>
            <w:r>
              <w:rPr>
                <w:rFonts w:ascii="Arial" w:cs="Arial" w:eastAsia="Arial" w:hAnsi="Arial"/>
                <w:sz w:val="16"/>
                <w:szCs w:val="16"/>
                <w:b w:val="1"/>
                <w:bCs w:val="1"/>
                <w:color w:val="0086CC"/>
              </w:rPr>
              <w:t>(3 YEAR CLIFF VESTING</w:t>
            </w:r>
          </w:p>
        </w:tc>
      </w:tr>
      <w:tr>
        <w:trPr>
          <w:trHeight w:val="189"/>
        </w:trPr>
        <w:tc>
          <w:tcPr>
            <w:tcW w:w="3860" w:type="dxa"/>
            <w:vAlign w:val="bottom"/>
          </w:tcPr>
          <w:p>
            <w:pPr>
              <w:spacing w:after="0"/>
              <w:rPr>
                <w:sz w:val="16"/>
                <w:szCs w:val="16"/>
                <w:color w:val="auto"/>
              </w:rPr>
            </w:pPr>
          </w:p>
        </w:tc>
        <w:tc>
          <w:tcPr>
            <w:tcW w:w="4400" w:type="dxa"/>
            <w:vAlign w:val="bottom"/>
          </w:tcPr>
          <w:p>
            <w:pPr>
              <w:jc w:val="center"/>
              <w:ind w:left="1739"/>
              <w:spacing w:after="0"/>
              <w:rPr>
                <w:sz w:val="20"/>
                <w:szCs w:val="20"/>
                <w:color w:val="auto"/>
              </w:rPr>
            </w:pPr>
            <w:r>
              <w:rPr>
                <w:rFonts w:ascii="Arial" w:cs="Arial" w:eastAsia="Arial" w:hAnsi="Arial"/>
                <w:sz w:val="16"/>
                <w:szCs w:val="16"/>
                <w:b w:val="1"/>
                <w:bCs w:val="1"/>
                <w:color w:val="0086CC"/>
              </w:rPr>
              <w:t>RSU</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0086CC"/>
              </w:rPr>
              <w:t>SUBJECT TO ACHIEVEMENT</w:t>
            </w:r>
          </w:p>
        </w:tc>
      </w:tr>
      <w:tr>
        <w:trPr>
          <w:trHeight w:val="189"/>
        </w:trPr>
        <w:tc>
          <w:tcPr>
            <w:tcW w:w="3860" w:type="dxa"/>
            <w:vAlign w:val="bottom"/>
          </w:tcPr>
          <w:p>
            <w:pPr>
              <w:spacing w:after="0"/>
              <w:rPr>
                <w:sz w:val="16"/>
                <w:szCs w:val="16"/>
                <w:color w:val="auto"/>
              </w:rPr>
            </w:pPr>
          </w:p>
        </w:tc>
        <w:tc>
          <w:tcPr>
            <w:tcW w:w="4400" w:type="dxa"/>
            <w:vAlign w:val="bottom"/>
          </w:tcPr>
          <w:p>
            <w:pPr>
              <w:jc w:val="center"/>
              <w:ind w:left="1759"/>
              <w:spacing w:after="0"/>
              <w:rPr>
                <w:sz w:val="20"/>
                <w:szCs w:val="20"/>
                <w:color w:val="auto"/>
              </w:rPr>
            </w:pPr>
            <w:r>
              <w:rPr>
                <w:rFonts w:ascii="Arial" w:cs="Arial" w:eastAsia="Arial" w:hAnsi="Arial"/>
                <w:sz w:val="16"/>
                <w:szCs w:val="16"/>
                <w:b w:val="1"/>
                <w:bCs w:val="1"/>
                <w:color w:val="0086CC"/>
              </w:rPr>
              <w:t>(3 YEAR ANNUAL</w:t>
            </w:r>
          </w:p>
        </w:tc>
        <w:tc>
          <w:tcPr>
            <w:tcW w:w="2760" w:type="dxa"/>
            <w:vAlign w:val="bottom"/>
          </w:tcPr>
          <w:p>
            <w:pPr>
              <w:jc w:val="center"/>
              <w:ind w:left="19"/>
              <w:spacing w:after="0"/>
              <w:rPr>
                <w:sz w:val="20"/>
                <w:szCs w:val="20"/>
                <w:color w:val="auto"/>
              </w:rPr>
            </w:pPr>
            <w:r>
              <w:rPr>
                <w:rFonts w:ascii="Arial" w:cs="Arial" w:eastAsia="Arial" w:hAnsi="Arial"/>
                <w:sz w:val="16"/>
                <w:szCs w:val="16"/>
                <w:b w:val="1"/>
                <w:bCs w:val="1"/>
                <w:color w:val="0086CC"/>
              </w:rPr>
              <w:t>OF PERFORMANCE</w:t>
            </w:r>
          </w:p>
        </w:tc>
      </w:tr>
      <w:tr>
        <w:trPr>
          <w:trHeight w:val="189"/>
        </w:trPr>
        <w:tc>
          <w:tcPr>
            <w:tcW w:w="3860" w:type="dxa"/>
            <w:vAlign w:val="bottom"/>
          </w:tcPr>
          <w:p>
            <w:pPr>
              <w:spacing w:after="0"/>
              <w:rPr>
                <w:sz w:val="16"/>
                <w:szCs w:val="16"/>
                <w:color w:val="auto"/>
              </w:rPr>
            </w:pPr>
          </w:p>
        </w:tc>
        <w:tc>
          <w:tcPr>
            <w:tcW w:w="4400" w:type="dxa"/>
            <w:vAlign w:val="bottom"/>
          </w:tcPr>
          <w:p>
            <w:pPr>
              <w:jc w:val="center"/>
              <w:ind w:left="1739"/>
              <w:spacing w:after="0"/>
              <w:rPr>
                <w:sz w:val="20"/>
                <w:szCs w:val="20"/>
                <w:color w:val="auto"/>
              </w:rPr>
            </w:pPr>
            <w:r>
              <w:rPr>
                <w:rFonts w:ascii="Arial" w:cs="Arial" w:eastAsia="Arial" w:hAnsi="Arial"/>
                <w:sz w:val="16"/>
                <w:szCs w:val="16"/>
                <w:b w:val="1"/>
                <w:bCs w:val="1"/>
                <w:color w:val="0086CC"/>
              </w:rPr>
              <w:t>INSTALLMENT VESTING)</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0086CC"/>
                <w:w w:val="99"/>
              </w:rPr>
              <w:t>MEASURES)</w:t>
            </w:r>
          </w:p>
        </w:tc>
      </w:tr>
      <w:tr>
        <w:trPr>
          <w:trHeight w:val="240"/>
        </w:trPr>
        <w:tc>
          <w:tcPr>
            <w:tcW w:w="386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NEO</w:t>
            </w:r>
          </w:p>
        </w:tc>
        <w:tc>
          <w:tcPr>
            <w:tcW w:w="4400" w:type="dxa"/>
            <w:vAlign w:val="bottom"/>
            <w:tcBorders>
              <w:bottom w:val="single" w:sz="8" w:color="0086CC"/>
            </w:tcBorders>
          </w:tcPr>
          <w:p>
            <w:pPr>
              <w:jc w:val="center"/>
              <w:ind w:left="1739"/>
              <w:spacing w:after="0"/>
              <w:rPr>
                <w:sz w:val="20"/>
                <w:szCs w:val="20"/>
                <w:color w:val="auto"/>
              </w:rPr>
            </w:pPr>
            <w:r>
              <w:rPr>
                <w:rFonts w:ascii="Arial" w:cs="Arial" w:eastAsia="Arial" w:hAnsi="Arial"/>
                <w:sz w:val="16"/>
                <w:szCs w:val="16"/>
                <w:b w:val="1"/>
                <w:bCs w:val="1"/>
                <w:color w:val="0086CC"/>
              </w:rPr>
              <w:t>(# OF SHARES)</w:t>
            </w:r>
          </w:p>
        </w:tc>
        <w:tc>
          <w:tcPr>
            <w:tcW w:w="276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rPr>
              <w:t>(# OF SHARES)</w:t>
            </w:r>
          </w:p>
        </w:tc>
      </w:tr>
      <w:tr>
        <w:trPr>
          <w:trHeight w:val="264"/>
        </w:trPr>
        <w:tc>
          <w:tcPr>
            <w:tcW w:w="38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 Howard Nye</w:t>
            </w:r>
          </w:p>
        </w:tc>
        <w:tc>
          <w:tcPr>
            <w:tcW w:w="4400" w:type="dxa"/>
            <w:vAlign w:val="bottom"/>
            <w:tcBorders>
              <w:bottom w:val="single" w:sz="8" w:color="4D5357"/>
            </w:tcBorders>
          </w:tcPr>
          <w:p>
            <w:pPr>
              <w:jc w:val="right"/>
              <w:ind w:right="919"/>
              <w:spacing w:after="0"/>
              <w:rPr>
                <w:sz w:val="20"/>
                <w:szCs w:val="20"/>
                <w:color w:val="auto"/>
              </w:rPr>
            </w:pPr>
            <w:r>
              <w:rPr>
                <w:rFonts w:ascii="Arial" w:cs="Arial" w:eastAsia="Arial" w:hAnsi="Arial"/>
                <w:sz w:val="16"/>
                <w:szCs w:val="16"/>
                <w:color w:val="4D5357"/>
              </w:rPr>
              <w:t>7,432</w:t>
            </w:r>
          </w:p>
        </w:tc>
        <w:tc>
          <w:tcPr>
            <w:tcW w:w="2760" w:type="dxa"/>
            <w:vAlign w:val="bottom"/>
            <w:tcBorders>
              <w:bottom w:val="single" w:sz="8" w:color="4D5357"/>
            </w:tcBorders>
          </w:tcPr>
          <w:p>
            <w:pPr>
              <w:jc w:val="right"/>
              <w:ind w:right="1019"/>
              <w:spacing w:after="0"/>
              <w:rPr>
                <w:sz w:val="20"/>
                <w:szCs w:val="20"/>
                <w:color w:val="auto"/>
              </w:rPr>
            </w:pPr>
            <w:r>
              <w:rPr>
                <w:rFonts w:ascii="Arial" w:cs="Arial" w:eastAsia="Arial" w:hAnsi="Arial"/>
                <w:sz w:val="16"/>
                <w:szCs w:val="16"/>
                <w:color w:val="4D5357"/>
              </w:rPr>
              <w:t>9,083</w:t>
            </w:r>
          </w:p>
        </w:tc>
      </w:tr>
      <w:tr>
        <w:trPr>
          <w:trHeight w:val="263"/>
        </w:trPr>
        <w:tc>
          <w:tcPr>
            <w:tcW w:w="38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Michael J. Petro</w:t>
            </w:r>
          </w:p>
        </w:tc>
        <w:tc>
          <w:tcPr>
            <w:tcW w:w="4400" w:type="dxa"/>
            <w:vAlign w:val="bottom"/>
            <w:tcBorders>
              <w:bottom w:val="single" w:sz="8" w:color="4D5357"/>
            </w:tcBorders>
          </w:tcPr>
          <w:p>
            <w:pPr>
              <w:jc w:val="right"/>
              <w:ind w:right="919"/>
              <w:spacing w:after="0"/>
              <w:rPr>
                <w:sz w:val="20"/>
                <w:szCs w:val="20"/>
                <w:color w:val="auto"/>
              </w:rPr>
            </w:pPr>
            <w:r>
              <w:rPr>
                <w:rFonts w:ascii="Arial" w:cs="Arial" w:eastAsia="Arial" w:hAnsi="Arial"/>
                <w:sz w:val="16"/>
                <w:szCs w:val="16"/>
                <w:color w:val="4D5357"/>
              </w:rPr>
              <w:t>733</w:t>
            </w:r>
          </w:p>
        </w:tc>
        <w:tc>
          <w:tcPr>
            <w:tcW w:w="2760" w:type="dxa"/>
            <w:vAlign w:val="bottom"/>
            <w:tcBorders>
              <w:bottom w:val="single" w:sz="8" w:color="4D5357"/>
            </w:tcBorders>
          </w:tcPr>
          <w:p>
            <w:pPr>
              <w:jc w:val="right"/>
              <w:ind w:right="1019"/>
              <w:spacing w:after="0"/>
              <w:rPr>
                <w:sz w:val="20"/>
                <w:szCs w:val="20"/>
                <w:color w:val="auto"/>
              </w:rPr>
            </w:pPr>
            <w:r>
              <w:rPr>
                <w:rFonts w:ascii="Arial" w:cs="Arial" w:eastAsia="Arial" w:hAnsi="Arial"/>
                <w:sz w:val="16"/>
                <w:szCs w:val="16"/>
                <w:color w:val="4D5357"/>
              </w:rPr>
              <w:t>896</w:t>
            </w:r>
          </w:p>
        </w:tc>
      </w:tr>
      <w:tr>
        <w:trPr>
          <w:trHeight w:val="263"/>
        </w:trPr>
        <w:tc>
          <w:tcPr>
            <w:tcW w:w="38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James A. J. Nickolas*</w:t>
            </w:r>
          </w:p>
        </w:tc>
        <w:tc>
          <w:tcPr>
            <w:tcW w:w="4400" w:type="dxa"/>
            <w:vAlign w:val="bottom"/>
            <w:tcBorders>
              <w:bottom w:val="single" w:sz="8" w:color="4D5357"/>
            </w:tcBorders>
          </w:tcPr>
          <w:p>
            <w:pPr>
              <w:jc w:val="right"/>
              <w:ind w:right="919"/>
              <w:spacing w:after="0"/>
              <w:rPr>
                <w:sz w:val="20"/>
                <w:szCs w:val="20"/>
                <w:color w:val="auto"/>
              </w:rPr>
            </w:pPr>
            <w:r>
              <w:rPr>
                <w:rFonts w:ascii="Arial" w:cs="Arial" w:eastAsia="Arial" w:hAnsi="Arial"/>
                <w:sz w:val="16"/>
                <w:szCs w:val="16"/>
                <w:color w:val="4D5357"/>
              </w:rPr>
              <w:t>1,637</w:t>
            </w:r>
          </w:p>
        </w:tc>
        <w:tc>
          <w:tcPr>
            <w:tcW w:w="2760" w:type="dxa"/>
            <w:vAlign w:val="bottom"/>
            <w:tcBorders>
              <w:bottom w:val="single" w:sz="8" w:color="4D5357"/>
            </w:tcBorders>
          </w:tcPr>
          <w:p>
            <w:pPr>
              <w:jc w:val="right"/>
              <w:ind w:right="1019"/>
              <w:spacing w:after="0"/>
              <w:rPr>
                <w:sz w:val="20"/>
                <w:szCs w:val="20"/>
                <w:color w:val="auto"/>
              </w:rPr>
            </w:pPr>
            <w:r>
              <w:rPr>
                <w:rFonts w:ascii="Arial" w:cs="Arial" w:eastAsia="Arial" w:hAnsi="Arial"/>
                <w:sz w:val="16"/>
                <w:szCs w:val="16"/>
                <w:color w:val="4D5357"/>
              </w:rPr>
              <w:t>2,000</w:t>
            </w:r>
          </w:p>
        </w:tc>
      </w:tr>
      <w:tr>
        <w:trPr>
          <w:trHeight w:val="264"/>
        </w:trPr>
        <w:tc>
          <w:tcPr>
            <w:tcW w:w="38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Robert J. Cardin</w:t>
            </w:r>
          </w:p>
        </w:tc>
        <w:tc>
          <w:tcPr>
            <w:tcW w:w="4400" w:type="dxa"/>
            <w:vAlign w:val="bottom"/>
            <w:tcBorders>
              <w:bottom w:val="single" w:sz="8" w:color="4D5357"/>
            </w:tcBorders>
          </w:tcPr>
          <w:p>
            <w:pPr>
              <w:jc w:val="right"/>
              <w:ind w:right="919"/>
              <w:spacing w:after="0"/>
              <w:rPr>
                <w:sz w:val="20"/>
                <w:szCs w:val="20"/>
                <w:color w:val="auto"/>
              </w:rPr>
            </w:pPr>
            <w:r>
              <w:rPr>
                <w:rFonts w:ascii="Arial" w:cs="Arial" w:eastAsia="Arial" w:hAnsi="Arial"/>
                <w:sz w:val="16"/>
                <w:szCs w:val="16"/>
                <w:color w:val="4D5357"/>
              </w:rPr>
              <w:t>795</w:t>
            </w:r>
          </w:p>
        </w:tc>
        <w:tc>
          <w:tcPr>
            <w:tcW w:w="2760" w:type="dxa"/>
            <w:vAlign w:val="bottom"/>
            <w:tcBorders>
              <w:bottom w:val="single" w:sz="8" w:color="4D5357"/>
            </w:tcBorders>
          </w:tcPr>
          <w:p>
            <w:pPr>
              <w:jc w:val="right"/>
              <w:ind w:right="1019"/>
              <w:spacing w:after="0"/>
              <w:rPr>
                <w:sz w:val="20"/>
                <w:szCs w:val="20"/>
                <w:color w:val="auto"/>
              </w:rPr>
            </w:pPr>
            <w:r>
              <w:rPr>
                <w:rFonts w:ascii="Arial" w:cs="Arial" w:eastAsia="Arial" w:hAnsi="Arial"/>
                <w:sz w:val="16"/>
                <w:szCs w:val="16"/>
                <w:color w:val="4D5357"/>
              </w:rPr>
              <w:t>972</w:t>
            </w:r>
          </w:p>
        </w:tc>
      </w:tr>
      <w:tr>
        <w:trPr>
          <w:trHeight w:val="263"/>
        </w:trPr>
        <w:tc>
          <w:tcPr>
            <w:tcW w:w="38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A. McCunniff</w:t>
            </w:r>
          </w:p>
        </w:tc>
        <w:tc>
          <w:tcPr>
            <w:tcW w:w="4400" w:type="dxa"/>
            <w:vAlign w:val="bottom"/>
            <w:tcBorders>
              <w:bottom w:val="single" w:sz="8" w:color="4D5357"/>
            </w:tcBorders>
          </w:tcPr>
          <w:p>
            <w:pPr>
              <w:jc w:val="right"/>
              <w:ind w:right="919"/>
              <w:spacing w:after="0"/>
              <w:rPr>
                <w:sz w:val="20"/>
                <w:szCs w:val="20"/>
                <w:color w:val="auto"/>
              </w:rPr>
            </w:pPr>
            <w:r>
              <w:rPr>
                <w:rFonts w:ascii="Arial" w:cs="Arial" w:eastAsia="Arial" w:hAnsi="Arial"/>
                <w:sz w:val="16"/>
                <w:szCs w:val="16"/>
                <w:color w:val="4D5357"/>
              </w:rPr>
              <w:t>1,543</w:t>
            </w:r>
          </w:p>
        </w:tc>
        <w:tc>
          <w:tcPr>
            <w:tcW w:w="2760" w:type="dxa"/>
            <w:vAlign w:val="bottom"/>
            <w:tcBorders>
              <w:bottom w:val="single" w:sz="8" w:color="4D5357"/>
            </w:tcBorders>
          </w:tcPr>
          <w:p>
            <w:pPr>
              <w:jc w:val="right"/>
              <w:ind w:right="1019"/>
              <w:spacing w:after="0"/>
              <w:rPr>
                <w:sz w:val="20"/>
                <w:szCs w:val="20"/>
                <w:color w:val="auto"/>
              </w:rPr>
            </w:pPr>
            <w:r>
              <w:rPr>
                <w:rFonts w:ascii="Arial" w:cs="Arial" w:eastAsia="Arial" w:hAnsi="Arial"/>
                <w:sz w:val="16"/>
                <w:szCs w:val="16"/>
                <w:color w:val="4D5357"/>
              </w:rPr>
              <w:t>1,885</w:t>
            </w:r>
          </w:p>
        </w:tc>
      </w:tr>
      <w:tr>
        <w:trPr>
          <w:trHeight w:val="264"/>
        </w:trPr>
        <w:tc>
          <w:tcPr>
            <w:tcW w:w="38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Jason P. Flynn</w:t>
            </w:r>
          </w:p>
        </w:tc>
        <w:tc>
          <w:tcPr>
            <w:tcW w:w="4400" w:type="dxa"/>
            <w:vAlign w:val="bottom"/>
            <w:tcBorders>
              <w:bottom w:val="single" w:sz="8" w:color="4D5357"/>
            </w:tcBorders>
          </w:tcPr>
          <w:p>
            <w:pPr>
              <w:jc w:val="right"/>
              <w:ind w:right="919"/>
              <w:spacing w:after="0"/>
              <w:rPr>
                <w:sz w:val="20"/>
                <w:szCs w:val="20"/>
                <w:color w:val="auto"/>
              </w:rPr>
            </w:pPr>
            <w:r>
              <w:rPr>
                <w:rFonts w:ascii="Arial" w:cs="Arial" w:eastAsia="Arial" w:hAnsi="Arial"/>
                <w:sz w:val="16"/>
                <w:szCs w:val="16"/>
                <w:color w:val="4D5357"/>
              </w:rPr>
              <w:t>616</w:t>
            </w:r>
          </w:p>
        </w:tc>
        <w:tc>
          <w:tcPr>
            <w:tcW w:w="2760" w:type="dxa"/>
            <w:vAlign w:val="bottom"/>
            <w:tcBorders>
              <w:bottom w:val="single" w:sz="8" w:color="4D5357"/>
            </w:tcBorders>
          </w:tcPr>
          <w:p>
            <w:pPr>
              <w:jc w:val="right"/>
              <w:ind w:right="1019"/>
              <w:spacing w:after="0"/>
              <w:rPr>
                <w:sz w:val="20"/>
                <w:szCs w:val="20"/>
                <w:color w:val="auto"/>
              </w:rPr>
            </w:pPr>
            <w:r>
              <w:rPr>
                <w:rFonts w:ascii="Arial" w:cs="Arial" w:eastAsia="Arial" w:hAnsi="Arial"/>
                <w:sz w:val="16"/>
                <w:szCs w:val="16"/>
                <w:color w:val="4D5357"/>
              </w:rPr>
              <w:t>752</w:t>
            </w:r>
          </w:p>
        </w:tc>
      </w:tr>
      <w:tr>
        <w:trPr>
          <w:trHeight w:val="264"/>
        </w:trPr>
        <w:tc>
          <w:tcPr>
            <w:tcW w:w="38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Bradley D. Kohn</w:t>
            </w:r>
          </w:p>
        </w:tc>
        <w:tc>
          <w:tcPr>
            <w:tcW w:w="4400" w:type="dxa"/>
            <w:vAlign w:val="bottom"/>
            <w:tcBorders>
              <w:bottom w:val="single" w:sz="8" w:color="4D5357"/>
            </w:tcBorders>
          </w:tcPr>
          <w:p>
            <w:pPr>
              <w:jc w:val="right"/>
              <w:ind w:right="919"/>
              <w:spacing w:after="0"/>
              <w:rPr>
                <w:sz w:val="20"/>
                <w:szCs w:val="20"/>
                <w:color w:val="auto"/>
              </w:rPr>
            </w:pPr>
            <w:r>
              <w:rPr>
                <w:rFonts w:ascii="Arial" w:cs="Arial" w:eastAsia="Arial" w:hAnsi="Arial"/>
                <w:sz w:val="16"/>
                <w:szCs w:val="16"/>
                <w:color w:val="4D5357"/>
              </w:rPr>
              <w:t>981</w:t>
            </w:r>
          </w:p>
        </w:tc>
        <w:tc>
          <w:tcPr>
            <w:tcW w:w="2760" w:type="dxa"/>
            <w:vAlign w:val="bottom"/>
            <w:tcBorders>
              <w:bottom w:val="single" w:sz="8" w:color="4D5357"/>
            </w:tcBorders>
          </w:tcPr>
          <w:p>
            <w:pPr>
              <w:jc w:val="right"/>
              <w:ind w:right="1019"/>
              <w:spacing w:after="0"/>
              <w:rPr>
                <w:sz w:val="20"/>
                <w:szCs w:val="20"/>
                <w:color w:val="auto"/>
              </w:rPr>
            </w:pPr>
            <w:r>
              <w:rPr>
                <w:rFonts w:ascii="Arial" w:cs="Arial" w:eastAsia="Arial" w:hAnsi="Arial"/>
                <w:sz w:val="16"/>
                <w:szCs w:val="16"/>
                <w:color w:val="4D5357"/>
              </w:rPr>
              <w:t>1,198</w:t>
            </w:r>
          </w:p>
        </w:tc>
      </w:tr>
    </w:tbl>
    <w:p>
      <w:pPr>
        <w:spacing w:after="0" w:line="198" w:lineRule="exact"/>
        <w:rPr>
          <w:sz w:val="20"/>
          <w:szCs w:val="20"/>
          <w:color w:val="auto"/>
        </w:rPr>
      </w:pPr>
    </w:p>
    <w:p>
      <w:pPr>
        <w:ind w:left="224" w:hanging="224"/>
        <w:spacing w:after="0"/>
        <w:tabs>
          <w:tab w:leader="none" w:pos="224" w:val="left"/>
        </w:tabs>
        <w:numPr>
          <w:ilvl w:val="0"/>
          <w:numId w:val="84"/>
        </w:numPr>
        <w:rPr>
          <w:rFonts w:ascii="Arial" w:cs="Arial" w:eastAsia="Arial" w:hAnsi="Arial"/>
          <w:sz w:val="13"/>
          <w:szCs w:val="13"/>
          <w:color w:val="333333"/>
        </w:rPr>
      </w:pPr>
      <w:r>
        <w:rPr>
          <w:rFonts w:ascii="Arial" w:cs="Arial" w:eastAsia="Arial" w:hAnsi="Arial"/>
          <w:sz w:val="13"/>
          <w:szCs w:val="13"/>
          <w:color w:val="333333"/>
        </w:rPr>
        <w:t>The RSUs and PSUs granted to Mr. Nickolas were forfeited in connection with his departure in April 2025.</w:t>
      </w:r>
    </w:p>
    <w:p>
      <w:pPr>
        <w:spacing w:after="0" w:line="38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684"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66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44" w:space="120"/>
            <w:col w:w="620" w:space="120"/>
            <w:col w:w="8620" w:space="720"/>
            <w:col w:w="780"/>
          </w:cols>
          <w:pgMar w:left="436" w:top="684" w:right="439" w:bottom="1440" w:gutter="0" w:footer="0" w:header="0"/>
          <w:type w:val="continuous"/>
        </w:sectPr>
      </w:pPr>
    </w:p>
    <w:bookmarkStart w:id="73" w:name="page74"/>
    <w:bookmarkEnd w:id="73"/>
    <w:p>
      <w:pPr>
        <w:ind w:left="850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Compensation Discussion    </w:t>
      </w:r>
    </w:p>
    <w:p>
      <w:pPr>
        <w:spacing w:after="0" w:line="15" w:lineRule="exact"/>
        <w:rPr>
          <w:sz w:val="20"/>
          <w:szCs w:val="20"/>
          <w:color w:val="auto"/>
        </w:rPr>
      </w:pPr>
    </w:p>
    <w:p>
      <w:pPr>
        <w:ind w:left="9264"/>
        <w:spacing w:after="0"/>
        <w:rPr>
          <w:sz w:val="20"/>
          <w:szCs w:val="20"/>
          <w:color w:val="auto"/>
        </w:rPr>
      </w:pPr>
      <w:r>
        <w:rPr>
          <w:rFonts w:ascii="Arial" w:cs="Arial" w:eastAsia="Arial" w:hAnsi="Arial"/>
          <w:sz w:val="14"/>
          <w:szCs w:val="14"/>
          <w:b w:val="1"/>
          <w:bCs w:val="1"/>
          <w:color w:val="FFFFFF"/>
        </w:rPr>
        <w:t>and Analysis</w:t>
      </w:r>
    </w:p>
    <w:p>
      <w:pPr>
        <w:spacing w:after="0" w:line="266" w:lineRule="exact"/>
        <w:rPr>
          <w:sz w:val="20"/>
          <w:szCs w:val="20"/>
          <w:color w:val="auto"/>
        </w:rPr>
      </w:pPr>
    </w:p>
    <w:p>
      <w:pPr>
        <w:ind w:left="4" w:right="400"/>
        <w:spacing w:after="0" w:line="259" w:lineRule="auto"/>
        <w:rPr>
          <w:sz w:val="20"/>
          <w:szCs w:val="20"/>
          <w:color w:val="auto"/>
        </w:rPr>
      </w:pPr>
      <w:r>
        <w:rPr>
          <w:rFonts w:ascii="Arial" w:cs="Arial" w:eastAsia="Arial" w:hAnsi="Arial"/>
          <w:sz w:val="16"/>
          <w:szCs w:val="16"/>
          <w:color w:val="333333"/>
        </w:rPr>
        <w:t>In connection with Mr. Petro’s promotion to Senior Vice President and Chief Financial Officer effective July 8, 2025, the Management Development &amp; Compensation Committee approved a one-time promotional equity grant with a grant-date fair value of $1,000,000. This award was designed to immediately align Mr. Petro’s equity ownership profile with his expanded responsibilities. The award was issued in the form of restricted stock units (RSUs) and is subject to a 5-year cliff vesting schedule.</w:t>
      </w:r>
    </w:p>
    <w:p>
      <w:pPr>
        <w:spacing w:after="0" w:line="70" w:lineRule="exact"/>
        <w:rPr>
          <w:sz w:val="20"/>
          <w:szCs w:val="20"/>
          <w:color w:val="auto"/>
        </w:rPr>
      </w:pPr>
    </w:p>
    <w:p>
      <w:pPr>
        <w:ind w:left="4" w:right="80"/>
        <w:spacing w:after="0" w:line="266" w:lineRule="auto"/>
        <w:rPr>
          <w:sz w:val="20"/>
          <w:szCs w:val="20"/>
          <w:color w:val="auto"/>
        </w:rPr>
      </w:pPr>
      <w:r>
        <w:rPr>
          <w:rFonts w:ascii="Arial" w:cs="Arial" w:eastAsia="Arial" w:hAnsi="Arial"/>
          <w:sz w:val="16"/>
          <w:szCs w:val="16"/>
          <w:color w:val="333333"/>
        </w:rPr>
        <w:t>In addition, in both recognition of Mr. Cardin’s service as interim Chief Financial Officer and to ensure a seamless transition to the new Chief Financial Officer, the Management Development &amp; Compensation Committee approved a one-time equity grant with a grant-date fair value of $1,500,000 for Mr. Cardin. The award was issued in the form of restricted stock units (RSUs) and will vest in two equal tranches on December 31, 2026, and June 30, 2027.</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PSU Awards (55% of LTI Award)</w:t>
      </w:r>
    </w:p>
    <w:p>
      <w:pPr>
        <w:spacing w:after="0" w:line="123" w:lineRule="exact"/>
        <w:rPr>
          <w:sz w:val="20"/>
          <w:szCs w:val="20"/>
          <w:color w:val="auto"/>
        </w:rPr>
      </w:pPr>
    </w:p>
    <w:p>
      <w:pPr>
        <w:ind w:left="4" w:right="100"/>
        <w:spacing w:after="0" w:line="286" w:lineRule="auto"/>
        <w:rPr>
          <w:sz w:val="20"/>
          <w:szCs w:val="20"/>
          <w:color w:val="auto"/>
        </w:rPr>
      </w:pPr>
      <w:r>
        <w:rPr>
          <w:rFonts w:ascii="Arial" w:cs="Arial" w:eastAsia="Arial" w:hAnsi="Arial"/>
          <w:sz w:val="16"/>
          <w:szCs w:val="16"/>
          <w:color w:val="333333"/>
        </w:rPr>
        <w:t>One of our compensation objectives is to align the potential rewards to senior management with increases in shareholder value. In that regard, the PSUs give the recipient the opportunity to receive Martin Marietta common stock if specific performance goals are achieved, consisting of:</w:t>
      </w:r>
    </w:p>
    <w:p>
      <w:pPr>
        <w:spacing w:after="0" w:line="7" w:lineRule="exact"/>
        <w:rPr>
          <w:sz w:val="20"/>
          <w:szCs w:val="20"/>
          <w:color w:val="auto"/>
        </w:rPr>
      </w:pPr>
    </w:p>
    <w:p>
      <w:pPr>
        <w:ind w:left="324" w:right="800" w:hanging="324"/>
        <w:spacing w:after="0" w:line="286" w:lineRule="auto"/>
        <w:tabs>
          <w:tab w:leader="none" w:pos="324" w:val="left"/>
        </w:tabs>
        <w:numPr>
          <w:ilvl w:val="0"/>
          <w:numId w:val="85"/>
        </w:numPr>
        <w:rPr>
          <w:rFonts w:ascii="Arial" w:cs="Arial" w:eastAsia="Arial" w:hAnsi="Arial"/>
          <w:sz w:val="16"/>
          <w:szCs w:val="16"/>
          <w:color w:val="333333"/>
        </w:rPr>
      </w:pPr>
      <w:r>
        <w:rPr>
          <w:rFonts w:ascii="Arial" w:cs="Arial" w:eastAsia="Arial" w:hAnsi="Arial"/>
          <w:sz w:val="16"/>
          <w:szCs w:val="16"/>
          <w:color w:val="333333"/>
        </w:rPr>
        <w:t>Adjusted earnings before Interest, Income Taxes, Depreciation, Depletion and Amortization (Adjusted EBITDA), measuring profitability and comprising 67% of the total target award, and</w:t>
      </w:r>
    </w:p>
    <w:p>
      <w:pPr>
        <w:spacing w:after="0" w:line="7" w:lineRule="exact"/>
        <w:rPr>
          <w:rFonts w:ascii="Arial" w:cs="Arial" w:eastAsia="Arial" w:hAnsi="Arial"/>
          <w:sz w:val="16"/>
          <w:szCs w:val="16"/>
          <w:color w:val="333333"/>
        </w:rPr>
      </w:pPr>
    </w:p>
    <w:p>
      <w:pPr>
        <w:ind w:left="324" w:hanging="324"/>
        <w:spacing w:after="0"/>
        <w:tabs>
          <w:tab w:leader="none" w:pos="324" w:val="left"/>
        </w:tabs>
        <w:numPr>
          <w:ilvl w:val="0"/>
          <w:numId w:val="85"/>
        </w:numPr>
        <w:rPr>
          <w:rFonts w:ascii="Arial" w:cs="Arial" w:eastAsia="Arial" w:hAnsi="Arial"/>
          <w:sz w:val="16"/>
          <w:szCs w:val="16"/>
          <w:color w:val="333333"/>
        </w:rPr>
      </w:pPr>
      <w:r>
        <w:rPr>
          <w:rFonts w:ascii="Arial" w:cs="Arial" w:eastAsia="Arial" w:hAnsi="Arial"/>
          <w:sz w:val="16"/>
          <w:szCs w:val="16"/>
          <w:color w:val="333333"/>
        </w:rPr>
        <w:t>Sales Growth, measuring growth and comprising 33% of the total target award.</w:t>
      </w:r>
    </w:p>
    <w:p>
      <w:pPr>
        <w:spacing w:after="0" w:line="72" w:lineRule="exact"/>
        <w:rPr>
          <w:rFonts w:ascii="Arial" w:cs="Arial" w:eastAsia="Arial" w:hAnsi="Arial"/>
          <w:sz w:val="16"/>
          <w:szCs w:val="16"/>
          <w:color w:val="333333"/>
        </w:rPr>
      </w:pPr>
    </w:p>
    <w:p>
      <w:pPr>
        <w:ind w:left="324" w:right="600" w:hanging="324"/>
        <w:spacing w:after="0" w:line="286" w:lineRule="auto"/>
        <w:tabs>
          <w:tab w:leader="none" w:pos="324" w:val="left"/>
        </w:tabs>
        <w:numPr>
          <w:ilvl w:val="0"/>
          <w:numId w:val="85"/>
        </w:numPr>
        <w:rPr>
          <w:rFonts w:ascii="Arial" w:cs="Arial" w:eastAsia="Arial" w:hAnsi="Arial"/>
          <w:sz w:val="16"/>
          <w:szCs w:val="16"/>
          <w:color w:val="333333"/>
        </w:rPr>
      </w:pPr>
      <w:r>
        <w:rPr>
          <w:rFonts w:ascii="Arial" w:cs="Arial" w:eastAsia="Arial" w:hAnsi="Arial"/>
          <w:sz w:val="16"/>
          <w:szCs w:val="16"/>
          <w:color w:val="333333"/>
        </w:rPr>
        <w:t>In addition, relative Total Shareholder Return (rTSR) will act as a modifier for the performance such that Martin Marietta’s performance will be measured against the S&amp;P 500 and will modify the total award by a range of -20% to +20%.</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following table summarizes the weighting of our PSU performance measures: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500" w:type="dxa"/>
            <w:vAlign w:val="bottom"/>
          </w:tcPr>
          <w:p>
            <w:pPr>
              <w:ind w:left="420"/>
              <w:spacing w:after="0"/>
              <w:rPr>
                <w:sz w:val="20"/>
                <w:szCs w:val="20"/>
                <w:color w:val="auto"/>
              </w:rPr>
            </w:pPr>
            <w:r>
              <w:rPr>
                <w:rFonts w:ascii="Arial" w:cs="Arial" w:eastAsia="Arial" w:hAnsi="Arial"/>
                <w:sz w:val="8"/>
                <w:szCs w:val="8"/>
                <w:b w:val="1"/>
                <w:bCs w:val="1"/>
                <w:color w:val="0086CC"/>
                <w:w w:val="74"/>
              </w:rPr>
              <w:t> </w:t>
            </w:r>
          </w:p>
        </w:tc>
        <w:tc>
          <w:tcPr>
            <w:tcW w:w="160" w:type="dxa"/>
            <w:vAlign w:val="bottom"/>
          </w:tcPr>
          <w:p>
            <w:pPr>
              <w:ind w:left="80"/>
              <w:spacing w:after="0"/>
              <w:rPr>
                <w:sz w:val="20"/>
                <w:szCs w:val="20"/>
                <w:color w:val="auto"/>
              </w:rPr>
            </w:pPr>
            <w:r>
              <w:rPr>
                <w:rFonts w:ascii="Arial" w:cs="Arial" w:eastAsia="Arial" w:hAnsi="Arial"/>
                <w:sz w:val="8"/>
                <w:szCs w:val="8"/>
                <w:b w:val="1"/>
                <w:bCs w:val="1"/>
                <w:color w:val="0086CC"/>
                <w:w w:val="74"/>
              </w:rPr>
              <w:t> </w:t>
            </w:r>
          </w:p>
        </w:tc>
        <w:tc>
          <w:tcPr>
            <w:tcW w:w="180" w:type="dxa"/>
            <w:vAlign w:val="bottom"/>
          </w:tcPr>
          <w:p>
            <w:pPr>
              <w:jc w:val="center"/>
              <w:ind w:left="6"/>
              <w:spacing w:after="0"/>
              <w:rPr>
                <w:sz w:val="20"/>
                <w:szCs w:val="20"/>
                <w:color w:val="auto"/>
              </w:rPr>
            </w:pPr>
            <w:r>
              <w:rPr>
                <w:rFonts w:ascii="Arial" w:cs="Arial" w:eastAsia="Arial" w:hAnsi="Arial"/>
                <w:sz w:val="5"/>
                <w:szCs w:val="5"/>
                <w:b w:val="1"/>
                <w:bCs w:val="1"/>
                <w:color w:val="0086CC"/>
                <w:w w:val="79"/>
              </w:rPr>
              <w:t> </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0086CC"/>
                <w:w w:val="71"/>
              </w:rPr>
              <w:t> </w:t>
            </w:r>
          </w:p>
        </w:tc>
        <w:tc>
          <w:tcPr>
            <w:tcW w:w="2460" w:type="dxa"/>
            <w:vAlign w:val="bottom"/>
          </w:tcPr>
          <w:p>
            <w:pPr>
              <w:jc w:val="center"/>
              <w:ind w:right="1199"/>
              <w:spacing w:after="0"/>
              <w:rPr>
                <w:sz w:val="20"/>
                <w:szCs w:val="20"/>
                <w:color w:val="auto"/>
              </w:rPr>
            </w:pPr>
            <w:r>
              <w:rPr>
                <w:rFonts w:ascii="Arial" w:cs="Arial" w:eastAsia="Arial" w:hAnsi="Arial"/>
                <w:sz w:val="16"/>
                <w:szCs w:val="16"/>
                <w:b w:val="1"/>
                <w:bCs w:val="1"/>
                <w:color w:val="0086CC"/>
                <w:w w:val="98"/>
              </w:rPr>
              <w:t>  CUMULATIVE</w:t>
            </w:r>
          </w:p>
        </w:tc>
        <w:tc>
          <w:tcPr>
            <w:tcW w:w="3960" w:type="dxa"/>
            <w:vAlign w:val="bottom"/>
          </w:tcPr>
          <w:p>
            <w:pPr>
              <w:jc w:val="center"/>
              <w:ind w:right="359"/>
              <w:spacing w:after="0"/>
              <w:rPr>
                <w:sz w:val="20"/>
                <w:szCs w:val="20"/>
                <w:color w:val="auto"/>
              </w:rPr>
            </w:pPr>
            <w:r>
              <w:rPr>
                <w:rFonts w:ascii="Arial" w:cs="Arial" w:eastAsia="Arial" w:hAnsi="Arial"/>
                <w:sz w:val="16"/>
                <w:szCs w:val="16"/>
                <w:b w:val="1"/>
                <w:bCs w:val="1"/>
                <w:color w:val="0086CC"/>
                <w:w w:val="99"/>
              </w:rPr>
              <w:t>CUMULATIVE</w:t>
            </w:r>
          </w:p>
        </w:tc>
        <w:tc>
          <w:tcPr>
            <w:tcW w:w="3560" w:type="dxa"/>
            <w:vAlign w:val="bottom"/>
          </w:tcPr>
          <w:p>
            <w:pPr>
              <w:jc w:val="center"/>
              <w:ind w:left="599"/>
              <w:spacing w:after="0"/>
              <w:rPr>
                <w:sz w:val="20"/>
                <w:szCs w:val="20"/>
                <w:color w:val="auto"/>
              </w:rPr>
            </w:pPr>
            <w:r>
              <w:rPr>
                <w:rFonts w:ascii="Arial" w:cs="Arial" w:eastAsia="Arial" w:hAnsi="Arial"/>
                <w:sz w:val="16"/>
                <w:szCs w:val="16"/>
                <w:b w:val="1"/>
                <w:bCs w:val="1"/>
                <w:color w:val="0086CC"/>
              </w:rPr>
              <w:t>RELATIVE TSR</w:t>
            </w:r>
          </w:p>
        </w:tc>
      </w:tr>
      <w:tr>
        <w:trPr>
          <w:trHeight w:val="223"/>
        </w:trPr>
        <w:tc>
          <w:tcPr>
            <w:tcW w:w="500" w:type="dxa"/>
            <w:vAlign w:val="bottom"/>
          </w:tcPr>
          <w:p>
            <w:pPr>
              <w:ind w:left="200"/>
              <w:spacing w:after="0"/>
              <w:rPr>
                <w:sz w:val="20"/>
                <w:szCs w:val="20"/>
                <w:color w:val="auto"/>
              </w:rPr>
            </w:pPr>
            <w:r>
              <w:rPr>
                <w:rFonts w:ascii="Arial" w:cs="Arial" w:eastAsia="Arial" w:hAnsi="Arial"/>
                <w:sz w:val="16"/>
                <w:szCs w:val="16"/>
                <w:b w:val="1"/>
                <w:bCs w:val="1"/>
                <w:color w:val="0086CC"/>
              </w:rPr>
              <w:t xml:space="preserve">    </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0086CC"/>
                <w:w w:val="74"/>
              </w:rPr>
              <w:t> </w:t>
            </w:r>
          </w:p>
        </w:tc>
        <w:tc>
          <w:tcPr>
            <w:tcW w:w="180" w:type="dxa"/>
            <w:vAlign w:val="bottom"/>
          </w:tcPr>
          <w:p>
            <w:pPr>
              <w:ind w:left="20"/>
              <w:spacing w:after="0"/>
              <w:rPr>
                <w:sz w:val="20"/>
                <w:szCs w:val="20"/>
                <w:color w:val="auto"/>
              </w:rPr>
            </w:pPr>
            <w:r>
              <w:rPr>
                <w:rFonts w:ascii="Arial" w:cs="Arial" w:eastAsia="Arial" w:hAnsi="Arial"/>
                <w:sz w:val="16"/>
                <w:szCs w:val="16"/>
                <w:b w:val="1"/>
                <w:bCs w:val="1"/>
                <w:color w:val="0086CC"/>
                <w:w w:val="87"/>
              </w:rPr>
              <w:t> </w:t>
            </w:r>
          </w:p>
        </w:tc>
        <w:tc>
          <w:tcPr>
            <w:tcW w:w="2660" w:type="dxa"/>
            <w:vAlign w:val="bottom"/>
            <w:gridSpan w:val="2"/>
          </w:tcPr>
          <w:p>
            <w:pPr>
              <w:jc w:val="center"/>
              <w:ind w:right="999"/>
              <w:spacing w:after="0"/>
              <w:rPr>
                <w:sz w:val="20"/>
                <w:szCs w:val="20"/>
                <w:color w:val="auto"/>
              </w:rPr>
            </w:pPr>
            <w:r>
              <w:rPr>
                <w:rFonts w:ascii="Arial" w:cs="Arial" w:eastAsia="Arial" w:hAnsi="Arial"/>
                <w:sz w:val="16"/>
                <w:szCs w:val="16"/>
                <w:b w:val="1"/>
                <w:bCs w:val="1"/>
                <w:color w:val="0086CC"/>
              </w:rPr>
              <w:t>  ADJUSTED EBITDA</w:t>
            </w:r>
          </w:p>
        </w:tc>
        <w:tc>
          <w:tcPr>
            <w:tcW w:w="3960" w:type="dxa"/>
            <w:vAlign w:val="bottom"/>
          </w:tcPr>
          <w:p>
            <w:pPr>
              <w:jc w:val="center"/>
              <w:ind w:right="359"/>
              <w:spacing w:after="0"/>
              <w:rPr>
                <w:sz w:val="20"/>
                <w:szCs w:val="20"/>
                <w:color w:val="auto"/>
              </w:rPr>
            </w:pPr>
            <w:r>
              <w:rPr>
                <w:rFonts w:ascii="Arial" w:cs="Arial" w:eastAsia="Arial" w:hAnsi="Arial"/>
                <w:sz w:val="16"/>
                <w:szCs w:val="16"/>
                <w:b w:val="1"/>
                <w:bCs w:val="1"/>
                <w:color w:val="0086CC"/>
              </w:rPr>
              <w:t>SALES GROWTH</w:t>
            </w:r>
          </w:p>
        </w:tc>
        <w:tc>
          <w:tcPr>
            <w:tcW w:w="3560" w:type="dxa"/>
            <w:vAlign w:val="bottom"/>
          </w:tcPr>
          <w:p>
            <w:pPr>
              <w:jc w:val="center"/>
              <w:ind w:left="599"/>
              <w:spacing w:after="0"/>
              <w:rPr>
                <w:sz w:val="20"/>
                <w:szCs w:val="20"/>
                <w:color w:val="auto"/>
              </w:rPr>
            </w:pPr>
            <w:r>
              <w:rPr>
                <w:rFonts w:ascii="Arial" w:cs="Arial" w:eastAsia="Arial" w:hAnsi="Arial"/>
                <w:sz w:val="16"/>
                <w:szCs w:val="16"/>
                <w:b w:val="1"/>
                <w:bCs w:val="1"/>
                <w:color w:val="0086CC"/>
              </w:rPr>
              <w:t>MODIFIER</w:t>
            </w:r>
          </w:p>
        </w:tc>
      </w:tr>
      <w:tr>
        <w:trPr>
          <w:trHeight w:val="21"/>
        </w:trPr>
        <w:tc>
          <w:tcPr>
            <w:tcW w:w="500" w:type="dxa"/>
            <w:vAlign w:val="bottom"/>
            <w:tcBorders>
              <w:bottom w:val="single" w:sz="8" w:color="0086CC"/>
            </w:tcBorders>
          </w:tcPr>
          <w:p>
            <w:pPr>
              <w:spacing w:after="0" w:line="20" w:lineRule="exact"/>
              <w:rPr>
                <w:sz w:val="1"/>
                <w:szCs w:val="1"/>
                <w:color w:val="auto"/>
              </w:rPr>
            </w:pPr>
          </w:p>
        </w:tc>
        <w:tc>
          <w:tcPr>
            <w:tcW w:w="160" w:type="dxa"/>
            <w:vAlign w:val="bottom"/>
            <w:tcBorders>
              <w:bottom w:val="single" w:sz="8" w:color="0086CC"/>
            </w:tcBorders>
          </w:tcPr>
          <w:p>
            <w:pPr>
              <w:spacing w:after="0" w:line="20" w:lineRule="exact"/>
              <w:rPr>
                <w:sz w:val="1"/>
                <w:szCs w:val="1"/>
                <w:color w:val="auto"/>
              </w:rPr>
            </w:pPr>
          </w:p>
        </w:tc>
        <w:tc>
          <w:tcPr>
            <w:tcW w:w="180" w:type="dxa"/>
            <w:vAlign w:val="bottom"/>
            <w:tcBorders>
              <w:bottom w:val="single" w:sz="8" w:color="0086CC"/>
            </w:tcBorders>
          </w:tcPr>
          <w:p>
            <w:pPr>
              <w:spacing w:after="0" w:line="20" w:lineRule="exact"/>
              <w:rPr>
                <w:sz w:val="1"/>
                <w:szCs w:val="1"/>
                <w:color w:val="auto"/>
              </w:rPr>
            </w:pPr>
          </w:p>
        </w:tc>
        <w:tc>
          <w:tcPr>
            <w:tcW w:w="200" w:type="dxa"/>
            <w:vAlign w:val="bottom"/>
            <w:tcBorders>
              <w:bottom w:val="single" w:sz="8" w:color="0086CC"/>
            </w:tcBorders>
          </w:tcPr>
          <w:p>
            <w:pPr>
              <w:spacing w:after="0" w:line="20" w:lineRule="exact"/>
              <w:rPr>
                <w:sz w:val="1"/>
                <w:szCs w:val="1"/>
                <w:color w:val="auto"/>
              </w:rPr>
            </w:pPr>
          </w:p>
        </w:tc>
        <w:tc>
          <w:tcPr>
            <w:tcW w:w="2460" w:type="dxa"/>
            <w:vAlign w:val="bottom"/>
            <w:tcBorders>
              <w:bottom w:val="single" w:sz="8" w:color="0086CC"/>
            </w:tcBorders>
          </w:tcPr>
          <w:p>
            <w:pPr>
              <w:spacing w:after="0" w:line="20" w:lineRule="exact"/>
              <w:rPr>
                <w:sz w:val="1"/>
                <w:szCs w:val="1"/>
                <w:color w:val="auto"/>
              </w:rPr>
            </w:pPr>
          </w:p>
        </w:tc>
        <w:tc>
          <w:tcPr>
            <w:tcW w:w="3960" w:type="dxa"/>
            <w:vAlign w:val="bottom"/>
            <w:tcBorders>
              <w:bottom w:val="single" w:sz="8" w:color="0086CC"/>
            </w:tcBorders>
          </w:tcPr>
          <w:p>
            <w:pPr>
              <w:spacing w:after="0" w:line="20" w:lineRule="exact"/>
              <w:rPr>
                <w:sz w:val="1"/>
                <w:szCs w:val="1"/>
                <w:color w:val="auto"/>
              </w:rPr>
            </w:pPr>
          </w:p>
        </w:tc>
        <w:tc>
          <w:tcPr>
            <w:tcW w:w="3560" w:type="dxa"/>
            <w:vAlign w:val="bottom"/>
            <w:tcBorders>
              <w:bottom w:val="single" w:sz="8" w:color="0086CC"/>
            </w:tcBorders>
          </w:tcPr>
          <w:p>
            <w:pPr>
              <w:spacing w:after="0" w:line="20" w:lineRule="exact"/>
              <w:rPr>
                <w:sz w:val="1"/>
                <w:szCs w:val="1"/>
                <w:color w:val="auto"/>
              </w:rPr>
            </w:pPr>
          </w:p>
        </w:tc>
      </w:tr>
      <w:tr>
        <w:trPr>
          <w:trHeight w:val="257"/>
        </w:trPr>
        <w:tc>
          <w:tcPr>
            <w:tcW w:w="500" w:type="dxa"/>
            <w:vAlign w:val="bottom"/>
            <w:tcBorders>
              <w:bottom w:val="single" w:sz="8" w:color="4D5357"/>
            </w:tcBorders>
          </w:tcPr>
          <w:p>
            <w:pPr>
              <w:spacing w:after="0"/>
              <w:rPr>
                <w:sz w:val="22"/>
                <w:szCs w:val="22"/>
                <w:color w:val="auto"/>
              </w:rPr>
            </w:pPr>
          </w:p>
        </w:tc>
        <w:tc>
          <w:tcPr>
            <w:tcW w:w="160" w:type="dxa"/>
            <w:vAlign w:val="bottom"/>
            <w:tcBorders>
              <w:bottom w:val="single" w:sz="8" w:color="4D5357"/>
            </w:tcBorders>
          </w:tcPr>
          <w:p>
            <w:pPr>
              <w:spacing w:after="0"/>
              <w:rPr>
                <w:sz w:val="22"/>
                <w:szCs w:val="22"/>
                <w:color w:val="auto"/>
              </w:rPr>
            </w:pPr>
          </w:p>
        </w:tc>
        <w:tc>
          <w:tcPr>
            <w:tcW w:w="180" w:type="dxa"/>
            <w:vAlign w:val="bottom"/>
            <w:tcBorders>
              <w:bottom w:val="single" w:sz="8" w:color="4D5357"/>
            </w:tcBorders>
          </w:tcPr>
          <w:p>
            <w:pPr>
              <w:jc w:val="center"/>
              <w:spacing w:after="0"/>
              <w:rPr>
                <w:sz w:val="20"/>
                <w:szCs w:val="20"/>
                <w:color w:val="auto"/>
              </w:rPr>
            </w:pPr>
            <w:r>
              <w:rPr>
                <w:rFonts w:ascii="Arial" w:cs="Arial" w:eastAsia="Arial" w:hAnsi="Arial"/>
                <w:sz w:val="11"/>
                <w:szCs w:val="11"/>
                <w:color w:val="4D5357"/>
                <w:w w:val="70"/>
              </w:rPr>
              <w:t>  </w:t>
            </w:r>
          </w:p>
        </w:tc>
        <w:tc>
          <w:tcPr>
            <w:tcW w:w="200" w:type="dxa"/>
            <w:vAlign w:val="bottom"/>
            <w:tcBorders>
              <w:bottom w:val="single" w:sz="8" w:color="4D5357"/>
            </w:tcBorders>
          </w:tcPr>
          <w:p>
            <w:pPr>
              <w:ind w:left="100"/>
              <w:spacing w:after="0"/>
              <w:rPr>
                <w:sz w:val="20"/>
                <w:szCs w:val="20"/>
                <w:color w:val="auto"/>
              </w:rPr>
            </w:pPr>
            <w:r>
              <w:rPr>
                <w:rFonts w:ascii="Arial" w:cs="Arial" w:eastAsia="Arial" w:hAnsi="Arial"/>
                <w:sz w:val="11"/>
                <w:szCs w:val="11"/>
                <w:color w:val="4D5357"/>
                <w:w w:val="72"/>
              </w:rPr>
              <w:t> </w:t>
            </w:r>
          </w:p>
        </w:tc>
        <w:tc>
          <w:tcPr>
            <w:tcW w:w="246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4D5357"/>
              </w:rPr>
              <w:t>        67%</w:t>
            </w:r>
          </w:p>
        </w:tc>
        <w:tc>
          <w:tcPr>
            <w:tcW w:w="3960" w:type="dxa"/>
            <w:vAlign w:val="bottom"/>
            <w:tcBorders>
              <w:bottom w:val="single" w:sz="8" w:color="4D5357"/>
            </w:tcBorders>
          </w:tcPr>
          <w:p>
            <w:pPr>
              <w:jc w:val="center"/>
              <w:ind w:right="359"/>
              <w:spacing w:after="0"/>
              <w:rPr>
                <w:sz w:val="20"/>
                <w:szCs w:val="20"/>
                <w:color w:val="auto"/>
              </w:rPr>
            </w:pPr>
            <w:r>
              <w:rPr>
                <w:rFonts w:ascii="Arial" w:cs="Arial" w:eastAsia="Arial" w:hAnsi="Arial"/>
                <w:sz w:val="16"/>
                <w:szCs w:val="16"/>
                <w:color w:val="4D5357"/>
                <w:w w:val="99"/>
              </w:rPr>
              <w:t>33%</w:t>
            </w:r>
          </w:p>
        </w:tc>
        <w:tc>
          <w:tcPr>
            <w:tcW w:w="3560" w:type="dxa"/>
            <w:vAlign w:val="bottom"/>
            <w:tcBorders>
              <w:bottom w:val="single" w:sz="8" w:color="4D5357"/>
            </w:tcBorders>
          </w:tcPr>
          <w:p>
            <w:pPr>
              <w:jc w:val="center"/>
              <w:ind w:left="599"/>
              <w:spacing w:after="0"/>
              <w:rPr>
                <w:sz w:val="20"/>
                <w:szCs w:val="20"/>
                <w:color w:val="auto"/>
              </w:rPr>
            </w:pPr>
            <w:r>
              <w:rPr>
                <w:rFonts w:ascii="Arial" w:cs="Arial" w:eastAsia="Arial" w:hAnsi="Arial"/>
                <w:sz w:val="16"/>
                <w:szCs w:val="16"/>
                <w:color w:val="4D5357"/>
              </w:rPr>
              <w:t>+/-20%</w:t>
            </w:r>
          </w:p>
        </w:tc>
      </w:tr>
    </w:tbl>
    <w:p>
      <w:pPr>
        <w:spacing w:after="0" w:line="161"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16"/>
          <w:szCs w:val="16"/>
          <w:color w:val="333333"/>
        </w:rPr>
        <w:t>Adjusted EBITDA and Sales Growth are two of the drivers of our performance and metrics of significance to our investors. The total payout opportunity for PSUs granted in 2025 was 0% to 240%: 50% of target if the threshold level is satisfied, 100% of target if the target level is satisfied, and 200% of target if the maximum level is satisfied. The rTSR modifier over the three-year measurement period is then applied to the final award to adjust it up or down by up to 20%. The threshold must be satisfied to receive PSUs for each performance metric. If the threshold is not met, none of the PSUs relating to that metric will vest.</w:t>
      </w:r>
    </w:p>
    <w:p>
      <w:pPr>
        <w:spacing w:after="0" w:line="72" w:lineRule="exact"/>
        <w:rPr>
          <w:sz w:val="20"/>
          <w:szCs w:val="20"/>
          <w:color w:val="auto"/>
        </w:rPr>
      </w:pPr>
    </w:p>
    <w:p>
      <w:pPr>
        <w:ind w:left="4" w:right="60"/>
        <w:spacing w:after="0" w:line="266" w:lineRule="auto"/>
        <w:rPr>
          <w:sz w:val="20"/>
          <w:szCs w:val="20"/>
          <w:color w:val="auto"/>
        </w:rPr>
      </w:pPr>
      <w:r>
        <w:rPr>
          <w:rFonts w:ascii="Arial" w:cs="Arial" w:eastAsia="Arial" w:hAnsi="Arial"/>
          <w:sz w:val="16"/>
          <w:szCs w:val="16"/>
          <w:color w:val="333333"/>
        </w:rPr>
        <w:t>Performance for each metric is measured independently, so PSUs can be earned as long as the threshold is satisfied for at least one metric. The “Target” level is generally viewed as achievable although it has not been achieved every year. The “Maximum” level is attainable if we outperform in the area measured. PSU payments are capped at the target level if three-year TSR is negative.</w:t>
      </w:r>
    </w:p>
    <w:p>
      <w:pPr>
        <w:spacing w:after="0" w:line="63" w:lineRule="exact"/>
        <w:rPr>
          <w:sz w:val="20"/>
          <w:szCs w:val="20"/>
          <w:color w:val="auto"/>
        </w:rPr>
      </w:pPr>
    </w:p>
    <w:p>
      <w:pPr>
        <w:ind w:left="4" w:right="100"/>
        <w:spacing w:after="0" w:line="256" w:lineRule="auto"/>
        <w:rPr>
          <w:sz w:val="20"/>
          <w:szCs w:val="20"/>
          <w:color w:val="auto"/>
        </w:rPr>
      </w:pPr>
      <w:r>
        <w:rPr>
          <w:rFonts w:ascii="Arial" w:cs="Arial" w:eastAsia="Arial" w:hAnsi="Arial"/>
          <w:sz w:val="16"/>
          <w:szCs w:val="16"/>
          <w:color w:val="333333"/>
        </w:rPr>
        <w:t>The performance will be measured in February 2028 for the three-year period beginning January 2025 through December 2027 to determine if the Company’s (1) the three-year cumulative Adjusted EBITDA against the target identified in the PSU Award Agreement, and (2) the three-year cumulative Sales Growth against the target identified in the PSU Award Agreement, are met. The payment amount will be further modified by the rTSR for the three-year period as against the S&amp;P 500, as set forth in the PSU Award Agreement. The Committee in its discretion may adjust the final award values only as set forth in the Agreement, either collectively or on an individual basis, in recognition of factors that are unusual or nonrecurring.</w:t>
      </w:r>
    </w:p>
    <w:p>
      <w:pPr>
        <w:spacing w:after="0" w:line="72" w:lineRule="exact"/>
        <w:rPr>
          <w:sz w:val="20"/>
          <w:szCs w:val="20"/>
          <w:color w:val="auto"/>
        </w:rPr>
      </w:pPr>
    </w:p>
    <w:p>
      <w:pPr>
        <w:ind w:left="4" w:right="100"/>
        <w:spacing w:after="0" w:line="256" w:lineRule="auto"/>
        <w:rPr>
          <w:sz w:val="20"/>
          <w:szCs w:val="20"/>
          <w:color w:val="auto"/>
        </w:rPr>
      </w:pPr>
      <w:r>
        <w:rPr>
          <w:rFonts w:ascii="Arial" w:cs="Arial" w:eastAsia="Arial" w:hAnsi="Arial"/>
          <w:sz w:val="16"/>
          <w:szCs w:val="16"/>
          <w:color w:val="333333"/>
        </w:rPr>
        <w:t>Over the three-year performance period, up to one-third of the target PSUs may be locked-in each year, subject to the rTSR modifier, based on one-third of the three-year cumulative Adjusted EBITDA and Sales Growth goals. Each year, any earned PSUs are not distributed until the end of the three-year measurement period when the cumulative three-year performance is determined. The actual PSUs will equal the greater of the total PSUs earned for each of the annual periods or the amount earned for cumulative three-year performance (capped at 200% of target). The final amount of earned PSUs to be distributed is then subject to the three-year rTSR modifier.</w:t>
      </w:r>
    </w:p>
    <w:p>
      <w:pPr>
        <w:spacing w:after="0" w:line="72" w:lineRule="exact"/>
        <w:rPr>
          <w:sz w:val="20"/>
          <w:szCs w:val="20"/>
          <w:color w:val="auto"/>
        </w:rPr>
      </w:pPr>
    </w:p>
    <w:p>
      <w:pPr>
        <w:ind w:left="4" w:right="60"/>
        <w:spacing w:after="0" w:line="266" w:lineRule="auto"/>
        <w:rPr>
          <w:sz w:val="20"/>
          <w:szCs w:val="20"/>
          <w:color w:val="auto"/>
        </w:rPr>
      </w:pPr>
      <w:r>
        <w:rPr>
          <w:rFonts w:ascii="Arial" w:cs="Arial" w:eastAsia="Arial" w:hAnsi="Arial"/>
          <w:sz w:val="16"/>
          <w:szCs w:val="16"/>
          <w:color w:val="333333"/>
        </w:rPr>
        <w:t>The PSUs will convert to unrestricted common stock and be distributed to the extent that the performance goals have been met, which will be determined in February 2028. These awards are also generally subject to continued employment through the date the PSUs vest. The actual financial performance targets and achievement against those targets will be disclosed at the end of the three-year performance period.</w:t>
      </w:r>
    </w:p>
    <w:p>
      <w:pPr>
        <w:spacing w:after="0" w:line="34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684"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67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684" w:right="439" w:bottom="1440" w:gutter="0" w:footer="0" w:header="0"/>
          <w:type w:val="continuous"/>
        </w:sectPr>
      </w:pPr>
    </w:p>
    <w:bookmarkStart w:id="74" w:name="page75"/>
    <w:bookmarkEnd w:id="74"/>
    <w:p>
      <w:pPr>
        <w:ind w:left="124"/>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 xml:space="preserve">      Compensation Discussion    </w:t>
      </w:r>
    </w:p>
    <w:p>
      <w:pPr>
        <w:spacing w:after="0" w:line="15" w:lineRule="exact"/>
        <w:rPr>
          <w:sz w:val="20"/>
          <w:szCs w:val="20"/>
          <w:color w:val="auto"/>
        </w:rPr>
      </w:pPr>
    </w:p>
    <w:p>
      <w:pPr>
        <w:ind w:left="864"/>
        <w:spacing w:after="0"/>
        <w:rPr>
          <w:sz w:val="20"/>
          <w:szCs w:val="20"/>
          <w:color w:val="auto"/>
        </w:rPr>
      </w:pPr>
      <w:r>
        <w:rPr>
          <w:rFonts w:ascii="Arial" w:cs="Arial" w:eastAsia="Arial" w:hAnsi="Arial"/>
          <w:sz w:val="14"/>
          <w:szCs w:val="14"/>
          <w:b w:val="1"/>
          <w:bCs w:val="1"/>
          <w:color w:val="FFFFFF"/>
        </w:rPr>
        <w:t>and Analysis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Selection of Relative TSR</w:t>
      </w:r>
    </w:p>
    <w:p>
      <w:pPr>
        <w:spacing w:after="0" w:line="123"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333333"/>
        </w:rPr>
        <w:t>We selected rTSR for the PSUs to measure our performance against the companies in the S&amp;P 500 index. We recognize that every industry faces different challenges and opportunities, and that the S&amp;P 500 index does not perfectly correlate to the environment in which Martin Marietta operates. However, we believe that most similar companies in the building construction materials industry are not publicly-held companies or are not U.S. companies, and therefore accurate information to potentially use as a comparison is not readily available. As a result, we believe that comparing our TSR against the S&amp;P 500 index is appropriate because (1) it measures the interest of investors for whom we compete, (2) there is no consensus of a significantly better peer group with readily available comparable financial information; and (3) by using rTSR as a modifier rather than a primary measurement, we give our other performance measures more weight and their focus on profitability and growth both provide long-term value creation.</w:t>
      </w:r>
    </w:p>
    <w:p>
      <w:pPr>
        <w:spacing w:after="0" w:line="73" w:lineRule="exact"/>
        <w:rPr>
          <w:sz w:val="20"/>
          <w:szCs w:val="20"/>
          <w:color w:val="auto"/>
        </w:rPr>
      </w:pPr>
    </w:p>
    <w:p>
      <w:pPr>
        <w:ind w:left="4" w:right="180"/>
        <w:spacing w:after="0" w:line="286" w:lineRule="auto"/>
        <w:rPr>
          <w:sz w:val="20"/>
          <w:szCs w:val="20"/>
          <w:color w:val="auto"/>
        </w:rPr>
      </w:pPr>
      <w:r>
        <w:rPr>
          <w:rFonts w:ascii="Arial" w:cs="Arial" w:eastAsia="Arial" w:hAnsi="Arial"/>
          <w:sz w:val="16"/>
          <w:szCs w:val="16"/>
          <w:color w:val="333333"/>
        </w:rPr>
        <w:t>We believe that Adjusted EBITDA, Sales Growth and rTSR metrics drive the behaviors of our management team in ways that are intended to create the most value for our shareholders.</w:t>
      </w:r>
    </w:p>
    <w:p>
      <w:pPr>
        <w:spacing w:after="0" w:line="100"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RSU Awards (45% of LTI Award)</w:t>
      </w:r>
    </w:p>
    <w:p>
      <w:pPr>
        <w:spacing w:after="0" w:line="123" w:lineRule="exact"/>
        <w:rPr>
          <w:sz w:val="20"/>
          <w:szCs w:val="20"/>
          <w:color w:val="auto"/>
        </w:rPr>
      </w:pPr>
    </w:p>
    <w:p>
      <w:pPr>
        <w:ind w:left="4" w:right="100"/>
        <w:spacing w:after="0" w:line="256" w:lineRule="auto"/>
        <w:rPr>
          <w:sz w:val="20"/>
          <w:szCs w:val="20"/>
          <w:color w:val="auto"/>
        </w:rPr>
      </w:pPr>
      <w:r>
        <w:rPr>
          <w:rFonts w:ascii="Arial" w:cs="Arial" w:eastAsia="Arial" w:hAnsi="Arial"/>
          <w:sz w:val="16"/>
          <w:szCs w:val="16"/>
          <w:color w:val="333333"/>
        </w:rPr>
        <w:t>RSUs vest in three equal installments, each on the anniversary of the grant date (February 21, 2025) over a period of three years, subject generally to continued employment through each one of those anniversaries. Once the restricted period ends (each anniversary for one third of the total RSU award), the recipient will be issued unrestricted shares of common stock (minus shares withheld to pay applicable taxes). The Committee believes that time-based RSUs align executive officers’ interests with those of shareholders, provides significant retentive characteristics and balances the significant amount of performance-based compensation provided, including the transition to the formulaic performance-based short term incentive award in 2023.</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2025-2027 Performance Goals</w:t>
      </w:r>
    </w:p>
    <w:p>
      <w:pPr>
        <w:spacing w:after="0" w:line="123" w:lineRule="exact"/>
        <w:rPr>
          <w:sz w:val="20"/>
          <w:szCs w:val="20"/>
          <w:color w:val="auto"/>
        </w:rPr>
      </w:pPr>
    </w:p>
    <w:p>
      <w:pPr>
        <w:jc w:val="both"/>
        <w:ind w:left="4" w:right="600"/>
        <w:spacing w:after="0" w:line="266" w:lineRule="auto"/>
        <w:rPr>
          <w:sz w:val="20"/>
          <w:szCs w:val="20"/>
          <w:color w:val="auto"/>
        </w:rPr>
      </w:pPr>
      <w:r>
        <w:rPr>
          <w:rFonts w:ascii="Arial" w:cs="Arial" w:eastAsia="Arial" w:hAnsi="Arial"/>
          <w:sz w:val="16"/>
          <w:szCs w:val="16"/>
          <w:color w:val="333333"/>
        </w:rPr>
        <w:t>In setting minimum and maximum levels of payment, we reviewed historical levels of performance against our long-range plan commitments and conducted sensitivity analyses on alternative outcomes focused on identifying likely minimum and maximum boundary performance levels. Levels between 100% and the minimum and maximum levels were derived using linear interpolation between the performance hurdles.</w:t>
      </w:r>
    </w:p>
    <w:p>
      <w:pPr>
        <w:spacing w:after="0" w:line="63"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333333"/>
        </w:rPr>
        <w:t>The specific Adjusted EBITDA and Sales Growth target values for the 2025-2027 PSUs are not publicly disclosed at the time of grant due to the proprietary nature and competitive sensitivity of the information. We discussed this approach to forward-looking targets with shareholders as part of our 2023 outreach efforts, and shareholders are supportive of keeping the targets confidential until the awards vest and are distributed. We have presented the target level for each of these metrics by reference to our internal plan level (referred to as “Plan Level” in the chart below) and quantified these amounts above and below that level for the maximum and threshold levels, respectively. The method used to calculate the awards will be based on actual performance compared to our 2025-2027 targets, with straight-line interpolation between points. The individual award agreements require the adjustment of goals to ensure that the ultimate payouts are not impacted to the benefit or detriment of management by specified events, such as unplanned pension expenses, changes in GAAP accounting standards or impact of an acquisition or divestiture. The Committee may exercise its discretion to reduce the final vesting percentage to no more than target if the Company’s three-year TSR is less than zero.</w:t>
      </w:r>
    </w:p>
    <w:p>
      <w:pPr>
        <w:spacing w:after="0" w:line="77" w:lineRule="exact"/>
        <w:rPr>
          <w:sz w:val="20"/>
          <w:szCs w:val="20"/>
          <w:color w:val="auto"/>
        </w:rPr>
      </w:pPr>
    </w:p>
    <w:p>
      <w:pPr>
        <w:ind w:left="4" w:right="840"/>
        <w:spacing w:after="0" w:line="286" w:lineRule="auto"/>
        <w:rPr>
          <w:sz w:val="20"/>
          <w:szCs w:val="20"/>
          <w:color w:val="auto"/>
        </w:rPr>
      </w:pPr>
      <w:r>
        <w:rPr>
          <w:rFonts w:ascii="Arial" w:cs="Arial" w:eastAsia="Arial" w:hAnsi="Arial"/>
          <w:sz w:val="16"/>
          <w:szCs w:val="16"/>
          <w:color w:val="333333"/>
        </w:rPr>
        <w:t>In setting performance goals for the three-year PSUs awarded in 2025, the Committee considered various factors and received advice from its independent compensation consultant in choosing the metrics and establishing the goals, including:</w:t>
      </w:r>
    </w:p>
    <w:p>
      <w:pPr>
        <w:spacing w:after="0" w:line="7" w:lineRule="exact"/>
        <w:rPr>
          <w:sz w:val="20"/>
          <w:szCs w:val="20"/>
          <w:color w:val="auto"/>
        </w:rPr>
      </w:pPr>
    </w:p>
    <w:p>
      <w:pPr>
        <w:ind w:left="224" w:hanging="224"/>
        <w:spacing w:after="0"/>
        <w:tabs>
          <w:tab w:leader="none" w:pos="224" w:val="left"/>
        </w:tabs>
        <w:numPr>
          <w:ilvl w:val="0"/>
          <w:numId w:val="86"/>
        </w:numPr>
        <w:rPr>
          <w:rFonts w:ascii="Arial" w:cs="Arial" w:eastAsia="Arial" w:hAnsi="Arial"/>
          <w:sz w:val="16"/>
          <w:szCs w:val="16"/>
          <w:color w:val="333333"/>
        </w:rPr>
      </w:pPr>
      <w:r>
        <w:rPr>
          <w:rFonts w:ascii="Arial" w:cs="Arial" w:eastAsia="Arial" w:hAnsi="Arial"/>
          <w:sz w:val="16"/>
          <w:szCs w:val="16"/>
          <w:color w:val="333333"/>
        </w:rPr>
        <w:t>The metrics reflect drivers of our performance and we believe are important to our investors.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86"/>
        </w:numPr>
        <w:rPr>
          <w:rFonts w:ascii="Arial" w:cs="Arial" w:eastAsia="Arial" w:hAnsi="Arial"/>
          <w:sz w:val="16"/>
          <w:szCs w:val="16"/>
          <w:color w:val="333333"/>
        </w:rPr>
      </w:pPr>
      <w:r>
        <w:rPr>
          <w:rFonts w:ascii="Arial" w:cs="Arial" w:eastAsia="Arial" w:hAnsi="Arial"/>
          <w:sz w:val="16"/>
          <w:szCs w:val="16"/>
          <w:color w:val="333333"/>
        </w:rPr>
        <w:t>The goals are consistent with our business plan and positive over prior year.</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86"/>
        </w:numPr>
        <w:rPr>
          <w:rFonts w:ascii="Arial" w:cs="Arial" w:eastAsia="Arial" w:hAnsi="Arial"/>
          <w:sz w:val="16"/>
          <w:szCs w:val="16"/>
          <w:color w:val="333333"/>
        </w:rPr>
      </w:pPr>
      <w:r>
        <w:rPr>
          <w:rFonts w:ascii="Arial" w:cs="Arial" w:eastAsia="Arial" w:hAnsi="Arial"/>
          <w:sz w:val="16"/>
          <w:szCs w:val="16"/>
          <w:color w:val="333333"/>
        </w:rPr>
        <w:t>We have a history of setting challenging target and maximum goals.</w:t>
      </w:r>
    </w:p>
    <w:p>
      <w:pPr>
        <w:spacing w:after="0" w:line="221"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333333"/>
        </w:rPr>
        <w:t>In addition, we have looked at the alignment of our payouts with the Company’s performance, including TSR, and found that pay and performance are aligned.</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684"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68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684" w:right="439" w:bottom="1440" w:gutter="0" w:footer="0" w:header="0"/>
          <w:type w:val="continuous"/>
        </w:sectPr>
      </w:pPr>
    </w:p>
    <w:bookmarkStart w:id="75" w:name="page76"/>
    <w:bookmarkEnd w:id="75"/>
    <w:p>
      <w:pPr>
        <w:jc w:val="center"/>
        <w:ind w:left="82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 xml:space="preserve">      Compensation Discussion    </w:t>
      </w:r>
    </w:p>
    <w:p>
      <w:pPr>
        <w:spacing w:after="0" w:line="15"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FFFFFF"/>
        </w:rPr>
        <w:t xml:space="preserve">      and Analysis     </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2025 Performance Goals and Metrics</w:t>
      </w:r>
    </w:p>
    <w:p>
      <w:pPr>
        <w:spacing w:after="0" w:line="24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580" w:type="dxa"/>
            <w:vAlign w:val="bottom"/>
            <w:gridSpan w:val="2"/>
          </w:tcPr>
          <w:p>
            <w:pPr>
              <w:ind w:left="60"/>
              <w:spacing w:after="0"/>
              <w:rPr>
                <w:sz w:val="20"/>
                <w:szCs w:val="20"/>
                <w:color w:val="auto"/>
              </w:rPr>
            </w:pPr>
            <w:r>
              <w:rPr>
                <w:rFonts w:ascii="Arial" w:cs="Arial" w:eastAsia="Arial" w:hAnsi="Arial"/>
                <w:sz w:val="16"/>
                <w:szCs w:val="16"/>
                <w:b w:val="1"/>
                <w:bCs w:val="1"/>
                <w:color w:val="0086CC"/>
              </w:rPr>
              <w:t>RELATIVE TSR (MODIFIER +/-20%)*</w:t>
            </w:r>
          </w:p>
        </w:tc>
        <w:tc>
          <w:tcPr>
            <w:tcW w:w="396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0086CC"/>
              </w:rPr>
              <w:t>ADJUSTED EBITDA (67%)***</w:t>
            </w:r>
          </w:p>
        </w:tc>
        <w:tc>
          <w:tcPr>
            <w:tcW w:w="348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0086CC"/>
              </w:rPr>
              <w:t>SALES GROWTH (33%)</w:t>
            </w:r>
          </w:p>
        </w:tc>
      </w:tr>
      <w:tr>
        <w:trPr>
          <w:trHeight w:val="189"/>
        </w:trPr>
        <w:tc>
          <w:tcPr>
            <w:tcW w:w="1460" w:type="dxa"/>
            <w:vAlign w:val="bottom"/>
          </w:tcPr>
          <w:p>
            <w:pPr>
              <w:ind w:left="60"/>
              <w:spacing w:after="0"/>
              <w:rPr>
                <w:sz w:val="20"/>
                <w:szCs w:val="20"/>
                <w:color w:val="auto"/>
              </w:rPr>
            </w:pPr>
            <w:r>
              <w:rPr>
                <w:rFonts w:ascii="Arial" w:cs="Arial" w:eastAsia="Arial" w:hAnsi="Arial"/>
                <w:sz w:val="16"/>
                <w:szCs w:val="16"/>
                <w:b w:val="1"/>
                <w:bCs w:val="1"/>
                <w:color w:val="0086CC"/>
              </w:rPr>
              <w:t>TSR</w:t>
            </w:r>
          </w:p>
        </w:tc>
        <w:tc>
          <w:tcPr>
            <w:tcW w:w="2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86CC"/>
              </w:rPr>
              <w:t>SALES</w:t>
            </w:r>
          </w:p>
        </w:tc>
        <w:tc>
          <w:tcPr>
            <w:tcW w:w="1360" w:type="dxa"/>
            <w:vAlign w:val="bottom"/>
          </w:tcPr>
          <w:p>
            <w:pPr>
              <w:spacing w:after="0"/>
              <w:rPr>
                <w:sz w:val="16"/>
                <w:szCs w:val="16"/>
                <w:color w:val="auto"/>
              </w:rPr>
            </w:pPr>
          </w:p>
        </w:tc>
      </w:tr>
      <w:tr>
        <w:trPr>
          <w:trHeight w:val="189"/>
        </w:trPr>
        <w:tc>
          <w:tcPr>
            <w:tcW w:w="1460" w:type="dxa"/>
            <w:vAlign w:val="bottom"/>
          </w:tcPr>
          <w:p>
            <w:pPr>
              <w:ind w:left="60"/>
              <w:spacing w:after="0"/>
              <w:rPr>
                <w:sz w:val="20"/>
                <w:szCs w:val="20"/>
                <w:color w:val="auto"/>
              </w:rPr>
            </w:pPr>
            <w:r>
              <w:rPr>
                <w:rFonts w:ascii="Arial" w:cs="Arial" w:eastAsia="Arial" w:hAnsi="Arial"/>
                <w:sz w:val="16"/>
                <w:szCs w:val="16"/>
                <w:b w:val="1"/>
                <w:bCs w:val="1"/>
                <w:color w:val="0086CC"/>
              </w:rPr>
              <w:t>PERCENTILE</w:t>
            </w:r>
          </w:p>
        </w:tc>
        <w:tc>
          <w:tcPr>
            <w:tcW w:w="2120" w:type="dxa"/>
            <w:vAlign w:val="bottom"/>
          </w:tcPr>
          <w:p>
            <w:pPr>
              <w:ind w:left="640"/>
              <w:spacing w:after="0"/>
              <w:rPr>
                <w:sz w:val="20"/>
                <w:szCs w:val="20"/>
                <w:color w:val="auto"/>
              </w:rPr>
            </w:pPr>
            <w:r>
              <w:rPr>
                <w:rFonts w:ascii="Arial" w:cs="Arial" w:eastAsia="Arial" w:hAnsi="Arial"/>
                <w:sz w:val="16"/>
                <w:szCs w:val="16"/>
                <w:b w:val="1"/>
                <w:bCs w:val="1"/>
                <w:color w:val="0086CC"/>
              </w:rPr>
              <w:t>PAYOUT</w:t>
            </w:r>
          </w:p>
        </w:tc>
        <w:tc>
          <w:tcPr>
            <w:tcW w:w="2300" w:type="dxa"/>
            <w:vAlign w:val="bottom"/>
          </w:tcPr>
          <w:p>
            <w:pPr>
              <w:jc w:val="right"/>
              <w:ind w:right="799"/>
              <w:spacing w:after="0"/>
              <w:rPr>
                <w:sz w:val="20"/>
                <w:szCs w:val="20"/>
                <w:color w:val="auto"/>
              </w:rPr>
            </w:pPr>
            <w:r>
              <w:rPr>
                <w:rFonts w:ascii="Arial" w:cs="Arial" w:eastAsia="Arial" w:hAnsi="Arial"/>
                <w:sz w:val="16"/>
                <w:szCs w:val="16"/>
                <w:b w:val="1"/>
                <w:bCs w:val="1"/>
                <w:color w:val="0086CC"/>
              </w:rPr>
              <w:t>EBITDA</w:t>
            </w:r>
          </w:p>
        </w:tc>
        <w:tc>
          <w:tcPr>
            <w:tcW w:w="1660" w:type="dxa"/>
            <w:vAlign w:val="bottom"/>
          </w:tcPr>
          <w:p>
            <w:pPr>
              <w:jc w:val="right"/>
              <w:ind w:right="559"/>
              <w:spacing w:after="0"/>
              <w:rPr>
                <w:sz w:val="20"/>
                <w:szCs w:val="20"/>
                <w:color w:val="auto"/>
              </w:rPr>
            </w:pPr>
            <w:r>
              <w:rPr>
                <w:rFonts w:ascii="Arial" w:cs="Arial" w:eastAsia="Arial" w:hAnsi="Arial"/>
                <w:sz w:val="16"/>
                <w:szCs w:val="16"/>
                <w:b w:val="1"/>
                <w:bCs w:val="1"/>
                <w:color w:val="0086CC"/>
              </w:rPr>
              <w:t>PAYOUT</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86CC"/>
              </w:rPr>
              <w:t>GROWTH</w:t>
            </w: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0086CC"/>
              </w:rPr>
              <w:t>PAYOUT</w:t>
            </w:r>
          </w:p>
        </w:tc>
      </w:tr>
      <w:tr>
        <w:trPr>
          <w:trHeight w:val="223"/>
        </w:trPr>
        <w:tc>
          <w:tcPr>
            <w:tcW w:w="1460" w:type="dxa"/>
            <w:vAlign w:val="bottom"/>
          </w:tcPr>
          <w:p>
            <w:pPr>
              <w:ind w:left="60"/>
              <w:spacing w:after="0"/>
              <w:rPr>
                <w:sz w:val="20"/>
                <w:szCs w:val="20"/>
                <w:color w:val="auto"/>
              </w:rPr>
            </w:pPr>
            <w:r>
              <w:rPr>
                <w:rFonts w:ascii="Arial" w:cs="Arial" w:eastAsia="Arial" w:hAnsi="Arial"/>
                <w:sz w:val="16"/>
                <w:szCs w:val="16"/>
                <w:b w:val="1"/>
                <w:bCs w:val="1"/>
                <w:color w:val="0086CC"/>
              </w:rPr>
              <w:t>ACHIEVEMENT</w:t>
            </w:r>
          </w:p>
        </w:tc>
        <w:tc>
          <w:tcPr>
            <w:tcW w:w="2120" w:type="dxa"/>
            <w:vAlign w:val="bottom"/>
          </w:tcPr>
          <w:p>
            <w:pPr>
              <w:ind w:left="620"/>
              <w:spacing w:after="0"/>
              <w:rPr>
                <w:sz w:val="20"/>
                <w:szCs w:val="20"/>
                <w:color w:val="auto"/>
              </w:rPr>
            </w:pPr>
            <w:r>
              <w:rPr>
                <w:rFonts w:ascii="Arial" w:cs="Arial" w:eastAsia="Arial" w:hAnsi="Arial"/>
                <w:sz w:val="16"/>
                <w:szCs w:val="16"/>
                <w:b w:val="1"/>
                <w:bCs w:val="1"/>
                <w:color w:val="0086CC"/>
              </w:rPr>
              <w:t>FACTOR</w:t>
            </w:r>
          </w:p>
        </w:tc>
        <w:tc>
          <w:tcPr>
            <w:tcW w:w="2300" w:type="dxa"/>
            <w:vAlign w:val="bottom"/>
          </w:tcPr>
          <w:p>
            <w:pPr>
              <w:jc w:val="right"/>
              <w:ind w:right="499"/>
              <w:spacing w:after="0"/>
              <w:rPr>
                <w:sz w:val="20"/>
                <w:szCs w:val="20"/>
                <w:color w:val="auto"/>
              </w:rPr>
            </w:pPr>
            <w:r>
              <w:rPr>
                <w:rFonts w:ascii="Arial" w:cs="Arial" w:eastAsia="Arial" w:hAnsi="Arial"/>
                <w:sz w:val="16"/>
                <w:szCs w:val="16"/>
                <w:b w:val="1"/>
                <w:bCs w:val="1"/>
                <w:color w:val="0086CC"/>
              </w:rPr>
              <w:t>ACHIEVEMENT</w:t>
            </w:r>
          </w:p>
        </w:tc>
        <w:tc>
          <w:tcPr>
            <w:tcW w:w="1660" w:type="dxa"/>
            <w:vAlign w:val="bottom"/>
          </w:tcPr>
          <w:p>
            <w:pPr>
              <w:jc w:val="right"/>
              <w:ind w:right="499"/>
              <w:spacing w:after="0"/>
              <w:rPr>
                <w:sz w:val="20"/>
                <w:szCs w:val="20"/>
                <w:color w:val="auto"/>
              </w:rPr>
            </w:pPr>
            <w:r>
              <w:rPr>
                <w:rFonts w:ascii="Arial" w:cs="Arial" w:eastAsia="Arial" w:hAnsi="Arial"/>
                <w:sz w:val="16"/>
                <w:szCs w:val="16"/>
                <w:b w:val="1"/>
                <w:bCs w:val="1"/>
                <w:color w:val="0086CC"/>
              </w:rPr>
              <w:t>FACTOR**</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0086CC"/>
              </w:rPr>
              <w:t>ACHIEVEMENT</w:t>
            </w: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0086CC"/>
              </w:rPr>
              <w:t>FACTOR**</w:t>
            </w:r>
          </w:p>
        </w:tc>
      </w:tr>
      <w:tr>
        <w:trPr>
          <w:trHeight w:val="21"/>
        </w:trPr>
        <w:tc>
          <w:tcPr>
            <w:tcW w:w="1460" w:type="dxa"/>
            <w:vAlign w:val="bottom"/>
            <w:tcBorders>
              <w:bottom w:val="single" w:sz="8" w:color="0086CC"/>
            </w:tcBorders>
          </w:tcPr>
          <w:p>
            <w:pPr>
              <w:spacing w:after="0" w:line="20" w:lineRule="exact"/>
              <w:rPr>
                <w:sz w:val="1"/>
                <w:szCs w:val="1"/>
                <w:color w:val="auto"/>
              </w:rPr>
            </w:pPr>
          </w:p>
        </w:tc>
        <w:tc>
          <w:tcPr>
            <w:tcW w:w="2120" w:type="dxa"/>
            <w:vAlign w:val="bottom"/>
            <w:tcBorders>
              <w:bottom w:val="single" w:sz="8" w:color="0086CC"/>
            </w:tcBorders>
          </w:tcPr>
          <w:p>
            <w:pPr>
              <w:spacing w:after="0" w:line="20" w:lineRule="exact"/>
              <w:rPr>
                <w:sz w:val="1"/>
                <w:szCs w:val="1"/>
                <w:color w:val="auto"/>
              </w:rPr>
            </w:pPr>
          </w:p>
        </w:tc>
        <w:tc>
          <w:tcPr>
            <w:tcW w:w="2300" w:type="dxa"/>
            <w:vAlign w:val="bottom"/>
            <w:tcBorders>
              <w:bottom w:val="single" w:sz="8" w:color="0086CC"/>
            </w:tcBorders>
          </w:tcPr>
          <w:p>
            <w:pPr>
              <w:spacing w:after="0" w:line="20" w:lineRule="exact"/>
              <w:rPr>
                <w:sz w:val="1"/>
                <w:szCs w:val="1"/>
                <w:color w:val="auto"/>
              </w:rPr>
            </w:pPr>
          </w:p>
        </w:tc>
        <w:tc>
          <w:tcPr>
            <w:tcW w:w="1660" w:type="dxa"/>
            <w:vAlign w:val="bottom"/>
            <w:tcBorders>
              <w:bottom w:val="single" w:sz="8" w:color="0086CC"/>
            </w:tcBorders>
          </w:tcPr>
          <w:p>
            <w:pPr>
              <w:spacing w:after="0" w:line="20" w:lineRule="exact"/>
              <w:rPr>
                <w:sz w:val="1"/>
                <w:szCs w:val="1"/>
                <w:color w:val="auto"/>
              </w:rPr>
            </w:pPr>
          </w:p>
        </w:tc>
        <w:tc>
          <w:tcPr>
            <w:tcW w:w="2120" w:type="dxa"/>
            <w:vAlign w:val="bottom"/>
            <w:tcBorders>
              <w:bottom w:val="single" w:sz="8" w:color="0086CC"/>
            </w:tcBorders>
          </w:tcPr>
          <w:p>
            <w:pPr>
              <w:spacing w:after="0" w:line="20" w:lineRule="exact"/>
              <w:rPr>
                <w:sz w:val="1"/>
                <w:szCs w:val="1"/>
                <w:color w:val="auto"/>
              </w:rPr>
            </w:pPr>
          </w:p>
        </w:tc>
        <w:tc>
          <w:tcPr>
            <w:tcW w:w="1360" w:type="dxa"/>
            <w:vAlign w:val="bottom"/>
            <w:tcBorders>
              <w:bottom w:val="single" w:sz="8" w:color="0086CC"/>
            </w:tcBorders>
          </w:tcPr>
          <w:p>
            <w:pPr>
              <w:spacing w:after="0" w:line="20" w:lineRule="exact"/>
              <w:rPr>
                <w:sz w:val="1"/>
                <w:szCs w:val="1"/>
                <w:color w:val="auto"/>
              </w:rPr>
            </w:pPr>
          </w:p>
        </w:tc>
      </w:tr>
      <w:tr>
        <w:trPr>
          <w:trHeight w:val="277"/>
        </w:trPr>
        <w:tc>
          <w:tcPr>
            <w:tcW w:w="1460" w:type="dxa"/>
            <w:vAlign w:val="bottom"/>
            <w:tcBorders>
              <w:bottom w:val="single" w:sz="8" w:color="4D5357"/>
            </w:tcBorders>
          </w:tcPr>
          <w:p>
            <w:pPr>
              <w:ind w:left="60"/>
              <w:spacing w:after="0"/>
              <w:rPr>
                <w:sz w:val="20"/>
                <w:szCs w:val="20"/>
                <w:color w:val="auto"/>
              </w:rPr>
            </w:pPr>
            <w:r>
              <w:rPr>
                <w:rFonts w:ascii="Times New Roman" w:cs="Times New Roman" w:eastAsia="Times New Roman" w:hAnsi="Times New Roman"/>
                <w:sz w:val="16"/>
                <w:szCs w:val="16"/>
                <w:color w:val="4D5357"/>
              </w:rPr>
              <w:t xml:space="preserve">≥ </w:t>
            </w:r>
            <w:r>
              <w:rPr>
                <w:rFonts w:ascii="Arial" w:cs="Arial" w:eastAsia="Arial" w:hAnsi="Arial"/>
                <w:sz w:val="16"/>
                <w:szCs w:val="16"/>
                <w:color w:val="4D5357"/>
              </w:rPr>
              <w:t>75</w:t>
            </w:r>
            <w:r>
              <w:rPr>
                <w:rFonts w:ascii="Arial" w:cs="Arial" w:eastAsia="Arial" w:hAnsi="Arial"/>
                <w:sz w:val="24"/>
                <w:szCs w:val="24"/>
                <w:color w:val="4D5357"/>
                <w:vertAlign w:val="superscript"/>
              </w:rPr>
              <w:t>th</w:t>
            </w:r>
          </w:p>
        </w:tc>
        <w:tc>
          <w:tcPr>
            <w:tcW w:w="2120" w:type="dxa"/>
            <w:vAlign w:val="bottom"/>
            <w:tcBorders>
              <w:bottom w:val="single" w:sz="8" w:color="4D5357"/>
            </w:tcBorders>
          </w:tcPr>
          <w:p>
            <w:pPr>
              <w:ind w:left="620"/>
              <w:spacing w:after="0"/>
              <w:rPr>
                <w:sz w:val="20"/>
                <w:szCs w:val="20"/>
                <w:color w:val="auto"/>
              </w:rPr>
            </w:pPr>
            <w:r>
              <w:rPr>
                <w:rFonts w:ascii="Arial" w:cs="Arial" w:eastAsia="Arial" w:hAnsi="Arial"/>
                <w:sz w:val="16"/>
                <w:szCs w:val="16"/>
                <w:color w:val="4D5357"/>
              </w:rPr>
              <w:t>+20% (Maximum)</w:t>
            </w:r>
          </w:p>
        </w:tc>
        <w:tc>
          <w:tcPr>
            <w:tcW w:w="230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 xml:space="preserve">Plan Level plus </w:t>
            </w:r>
            <w:r>
              <w:rPr>
                <w:rFonts w:ascii="Times New Roman" w:cs="Times New Roman" w:eastAsia="Times New Roman" w:hAnsi="Times New Roman"/>
                <w:sz w:val="16"/>
                <w:szCs w:val="16"/>
                <w:color w:val="4D5357"/>
              </w:rPr>
              <w:t>≥</w:t>
            </w:r>
            <w:r>
              <w:rPr>
                <w:rFonts w:ascii="Arial" w:cs="Arial" w:eastAsia="Arial" w:hAnsi="Arial"/>
                <w:sz w:val="16"/>
                <w:szCs w:val="16"/>
                <w:color w:val="4D5357"/>
              </w:rPr>
              <w:t xml:space="preserve"> $0.57B</w:t>
            </w:r>
          </w:p>
        </w:tc>
        <w:tc>
          <w:tcPr>
            <w:tcW w:w="166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200% (Maximum)</w:t>
            </w:r>
          </w:p>
        </w:tc>
        <w:tc>
          <w:tcPr>
            <w:tcW w:w="21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 xml:space="preserve">Plan Level plus </w:t>
            </w:r>
            <w:r>
              <w:rPr>
                <w:rFonts w:ascii="Times New Roman" w:cs="Times New Roman" w:eastAsia="Times New Roman" w:hAnsi="Times New Roman"/>
                <w:sz w:val="16"/>
                <w:szCs w:val="16"/>
                <w:color w:val="4D5357"/>
              </w:rPr>
              <w:t>≥</w:t>
            </w:r>
            <w:r>
              <w:rPr>
                <w:rFonts w:ascii="Arial" w:cs="Arial" w:eastAsia="Arial" w:hAnsi="Arial"/>
                <w:sz w:val="16"/>
                <w:szCs w:val="16"/>
                <w:color w:val="4D5357"/>
              </w:rPr>
              <w:t xml:space="preserve"> 8.0%</w:t>
            </w:r>
          </w:p>
        </w:tc>
        <w:tc>
          <w:tcPr>
            <w:tcW w:w="13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200% (Maximum)</w:t>
            </w:r>
          </w:p>
        </w:tc>
      </w:tr>
      <w:tr>
        <w:trPr>
          <w:trHeight w:val="277"/>
        </w:trPr>
        <w:tc>
          <w:tcPr>
            <w:tcW w:w="1460" w:type="dxa"/>
            <w:vAlign w:val="bottom"/>
            <w:tcBorders>
              <w:bottom w:val="single" w:sz="8" w:color="4D5357"/>
            </w:tcBorders>
          </w:tcPr>
          <w:p>
            <w:pPr>
              <w:ind w:left="60"/>
              <w:spacing w:after="0"/>
              <w:rPr>
                <w:sz w:val="20"/>
                <w:szCs w:val="20"/>
                <w:color w:val="auto"/>
              </w:rPr>
            </w:pPr>
            <w:r>
              <w:rPr>
                <w:rFonts w:ascii="Arial" w:cs="Arial" w:eastAsia="Arial" w:hAnsi="Arial"/>
                <w:sz w:val="16"/>
                <w:szCs w:val="16"/>
                <w:color w:val="4D5357"/>
              </w:rPr>
              <w:t>50</w:t>
            </w:r>
            <w:r>
              <w:rPr>
                <w:rFonts w:ascii="Arial" w:cs="Arial" w:eastAsia="Arial" w:hAnsi="Arial"/>
                <w:sz w:val="24"/>
                <w:szCs w:val="24"/>
                <w:color w:val="4D5357"/>
                <w:vertAlign w:val="superscript"/>
              </w:rPr>
              <w:t>th</w:t>
            </w:r>
          </w:p>
        </w:tc>
        <w:tc>
          <w:tcPr>
            <w:tcW w:w="2120" w:type="dxa"/>
            <w:vAlign w:val="bottom"/>
            <w:tcBorders>
              <w:bottom w:val="single" w:sz="8" w:color="4D5357"/>
            </w:tcBorders>
          </w:tcPr>
          <w:p>
            <w:pPr>
              <w:ind w:left="200"/>
              <w:spacing w:after="0"/>
              <w:rPr>
                <w:sz w:val="20"/>
                <w:szCs w:val="20"/>
                <w:color w:val="auto"/>
              </w:rPr>
            </w:pPr>
            <w:r>
              <w:rPr>
                <w:rFonts w:ascii="Arial" w:cs="Arial" w:eastAsia="Arial" w:hAnsi="Arial"/>
                <w:sz w:val="16"/>
                <w:szCs w:val="16"/>
                <w:color w:val="4D5357"/>
              </w:rPr>
              <w:t>0% adjustment (Target)</w:t>
            </w:r>
          </w:p>
        </w:tc>
        <w:tc>
          <w:tcPr>
            <w:tcW w:w="230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Plan Level EBITDA</w:t>
            </w:r>
          </w:p>
        </w:tc>
        <w:tc>
          <w:tcPr>
            <w:tcW w:w="166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100% (Target)</w:t>
            </w:r>
          </w:p>
        </w:tc>
        <w:tc>
          <w:tcPr>
            <w:tcW w:w="21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Plan Level</w:t>
            </w:r>
          </w:p>
        </w:tc>
        <w:tc>
          <w:tcPr>
            <w:tcW w:w="13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100% (Target)</w:t>
            </w:r>
          </w:p>
        </w:tc>
      </w:tr>
      <w:tr>
        <w:trPr>
          <w:trHeight w:val="277"/>
        </w:trPr>
        <w:tc>
          <w:tcPr>
            <w:tcW w:w="1460" w:type="dxa"/>
            <w:vAlign w:val="bottom"/>
            <w:tcBorders>
              <w:bottom w:val="single" w:sz="8" w:color="4D5357"/>
            </w:tcBorders>
          </w:tcPr>
          <w:p>
            <w:pPr>
              <w:ind w:left="60"/>
              <w:spacing w:after="0"/>
              <w:rPr>
                <w:sz w:val="20"/>
                <w:szCs w:val="20"/>
                <w:color w:val="auto"/>
              </w:rPr>
            </w:pPr>
            <w:r>
              <w:rPr>
                <w:rFonts w:ascii="Times New Roman" w:cs="Times New Roman" w:eastAsia="Times New Roman" w:hAnsi="Times New Roman"/>
                <w:sz w:val="16"/>
                <w:szCs w:val="16"/>
                <w:color w:val="4D5357"/>
              </w:rPr>
              <w:t xml:space="preserve">≤ </w:t>
            </w:r>
            <w:r>
              <w:rPr>
                <w:rFonts w:ascii="Arial" w:cs="Arial" w:eastAsia="Arial" w:hAnsi="Arial"/>
                <w:sz w:val="16"/>
                <w:szCs w:val="16"/>
                <w:color w:val="4D5357"/>
              </w:rPr>
              <w:t>25</w:t>
            </w:r>
            <w:r>
              <w:rPr>
                <w:rFonts w:ascii="Arial" w:cs="Arial" w:eastAsia="Arial" w:hAnsi="Arial"/>
                <w:sz w:val="24"/>
                <w:szCs w:val="24"/>
                <w:color w:val="4D5357"/>
                <w:vertAlign w:val="superscript"/>
              </w:rPr>
              <w:t>th</w:t>
            </w:r>
          </w:p>
        </w:tc>
        <w:tc>
          <w:tcPr>
            <w:tcW w:w="2120" w:type="dxa"/>
            <w:vAlign w:val="bottom"/>
            <w:tcBorders>
              <w:bottom w:val="single" w:sz="8" w:color="4D5357"/>
            </w:tcBorders>
          </w:tcPr>
          <w:p>
            <w:pPr>
              <w:ind w:left="640"/>
              <w:spacing w:after="0"/>
              <w:rPr>
                <w:sz w:val="20"/>
                <w:szCs w:val="20"/>
                <w:color w:val="auto"/>
              </w:rPr>
            </w:pPr>
            <w:r>
              <w:rPr>
                <w:rFonts w:ascii="Arial" w:cs="Arial" w:eastAsia="Arial" w:hAnsi="Arial"/>
                <w:sz w:val="16"/>
                <w:szCs w:val="16"/>
                <w:color w:val="4D5357"/>
              </w:rPr>
              <w:t>-20% (Threshold)</w:t>
            </w:r>
          </w:p>
        </w:tc>
        <w:tc>
          <w:tcPr>
            <w:tcW w:w="230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Plan Level minus $2.04B</w:t>
            </w:r>
          </w:p>
        </w:tc>
        <w:tc>
          <w:tcPr>
            <w:tcW w:w="166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50% (Threshold)</w:t>
            </w:r>
          </w:p>
        </w:tc>
        <w:tc>
          <w:tcPr>
            <w:tcW w:w="21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Plan Level minus 4.0%</w:t>
            </w:r>
          </w:p>
        </w:tc>
        <w:tc>
          <w:tcPr>
            <w:tcW w:w="13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50% (Threshold)</w:t>
            </w:r>
          </w:p>
        </w:tc>
      </w:tr>
      <w:tr>
        <w:trPr>
          <w:trHeight w:val="270"/>
        </w:trPr>
        <w:tc>
          <w:tcPr>
            <w:tcW w:w="1460" w:type="dxa"/>
            <w:vAlign w:val="bottom"/>
            <w:tcBorders>
              <w:bottom w:val="single" w:sz="8" w:color="4D5357"/>
            </w:tcBorders>
          </w:tcPr>
          <w:p>
            <w:pPr>
              <w:spacing w:after="0"/>
              <w:rPr>
                <w:sz w:val="23"/>
                <w:szCs w:val="23"/>
                <w:color w:val="auto"/>
              </w:rPr>
            </w:pPr>
          </w:p>
        </w:tc>
        <w:tc>
          <w:tcPr>
            <w:tcW w:w="2120" w:type="dxa"/>
            <w:vAlign w:val="bottom"/>
            <w:tcBorders>
              <w:bottom w:val="single" w:sz="8" w:color="4D5357"/>
            </w:tcBorders>
          </w:tcPr>
          <w:p>
            <w:pPr>
              <w:spacing w:after="0"/>
              <w:rPr>
                <w:sz w:val="23"/>
                <w:szCs w:val="23"/>
                <w:color w:val="auto"/>
              </w:rPr>
            </w:pPr>
          </w:p>
        </w:tc>
        <w:tc>
          <w:tcPr>
            <w:tcW w:w="230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Plan Level minus &gt; $2.04B</w:t>
            </w:r>
          </w:p>
        </w:tc>
        <w:tc>
          <w:tcPr>
            <w:tcW w:w="166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0%</w:t>
            </w:r>
          </w:p>
        </w:tc>
        <w:tc>
          <w:tcPr>
            <w:tcW w:w="21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Plan Level minus &gt; 4.0%</w:t>
            </w:r>
          </w:p>
        </w:tc>
        <w:tc>
          <w:tcPr>
            <w:tcW w:w="13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0%</w:t>
            </w:r>
          </w:p>
        </w:tc>
      </w:tr>
    </w:tbl>
    <w:p>
      <w:pPr>
        <w:spacing w:after="0" w:line="198" w:lineRule="exact"/>
        <w:rPr>
          <w:sz w:val="20"/>
          <w:szCs w:val="20"/>
          <w:color w:val="auto"/>
        </w:rPr>
      </w:pPr>
    </w:p>
    <w:p>
      <w:pPr>
        <w:ind w:left="324" w:right="200" w:hanging="324"/>
        <w:spacing w:after="0" w:line="233" w:lineRule="auto"/>
        <w:tabs>
          <w:tab w:leader="none" w:pos="324" w:val="left"/>
        </w:tabs>
        <w:numPr>
          <w:ilvl w:val="0"/>
          <w:numId w:val="87"/>
        </w:numPr>
        <w:rPr>
          <w:rFonts w:ascii="Arial" w:cs="Arial" w:eastAsia="Arial" w:hAnsi="Arial"/>
          <w:sz w:val="13"/>
          <w:szCs w:val="13"/>
          <w:color w:val="333333"/>
        </w:rPr>
      </w:pPr>
      <w:r>
        <w:rPr>
          <w:rFonts w:ascii="Arial" w:cs="Arial" w:eastAsia="Arial" w:hAnsi="Arial"/>
          <w:sz w:val="13"/>
          <w:szCs w:val="13"/>
          <w:color w:val="333333"/>
        </w:rPr>
        <w:t>rTSR is calculated as (i) the average of our closing stock price over the final 20 trading days of the measurement period, minus the average of our closing stock price over the first 20 trading days of the measurement period, plus the value of reinvested dividends divided by (ii) the average of our closing stock price over the first 20 trading days of the measurement period, and is measured against each of the companies in the S&amp;P 500 index (excluding any Companies acquired during the measurement period).</w:t>
      </w:r>
    </w:p>
    <w:p>
      <w:pPr>
        <w:spacing w:after="0" w:line="37" w:lineRule="exact"/>
        <w:rPr>
          <w:sz w:val="20"/>
          <w:szCs w:val="20"/>
          <w:color w:val="auto"/>
        </w:rPr>
      </w:pPr>
    </w:p>
    <w:p>
      <w:pPr>
        <w:ind w:left="324" w:hanging="324"/>
        <w:spacing w:after="0"/>
        <w:tabs>
          <w:tab w:leader="none" w:pos="324" w:val="left"/>
        </w:tabs>
        <w:numPr>
          <w:ilvl w:val="0"/>
          <w:numId w:val="88"/>
        </w:numPr>
        <w:rPr>
          <w:rFonts w:ascii="Arial" w:cs="Arial" w:eastAsia="Arial" w:hAnsi="Arial"/>
          <w:sz w:val="13"/>
          <w:szCs w:val="13"/>
          <w:color w:val="333333"/>
        </w:rPr>
      </w:pPr>
      <w:r>
        <w:rPr>
          <w:rFonts w:ascii="Arial" w:cs="Arial" w:eastAsia="Arial" w:hAnsi="Arial"/>
          <w:sz w:val="13"/>
          <w:szCs w:val="13"/>
          <w:color w:val="333333"/>
        </w:rPr>
        <w:t>Threshold and maximum are a percentage of the target.</w:t>
      </w:r>
    </w:p>
    <w:p>
      <w:pPr>
        <w:spacing w:after="0" w:line="53" w:lineRule="exact"/>
        <w:rPr>
          <w:rFonts w:ascii="Arial" w:cs="Arial" w:eastAsia="Arial" w:hAnsi="Arial"/>
          <w:sz w:val="13"/>
          <w:szCs w:val="13"/>
          <w:color w:val="333333"/>
        </w:rPr>
      </w:pPr>
    </w:p>
    <w:p>
      <w:pPr>
        <w:ind w:left="324" w:right="200" w:hanging="324"/>
        <w:spacing w:after="0" w:line="243" w:lineRule="auto"/>
        <w:tabs>
          <w:tab w:leader="none" w:pos="324" w:val="left"/>
        </w:tabs>
        <w:numPr>
          <w:ilvl w:val="0"/>
          <w:numId w:val="89"/>
        </w:numPr>
        <w:rPr>
          <w:rFonts w:ascii="Arial" w:cs="Arial" w:eastAsia="Arial" w:hAnsi="Arial"/>
          <w:sz w:val="13"/>
          <w:szCs w:val="13"/>
          <w:color w:val="333333"/>
        </w:rPr>
      </w:pPr>
      <w:r>
        <w:rPr>
          <w:rFonts w:ascii="Arial" w:cs="Arial" w:eastAsia="Arial" w:hAnsi="Arial"/>
          <w:sz w:val="13"/>
          <w:szCs w:val="13"/>
          <w:color w:val="333333"/>
        </w:rPr>
        <w:t>Adjusted EBITDA for this purpose is calculated in the same manner as set forth in the reconciliations as provided in Appendix B, which includes adjustments for certain nonrecurring items in accordance with the award agreements.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2023-2025 PSU Award Payouts</w:t>
      </w:r>
    </w:p>
    <w:p>
      <w:pPr>
        <w:spacing w:after="0" w:line="123" w:lineRule="exact"/>
        <w:rPr>
          <w:sz w:val="20"/>
          <w:szCs w:val="20"/>
          <w:color w:val="auto"/>
        </w:rPr>
      </w:pPr>
    </w:p>
    <w:p>
      <w:pPr>
        <w:ind w:left="4" w:right="100"/>
        <w:spacing w:after="0" w:line="256" w:lineRule="auto"/>
        <w:rPr>
          <w:sz w:val="20"/>
          <w:szCs w:val="20"/>
          <w:color w:val="auto"/>
        </w:rPr>
      </w:pPr>
      <w:r>
        <w:rPr>
          <w:rFonts w:ascii="Arial" w:cs="Arial" w:eastAsia="Arial" w:hAnsi="Arial"/>
          <w:sz w:val="16"/>
          <w:szCs w:val="16"/>
          <w:color w:val="333333"/>
        </w:rPr>
        <w:t>PSUs that were granted in 2023 were structured similarly to the PSUs awarded in 2025. These PSUs vested on December 31, 2025, because the applicable performance criteria were satisfied, and were certified and paid out in February 2026. The PSU payouts for the three-year performance period ended December 31, 2025 were calculated by comparing actual corporate performance for each metric for the period January 1, 2023 through December 31, 2025, against a table of payment levels from 0% to 200% (with the 100% payout level being considered target) established at the beginning of the performance period.</w:t>
      </w:r>
    </w:p>
    <w:p>
      <w:pPr>
        <w:spacing w:after="0" w:line="72" w:lineRule="exact"/>
        <w:rPr>
          <w:sz w:val="20"/>
          <w:szCs w:val="20"/>
          <w:color w:val="auto"/>
        </w:rPr>
      </w:pPr>
    </w:p>
    <w:p>
      <w:pPr>
        <w:ind w:left="4" w:right="120"/>
        <w:spacing w:after="0" w:line="256" w:lineRule="auto"/>
        <w:rPr>
          <w:sz w:val="20"/>
          <w:szCs w:val="20"/>
          <w:color w:val="auto"/>
        </w:rPr>
      </w:pPr>
      <w:r>
        <w:rPr>
          <w:rFonts w:ascii="Arial" w:cs="Arial" w:eastAsia="Arial" w:hAnsi="Arial"/>
          <w:sz w:val="16"/>
          <w:szCs w:val="16"/>
          <w:color w:val="333333"/>
        </w:rPr>
        <w:t>For the three-year performance period ended December 31, 2025, the actual results were 217% of target. The results were above the targeted level for each metric. Adjusted EBITDA (weighted 67%) was $6.44 billion compared to our pre-established target of $5.66 billion and generated a 134% weighted payout factor and Sales Growth (weighted 33%) was 14.35% compared to our pre-established target of 11.0% and generated a 46.9% weighted payout factor. The rTSR modifier, which provides for an adjustment up or down of up to 20%, resulted in a 120% adjustment as our TSR over the three-year measurement period was at the 83.1 percentile of S&amp;P 500 companies over the same period.</w:t>
      </w:r>
    </w:p>
    <w:p>
      <w:pPr>
        <w:spacing w:after="0" w:line="72"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333333"/>
        </w:rPr>
        <w:t>The awards are calculated pursuant to the provisions provided in the award agreements. The Committee cannot make any adjustments to the final payout factor beyond the adjustments specified in the award agreements.</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1720" w:type="dxa"/>
            <w:vAlign w:val="bottom"/>
          </w:tcPr>
          <w:p>
            <w:pPr>
              <w:jc w:val="center"/>
              <w:ind w:left="319"/>
              <w:spacing w:after="0"/>
              <w:rPr>
                <w:sz w:val="20"/>
                <w:szCs w:val="20"/>
                <w:color w:val="auto"/>
              </w:rPr>
            </w:pPr>
            <w:r>
              <w:rPr>
                <w:rFonts w:ascii="Arial" w:cs="Arial" w:eastAsia="Arial" w:hAnsi="Arial"/>
                <w:sz w:val="16"/>
                <w:szCs w:val="16"/>
                <w:b w:val="1"/>
                <w:bCs w:val="1"/>
                <w:color w:val="0086CC"/>
              </w:rPr>
              <w:t>THRESHOLD</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0086CC"/>
              </w:rPr>
              <w:t>PERFORMANCE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0086CC"/>
              </w:rPr>
              <w:t>MAXIMUM</w:t>
            </w:r>
          </w:p>
        </w:tc>
        <w:tc>
          <w:tcPr>
            <w:tcW w:w="1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1720" w:type="dxa"/>
            <w:vAlign w:val="bottom"/>
          </w:tcPr>
          <w:p>
            <w:pPr>
              <w:jc w:val="center"/>
              <w:ind w:left="299"/>
              <w:spacing w:after="0"/>
              <w:rPr>
                <w:sz w:val="20"/>
                <w:szCs w:val="20"/>
                <w:color w:val="auto"/>
              </w:rPr>
            </w:pPr>
            <w:r>
              <w:rPr>
                <w:rFonts w:ascii="Arial" w:cs="Arial" w:eastAsia="Arial" w:hAnsi="Arial"/>
                <w:sz w:val="16"/>
                <w:szCs w:val="16"/>
                <w:b w:val="1"/>
                <w:bCs w:val="1"/>
                <w:color w:val="0086CC"/>
              </w:rPr>
              <w:t>TARGET</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0086CC"/>
              </w:rPr>
              <w:t>TARGET</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0086CC"/>
              </w:rPr>
              <w:t>TARGET</w:t>
            </w: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0086CC"/>
              </w:rPr>
              <w:t>PERFORMANCE</w:t>
            </w:r>
          </w:p>
        </w:tc>
        <w:tc>
          <w:tcPr>
            <w:tcW w:w="1200" w:type="dxa"/>
            <w:vAlign w:val="bottom"/>
          </w:tcPr>
          <w:p>
            <w:pPr>
              <w:spacing w:after="0"/>
              <w:rPr>
                <w:sz w:val="16"/>
                <w:szCs w:val="16"/>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b w:val="1"/>
                <w:bCs w:val="1"/>
                <w:color w:val="0086CC"/>
              </w:rPr>
              <w:t>WEIGHTED</w:t>
            </w:r>
          </w:p>
        </w:tc>
      </w:tr>
      <w:tr>
        <w:trPr>
          <w:trHeight w:val="240"/>
        </w:trPr>
        <w:tc>
          <w:tcPr>
            <w:tcW w:w="202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MEASURE</w:t>
            </w:r>
          </w:p>
        </w:tc>
        <w:tc>
          <w:tcPr>
            <w:tcW w:w="1720" w:type="dxa"/>
            <w:vAlign w:val="bottom"/>
            <w:tcBorders>
              <w:bottom w:val="single" w:sz="8" w:color="0086CC"/>
            </w:tcBorders>
          </w:tcPr>
          <w:p>
            <w:pPr>
              <w:jc w:val="center"/>
              <w:ind w:left="319"/>
              <w:spacing w:after="0"/>
              <w:rPr>
                <w:sz w:val="20"/>
                <w:szCs w:val="20"/>
                <w:color w:val="auto"/>
              </w:rPr>
            </w:pPr>
            <w:r>
              <w:rPr>
                <w:rFonts w:ascii="Arial" w:cs="Arial" w:eastAsia="Arial" w:hAnsi="Arial"/>
                <w:sz w:val="16"/>
                <w:szCs w:val="16"/>
                <w:b w:val="1"/>
                <w:bCs w:val="1"/>
                <w:color w:val="0086CC"/>
              </w:rPr>
              <w:t>(50%)</w:t>
            </w:r>
          </w:p>
        </w:tc>
        <w:tc>
          <w:tcPr>
            <w:tcW w:w="154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rPr>
              <w:t>(100%)</w:t>
            </w:r>
          </w:p>
        </w:tc>
        <w:tc>
          <w:tcPr>
            <w:tcW w:w="132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rPr>
              <w:t>(200%)</w:t>
            </w:r>
          </w:p>
        </w:tc>
        <w:tc>
          <w:tcPr>
            <w:tcW w:w="1500" w:type="dxa"/>
            <w:vAlign w:val="bottom"/>
            <w:tcBorders>
              <w:bottom w:val="single" w:sz="8" w:color="0086CC"/>
            </w:tcBorders>
          </w:tcPr>
          <w:p>
            <w:pPr>
              <w:jc w:val="right"/>
              <w:ind w:right="359"/>
              <w:spacing w:after="0"/>
              <w:rPr>
                <w:sz w:val="20"/>
                <w:szCs w:val="20"/>
                <w:color w:val="auto"/>
              </w:rPr>
            </w:pPr>
            <w:r>
              <w:rPr>
                <w:rFonts w:ascii="Arial" w:cs="Arial" w:eastAsia="Arial" w:hAnsi="Arial"/>
                <w:sz w:val="16"/>
                <w:szCs w:val="16"/>
                <w:b w:val="1"/>
                <w:bCs w:val="1"/>
                <w:color w:val="0086CC"/>
              </w:rPr>
              <w:t>RESULT</w:t>
            </w:r>
          </w:p>
        </w:tc>
        <w:tc>
          <w:tcPr>
            <w:tcW w:w="1200" w:type="dxa"/>
            <w:vAlign w:val="bottom"/>
            <w:tcBorders>
              <w:bottom w:val="single" w:sz="8" w:color="0086CC"/>
            </w:tcBorders>
          </w:tcPr>
          <w:p>
            <w:pPr>
              <w:jc w:val="right"/>
              <w:ind w:right="59"/>
              <w:spacing w:after="0"/>
              <w:rPr>
                <w:sz w:val="20"/>
                <w:szCs w:val="20"/>
                <w:color w:val="auto"/>
              </w:rPr>
            </w:pPr>
            <w:r>
              <w:rPr>
                <w:rFonts w:ascii="Arial" w:cs="Arial" w:eastAsia="Arial" w:hAnsi="Arial"/>
                <w:sz w:val="16"/>
                <w:szCs w:val="16"/>
                <w:b w:val="1"/>
                <w:bCs w:val="1"/>
                <w:color w:val="0086CC"/>
              </w:rPr>
              <w:t>WEIGHTING</w:t>
            </w:r>
          </w:p>
        </w:tc>
        <w:tc>
          <w:tcPr>
            <w:tcW w:w="1720" w:type="dxa"/>
            <w:vAlign w:val="bottom"/>
            <w:tcBorders>
              <w:bottom w:val="single" w:sz="8" w:color="0086CC"/>
            </w:tcBorders>
          </w:tcPr>
          <w:p>
            <w:pPr>
              <w:jc w:val="right"/>
              <w:ind w:right="119"/>
              <w:spacing w:after="0"/>
              <w:rPr>
                <w:sz w:val="20"/>
                <w:szCs w:val="20"/>
                <w:color w:val="auto"/>
              </w:rPr>
            </w:pPr>
            <w:r>
              <w:rPr>
                <w:rFonts w:ascii="Arial" w:cs="Arial" w:eastAsia="Arial" w:hAnsi="Arial"/>
                <w:sz w:val="16"/>
                <w:szCs w:val="16"/>
                <w:b w:val="1"/>
                <w:bCs w:val="1"/>
                <w:color w:val="0086CC"/>
              </w:rPr>
              <w:t>PAYOUT EARNED</w:t>
            </w:r>
          </w:p>
        </w:tc>
      </w:tr>
      <w:tr>
        <w:trPr>
          <w:trHeight w:val="263"/>
        </w:trPr>
        <w:tc>
          <w:tcPr>
            <w:tcW w:w="20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Adjusted EBITDA</w:t>
            </w:r>
          </w:p>
        </w:tc>
        <w:tc>
          <w:tcPr>
            <w:tcW w:w="172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$4.09B</w:t>
            </w:r>
          </w:p>
        </w:tc>
        <w:tc>
          <w:tcPr>
            <w:tcW w:w="154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$5.66B</w:t>
            </w:r>
          </w:p>
        </w:tc>
        <w:tc>
          <w:tcPr>
            <w:tcW w:w="132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$6.06B</w:t>
            </w:r>
          </w:p>
        </w:tc>
        <w:tc>
          <w:tcPr>
            <w:tcW w:w="150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$6.44B</w:t>
            </w:r>
          </w:p>
        </w:tc>
        <w:tc>
          <w:tcPr>
            <w:tcW w:w="120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67%</w:t>
            </w:r>
          </w:p>
        </w:tc>
        <w:tc>
          <w:tcPr>
            <w:tcW w:w="172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134%</w:t>
            </w:r>
          </w:p>
        </w:tc>
      </w:tr>
      <w:tr>
        <w:trPr>
          <w:trHeight w:val="263"/>
        </w:trPr>
        <w:tc>
          <w:tcPr>
            <w:tcW w:w="20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Sales Growth</w:t>
            </w:r>
          </w:p>
        </w:tc>
        <w:tc>
          <w:tcPr>
            <w:tcW w:w="172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4.0%</w:t>
            </w:r>
          </w:p>
        </w:tc>
        <w:tc>
          <w:tcPr>
            <w:tcW w:w="154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11.0%</w:t>
            </w:r>
          </w:p>
        </w:tc>
        <w:tc>
          <w:tcPr>
            <w:tcW w:w="132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19.0%</w:t>
            </w:r>
          </w:p>
        </w:tc>
        <w:tc>
          <w:tcPr>
            <w:tcW w:w="150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14.35%</w:t>
            </w:r>
          </w:p>
        </w:tc>
        <w:tc>
          <w:tcPr>
            <w:tcW w:w="120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33%</w:t>
            </w:r>
          </w:p>
        </w:tc>
        <w:tc>
          <w:tcPr>
            <w:tcW w:w="172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47%</w:t>
            </w:r>
          </w:p>
        </w:tc>
      </w:tr>
      <w:tr>
        <w:trPr>
          <w:trHeight w:val="267"/>
        </w:trPr>
        <w:tc>
          <w:tcPr>
            <w:tcW w:w="20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Relative TSR</w:t>
            </w:r>
          </w:p>
        </w:tc>
        <w:tc>
          <w:tcPr>
            <w:tcW w:w="1720" w:type="dxa"/>
            <w:vAlign w:val="bottom"/>
            <w:tcBorders>
              <w:bottom w:val="single" w:sz="8" w:color="4D5357"/>
            </w:tcBorders>
          </w:tcPr>
          <w:p>
            <w:pPr>
              <w:jc w:val="right"/>
              <w:ind w:right="39"/>
              <w:spacing w:after="0" w:line="267" w:lineRule="exact"/>
              <w:rPr>
                <w:sz w:val="20"/>
                <w:szCs w:val="20"/>
                <w:color w:val="auto"/>
              </w:rPr>
            </w:pPr>
            <w:r>
              <w:rPr>
                <w:rFonts w:ascii="Arial" w:cs="Arial" w:eastAsia="Arial" w:hAnsi="Arial"/>
                <w:sz w:val="16"/>
                <w:szCs w:val="16"/>
                <w:color w:val="4D5357"/>
              </w:rPr>
              <w:t>25</w:t>
            </w:r>
            <w:r>
              <w:rPr>
                <w:rFonts w:ascii="Arial" w:cs="Arial" w:eastAsia="Arial" w:hAnsi="Arial"/>
                <w:sz w:val="24"/>
                <w:szCs w:val="24"/>
                <w:color w:val="4D5357"/>
                <w:vertAlign w:val="superscript"/>
              </w:rPr>
              <w:t>th</w:t>
            </w:r>
            <w:r>
              <w:rPr>
                <w:rFonts w:ascii="Arial" w:cs="Arial" w:eastAsia="Arial" w:hAnsi="Arial"/>
                <w:sz w:val="16"/>
                <w:szCs w:val="16"/>
                <w:color w:val="4D5357"/>
              </w:rPr>
              <w:t xml:space="preserve"> Percentile</w:t>
            </w:r>
          </w:p>
        </w:tc>
        <w:tc>
          <w:tcPr>
            <w:tcW w:w="1540" w:type="dxa"/>
            <w:vAlign w:val="bottom"/>
            <w:tcBorders>
              <w:bottom w:val="single" w:sz="8" w:color="4D5357"/>
            </w:tcBorders>
          </w:tcPr>
          <w:p>
            <w:pPr>
              <w:jc w:val="right"/>
              <w:ind w:right="59"/>
              <w:spacing w:after="0" w:line="267" w:lineRule="exact"/>
              <w:rPr>
                <w:sz w:val="20"/>
                <w:szCs w:val="20"/>
                <w:color w:val="auto"/>
              </w:rPr>
            </w:pPr>
            <w:r>
              <w:rPr>
                <w:rFonts w:ascii="Arial" w:cs="Arial" w:eastAsia="Arial" w:hAnsi="Arial"/>
                <w:sz w:val="16"/>
                <w:szCs w:val="16"/>
                <w:color w:val="4D5357"/>
              </w:rPr>
              <w:t>50</w:t>
            </w:r>
            <w:r>
              <w:rPr>
                <w:rFonts w:ascii="Arial" w:cs="Arial" w:eastAsia="Arial" w:hAnsi="Arial"/>
                <w:sz w:val="24"/>
                <w:szCs w:val="24"/>
                <w:color w:val="4D5357"/>
                <w:vertAlign w:val="superscript"/>
              </w:rPr>
              <w:t>th</w:t>
            </w:r>
            <w:r>
              <w:rPr>
                <w:rFonts w:ascii="Arial" w:cs="Arial" w:eastAsia="Arial" w:hAnsi="Arial"/>
                <w:sz w:val="16"/>
                <w:szCs w:val="16"/>
                <w:color w:val="4D5357"/>
              </w:rPr>
              <w:t xml:space="preserve"> Percentile</w:t>
            </w:r>
          </w:p>
        </w:tc>
        <w:tc>
          <w:tcPr>
            <w:tcW w:w="1320" w:type="dxa"/>
            <w:vAlign w:val="bottom"/>
            <w:tcBorders>
              <w:bottom w:val="single" w:sz="8" w:color="4D5357"/>
            </w:tcBorders>
          </w:tcPr>
          <w:p>
            <w:pPr>
              <w:jc w:val="right"/>
              <w:ind w:right="39"/>
              <w:spacing w:after="0" w:line="267" w:lineRule="exact"/>
              <w:rPr>
                <w:sz w:val="20"/>
                <w:szCs w:val="20"/>
                <w:color w:val="auto"/>
              </w:rPr>
            </w:pPr>
            <w:r>
              <w:rPr>
                <w:rFonts w:ascii="Arial" w:cs="Arial" w:eastAsia="Arial" w:hAnsi="Arial"/>
                <w:sz w:val="16"/>
                <w:szCs w:val="16"/>
                <w:color w:val="4D5357"/>
              </w:rPr>
              <w:t>75</w:t>
            </w:r>
            <w:r>
              <w:rPr>
                <w:rFonts w:ascii="Arial" w:cs="Arial" w:eastAsia="Arial" w:hAnsi="Arial"/>
                <w:sz w:val="24"/>
                <w:szCs w:val="24"/>
                <w:color w:val="4D5357"/>
                <w:vertAlign w:val="superscript"/>
              </w:rPr>
              <w:t>th</w:t>
            </w:r>
            <w:r>
              <w:rPr>
                <w:rFonts w:ascii="Arial" w:cs="Arial" w:eastAsia="Arial" w:hAnsi="Arial"/>
                <w:sz w:val="16"/>
                <w:szCs w:val="16"/>
                <w:color w:val="4D5357"/>
              </w:rPr>
              <w:t xml:space="preserve"> Percentile</w:t>
            </w:r>
          </w:p>
        </w:tc>
        <w:tc>
          <w:tcPr>
            <w:tcW w:w="150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83.1 Percentile</w:t>
            </w:r>
          </w:p>
        </w:tc>
        <w:tc>
          <w:tcPr>
            <w:tcW w:w="120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+/-20%</w:t>
            </w:r>
          </w:p>
        </w:tc>
        <w:tc>
          <w:tcPr>
            <w:tcW w:w="172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120% of total award</w:t>
            </w:r>
          </w:p>
        </w:tc>
      </w:tr>
      <w:tr>
        <w:trPr>
          <w:trHeight w:val="270"/>
        </w:trPr>
        <w:tc>
          <w:tcPr>
            <w:tcW w:w="20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Total Final Payout</w:t>
            </w:r>
          </w:p>
        </w:tc>
        <w:tc>
          <w:tcPr>
            <w:tcW w:w="1720" w:type="dxa"/>
            <w:vAlign w:val="bottom"/>
            <w:tcBorders>
              <w:bottom w:val="single" w:sz="8" w:color="4D5357"/>
            </w:tcBorders>
          </w:tcPr>
          <w:p>
            <w:pPr>
              <w:spacing w:after="0"/>
              <w:rPr>
                <w:sz w:val="23"/>
                <w:szCs w:val="23"/>
                <w:color w:val="auto"/>
              </w:rPr>
            </w:pPr>
          </w:p>
        </w:tc>
        <w:tc>
          <w:tcPr>
            <w:tcW w:w="1540" w:type="dxa"/>
            <w:vAlign w:val="bottom"/>
            <w:tcBorders>
              <w:bottom w:val="single" w:sz="8" w:color="4D5357"/>
            </w:tcBorders>
          </w:tcPr>
          <w:p>
            <w:pPr>
              <w:spacing w:after="0"/>
              <w:rPr>
                <w:sz w:val="23"/>
                <w:szCs w:val="23"/>
                <w:color w:val="auto"/>
              </w:rPr>
            </w:pPr>
          </w:p>
        </w:tc>
        <w:tc>
          <w:tcPr>
            <w:tcW w:w="1320" w:type="dxa"/>
            <w:vAlign w:val="bottom"/>
            <w:tcBorders>
              <w:bottom w:val="single" w:sz="8" w:color="4D5357"/>
            </w:tcBorders>
          </w:tcPr>
          <w:p>
            <w:pPr>
              <w:spacing w:after="0"/>
              <w:rPr>
                <w:sz w:val="23"/>
                <w:szCs w:val="23"/>
                <w:color w:val="auto"/>
              </w:rPr>
            </w:pPr>
          </w:p>
        </w:tc>
        <w:tc>
          <w:tcPr>
            <w:tcW w:w="1500" w:type="dxa"/>
            <w:vAlign w:val="bottom"/>
            <w:tcBorders>
              <w:bottom w:val="single" w:sz="8" w:color="4D5357"/>
            </w:tcBorders>
          </w:tcPr>
          <w:p>
            <w:pPr>
              <w:spacing w:after="0"/>
              <w:rPr>
                <w:sz w:val="23"/>
                <w:szCs w:val="23"/>
                <w:color w:val="auto"/>
              </w:rPr>
            </w:pPr>
          </w:p>
        </w:tc>
        <w:tc>
          <w:tcPr>
            <w:tcW w:w="1200" w:type="dxa"/>
            <w:vAlign w:val="bottom"/>
            <w:tcBorders>
              <w:bottom w:val="single" w:sz="8" w:color="4D5357"/>
            </w:tcBorders>
          </w:tcPr>
          <w:p>
            <w:pPr>
              <w:spacing w:after="0"/>
              <w:rPr>
                <w:sz w:val="23"/>
                <w:szCs w:val="23"/>
                <w:color w:val="auto"/>
              </w:rPr>
            </w:pPr>
          </w:p>
        </w:tc>
        <w:tc>
          <w:tcPr>
            <w:tcW w:w="172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217% of target</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333333"/>
        </w:rPr>
        <w:t>Based on a weighted payout factor of 217%, the following table shows the payouts under the 2023-2025 PSUs.</w:t>
      </w:r>
    </w:p>
    <w:p>
      <w:pPr>
        <w:spacing w:after="0" w:line="221" w:lineRule="exact"/>
        <w:rPr>
          <w:sz w:val="20"/>
          <w:szCs w:val="20"/>
          <w:color w:val="auto"/>
        </w:rPr>
      </w:pPr>
    </w:p>
    <w:p>
      <w:pPr>
        <w:jc w:val="center"/>
        <w:ind w:right="-63"/>
        <w:spacing w:after="0"/>
        <w:rPr>
          <w:sz w:val="20"/>
          <w:szCs w:val="20"/>
          <w:color w:val="auto"/>
        </w:rPr>
      </w:pPr>
      <w:r>
        <w:rPr>
          <w:rFonts w:ascii="Arial" w:cs="Arial" w:eastAsia="Arial" w:hAnsi="Arial"/>
          <w:sz w:val="16"/>
          <w:szCs w:val="16"/>
          <w:b w:val="1"/>
          <w:bCs w:val="1"/>
          <w:color w:val="0086CC"/>
        </w:rPr>
        <w:t>PAYMENT CALCULATION FOR PSU AWARDS GRANTED IN 2023</w:t>
      </w:r>
    </w:p>
    <w:p>
      <w:pPr>
        <w:spacing w:after="0" w:line="21" w:lineRule="exact"/>
        <w:rPr>
          <w:sz w:val="20"/>
          <w:szCs w:val="20"/>
          <w:color w:val="auto"/>
        </w:rPr>
      </w:pPr>
    </w:p>
    <w:p>
      <w:pPr>
        <w:jc w:val="center"/>
        <w:ind w:right="-63"/>
        <w:spacing w:after="0"/>
        <w:rPr>
          <w:sz w:val="20"/>
          <w:szCs w:val="20"/>
          <w:color w:val="auto"/>
        </w:rPr>
      </w:pPr>
      <w:r>
        <w:rPr>
          <w:rFonts w:ascii="Arial" w:cs="Arial" w:eastAsia="Arial" w:hAnsi="Arial"/>
          <w:sz w:val="16"/>
          <w:szCs w:val="16"/>
          <w:b w:val="1"/>
          <w:bCs w:val="1"/>
          <w:color w:val="0086CC"/>
        </w:rPr>
        <w:t>CERTIFIED ON FEBRUARY 21, 2026</w:t>
      </w:r>
    </w:p>
    <w:p>
      <w:pPr>
        <w:spacing w:after="0" w:line="30"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6160" w:type="dxa"/>
            <w:vAlign w:val="bottom"/>
          </w:tcPr>
          <w:p>
            <w:pPr>
              <w:jc w:val="right"/>
              <w:ind w:right="539"/>
              <w:spacing w:after="0"/>
              <w:rPr>
                <w:sz w:val="20"/>
                <w:szCs w:val="20"/>
                <w:color w:val="auto"/>
              </w:rPr>
            </w:pPr>
            <w:r>
              <w:rPr>
                <w:rFonts w:ascii="Arial" w:cs="Arial" w:eastAsia="Arial" w:hAnsi="Arial"/>
                <w:sz w:val="16"/>
                <w:szCs w:val="16"/>
                <w:b w:val="1"/>
                <w:bCs w:val="1"/>
                <w:color w:val="0086CC"/>
              </w:rPr>
              <w:t>TARGET UNITS GRANTED</w:t>
            </w:r>
          </w:p>
        </w:tc>
        <w:tc>
          <w:tcPr>
            <w:tcW w:w="1700" w:type="dxa"/>
            <w:vAlign w:val="bottom"/>
          </w:tcPr>
          <w:p>
            <w:pPr>
              <w:jc w:val="right"/>
              <w:ind w:right="239"/>
              <w:spacing w:after="0"/>
              <w:rPr>
                <w:sz w:val="20"/>
                <w:szCs w:val="20"/>
                <w:color w:val="auto"/>
              </w:rPr>
            </w:pPr>
            <w:r>
              <w:rPr>
                <w:rFonts w:ascii="Arial" w:cs="Arial" w:eastAsia="Arial" w:hAnsi="Arial"/>
                <w:sz w:val="16"/>
                <w:szCs w:val="16"/>
                <w:b w:val="1"/>
                <w:bCs w:val="1"/>
                <w:color w:val="0086CC"/>
              </w:rPr>
              <w:t>PAYOUT</w:t>
            </w:r>
          </w:p>
        </w:tc>
      </w:tr>
      <w:tr>
        <w:trPr>
          <w:trHeight w:val="240"/>
        </w:trPr>
        <w:tc>
          <w:tcPr>
            <w:tcW w:w="316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NEO</w:t>
            </w:r>
          </w:p>
        </w:tc>
        <w:tc>
          <w:tcPr>
            <w:tcW w:w="6160" w:type="dxa"/>
            <w:vAlign w:val="bottom"/>
            <w:tcBorders>
              <w:bottom w:val="single" w:sz="8" w:color="0086CC"/>
            </w:tcBorders>
          </w:tcPr>
          <w:p>
            <w:pPr>
              <w:jc w:val="right"/>
              <w:ind w:right="859"/>
              <w:spacing w:after="0"/>
              <w:rPr>
                <w:sz w:val="20"/>
                <w:szCs w:val="20"/>
                <w:color w:val="auto"/>
              </w:rPr>
            </w:pPr>
            <w:r>
              <w:rPr>
                <w:rFonts w:ascii="Arial" w:cs="Arial" w:eastAsia="Arial" w:hAnsi="Arial"/>
                <w:sz w:val="16"/>
                <w:szCs w:val="16"/>
                <w:b w:val="1"/>
                <w:bCs w:val="1"/>
                <w:color w:val="0086CC"/>
              </w:rPr>
              <w:t>IN 2023 (SHARES)</w:t>
            </w:r>
          </w:p>
        </w:tc>
        <w:tc>
          <w:tcPr>
            <w:tcW w:w="1700" w:type="dxa"/>
            <w:vAlign w:val="bottom"/>
            <w:tcBorders>
              <w:bottom w:val="single" w:sz="8" w:color="0086CC"/>
            </w:tcBorders>
          </w:tcPr>
          <w:p>
            <w:pPr>
              <w:jc w:val="right"/>
              <w:ind w:right="159"/>
              <w:spacing w:after="0"/>
              <w:rPr>
                <w:sz w:val="20"/>
                <w:szCs w:val="20"/>
                <w:color w:val="auto"/>
              </w:rPr>
            </w:pPr>
            <w:r>
              <w:rPr>
                <w:rFonts w:ascii="Arial" w:cs="Arial" w:eastAsia="Arial" w:hAnsi="Arial"/>
                <w:sz w:val="16"/>
                <w:szCs w:val="16"/>
                <w:b w:val="1"/>
                <w:bCs w:val="1"/>
                <w:color w:val="0086CC"/>
              </w:rPr>
              <w:t>(SHARES)</w:t>
            </w:r>
          </w:p>
        </w:tc>
      </w:tr>
      <w:tr>
        <w:trPr>
          <w:trHeight w:val="263"/>
        </w:trPr>
        <w:tc>
          <w:tcPr>
            <w:tcW w:w="31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 Howard Nye</w:t>
            </w:r>
          </w:p>
        </w:tc>
        <w:tc>
          <w:tcPr>
            <w:tcW w:w="6160" w:type="dxa"/>
            <w:vAlign w:val="bottom"/>
            <w:tcBorders>
              <w:bottom w:val="single" w:sz="8" w:color="4D5357"/>
            </w:tcBorders>
          </w:tcPr>
          <w:p>
            <w:pPr>
              <w:jc w:val="right"/>
              <w:ind w:right="1279"/>
              <w:spacing w:after="0"/>
              <w:rPr>
                <w:sz w:val="20"/>
                <w:szCs w:val="20"/>
                <w:color w:val="auto"/>
              </w:rPr>
            </w:pPr>
            <w:r>
              <w:rPr>
                <w:rFonts w:ascii="Arial" w:cs="Arial" w:eastAsia="Arial" w:hAnsi="Arial"/>
                <w:sz w:val="16"/>
                <w:szCs w:val="16"/>
                <w:color w:val="4D5357"/>
              </w:rPr>
              <w:t>10,305</w:t>
            </w:r>
          </w:p>
        </w:tc>
        <w:tc>
          <w:tcPr>
            <w:tcW w:w="1700" w:type="dxa"/>
            <w:vAlign w:val="bottom"/>
            <w:tcBorders>
              <w:bottom w:val="single" w:sz="8" w:color="4D5357"/>
            </w:tcBorders>
          </w:tcPr>
          <w:p>
            <w:pPr>
              <w:jc w:val="right"/>
              <w:ind w:right="279"/>
              <w:spacing w:after="0"/>
              <w:rPr>
                <w:sz w:val="20"/>
                <w:szCs w:val="20"/>
                <w:color w:val="auto"/>
              </w:rPr>
            </w:pPr>
            <w:r>
              <w:rPr>
                <w:rFonts w:ascii="Arial" w:cs="Arial" w:eastAsia="Arial" w:hAnsi="Arial"/>
                <w:sz w:val="16"/>
                <w:szCs w:val="16"/>
                <w:color w:val="4D5357"/>
              </w:rPr>
              <w:t>22,365</w:t>
            </w:r>
          </w:p>
        </w:tc>
      </w:tr>
      <w:tr>
        <w:trPr>
          <w:trHeight w:val="264"/>
        </w:trPr>
        <w:tc>
          <w:tcPr>
            <w:tcW w:w="31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Michael J. Petro</w:t>
            </w:r>
          </w:p>
        </w:tc>
        <w:tc>
          <w:tcPr>
            <w:tcW w:w="6160" w:type="dxa"/>
            <w:vAlign w:val="bottom"/>
            <w:tcBorders>
              <w:bottom w:val="single" w:sz="8" w:color="4D5357"/>
            </w:tcBorders>
          </w:tcPr>
          <w:p>
            <w:pPr>
              <w:jc w:val="right"/>
              <w:ind w:right="1279"/>
              <w:spacing w:after="0"/>
              <w:rPr>
                <w:sz w:val="20"/>
                <w:szCs w:val="20"/>
                <w:color w:val="auto"/>
              </w:rPr>
            </w:pPr>
            <w:r>
              <w:rPr>
                <w:rFonts w:ascii="Arial" w:cs="Arial" w:eastAsia="Arial" w:hAnsi="Arial"/>
                <w:sz w:val="16"/>
                <w:szCs w:val="16"/>
                <w:color w:val="4D5357"/>
              </w:rPr>
              <w:t>794</w:t>
            </w:r>
          </w:p>
        </w:tc>
        <w:tc>
          <w:tcPr>
            <w:tcW w:w="1700" w:type="dxa"/>
            <w:vAlign w:val="bottom"/>
            <w:tcBorders>
              <w:bottom w:val="single" w:sz="8" w:color="4D5357"/>
            </w:tcBorders>
          </w:tcPr>
          <w:p>
            <w:pPr>
              <w:jc w:val="right"/>
              <w:ind w:right="279"/>
              <w:spacing w:after="0"/>
              <w:rPr>
                <w:sz w:val="20"/>
                <w:szCs w:val="20"/>
                <w:color w:val="auto"/>
              </w:rPr>
            </w:pPr>
            <w:r>
              <w:rPr>
                <w:rFonts w:ascii="Arial" w:cs="Arial" w:eastAsia="Arial" w:hAnsi="Arial"/>
                <w:sz w:val="16"/>
                <w:szCs w:val="16"/>
                <w:color w:val="4D5357"/>
              </w:rPr>
              <w:t>1,724</w:t>
            </w:r>
          </w:p>
        </w:tc>
      </w:tr>
      <w:tr>
        <w:trPr>
          <w:trHeight w:val="263"/>
        </w:trPr>
        <w:tc>
          <w:tcPr>
            <w:tcW w:w="31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James A. J. Nickolas*</w:t>
            </w:r>
          </w:p>
        </w:tc>
        <w:tc>
          <w:tcPr>
            <w:tcW w:w="6160" w:type="dxa"/>
            <w:vAlign w:val="bottom"/>
            <w:tcBorders>
              <w:bottom w:val="single" w:sz="8" w:color="4D5357"/>
            </w:tcBorders>
          </w:tcPr>
          <w:p>
            <w:pPr>
              <w:jc w:val="right"/>
              <w:ind w:right="1279"/>
              <w:spacing w:after="0"/>
              <w:rPr>
                <w:sz w:val="20"/>
                <w:szCs w:val="20"/>
                <w:color w:val="auto"/>
              </w:rPr>
            </w:pPr>
            <w:r>
              <w:rPr>
                <w:rFonts w:ascii="Arial" w:cs="Arial" w:eastAsia="Arial" w:hAnsi="Arial"/>
                <w:sz w:val="16"/>
                <w:szCs w:val="16"/>
                <w:color w:val="4D5357"/>
              </w:rPr>
              <w:t>1,817</w:t>
            </w:r>
          </w:p>
        </w:tc>
        <w:tc>
          <w:tcPr>
            <w:tcW w:w="1700" w:type="dxa"/>
            <w:vAlign w:val="bottom"/>
            <w:tcBorders>
              <w:bottom w:val="single" w:sz="8" w:color="4D5357"/>
            </w:tcBorders>
          </w:tcPr>
          <w:p>
            <w:pPr>
              <w:jc w:val="right"/>
              <w:ind w:right="279"/>
              <w:spacing w:after="0"/>
              <w:rPr>
                <w:sz w:val="20"/>
                <w:szCs w:val="20"/>
                <w:color w:val="auto"/>
              </w:rPr>
            </w:pPr>
            <w:r>
              <w:rPr>
                <w:rFonts w:ascii="Arial" w:cs="Arial" w:eastAsia="Arial" w:hAnsi="Arial"/>
                <w:sz w:val="16"/>
                <w:szCs w:val="16"/>
                <w:color w:val="4D5357"/>
              </w:rPr>
              <w:t>—</w:t>
            </w:r>
          </w:p>
        </w:tc>
      </w:tr>
      <w:tr>
        <w:trPr>
          <w:trHeight w:val="264"/>
        </w:trPr>
        <w:tc>
          <w:tcPr>
            <w:tcW w:w="316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Robert J. Cardin</w:t>
            </w:r>
          </w:p>
        </w:tc>
        <w:tc>
          <w:tcPr>
            <w:tcW w:w="6160" w:type="dxa"/>
            <w:vAlign w:val="bottom"/>
            <w:tcBorders>
              <w:bottom w:val="single" w:sz="8" w:color="4D5357"/>
            </w:tcBorders>
          </w:tcPr>
          <w:p>
            <w:pPr>
              <w:jc w:val="right"/>
              <w:ind w:right="1279"/>
              <w:spacing w:after="0"/>
              <w:rPr>
                <w:sz w:val="20"/>
                <w:szCs w:val="20"/>
                <w:color w:val="auto"/>
              </w:rPr>
            </w:pPr>
            <w:r>
              <w:rPr>
                <w:rFonts w:ascii="Arial" w:cs="Arial" w:eastAsia="Arial" w:hAnsi="Arial"/>
                <w:sz w:val="16"/>
                <w:szCs w:val="16"/>
                <w:color w:val="4D5357"/>
              </w:rPr>
              <w:t>861</w:t>
            </w:r>
          </w:p>
        </w:tc>
        <w:tc>
          <w:tcPr>
            <w:tcW w:w="1700" w:type="dxa"/>
            <w:vAlign w:val="bottom"/>
            <w:tcBorders>
              <w:bottom w:val="single" w:sz="8" w:color="4D5357"/>
            </w:tcBorders>
          </w:tcPr>
          <w:p>
            <w:pPr>
              <w:jc w:val="right"/>
              <w:ind w:right="279"/>
              <w:spacing w:after="0"/>
              <w:rPr>
                <w:sz w:val="20"/>
                <w:szCs w:val="20"/>
                <w:color w:val="auto"/>
              </w:rPr>
            </w:pPr>
            <w:r>
              <w:rPr>
                <w:rFonts w:ascii="Arial" w:cs="Arial" w:eastAsia="Arial" w:hAnsi="Arial"/>
                <w:sz w:val="16"/>
                <w:szCs w:val="16"/>
                <w:color w:val="4D5357"/>
              </w:rPr>
              <w:t>1,869</w:t>
            </w:r>
          </w:p>
        </w:tc>
      </w:tr>
      <w:tr>
        <w:trPr>
          <w:trHeight w:val="577"/>
        </w:trPr>
        <w:tc>
          <w:tcPr>
            <w:tcW w:w="3160" w:type="dxa"/>
            <w:vAlign w:val="bottom"/>
          </w:tcPr>
          <w:p>
            <w:pPr>
              <w:spacing w:after="0"/>
              <w:rPr>
                <w:sz w:val="20"/>
                <w:szCs w:val="20"/>
                <w:color w:val="auto"/>
              </w:rPr>
            </w:pPr>
            <w:r>
              <w:rPr>
                <w:rFonts w:ascii="Arial" w:cs="Arial" w:eastAsia="Arial" w:hAnsi="Arial"/>
                <w:sz w:val="16"/>
                <w:szCs w:val="16"/>
                <w:color w:val="333333"/>
              </w:rPr>
              <w:t> </w:t>
            </w:r>
          </w:p>
        </w:tc>
        <w:tc>
          <w:tcPr>
            <w:tcW w:w="6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6"/>
                <w:szCs w:val="16"/>
                <w:color w:val="333333"/>
              </w:rPr>
              <w:t xml:space="preserve">               </w:t>
            </w:r>
          </w:p>
        </w:tc>
        <w:tc>
          <w:tcPr>
            <w:tcW w:w="6160" w:type="dxa"/>
            <w:vAlign w:val="bottom"/>
          </w:tcPr>
          <w:p>
            <w:pPr>
              <w:jc w:val="right"/>
              <w:ind w:right="2679"/>
              <w:spacing w:after="0"/>
              <w:rPr>
                <w:sz w:val="20"/>
                <w:szCs w:val="20"/>
                <w:color w:val="auto"/>
              </w:rPr>
            </w:pPr>
            <w:r>
              <w:rPr>
                <w:rFonts w:ascii="Arial" w:cs="Arial" w:eastAsia="Arial" w:hAnsi="Arial"/>
                <w:sz w:val="16"/>
                <w:szCs w:val="16"/>
                <w:b w:val="1"/>
                <w:bCs w:val="1"/>
                <w:color w:val="auto"/>
              </w:rPr>
              <w:t>2026 PROXY STATEMENT</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0086CC"/>
              </w:rPr>
              <w:t xml:space="preserve">69 </w:t>
            </w:r>
            <w:r>
              <w:rPr>
                <w:rFonts w:ascii="Arial" w:cs="Arial" w:eastAsia="Arial" w:hAnsi="Arial"/>
                <w:sz w:val="16"/>
                <w:szCs w:val="16"/>
                <w:color w:val="333333"/>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6995160" cy="6000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684" w:right="439" w:bottom="1440" w:gutter="0" w:footer="0" w:header="0"/>
        </w:sectPr>
      </w:pPr>
    </w:p>
    <w:bookmarkStart w:id="76" w:name="page77"/>
    <w:bookmarkEnd w:id="76"/>
    <w:tbl>
      <w:tblPr>
        <w:tblLayout w:type="fixed"/>
        <w:tblInd w:w="4" w:type="dxa"/>
        <w:tblCellMar>
          <w:top w:w="0" w:type="dxa"/>
          <w:left w:w="0" w:type="dxa"/>
          <w:bottom w:w="0" w:type="dxa"/>
          <w:right w:w="0" w:type="dxa"/>
        </w:tblCellMar>
      </w:tblPr>
      <w:tr>
        <w:trPr>
          <w:trHeight w:val="531"/>
        </w:trPr>
        <w:tc>
          <w:tcPr>
            <w:tcW w:w="2300" w:type="dxa"/>
            <w:vAlign w:val="bottom"/>
            <w:shd w:val="clear" w:color="auto" w:fill="4D5357"/>
          </w:tcPr>
          <w:p>
            <w:pPr>
              <w:ind w:left="120"/>
              <w:spacing w:after="0"/>
              <w:rPr>
                <w:sz w:val="20"/>
                <w:szCs w:val="20"/>
                <w:color w:val="auto"/>
              </w:rPr>
            </w:pPr>
            <w:r>
              <w:rPr>
                <w:rFonts w:ascii="Arial" w:cs="Arial" w:eastAsia="Arial" w:hAnsi="Arial"/>
                <w:sz w:val="14"/>
                <w:szCs w:val="14"/>
                <w:b w:val="1"/>
                <w:bCs w:val="1"/>
                <w:color w:val="FFFFFF"/>
                <w:w w:val="96"/>
              </w:rPr>
              <w:t>      Compensation Discussion </w:t>
            </w:r>
          </w:p>
        </w:tc>
        <w:tc>
          <w:tcPr>
            <w:tcW w:w="3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c>
          <w:tcPr>
            <w:tcW w:w="6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00" w:type="dxa"/>
            <w:vAlign w:val="bottom"/>
            <w:shd w:val="clear" w:color="auto" w:fill="4D5357"/>
          </w:tcPr>
          <w:p>
            <w:pPr>
              <w:ind w:left="560"/>
              <w:spacing w:after="0"/>
              <w:rPr>
                <w:sz w:val="20"/>
                <w:szCs w:val="20"/>
                <w:color w:val="auto"/>
              </w:rPr>
            </w:pPr>
            <w:r>
              <w:rPr>
                <w:rFonts w:ascii="Arial" w:cs="Arial" w:eastAsia="Arial" w:hAnsi="Arial"/>
                <w:sz w:val="14"/>
                <w:szCs w:val="14"/>
                <w:b w:val="1"/>
                <w:bCs w:val="1"/>
                <w:color w:val="FFFFFF"/>
              </w:rPr>
              <w:t xml:space="preserve">      and Analysis     </w:t>
            </w:r>
          </w:p>
        </w:tc>
        <w:tc>
          <w:tcPr>
            <w:tcW w:w="320" w:type="dxa"/>
            <w:vAlign w:val="bottom"/>
            <w:shd w:val="clear" w:color="auto" w:fill="4D5357"/>
          </w:tcPr>
          <w:p>
            <w:pPr>
              <w:spacing w:after="0"/>
              <w:rPr>
                <w:sz w:val="17"/>
                <w:szCs w:val="17"/>
                <w:color w:val="auto"/>
              </w:rPr>
            </w:pPr>
          </w:p>
        </w:tc>
        <w:tc>
          <w:tcPr>
            <w:tcW w:w="6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300" w:type="dxa"/>
            <w:vAlign w:val="bottom"/>
            <w:shd w:val="clear" w:color="auto" w:fill="4D5357"/>
          </w:tcPr>
          <w:p>
            <w:pPr>
              <w:spacing w:after="0"/>
              <w:rPr>
                <w:sz w:val="9"/>
                <w:szCs w:val="9"/>
                <w:color w:val="auto"/>
              </w:rPr>
            </w:pPr>
          </w:p>
        </w:tc>
        <w:tc>
          <w:tcPr>
            <w:tcW w:w="320" w:type="dxa"/>
            <w:vAlign w:val="bottom"/>
            <w:shd w:val="clear" w:color="auto" w:fill="4D5357"/>
          </w:tcPr>
          <w:p>
            <w:pPr>
              <w:spacing w:after="0"/>
              <w:rPr>
                <w:sz w:val="9"/>
                <w:szCs w:val="9"/>
                <w:color w:val="auto"/>
              </w:rPr>
            </w:pPr>
          </w:p>
        </w:tc>
        <w:tc>
          <w:tcPr>
            <w:tcW w:w="6860" w:type="dxa"/>
            <w:vAlign w:val="bottom"/>
            <w:vMerge w:val="restart"/>
          </w:tcPr>
          <w:p>
            <w:pPr>
              <w:jc w:val="center"/>
              <w:ind w:left="3519"/>
              <w:spacing w:after="0"/>
              <w:rPr>
                <w:sz w:val="20"/>
                <w:szCs w:val="20"/>
                <w:color w:val="auto"/>
              </w:rPr>
            </w:pPr>
            <w:r>
              <w:rPr>
                <w:rFonts w:ascii="Arial" w:cs="Arial" w:eastAsia="Arial" w:hAnsi="Arial"/>
                <w:sz w:val="16"/>
                <w:szCs w:val="16"/>
                <w:b w:val="1"/>
                <w:bCs w:val="1"/>
                <w:color w:val="0086CC"/>
              </w:rPr>
              <w:t>TARGET UNITS GRANTED</w:t>
            </w:r>
          </w:p>
        </w:tc>
        <w:tc>
          <w:tcPr>
            <w:tcW w:w="1540" w:type="dxa"/>
            <w:vAlign w:val="bottom"/>
            <w:vMerge w:val="restart"/>
          </w:tcPr>
          <w:p>
            <w:pPr>
              <w:jc w:val="center"/>
              <w:ind w:left="399"/>
              <w:spacing w:after="0"/>
              <w:rPr>
                <w:sz w:val="20"/>
                <w:szCs w:val="20"/>
                <w:color w:val="auto"/>
              </w:rPr>
            </w:pPr>
            <w:r>
              <w:rPr>
                <w:rFonts w:ascii="Arial" w:cs="Arial" w:eastAsia="Arial" w:hAnsi="Arial"/>
                <w:sz w:val="16"/>
                <w:szCs w:val="16"/>
                <w:b w:val="1"/>
                <w:bCs w:val="1"/>
                <w:color w:val="0086CC"/>
                <w:w w:val="98"/>
              </w:rPr>
              <w:t>PAYOUT</w:t>
            </w:r>
          </w:p>
        </w:tc>
        <w:tc>
          <w:tcPr>
            <w:tcW w:w="0" w:type="dxa"/>
            <w:vAlign w:val="bottom"/>
          </w:tcPr>
          <w:p>
            <w:pPr>
              <w:spacing w:after="0"/>
              <w:rPr>
                <w:sz w:val="1"/>
                <w:szCs w:val="1"/>
                <w:color w:val="auto"/>
              </w:rPr>
            </w:pPr>
          </w:p>
        </w:tc>
      </w:tr>
      <w:tr>
        <w:trPr>
          <w:trHeight w:val="323"/>
        </w:trPr>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NEO</w:t>
            </w:r>
          </w:p>
        </w:tc>
        <w:tc>
          <w:tcPr>
            <w:tcW w:w="320" w:type="dxa"/>
            <w:vAlign w:val="bottom"/>
            <w:tcBorders>
              <w:bottom w:val="single" w:sz="8" w:color="0086CC"/>
            </w:tcBorders>
          </w:tcPr>
          <w:p>
            <w:pPr>
              <w:spacing w:after="0"/>
              <w:rPr>
                <w:sz w:val="20"/>
                <w:szCs w:val="20"/>
                <w:color w:val="auto"/>
              </w:rPr>
            </w:pPr>
          </w:p>
        </w:tc>
        <w:tc>
          <w:tcPr>
            <w:tcW w:w="6860" w:type="dxa"/>
            <w:vAlign w:val="bottom"/>
            <w:tcBorders>
              <w:bottom w:val="single" w:sz="8" w:color="0086CC"/>
            </w:tcBorders>
          </w:tcPr>
          <w:p>
            <w:pPr>
              <w:jc w:val="center"/>
              <w:ind w:left="3499"/>
              <w:spacing w:after="0"/>
              <w:rPr>
                <w:sz w:val="20"/>
                <w:szCs w:val="20"/>
                <w:color w:val="auto"/>
              </w:rPr>
            </w:pPr>
            <w:r>
              <w:rPr>
                <w:rFonts w:ascii="Arial" w:cs="Arial" w:eastAsia="Arial" w:hAnsi="Arial"/>
                <w:sz w:val="16"/>
                <w:szCs w:val="16"/>
                <w:b w:val="1"/>
                <w:bCs w:val="1"/>
                <w:color w:val="0086CC"/>
              </w:rPr>
              <w:t>IN 2023 (SHARES)</w:t>
            </w:r>
          </w:p>
        </w:tc>
        <w:tc>
          <w:tcPr>
            <w:tcW w:w="1540" w:type="dxa"/>
            <w:vAlign w:val="bottom"/>
            <w:tcBorders>
              <w:bottom w:val="single" w:sz="8" w:color="0086CC"/>
            </w:tcBorders>
          </w:tcPr>
          <w:p>
            <w:pPr>
              <w:jc w:val="center"/>
              <w:ind w:left="399"/>
              <w:spacing w:after="0"/>
              <w:rPr>
                <w:sz w:val="20"/>
                <w:szCs w:val="20"/>
                <w:color w:val="auto"/>
              </w:rPr>
            </w:pPr>
            <w:r>
              <w:rPr>
                <w:rFonts w:ascii="Arial" w:cs="Arial" w:eastAsia="Arial" w:hAnsi="Arial"/>
                <w:sz w:val="16"/>
                <w:szCs w:val="16"/>
                <w:b w:val="1"/>
                <w:bCs w:val="1"/>
                <w:color w:val="0086CC"/>
              </w:rPr>
              <w:t>(SHARES)</w:t>
            </w:r>
          </w:p>
        </w:tc>
        <w:tc>
          <w:tcPr>
            <w:tcW w:w="0" w:type="dxa"/>
            <w:vAlign w:val="bottom"/>
          </w:tcPr>
          <w:p>
            <w:pPr>
              <w:spacing w:after="0"/>
              <w:rPr>
                <w:sz w:val="1"/>
                <w:szCs w:val="1"/>
                <w:color w:val="auto"/>
              </w:rPr>
            </w:pPr>
          </w:p>
        </w:tc>
      </w:tr>
      <w:tr>
        <w:trPr>
          <w:trHeight w:val="263"/>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A. McCunniff</w:t>
            </w:r>
          </w:p>
        </w:tc>
        <w:tc>
          <w:tcPr>
            <w:tcW w:w="320" w:type="dxa"/>
            <w:vAlign w:val="bottom"/>
            <w:tcBorders>
              <w:bottom w:val="single" w:sz="8" w:color="4D5357"/>
            </w:tcBorders>
          </w:tcPr>
          <w:p>
            <w:pPr>
              <w:spacing w:after="0"/>
              <w:rPr>
                <w:sz w:val="22"/>
                <w:szCs w:val="22"/>
                <w:color w:val="auto"/>
              </w:rPr>
            </w:pPr>
          </w:p>
        </w:tc>
        <w:tc>
          <w:tcPr>
            <w:tcW w:w="6860" w:type="dxa"/>
            <w:vAlign w:val="bottom"/>
            <w:tcBorders>
              <w:bottom w:val="single" w:sz="8" w:color="4D5357"/>
            </w:tcBorders>
          </w:tcPr>
          <w:p>
            <w:pPr>
              <w:ind w:left="5120"/>
              <w:spacing w:after="0"/>
              <w:rPr>
                <w:sz w:val="20"/>
                <w:szCs w:val="20"/>
                <w:color w:val="auto"/>
              </w:rPr>
            </w:pPr>
            <w:r>
              <w:rPr>
                <w:rFonts w:ascii="Arial" w:cs="Arial" w:eastAsia="Arial" w:hAnsi="Arial"/>
                <w:sz w:val="16"/>
                <w:szCs w:val="16"/>
                <w:color w:val="4D5357"/>
              </w:rPr>
              <w:t>N/A</w:t>
            </w:r>
          </w:p>
        </w:tc>
        <w:tc>
          <w:tcPr>
            <w:tcW w:w="1540" w:type="dxa"/>
            <w:vAlign w:val="bottom"/>
            <w:tcBorders>
              <w:bottom w:val="single" w:sz="8" w:color="4D5357"/>
            </w:tcBorders>
          </w:tcPr>
          <w:p>
            <w:pPr>
              <w:ind w:left="920"/>
              <w:spacing w:after="0"/>
              <w:rPr>
                <w:sz w:val="20"/>
                <w:szCs w:val="20"/>
                <w:color w:val="auto"/>
              </w:rPr>
            </w:pPr>
            <w:r>
              <w:rPr>
                <w:rFonts w:ascii="Arial" w:cs="Arial" w:eastAsia="Arial" w:hAnsi="Arial"/>
                <w:sz w:val="16"/>
                <w:szCs w:val="16"/>
                <w:color w:val="4D5357"/>
              </w:rPr>
              <w:t>N/A</w:t>
            </w:r>
          </w:p>
        </w:tc>
        <w:tc>
          <w:tcPr>
            <w:tcW w:w="0" w:type="dxa"/>
            <w:vAlign w:val="bottom"/>
          </w:tcPr>
          <w:p>
            <w:pPr>
              <w:spacing w:after="0"/>
              <w:rPr>
                <w:sz w:val="1"/>
                <w:szCs w:val="1"/>
                <w:color w:val="auto"/>
              </w:rPr>
            </w:pPr>
          </w:p>
        </w:tc>
      </w:tr>
      <w:tr>
        <w:trPr>
          <w:trHeight w:val="263"/>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Jason P. Flynn</w:t>
            </w:r>
          </w:p>
        </w:tc>
        <w:tc>
          <w:tcPr>
            <w:tcW w:w="7180" w:type="dxa"/>
            <w:vAlign w:val="bottom"/>
            <w:tcBorders>
              <w:bottom w:val="single" w:sz="8" w:color="4D5357"/>
            </w:tcBorders>
            <w:gridSpan w:val="2"/>
          </w:tcPr>
          <w:p>
            <w:pPr>
              <w:ind w:left="5440"/>
              <w:spacing w:after="0"/>
              <w:rPr>
                <w:sz w:val="20"/>
                <w:szCs w:val="20"/>
                <w:color w:val="auto"/>
              </w:rPr>
            </w:pPr>
            <w:r>
              <w:rPr>
                <w:rFonts w:ascii="Arial" w:cs="Arial" w:eastAsia="Arial" w:hAnsi="Arial"/>
                <w:sz w:val="16"/>
                <w:szCs w:val="16"/>
                <w:color w:val="4D5357"/>
              </w:rPr>
              <w:t>102</w:t>
            </w:r>
          </w:p>
        </w:tc>
        <w:tc>
          <w:tcPr>
            <w:tcW w:w="1540" w:type="dxa"/>
            <w:vAlign w:val="bottom"/>
            <w:tcBorders>
              <w:bottom w:val="single" w:sz="8" w:color="4D5357"/>
            </w:tcBorders>
          </w:tcPr>
          <w:p>
            <w:pPr>
              <w:ind w:left="920"/>
              <w:spacing w:after="0"/>
              <w:rPr>
                <w:sz w:val="20"/>
                <w:szCs w:val="20"/>
                <w:color w:val="auto"/>
              </w:rPr>
            </w:pPr>
            <w:r>
              <w:rPr>
                <w:rFonts w:ascii="Arial" w:cs="Arial" w:eastAsia="Arial" w:hAnsi="Arial"/>
                <w:sz w:val="16"/>
                <w:szCs w:val="16"/>
                <w:color w:val="4D5357"/>
              </w:rPr>
              <w:t>222</w:t>
            </w:r>
          </w:p>
        </w:tc>
        <w:tc>
          <w:tcPr>
            <w:tcW w:w="0" w:type="dxa"/>
            <w:vAlign w:val="bottom"/>
          </w:tcPr>
          <w:p>
            <w:pPr>
              <w:spacing w:after="0"/>
              <w:rPr>
                <w:sz w:val="1"/>
                <w:szCs w:val="1"/>
                <w:color w:val="auto"/>
              </w:rPr>
            </w:pPr>
          </w:p>
        </w:tc>
      </w:tr>
      <w:tr>
        <w:trPr>
          <w:trHeight w:val="263"/>
        </w:trPr>
        <w:tc>
          <w:tcPr>
            <w:tcW w:w="2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Bradley D. Kohn</w:t>
            </w:r>
          </w:p>
        </w:tc>
        <w:tc>
          <w:tcPr>
            <w:tcW w:w="320" w:type="dxa"/>
            <w:vAlign w:val="bottom"/>
            <w:tcBorders>
              <w:bottom w:val="single" w:sz="8" w:color="4D5357"/>
            </w:tcBorders>
          </w:tcPr>
          <w:p>
            <w:pPr>
              <w:spacing w:after="0"/>
              <w:rPr>
                <w:sz w:val="22"/>
                <w:szCs w:val="22"/>
                <w:color w:val="auto"/>
              </w:rPr>
            </w:pPr>
          </w:p>
        </w:tc>
        <w:tc>
          <w:tcPr>
            <w:tcW w:w="6860" w:type="dxa"/>
            <w:vAlign w:val="bottom"/>
            <w:tcBorders>
              <w:bottom w:val="single" w:sz="8" w:color="4D5357"/>
            </w:tcBorders>
          </w:tcPr>
          <w:p>
            <w:pPr>
              <w:ind w:left="5120"/>
              <w:spacing w:after="0"/>
              <w:rPr>
                <w:sz w:val="20"/>
                <w:szCs w:val="20"/>
                <w:color w:val="auto"/>
              </w:rPr>
            </w:pPr>
            <w:r>
              <w:rPr>
                <w:rFonts w:ascii="Arial" w:cs="Arial" w:eastAsia="Arial" w:hAnsi="Arial"/>
                <w:sz w:val="16"/>
                <w:szCs w:val="16"/>
                <w:color w:val="4D5357"/>
              </w:rPr>
              <w:t>N/A</w:t>
            </w:r>
          </w:p>
        </w:tc>
        <w:tc>
          <w:tcPr>
            <w:tcW w:w="1540" w:type="dxa"/>
            <w:vAlign w:val="bottom"/>
            <w:tcBorders>
              <w:bottom w:val="single" w:sz="8" w:color="4D5357"/>
            </w:tcBorders>
          </w:tcPr>
          <w:p>
            <w:pPr>
              <w:ind w:left="920"/>
              <w:spacing w:after="0"/>
              <w:rPr>
                <w:sz w:val="20"/>
                <w:szCs w:val="20"/>
                <w:color w:val="auto"/>
              </w:rPr>
            </w:pPr>
            <w:r>
              <w:rPr>
                <w:rFonts w:ascii="Arial" w:cs="Arial" w:eastAsia="Arial" w:hAnsi="Arial"/>
                <w:sz w:val="16"/>
                <w:szCs w:val="16"/>
                <w:color w:val="4D5357"/>
              </w:rPr>
              <w:t>N/A</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24" w:hanging="224"/>
        <w:spacing w:after="0"/>
        <w:tabs>
          <w:tab w:leader="none" w:pos="224" w:val="left"/>
        </w:tabs>
        <w:numPr>
          <w:ilvl w:val="0"/>
          <w:numId w:val="90"/>
        </w:numPr>
        <w:rPr>
          <w:rFonts w:ascii="Arial" w:cs="Arial" w:eastAsia="Arial" w:hAnsi="Arial"/>
          <w:sz w:val="13"/>
          <w:szCs w:val="13"/>
          <w:b w:val="1"/>
          <w:bCs w:val="1"/>
          <w:color w:val="333333"/>
        </w:rPr>
      </w:pPr>
      <w:r>
        <w:rPr>
          <w:rFonts w:ascii="Arial" w:cs="Arial" w:eastAsia="Arial" w:hAnsi="Arial"/>
          <w:sz w:val="13"/>
          <w:szCs w:val="13"/>
          <w:color w:val="333333"/>
        </w:rPr>
        <w:t>The PSUs granted to Mr. Nickolas in 2023 were forfeited in connection with his departure in April 2025.</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Ongoing Corporate Governance Policies</w:t>
      </w:r>
    </w:p>
    <w:p>
      <w:pPr>
        <w:spacing w:after="0" w:line="123"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333333"/>
        </w:rPr>
        <w:t>We endeavor to maintain good corporate governance standards relating to our executive compensation policies and practices, including the following that were in effect during 2025 that directly impacted compensation:</w:t>
      </w:r>
    </w:p>
    <w:p>
      <w:pPr>
        <w:spacing w:after="0" w:line="7" w:lineRule="exact"/>
        <w:rPr>
          <w:sz w:val="20"/>
          <w:szCs w:val="20"/>
          <w:color w:val="auto"/>
        </w:rPr>
      </w:pPr>
    </w:p>
    <w:p>
      <w:pPr>
        <w:ind w:left="224" w:hanging="224"/>
        <w:spacing w:after="0"/>
        <w:tabs>
          <w:tab w:leader="none" w:pos="224" w:val="left"/>
        </w:tabs>
        <w:numPr>
          <w:ilvl w:val="0"/>
          <w:numId w:val="91"/>
        </w:numPr>
        <w:rPr>
          <w:rFonts w:ascii="Arial" w:cs="Arial" w:eastAsia="Arial" w:hAnsi="Arial"/>
          <w:sz w:val="16"/>
          <w:szCs w:val="16"/>
          <w:color w:val="333333"/>
        </w:rPr>
      </w:pPr>
      <w:r>
        <w:rPr>
          <w:rFonts w:ascii="Arial" w:cs="Arial" w:eastAsia="Arial" w:hAnsi="Arial"/>
          <w:sz w:val="16"/>
          <w:szCs w:val="16"/>
          <w:color w:val="333333"/>
        </w:rPr>
        <w:t>The Committee is comprised solely of independent Directors who regularly schedule and meet in executive sessions without management present.</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1"/>
        </w:numPr>
        <w:rPr>
          <w:rFonts w:ascii="Arial" w:cs="Arial" w:eastAsia="Arial" w:hAnsi="Arial"/>
          <w:sz w:val="16"/>
          <w:szCs w:val="16"/>
          <w:color w:val="333333"/>
        </w:rPr>
      </w:pPr>
      <w:r>
        <w:rPr>
          <w:rFonts w:ascii="Arial" w:cs="Arial" w:eastAsia="Arial" w:hAnsi="Arial"/>
          <w:sz w:val="16"/>
          <w:szCs w:val="16"/>
          <w:color w:val="333333"/>
        </w:rPr>
        <w:t>The Committee’s independent compensation consultant is retained directly by the Committee.</w:t>
      </w:r>
    </w:p>
    <w:p>
      <w:pPr>
        <w:spacing w:after="0" w:line="72" w:lineRule="exact"/>
        <w:rPr>
          <w:rFonts w:ascii="Arial" w:cs="Arial" w:eastAsia="Arial" w:hAnsi="Arial"/>
          <w:sz w:val="16"/>
          <w:szCs w:val="16"/>
          <w:color w:val="333333"/>
        </w:rPr>
      </w:pPr>
    </w:p>
    <w:p>
      <w:pPr>
        <w:ind w:left="224" w:right="140" w:hanging="224"/>
        <w:spacing w:after="0" w:line="286" w:lineRule="auto"/>
        <w:tabs>
          <w:tab w:leader="none" w:pos="224" w:val="left"/>
        </w:tabs>
        <w:numPr>
          <w:ilvl w:val="0"/>
          <w:numId w:val="91"/>
        </w:numPr>
        <w:rPr>
          <w:rFonts w:ascii="Arial" w:cs="Arial" w:eastAsia="Arial" w:hAnsi="Arial"/>
          <w:sz w:val="16"/>
          <w:szCs w:val="16"/>
          <w:color w:val="333333"/>
        </w:rPr>
      </w:pPr>
      <w:r>
        <w:rPr>
          <w:rFonts w:ascii="Arial" w:cs="Arial" w:eastAsia="Arial" w:hAnsi="Arial"/>
          <w:sz w:val="16"/>
          <w:szCs w:val="16"/>
          <w:color w:val="333333"/>
        </w:rPr>
        <w:t>The Committee conducts an annual review of and approves our compensation strategy, including a review of our compensation-related risk profile, to ensure that our compensation-related risks are not reasonably likely to have a material adverse effect on the Company.</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91"/>
        </w:numPr>
        <w:rPr>
          <w:rFonts w:ascii="Arial" w:cs="Arial" w:eastAsia="Arial" w:hAnsi="Arial"/>
          <w:sz w:val="16"/>
          <w:szCs w:val="16"/>
          <w:color w:val="333333"/>
        </w:rPr>
      </w:pPr>
      <w:r>
        <w:rPr>
          <w:rFonts w:ascii="Arial" w:cs="Arial" w:eastAsia="Arial" w:hAnsi="Arial"/>
          <w:sz w:val="16"/>
          <w:szCs w:val="16"/>
          <w:color w:val="333333"/>
        </w:rPr>
        <w:t>We pay for performance, with approximately 91% of our CEO’s total target pay opportunity being performance-based “at-risk” compensation.</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1"/>
        </w:numPr>
        <w:rPr>
          <w:rFonts w:ascii="Arial" w:cs="Arial" w:eastAsia="Arial" w:hAnsi="Arial"/>
          <w:sz w:val="16"/>
          <w:szCs w:val="16"/>
          <w:color w:val="333333"/>
        </w:rPr>
      </w:pPr>
      <w:r>
        <w:rPr>
          <w:rFonts w:ascii="Arial" w:cs="Arial" w:eastAsia="Arial" w:hAnsi="Arial"/>
          <w:sz w:val="16"/>
          <w:szCs w:val="16"/>
          <w:color w:val="333333"/>
        </w:rPr>
        <w:t>We cap PSU payments at target if three-year TSR is negative, regardless of our ranking.</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1"/>
        </w:numPr>
        <w:rPr>
          <w:rFonts w:ascii="Arial" w:cs="Arial" w:eastAsia="Arial" w:hAnsi="Arial"/>
          <w:sz w:val="16"/>
          <w:szCs w:val="16"/>
          <w:color w:val="333333"/>
        </w:rPr>
      </w:pPr>
      <w:r>
        <w:rPr>
          <w:rFonts w:ascii="Arial" w:cs="Arial" w:eastAsia="Arial" w:hAnsi="Arial"/>
          <w:sz w:val="16"/>
          <w:szCs w:val="16"/>
          <w:color w:val="333333"/>
        </w:rPr>
        <w:t>We limit perquisites and other benefits.</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Compensation Decision Process</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Role of Management and the Committee</w:t>
      </w:r>
    </w:p>
    <w:p>
      <w:pPr>
        <w:spacing w:after="0" w:line="133" w:lineRule="exact"/>
        <w:rPr>
          <w:sz w:val="20"/>
          <w:szCs w:val="20"/>
          <w:color w:val="auto"/>
        </w:rPr>
      </w:pPr>
    </w:p>
    <w:p>
      <w:pPr>
        <w:ind w:left="4" w:right="120"/>
        <w:spacing w:after="0" w:line="256" w:lineRule="auto"/>
        <w:rPr>
          <w:sz w:val="20"/>
          <w:szCs w:val="20"/>
          <w:color w:val="auto"/>
        </w:rPr>
      </w:pPr>
      <w:r>
        <w:rPr>
          <w:rFonts w:ascii="Arial" w:cs="Arial" w:eastAsia="Arial" w:hAnsi="Arial"/>
          <w:sz w:val="16"/>
          <w:szCs w:val="16"/>
          <w:color w:val="333333"/>
        </w:rPr>
        <w:t>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NYSE rules, and the Committee operates pursuant to a written charter, a copy of which can be viewed on Martin Marietta’s website at ir.martinmarietta.com/corporate-governance.</w:t>
      </w:r>
    </w:p>
    <w:p>
      <w:pPr>
        <w:spacing w:after="0" w:line="72" w:lineRule="exact"/>
        <w:rPr>
          <w:sz w:val="20"/>
          <w:szCs w:val="20"/>
          <w:color w:val="auto"/>
        </w:rPr>
      </w:pPr>
    </w:p>
    <w:p>
      <w:pPr>
        <w:ind w:left="4" w:right="20"/>
        <w:spacing w:after="0" w:line="254" w:lineRule="auto"/>
        <w:rPr>
          <w:sz w:val="20"/>
          <w:szCs w:val="20"/>
          <w:color w:val="auto"/>
        </w:rPr>
      </w:pPr>
      <w:r>
        <w:rPr>
          <w:rFonts w:ascii="Arial" w:cs="Arial" w:eastAsia="Arial" w:hAnsi="Arial"/>
          <w:sz w:val="16"/>
          <w:szCs w:val="16"/>
          <w:color w:val="333333"/>
        </w:rPr>
        <w:t>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Chief Human Resources Officer,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with input from the independent compensation consultant. There are no employment agreements between Martin Marietta and any executive officer of Martin Marietta, including the CEO.</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Role of the Independent Compensation Consultant</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Committee retained Pay Governance, an independent compensation consultant, in accordance with the Committee’s charter.</w:t>
      </w:r>
    </w:p>
    <w:p>
      <w:pPr>
        <w:spacing w:after="0" w:line="113" w:lineRule="exact"/>
        <w:rPr>
          <w:sz w:val="20"/>
          <w:szCs w:val="20"/>
          <w:color w:val="auto"/>
        </w:rPr>
      </w:pPr>
    </w:p>
    <w:p>
      <w:pPr>
        <w:ind w:left="4" w:right="20"/>
        <w:spacing w:after="0" w:line="266" w:lineRule="auto"/>
        <w:rPr>
          <w:sz w:val="20"/>
          <w:szCs w:val="20"/>
          <w:color w:val="auto"/>
        </w:rPr>
      </w:pPr>
      <w:r>
        <w:rPr>
          <w:rFonts w:ascii="Arial" w:cs="Arial" w:eastAsia="Arial" w:hAnsi="Arial"/>
          <w:sz w:val="16"/>
          <w:szCs w:val="16"/>
          <w:color w:val="333333"/>
        </w:rPr>
        <w:t>The consultant reports directly to the Committee. The Committee retains sole authority to hire or terminate the consultant, approve its compensation, determine the nature and scope of services, and evaluate performance. The compensation consultant attends Committee meetings, either in person or by telephone, as requested, and communicates with the Committee Chair between meetings. The Committee makes all final decisions.</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compensation consultant’s specific roles include, but are not limited to, the following:</w:t>
      </w:r>
    </w:p>
    <w:p>
      <w:pPr>
        <w:spacing w:after="0" w:line="73" w:lineRule="exact"/>
        <w:rPr>
          <w:sz w:val="20"/>
          <w:szCs w:val="20"/>
          <w:color w:val="auto"/>
        </w:rPr>
      </w:pPr>
    </w:p>
    <w:p>
      <w:pPr>
        <w:ind w:left="224" w:right="140" w:hanging="224"/>
        <w:spacing w:after="0" w:line="286" w:lineRule="auto"/>
        <w:tabs>
          <w:tab w:leader="none" w:pos="224" w:val="left"/>
        </w:tabs>
        <w:numPr>
          <w:ilvl w:val="0"/>
          <w:numId w:val="92"/>
        </w:numPr>
        <w:rPr>
          <w:rFonts w:ascii="Arial" w:cs="Arial" w:eastAsia="Arial" w:hAnsi="Arial"/>
          <w:sz w:val="16"/>
          <w:szCs w:val="16"/>
          <w:color w:val="333333"/>
        </w:rPr>
      </w:pPr>
      <w:r>
        <w:rPr>
          <w:rFonts w:ascii="Arial" w:cs="Arial" w:eastAsia="Arial" w:hAnsi="Arial"/>
          <w:sz w:val="16"/>
          <w:szCs w:val="16"/>
          <w:color w:val="333333"/>
        </w:rPr>
        <w:t>Advise the Committee on executive compensation trends and regulatory developments and other factors affecting executive officer compensation, as well as any other areas of concern or risk.</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70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44" w:space="120"/>
            <w:col w:w="620" w:space="120"/>
            <w:col w:w="8620" w:space="720"/>
            <w:col w:w="780"/>
          </w:cols>
          <w:pgMar w:left="436" w:top="315" w:right="439" w:bottom="1440" w:gutter="0" w:footer="0" w:header="0"/>
          <w:type w:val="continuous"/>
        </w:sectPr>
      </w:pPr>
    </w:p>
    <w:bookmarkStart w:id="77" w:name="page78"/>
    <w:bookmarkEnd w:id="77"/>
    <w:p>
      <w:pPr>
        <w:jc w:val="center"/>
        <w:ind w:left="82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Compensation Discussion    </w:t>
      </w:r>
    </w:p>
    <w:p>
      <w:pPr>
        <w:spacing w:after="0" w:line="15"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FFFFFF"/>
        </w:rPr>
        <w:t xml:space="preserve">      and Analysis     </w:t>
      </w:r>
    </w:p>
    <w:p>
      <w:pPr>
        <w:spacing w:after="0" w:line="266" w:lineRule="exact"/>
        <w:rPr>
          <w:sz w:val="20"/>
          <w:szCs w:val="20"/>
          <w:color w:val="auto"/>
        </w:rPr>
      </w:pPr>
    </w:p>
    <w:p>
      <w:pPr>
        <w:ind w:left="224" w:hanging="224"/>
        <w:spacing w:after="0"/>
        <w:tabs>
          <w:tab w:leader="none" w:pos="224" w:val="left"/>
        </w:tabs>
        <w:numPr>
          <w:ilvl w:val="0"/>
          <w:numId w:val="93"/>
        </w:numPr>
        <w:rPr>
          <w:rFonts w:ascii="Arial" w:cs="Arial" w:eastAsia="Arial" w:hAnsi="Arial"/>
          <w:sz w:val="16"/>
          <w:szCs w:val="16"/>
          <w:color w:val="333333"/>
        </w:rPr>
      </w:pPr>
      <w:r>
        <w:rPr>
          <w:rFonts w:ascii="Arial" w:cs="Arial" w:eastAsia="Arial" w:hAnsi="Arial"/>
          <w:sz w:val="16"/>
          <w:szCs w:val="16"/>
          <w:color w:val="333333"/>
        </w:rPr>
        <w:t>Provide a total compensation assessment for executives compared to peer companies and recommendations for executive pay.</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3"/>
        </w:numPr>
        <w:rPr>
          <w:rFonts w:ascii="Arial" w:cs="Arial" w:eastAsia="Arial" w:hAnsi="Arial"/>
          <w:sz w:val="16"/>
          <w:szCs w:val="16"/>
          <w:color w:val="333333"/>
        </w:rPr>
      </w:pPr>
      <w:r>
        <w:rPr>
          <w:rFonts w:ascii="Arial" w:cs="Arial" w:eastAsia="Arial" w:hAnsi="Arial"/>
          <w:sz w:val="16"/>
          <w:szCs w:val="16"/>
          <w:color w:val="333333"/>
        </w:rPr>
        <w:t>Serve as a resource to the Committee Chair for meeting agendas and supporting materials in advance of each meeting.</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3"/>
        </w:numPr>
        <w:rPr>
          <w:rFonts w:ascii="Arial" w:cs="Arial" w:eastAsia="Arial" w:hAnsi="Arial"/>
          <w:sz w:val="16"/>
          <w:szCs w:val="16"/>
          <w:color w:val="333333"/>
        </w:rPr>
      </w:pPr>
      <w:r>
        <w:rPr>
          <w:rFonts w:ascii="Arial" w:cs="Arial" w:eastAsia="Arial" w:hAnsi="Arial"/>
          <w:sz w:val="16"/>
          <w:szCs w:val="16"/>
          <w:color w:val="333333"/>
        </w:rPr>
        <w:t>Review and comment on proxy disclosure items, including this CD&amp;A.</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3"/>
        </w:numPr>
        <w:rPr>
          <w:rFonts w:ascii="Arial" w:cs="Arial" w:eastAsia="Arial" w:hAnsi="Arial"/>
          <w:sz w:val="16"/>
          <w:szCs w:val="16"/>
          <w:color w:val="333333"/>
        </w:rPr>
      </w:pPr>
      <w:r>
        <w:rPr>
          <w:rFonts w:ascii="Arial" w:cs="Arial" w:eastAsia="Arial" w:hAnsi="Arial"/>
          <w:sz w:val="16"/>
          <w:szCs w:val="16"/>
          <w:color w:val="333333"/>
        </w:rPr>
        <w:t>Advise the Committee on management’s pay recommendations.</w:t>
      </w:r>
    </w:p>
    <w:p>
      <w:pPr>
        <w:spacing w:after="0" w:line="59" w:lineRule="exact"/>
        <w:rPr>
          <w:sz w:val="20"/>
          <w:szCs w:val="20"/>
          <w:color w:val="auto"/>
        </w:rPr>
      </w:pPr>
    </w:p>
    <w:p>
      <w:pPr>
        <w:ind w:left="4" w:right="120"/>
        <w:spacing w:after="0" w:line="259" w:lineRule="auto"/>
        <w:rPr>
          <w:sz w:val="20"/>
          <w:szCs w:val="20"/>
          <w:color w:val="auto"/>
        </w:rPr>
      </w:pPr>
      <w:r>
        <w:rPr>
          <w:rFonts w:ascii="Arial" w:cs="Arial" w:eastAsia="Arial" w:hAnsi="Arial"/>
          <w:sz w:val="16"/>
          <w:szCs w:val="16"/>
          <w:color w:val="333333"/>
        </w:rPr>
        <w:t>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 and is retained by the Committee on all executive compensation matters, and speaks to the Committee and the Chair of the Committee on a regular basis without management present.</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Role of Peer Companies and Competitive Market Data</w:t>
      </w:r>
    </w:p>
    <w:p>
      <w:pPr>
        <w:spacing w:after="0" w:line="123" w:lineRule="exact"/>
        <w:rPr>
          <w:sz w:val="20"/>
          <w:szCs w:val="20"/>
          <w:color w:val="auto"/>
        </w:rPr>
      </w:pPr>
    </w:p>
    <w:p>
      <w:pPr>
        <w:ind w:left="4" w:right="200"/>
        <w:spacing w:after="0" w:line="266" w:lineRule="auto"/>
        <w:rPr>
          <w:sz w:val="20"/>
          <w:szCs w:val="20"/>
          <w:color w:val="auto"/>
        </w:rPr>
      </w:pPr>
      <w:r>
        <w:rPr>
          <w:rFonts w:ascii="Arial" w:cs="Arial" w:eastAsia="Arial" w:hAnsi="Arial"/>
          <w:sz w:val="16"/>
          <w:szCs w:val="16"/>
          <w:color w:val="333333"/>
        </w:rPr>
        <w:t>The Committee considered peer groups for two elements of the executive compensation program in 2025: the Compensation Peer Group, consisting of 17 companies that the Committee believes compete with us for talent, and the TSR Peer Group, consisting of the S&amp;P 500, which the Committee believes compete with us for investors and is used to assess the achievement of rTSR measured for the PSU awards.</w:t>
      </w:r>
    </w:p>
    <w:p>
      <w:pPr>
        <w:spacing w:after="0" w:line="63" w:lineRule="exact"/>
        <w:rPr>
          <w:sz w:val="20"/>
          <w:szCs w:val="20"/>
          <w:color w:val="auto"/>
        </w:rPr>
      </w:pPr>
    </w:p>
    <w:p>
      <w:pPr>
        <w:ind w:left="4" w:right="380"/>
        <w:spacing w:after="0" w:line="266" w:lineRule="auto"/>
        <w:rPr>
          <w:sz w:val="20"/>
          <w:szCs w:val="20"/>
          <w:color w:val="auto"/>
        </w:rPr>
      </w:pPr>
      <w:r>
        <w:rPr>
          <w:rFonts w:ascii="Arial" w:cs="Arial" w:eastAsia="Arial" w:hAnsi="Arial"/>
          <w:sz w:val="16"/>
          <w:szCs w:val="16"/>
          <w:color w:val="333333"/>
        </w:rPr>
        <w:t>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w:t>
      </w:r>
    </w:p>
    <w:p>
      <w:pPr>
        <w:spacing w:after="0" w:line="23" w:lineRule="exact"/>
        <w:rPr>
          <w:sz w:val="20"/>
          <w:szCs w:val="20"/>
          <w:color w:val="auto"/>
        </w:rPr>
      </w:pPr>
    </w:p>
    <w:p>
      <w:pPr>
        <w:ind w:left="224" w:hanging="224"/>
        <w:spacing w:after="0"/>
        <w:tabs>
          <w:tab w:leader="none" w:pos="224" w:val="left"/>
        </w:tabs>
        <w:numPr>
          <w:ilvl w:val="0"/>
          <w:numId w:val="94"/>
        </w:numPr>
        <w:rPr>
          <w:rFonts w:ascii="Arial" w:cs="Arial" w:eastAsia="Arial" w:hAnsi="Arial"/>
          <w:sz w:val="16"/>
          <w:szCs w:val="16"/>
          <w:color w:val="333333"/>
        </w:rPr>
      </w:pPr>
      <w:r>
        <w:rPr>
          <w:rFonts w:ascii="Arial" w:cs="Arial" w:eastAsia="Arial" w:hAnsi="Arial"/>
          <w:sz w:val="16"/>
          <w:szCs w:val="16"/>
          <w:color w:val="333333"/>
        </w:rPr>
        <w:t>Company size;</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4"/>
        </w:numPr>
        <w:rPr>
          <w:rFonts w:ascii="Arial" w:cs="Arial" w:eastAsia="Arial" w:hAnsi="Arial"/>
          <w:sz w:val="16"/>
          <w:szCs w:val="16"/>
          <w:color w:val="333333"/>
        </w:rPr>
      </w:pPr>
      <w:r>
        <w:rPr>
          <w:rFonts w:ascii="Arial" w:cs="Arial" w:eastAsia="Arial" w:hAnsi="Arial"/>
          <w:sz w:val="16"/>
          <w:szCs w:val="16"/>
          <w:color w:val="333333"/>
        </w:rPr>
        <w:t>Company market cap;</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4"/>
        </w:numPr>
        <w:rPr>
          <w:rFonts w:ascii="Arial" w:cs="Arial" w:eastAsia="Arial" w:hAnsi="Arial"/>
          <w:sz w:val="16"/>
          <w:szCs w:val="16"/>
          <w:color w:val="333333"/>
        </w:rPr>
      </w:pPr>
      <w:r>
        <w:rPr>
          <w:rFonts w:ascii="Arial" w:cs="Arial" w:eastAsia="Arial" w:hAnsi="Arial"/>
          <w:sz w:val="16"/>
          <w:szCs w:val="16"/>
          <w:color w:val="333333"/>
        </w:rPr>
        <w:t>Companies in similar industries based on Global Industry Classification Standard (GICS) code classifications;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4"/>
        </w:numPr>
        <w:rPr>
          <w:rFonts w:ascii="Arial" w:cs="Arial" w:eastAsia="Arial" w:hAnsi="Arial"/>
          <w:sz w:val="16"/>
          <w:szCs w:val="16"/>
          <w:color w:val="333333"/>
        </w:rPr>
      </w:pPr>
      <w:r>
        <w:rPr>
          <w:rFonts w:ascii="Arial" w:cs="Arial" w:eastAsia="Arial" w:hAnsi="Arial"/>
          <w:sz w:val="16"/>
          <w:szCs w:val="16"/>
          <w:color w:val="333333"/>
        </w:rPr>
        <w:t>Direct competitors for business and management talent that are publicly-traded in the United States;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4"/>
        </w:numPr>
        <w:rPr>
          <w:rFonts w:ascii="Arial" w:cs="Arial" w:eastAsia="Arial" w:hAnsi="Arial"/>
          <w:sz w:val="16"/>
          <w:szCs w:val="16"/>
          <w:color w:val="333333"/>
        </w:rPr>
      </w:pPr>
      <w:r>
        <w:rPr>
          <w:rFonts w:ascii="Arial" w:cs="Arial" w:eastAsia="Arial" w:hAnsi="Arial"/>
          <w:sz w:val="16"/>
          <w:szCs w:val="16"/>
          <w:color w:val="333333"/>
        </w:rPr>
        <w:t>Companies covered by the investment analysts that track Martin Marietta; and</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4"/>
        </w:numPr>
        <w:rPr>
          <w:rFonts w:ascii="Arial" w:cs="Arial" w:eastAsia="Arial" w:hAnsi="Arial"/>
          <w:sz w:val="16"/>
          <w:szCs w:val="16"/>
          <w:color w:val="333333"/>
        </w:rPr>
      </w:pPr>
      <w:r>
        <w:rPr>
          <w:rFonts w:ascii="Arial" w:cs="Arial" w:eastAsia="Arial" w:hAnsi="Arial"/>
          <w:sz w:val="16"/>
          <w:szCs w:val="16"/>
          <w:color w:val="333333"/>
        </w:rPr>
        <w:t>Companies that include Martin Marietta in their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7029450" cy="31546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02945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4" w:hanging="224"/>
        <w:spacing w:after="0"/>
        <w:tabs>
          <w:tab w:leader="none" w:pos="224" w:val="left"/>
        </w:tabs>
        <w:numPr>
          <w:ilvl w:val="0"/>
          <w:numId w:val="95"/>
        </w:numPr>
        <w:rPr>
          <w:rFonts w:ascii="Arial" w:cs="Arial" w:eastAsia="Arial" w:hAnsi="Arial"/>
          <w:sz w:val="13"/>
          <w:szCs w:val="13"/>
          <w:color w:val="333333"/>
        </w:rPr>
      </w:pPr>
      <w:r>
        <w:rPr>
          <w:rFonts w:ascii="Arial" w:cs="Arial" w:eastAsia="Arial" w:hAnsi="Arial"/>
          <w:sz w:val="13"/>
          <w:szCs w:val="13"/>
          <w:color w:val="333333"/>
        </w:rPr>
        <w:t>Peer Group FY 2025 filings sourced through FactSet</w:t>
      </w:r>
    </w:p>
    <w:p>
      <w:pPr>
        <w:ind w:left="224" w:hanging="224"/>
        <w:spacing w:after="0" w:line="216" w:lineRule="auto"/>
        <w:tabs>
          <w:tab w:leader="none" w:pos="224" w:val="left"/>
        </w:tabs>
        <w:numPr>
          <w:ilvl w:val="0"/>
          <w:numId w:val="96"/>
        </w:numPr>
        <w:rPr>
          <w:rFonts w:ascii="Arial" w:cs="Arial" w:eastAsia="Arial" w:hAnsi="Arial"/>
          <w:sz w:val="13"/>
          <w:szCs w:val="13"/>
          <w:color w:val="333333"/>
        </w:rPr>
      </w:pPr>
      <w:r>
        <w:rPr>
          <w:rFonts w:ascii="Arial" w:cs="Arial" w:eastAsia="Arial" w:hAnsi="Arial"/>
          <w:sz w:val="13"/>
          <w:szCs w:val="13"/>
          <w:color w:val="333333"/>
        </w:rPr>
        <w:t>FY 2025 Revenue for continuing and discontinued operations</w:t>
      </w:r>
    </w:p>
    <w:p>
      <w:pPr>
        <w:ind w:left="4"/>
        <w:spacing w:after="0"/>
        <w:rPr>
          <w:rFonts w:ascii="Arial" w:cs="Arial" w:eastAsia="Arial" w:hAnsi="Arial"/>
          <w:sz w:val="13"/>
          <w:szCs w:val="13"/>
          <w:color w:val="333333"/>
        </w:rPr>
      </w:pPr>
      <w:r>
        <w:rPr>
          <w:rFonts w:ascii="Arial" w:cs="Arial" w:eastAsia="Arial" w:hAnsi="Arial"/>
          <w:sz w:val="13"/>
          <w:szCs w:val="13"/>
          <w:color w:val="333333"/>
        </w:rPr>
        <w:t>3  FY 2025 Consolidated Adjusted EBITDA</w:t>
      </w:r>
    </w:p>
    <w:p>
      <w:pPr>
        <w:spacing w:after="0" w:line="382"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684"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71 </w:t>
      </w:r>
      <w:r>
        <w:rPr>
          <w:rFonts w:ascii="Arial" w:cs="Arial" w:eastAsia="Arial" w:hAnsi="Arial"/>
          <w:sz w:val="16"/>
          <w:szCs w:val="16"/>
          <w:color w:val="333333"/>
        </w:rPr>
        <w:t xml:space="preserve">               </w:t>
      </w:r>
    </w:p>
    <w:p>
      <w:pPr>
        <w:sectPr>
          <w:pgSz w:w="11900" w:h="16838" w:orient="portrait"/>
          <w:cols w:equalWidth="0" w:num="3">
            <w:col w:w="3864" w:space="720"/>
            <w:col w:w="4660" w:space="720"/>
            <w:col w:w="1060"/>
          </w:cols>
          <w:pgMar w:left="436" w:top="684" w:right="439" w:bottom="1440" w:gutter="0" w:footer="0" w:header="0"/>
          <w:type w:val="continuous"/>
        </w:sectPr>
      </w:pPr>
    </w:p>
    <w:bookmarkStart w:id="78" w:name="page79"/>
    <w:bookmarkEnd w:id="78"/>
    <w:p>
      <w:pPr>
        <w:jc w:val="center"/>
        <w:ind w:right="85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Compensation Discussion    </w:t>
      </w:r>
    </w:p>
    <w:p>
      <w:pPr>
        <w:spacing w:after="0" w:line="15" w:lineRule="exact"/>
        <w:rPr>
          <w:sz w:val="20"/>
          <w:szCs w:val="20"/>
          <w:color w:val="auto"/>
        </w:rPr>
      </w:pPr>
    </w:p>
    <w:p>
      <w:pPr>
        <w:jc w:val="center"/>
        <w:ind w:right="8500"/>
        <w:spacing w:after="0"/>
        <w:rPr>
          <w:sz w:val="20"/>
          <w:szCs w:val="20"/>
          <w:color w:val="auto"/>
        </w:rPr>
      </w:pPr>
      <w:r>
        <w:rPr>
          <w:rFonts w:ascii="Arial" w:cs="Arial" w:eastAsia="Arial" w:hAnsi="Arial"/>
          <w:sz w:val="14"/>
          <w:szCs w:val="14"/>
          <w:b w:val="1"/>
          <w:bCs w:val="1"/>
          <w:color w:val="FFFFFF"/>
        </w:rPr>
        <w:t xml:space="preserve">      and Analysis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402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THE FOLLOWING COMPANIES COMPRISED OUR COMPENSATION PEER GROUP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FOR 2025 BASE SALARY AND LONG-TERM INCENTIVE PAY DECISIONS: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3860" w:type="dxa"/>
            <w:vAlign w:val="bottom"/>
            <w:shd w:val="clear" w:color="auto" w:fill="EAEAEA"/>
          </w:tcPr>
          <w:p>
            <w:pPr>
              <w:ind w:left="200"/>
              <w:spacing w:after="0"/>
              <w:rPr>
                <w:sz w:val="20"/>
                <w:szCs w:val="20"/>
                <w:color w:val="auto"/>
              </w:rPr>
            </w:pPr>
            <w:r>
              <w:rPr>
                <w:rFonts w:ascii="Arial" w:cs="Arial" w:eastAsia="Arial" w:hAnsi="Arial"/>
                <w:sz w:val="16"/>
                <w:szCs w:val="16"/>
                <w:b w:val="1"/>
                <w:bCs w:val="1"/>
                <w:color w:val="333333"/>
              </w:rPr>
              <w:t>• Albemarle Corporation</w:t>
            </w:r>
          </w:p>
        </w:tc>
        <w:tc>
          <w:tcPr>
            <w:tcW w:w="3280" w:type="dxa"/>
            <w:vAlign w:val="bottom"/>
            <w:shd w:val="clear" w:color="auto" w:fill="EAEAEA"/>
          </w:tcPr>
          <w:p>
            <w:pPr>
              <w:ind w:left="320"/>
              <w:spacing w:after="0"/>
              <w:rPr>
                <w:sz w:val="20"/>
                <w:szCs w:val="20"/>
                <w:color w:val="auto"/>
              </w:rPr>
            </w:pPr>
            <w:r>
              <w:rPr>
                <w:rFonts w:ascii="Arial" w:cs="Arial" w:eastAsia="Arial" w:hAnsi="Arial"/>
                <w:sz w:val="16"/>
                <w:szCs w:val="16"/>
                <w:b w:val="1"/>
                <w:bCs w:val="1"/>
                <w:color w:val="333333"/>
              </w:rPr>
              <w:t>• Eastman Chemical</w:t>
            </w:r>
          </w:p>
        </w:tc>
        <w:tc>
          <w:tcPr>
            <w:tcW w:w="3880" w:type="dxa"/>
            <w:vAlign w:val="bottom"/>
            <w:shd w:val="clear" w:color="auto" w:fill="EAEAEA"/>
          </w:tcPr>
          <w:p>
            <w:pPr>
              <w:ind w:left="660"/>
              <w:spacing w:after="0"/>
              <w:rPr>
                <w:sz w:val="20"/>
                <w:szCs w:val="20"/>
                <w:color w:val="auto"/>
              </w:rPr>
            </w:pPr>
            <w:r>
              <w:rPr>
                <w:rFonts w:ascii="Arial" w:cs="Arial" w:eastAsia="Arial" w:hAnsi="Arial"/>
                <w:sz w:val="16"/>
                <w:szCs w:val="16"/>
                <w:b w:val="1"/>
                <w:bCs w:val="1"/>
                <w:color w:val="333333"/>
              </w:rPr>
              <w:t>• Old Dominion Freight Line, Inc.</w:t>
            </w:r>
          </w:p>
        </w:tc>
      </w:tr>
      <w:tr>
        <w:trPr>
          <w:trHeight w:val="310"/>
        </w:trPr>
        <w:tc>
          <w:tcPr>
            <w:tcW w:w="3860" w:type="dxa"/>
            <w:vAlign w:val="bottom"/>
            <w:shd w:val="clear" w:color="auto" w:fill="EAEAEA"/>
          </w:tcPr>
          <w:p>
            <w:pPr>
              <w:ind w:left="200"/>
              <w:spacing w:after="0"/>
              <w:rPr>
                <w:sz w:val="20"/>
                <w:szCs w:val="20"/>
                <w:color w:val="auto"/>
              </w:rPr>
            </w:pPr>
            <w:r>
              <w:rPr>
                <w:rFonts w:ascii="Arial" w:cs="Arial" w:eastAsia="Arial" w:hAnsi="Arial"/>
                <w:sz w:val="16"/>
                <w:szCs w:val="16"/>
                <w:b w:val="1"/>
                <w:bCs w:val="1"/>
                <w:color w:val="333333"/>
              </w:rPr>
              <w:t>• Carlisle Companies Incorporated</w:t>
            </w:r>
          </w:p>
        </w:tc>
        <w:tc>
          <w:tcPr>
            <w:tcW w:w="3280" w:type="dxa"/>
            <w:vAlign w:val="bottom"/>
            <w:shd w:val="clear" w:color="auto" w:fill="EAEAEA"/>
          </w:tcPr>
          <w:p>
            <w:pPr>
              <w:ind w:left="320"/>
              <w:spacing w:after="0"/>
              <w:rPr>
                <w:sz w:val="20"/>
                <w:szCs w:val="20"/>
                <w:color w:val="auto"/>
              </w:rPr>
            </w:pPr>
            <w:r>
              <w:rPr>
                <w:rFonts w:ascii="Arial" w:cs="Arial" w:eastAsia="Arial" w:hAnsi="Arial"/>
                <w:sz w:val="16"/>
                <w:szCs w:val="16"/>
                <w:b w:val="1"/>
                <w:bCs w:val="1"/>
                <w:color w:val="333333"/>
              </w:rPr>
              <w:t>• FMC Corporation</w:t>
            </w:r>
          </w:p>
        </w:tc>
        <w:tc>
          <w:tcPr>
            <w:tcW w:w="3880" w:type="dxa"/>
            <w:vAlign w:val="bottom"/>
            <w:shd w:val="clear" w:color="auto" w:fill="EAEAEA"/>
          </w:tcPr>
          <w:p>
            <w:pPr>
              <w:ind w:left="660"/>
              <w:spacing w:after="0"/>
              <w:rPr>
                <w:sz w:val="20"/>
                <w:szCs w:val="20"/>
                <w:color w:val="auto"/>
              </w:rPr>
            </w:pPr>
            <w:r>
              <w:rPr>
                <w:rFonts w:ascii="Arial" w:cs="Arial" w:eastAsia="Arial" w:hAnsi="Arial"/>
                <w:sz w:val="16"/>
                <w:szCs w:val="16"/>
                <w:b w:val="1"/>
                <w:bCs w:val="1"/>
                <w:color w:val="333333"/>
              </w:rPr>
              <w:t>• Owens Corning</w:t>
            </w:r>
          </w:p>
        </w:tc>
      </w:tr>
      <w:tr>
        <w:trPr>
          <w:trHeight w:val="311"/>
        </w:trPr>
        <w:tc>
          <w:tcPr>
            <w:tcW w:w="3860" w:type="dxa"/>
            <w:vAlign w:val="bottom"/>
            <w:shd w:val="clear" w:color="auto" w:fill="EAEAEA"/>
          </w:tcPr>
          <w:p>
            <w:pPr>
              <w:ind w:left="200"/>
              <w:spacing w:after="0"/>
              <w:rPr>
                <w:sz w:val="20"/>
                <w:szCs w:val="20"/>
                <w:color w:val="auto"/>
              </w:rPr>
            </w:pPr>
            <w:r>
              <w:rPr>
                <w:rFonts w:ascii="Arial" w:cs="Arial" w:eastAsia="Arial" w:hAnsi="Arial"/>
                <w:sz w:val="16"/>
                <w:szCs w:val="16"/>
                <w:b w:val="1"/>
                <w:bCs w:val="1"/>
                <w:color w:val="333333"/>
              </w:rPr>
              <w:t>• Celanese Corporation</w:t>
            </w:r>
          </w:p>
        </w:tc>
        <w:tc>
          <w:tcPr>
            <w:tcW w:w="3280" w:type="dxa"/>
            <w:vAlign w:val="bottom"/>
            <w:shd w:val="clear" w:color="auto" w:fill="EAEAEA"/>
          </w:tcPr>
          <w:p>
            <w:pPr>
              <w:ind w:left="320"/>
              <w:spacing w:after="0"/>
              <w:rPr>
                <w:sz w:val="20"/>
                <w:szCs w:val="20"/>
                <w:color w:val="auto"/>
              </w:rPr>
            </w:pPr>
            <w:r>
              <w:rPr>
                <w:rFonts w:ascii="Arial" w:cs="Arial" w:eastAsia="Arial" w:hAnsi="Arial"/>
                <w:sz w:val="16"/>
                <w:szCs w:val="16"/>
                <w:b w:val="1"/>
                <w:bCs w:val="1"/>
                <w:color w:val="333333"/>
              </w:rPr>
              <w:t>• Fortune Brands Innovations</w:t>
            </w:r>
          </w:p>
        </w:tc>
        <w:tc>
          <w:tcPr>
            <w:tcW w:w="3880" w:type="dxa"/>
            <w:vAlign w:val="bottom"/>
            <w:shd w:val="clear" w:color="auto" w:fill="EAEAEA"/>
          </w:tcPr>
          <w:p>
            <w:pPr>
              <w:ind w:left="660"/>
              <w:spacing w:after="0"/>
              <w:rPr>
                <w:sz w:val="20"/>
                <w:szCs w:val="20"/>
                <w:color w:val="auto"/>
              </w:rPr>
            </w:pPr>
            <w:r>
              <w:rPr>
                <w:rFonts w:ascii="Arial" w:cs="Arial" w:eastAsia="Arial" w:hAnsi="Arial"/>
                <w:sz w:val="16"/>
                <w:szCs w:val="16"/>
                <w:b w:val="1"/>
                <w:bCs w:val="1"/>
                <w:color w:val="333333"/>
              </w:rPr>
              <w:t>• RPM International</w:t>
            </w:r>
          </w:p>
        </w:tc>
      </w:tr>
      <w:tr>
        <w:trPr>
          <w:trHeight w:val="310"/>
        </w:trPr>
        <w:tc>
          <w:tcPr>
            <w:tcW w:w="3860" w:type="dxa"/>
            <w:vAlign w:val="bottom"/>
            <w:shd w:val="clear" w:color="auto" w:fill="EAEAEA"/>
          </w:tcPr>
          <w:p>
            <w:pPr>
              <w:ind w:left="200"/>
              <w:spacing w:after="0"/>
              <w:rPr>
                <w:sz w:val="20"/>
                <w:szCs w:val="20"/>
                <w:color w:val="auto"/>
              </w:rPr>
            </w:pPr>
            <w:r>
              <w:rPr>
                <w:rFonts w:ascii="Arial" w:cs="Arial" w:eastAsia="Arial" w:hAnsi="Arial"/>
                <w:sz w:val="16"/>
                <w:szCs w:val="16"/>
                <w:b w:val="1"/>
                <w:bCs w:val="1"/>
                <w:color w:val="333333"/>
              </w:rPr>
              <w:t>• CF Industries Holdings, Inc.</w:t>
            </w:r>
          </w:p>
        </w:tc>
        <w:tc>
          <w:tcPr>
            <w:tcW w:w="3280" w:type="dxa"/>
            <w:vAlign w:val="bottom"/>
            <w:shd w:val="clear" w:color="auto" w:fill="EAEAEA"/>
          </w:tcPr>
          <w:p>
            <w:pPr>
              <w:ind w:left="320"/>
              <w:spacing w:after="0"/>
              <w:rPr>
                <w:sz w:val="20"/>
                <w:szCs w:val="20"/>
                <w:color w:val="auto"/>
              </w:rPr>
            </w:pPr>
            <w:r>
              <w:rPr>
                <w:rFonts w:ascii="Arial" w:cs="Arial" w:eastAsia="Arial" w:hAnsi="Arial"/>
                <w:sz w:val="16"/>
                <w:szCs w:val="16"/>
                <w:b w:val="1"/>
                <w:bCs w:val="1"/>
                <w:color w:val="333333"/>
              </w:rPr>
              <w:t>• Lennox International Inc.</w:t>
            </w:r>
          </w:p>
        </w:tc>
        <w:tc>
          <w:tcPr>
            <w:tcW w:w="3880" w:type="dxa"/>
            <w:vAlign w:val="bottom"/>
            <w:shd w:val="clear" w:color="auto" w:fill="EAEAEA"/>
          </w:tcPr>
          <w:p>
            <w:pPr>
              <w:ind w:left="660"/>
              <w:spacing w:after="0"/>
              <w:rPr>
                <w:sz w:val="20"/>
                <w:szCs w:val="20"/>
                <w:color w:val="auto"/>
              </w:rPr>
            </w:pPr>
            <w:r>
              <w:rPr>
                <w:rFonts w:ascii="Arial" w:cs="Arial" w:eastAsia="Arial" w:hAnsi="Arial"/>
                <w:sz w:val="16"/>
                <w:szCs w:val="16"/>
                <w:b w:val="1"/>
                <w:bCs w:val="1"/>
                <w:color w:val="333333"/>
              </w:rPr>
              <w:t>• Vulcan Materials Company</w:t>
            </w:r>
          </w:p>
        </w:tc>
      </w:tr>
      <w:tr>
        <w:trPr>
          <w:trHeight w:val="311"/>
        </w:trPr>
        <w:tc>
          <w:tcPr>
            <w:tcW w:w="3860" w:type="dxa"/>
            <w:vAlign w:val="bottom"/>
            <w:shd w:val="clear" w:color="auto" w:fill="EAEAEA"/>
          </w:tcPr>
          <w:p>
            <w:pPr>
              <w:ind w:left="200"/>
              <w:spacing w:after="0"/>
              <w:rPr>
                <w:sz w:val="20"/>
                <w:szCs w:val="20"/>
                <w:color w:val="auto"/>
              </w:rPr>
            </w:pPr>
            <w:r>
              <w:rPr>
                <w:rFonts w:ascii="Arial" w:cs="Arial" w:eastAsia="Arial" w:hAnsi="Arial"/>
                <w:sz w:val="16"/>
                <w:szCs w:val="16"/>
                <w:b w:val="1"/>
                <w:bCs w:val="1"/>
                <w:color w:val="333333"/>
              </w:rPr>
              <w:t>• Commercial Metals Company</w:t>
            </w:r>
          </w:p>
        </w:tc>
        <w:tc>
          <w:tcPr>
            <w:tcW w:w="3280" w:type="dxa"/>
            <w:vAlign w:val="bottom"/>
            <w:shd w:val="clear" w:color="auto" w:fill="EAEAEA"/>
          </w:tcPr>
          <w:p>
            <w:pPr>
              <w:ind w:left="320"/>
              <w:spacing w:after="0"/>
              <w:rPr>
                <w:sz w:val="20"/>
                <w:szCs w:val="20"/>
                <w:color w:val="auto"/>
              </w:rPr>
            </w:pPr>
            <w:r>
              <w:rPr>
                <w:rFonts w:ascii="Arial" w:cs="Arial" w:eastAsia="Arial" w:hAnsi="Arial"/>
                <w:sz w:val="16"/>
                <w:szCs w:val="16"/>
                <w:b w:val="1"/>
                <w:bCs w:val="1"/>
                <w:color w:val="333333"/>
              </w:rPr>
              <w:t>• Masco Corporation</w:t>
            </w:r>
          </w:p>
        </w:tc>
        <w:tc>
          <w:tcPr>
            <w:tcW w:w="3880" w:type="dxa"/>
            <w:vAlign w:val="bottom"/>
            <w:shd w:val="clear" w:color="auto" w:fill="EAEAEA"/>
          </w:tcPr>
          <w:p>
            <w:pPr>
              <w:ind w:left="660"/>
              <w:spacing w:after="0"/>
              <w:rPr>
                <w:sz w:val="20"/>
                <w:szCs w:val="20"/>
                <w:color w:val="auto"/>
              </w:rPr>
            </w:pPr>
            <w:r>
              <w:rPr>
                <w:rFonts w:ascii="Arial" w:cs="Arial" w:eastAsia="Arial" w:hAnsi="Arial"/>
                <w:sz w:val="16"/>
                <w:szCs w:val="16"/>
                <w:b w:val="1"/>
                <w:bCs w:val="1"/>
                <w:color w:val="333333"/>
              </w:rPr>
              <w:t>• Westlake Corporation</w:t>
            </w:r>
          </w:p>
        </w:tc>
      </w:tr>
      <w:tr>
        <w:trPr>
          <w:trHeight w:val="311"/>
        </w:trPr>
        <w:tc>
          <w:tcPr>
            <w:tcW w:w="3860" w:type="dxa"/>
            <w:vAlign w:val="bottom"/>
            <w:shd w:val="clear" w:color="auto" w:fill="EAEAEA"/>
          </w:tcPr>
          <w:p>
            <w:pPr>
              <w:ind w:left="200"/>
              <w:spacing w:after="0"/>
              <w:rPr>
                <w:sz w:val="20"/>
                <w:szCs w:val="20"/>
                <w:color w:val="auto"/>
              </w:rPr>
            </w:pPr>
            <w:r>
              <w:rPr>
                <w:rFonts w:ascii="Arial" w:cs="Arial" w:eastAsia="Arial" w:hAnsi="Arial"/>
                <w:sz w:val="16"/>
                <w:szCs w:val="16"/>
                <w:b w:val="1"/>
                <w:bCs w:val="1"/>
                <w:color w:val="333333"/>
              </w:rPr>
              <w:t>• Dover Corporation</w:t>
            </w:r>
          </w:p>
        </w:tc>
        <w:tc>
          <w:tcPr>
            <w:tcW w:w="3280" w:type="dxa"/>
            <w:vAlign w:val="bottom"/>
            <w:shd w:val="clear" w:color="auto" w:fill="EAEAEA"/>
          </w:tcPr>
          <w:p>
            <w:pPr>
              <w:ind w:left="320"/>
              <w:spacing w:after="0"/>
              <w:rPr>
                <w:sz w:val="20"/>
                <w:szCs w:val="20"/>
                <w:color w:val="auto"/>
              </w:rPr>
            </w:pPr>
            <w:r>
              <w:rPr>
                <w:rFonts w:ascii="Arial" w:cs="Arial" w:eastAsia="Arial" w:hAnsi="Arial"/>
                <w:sz w:val="16"/>
                <w:szCs w:val="16"/>
                <w:b w:val="1"/>
                <w:bCs w:val="1"/>
                <w:color w:val="333333"/>
              </w:rPr>
              <w:t>• Newmont Corporation</w:t>
            </w:r>
          </w:p>
        </w:tc>
        <w:tc>
          <w:tcPr>
            <w:tcW w:w="3880" w:type="dxa"/>
            <w:vAlign w:val="bottom"/>
            <w:shd w:val="clear" w:color="auto" w:fill="EAEAEA"/>
          </w:tcPr>
          <w:p>
            <w:pPr>
              <w:spacing w:after="0"/>
              <w:rPr>
                <w:sz w:val="24"/>
                <w:szCs w:val="24"/>
                <w:color w:val="auto"/>
              </w:rPr>
            </w:pPr>
          </w:p>
        </w:tc>
      </w:tr>
      <w:tr>
        <w:trPr>
          <w:trHeight w:val="291"/>
        </w:trPr>
        <w:tc>
          <w:tcPr>
            <w:tcW w:w="3860" w:type="dxa"/>
            <w:vAlign w:val="bottom"/>
            <w:shd w:val="clear" w:color="auto" w:fill="EAEAEA"/>
          </w:tcPr>
          <w:p>
            <w:pPr>
              <w:spacing w:after="0"/>
              <w:rPr>
                <w:sz w:val="24"/>
                <w:szCs w:val="24"/>
                <w:color w:val="auto"/>
              </w:rPr>
            </w:pPr>
          </w:p>
        </w:tc>
        <w:tc>
          <w:tcPr>
            <w:tcW w:w="3280" w:type="dxa"/>
            <w:vAlign w:val="bottom"/>
            <w:shd w:val="clear" w:color="auto" w:fill="EAEAEA"/>
          </w:tcPr>
          <w:p>
            <w:pPr>
              <w:spacing w:after="0"/>
              <w:rPr>
                <w:sz w:val="24"/>
                <w:szCs w:val="24"/>
                <w:color w:val="auto"/>
              </w:rPr>
            </w:pPr>
          </w:p>
        </w:tc>
        <w:tc>
          <w:tcPr>
            <w:tcW w:w="3880" w:type="dxa"/>
            <w:vAlign w:val="bottom"/>
            <w:shd w:val="clear" w:color="auto" w:fill="EAEAEA"/>
          </w:tcPr>
          <w:p>
            <w:pPr>
              <w:spacing w:after="0"/>
              <w:rPr>
                <w:sz w:val="24"/>
                <w:szCs w:val="24"/>
                <w:color w:val="auto"/>
              </w:rPr>
            </w:pPr>
          </w:p>
        </w:tc>
      </w:tr>
    </w:tbl>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333333"/>
        </w:rPr>
        <w:t>The Committee studies competitive total compensation data from various sources, including proxy statements of the peer group. Since proxy statements do not provide precise comparisons by position to our executive officers, in 2025 the Committee also took into consideration published independent compensation surveys for each executive officer. Where available, size-adjusted market values were developed using regression analysis. This statistical technique accounts for revenue size differences within the compensation survey participants and develops an estimated market value for a similar-size company as Martin Marietta. The size-adjusted 50th percentile for total compensation is a key reference point for the Committee. On average, the target for our NEO total compensation opportunities is competitively positioned within a reasonable range of the size-adjusted 50th percentile.</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Although the Committee uses the size-adjusted 50th percentile as its starting point in setting compensation levels, the compensation packages for executive officers may vary materially from it based on several factors. Market data, position, tenure, individual and organization performance, retention needs and internal pay equity have been the primary factors considered in decisions to increase or decrease compensation opportunities. Specifically, the Committee typically sets compensation levels below the size-adjusted 50th percentile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size-adjusted 50th percentile.</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72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684" w:right="439" w:bottom="1440" w:gutter="0" w:footer="0" w:header="0"/>
          <w:type w:val="continuous"/>
        </w:sectPr>
      </w:pPr>
    </w:p>
    <w:bookmarkStart w:id="79" w:name="page80"/>
    <w:bookmarkEnd w:id="79"/>
    <w:p>
      <w:pPr>
        <w:jc w:val="center"/>
        <w:ind w:left="82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 xml:space="preserve">      Compensation Discussion    </w:t>
      </w:r>
    </w:p>
    <w:p>
      <w:pPr>
        <w:spacing w:after="0" w:line="15"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FFFFFF"/>
        </w:rPr>
        <w:t xml:space="preserve">      and Analysis     </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Other Compensation Program Features</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Compensation Program Risk Assessment</w:t>
      </w:r>
    </w:p>
    <w:p>
      <w:pPr>
        <w:spacing w:after="0" w:line="133" w:lineRule="exact"/>
        <w:rPr>
          <w:sz w:val="20"/>
          <w:szCs w:val="20"/>
          <w:color w:val="auto"/>
        </w:rPr>
      </w:pPr>
    </w:p>
    <w:p>
      <w:pPr>
        <w:jc w:val="both"/>
        <w:ind w:left="4" w:right="120"/>
        <w:spacing w:after="0" w:line="259" w:lineRule="auto"/>
        <w:rPr>
          <w:sz w:val="20"/>
          <w:szCs w:val="20"/>
          <w:color w:val="auto"/>
        </w:rPr>
      </w:pPr>
      <w:r>
        <w:rPr>
          <w:rFonts w:ascii="Arial" w:cs="Arial" w:eastAsia="Arial" w:hAnsi="Arial"/>
          <w:sz w:val="16"/>
          <w:szCs w:val="16"/>
          <w:color w:val="333333"/>
        </w:rPr>
        <w:t>We perform a thorough annual review of our compensation program structure and all compensation programs, which are also reviewed in detail with the Committee. We believe our executive pay is appropriate and provides necessary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w:t>
      </w:r>
    </w:p>
    <w:p>
      <w:pPr>
        <w:spacing w:after="0" w:line="29" w:lineRule="exact"/>
        <w:rPr>
          <w:sz w:val="20"/>
          <w:szCs w:val="20"/>
          <w:color w:val="auto"/>
        </w:rPr>
      </w:pPr>
    </w:p>
    <w:p>
      <w:pPr>
        <w:ind w:left="224" w:right="220" w:hanging="224"/>
        <w:spacing w:after="0" w:line="286" w:lineRule="auto"/>
        <w:tabs>
          <w:tab w:leader="none" w:pos="224" w:val="left"/>
        </w:tabs>
        <w:numPr>
          <w:ilvl w:val="0"/>
          <w:numId w:val="97"/>
        </w:numPr>
        <w:rPr>
          <w:rFonts w:ascii="Arial" w:cs="Arial" w:eastAsia="Arial" w:hAnsi="Arial"/>
          <w:sz w:val="16"/>
          <w:szCs w:val="16"/>
          <w:color w:val="333333"/>
        </w:rPr>
      </w:pPr>
      <w:r>
        <w:rPr>
          <w:rFonts w:ascii="Arial" w:cs="Arial" w:eastAsia="Arial" w:hAnsi="Arial"/>
          <w:sz w:val="16"/>
          <w:szCs w:val="16"/>
          <w:color w:val="333333"/>
        </w:rPr>
        <w:t>Our annual incentive compensation plan does not provide payment for poor individual or corporate performance, regardless of whether the failure to achieve target was outside management’s control.</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97"/>
        </w:numPr>
        <w:rPr>
          <w:rFonts w:ascii="Arial" w:cs="Arial" w:eastAsia="Arial" w:hAnsi="Arial"/>
          <w:sz w:val="16"/>
          <w:szCs w:val="16"/>
          <w:color w:val="333333"/>
        </w:rPr>
      </w:pPr>
      <w:r>
        <w:rPr>
          <w:rFonts w:ascii="Arial" w:cs="Arial" w:eastAsia="Arial" w:hAnsi="Arial"/>
          <w:sz w:val="16"/>
          <w:szCs w:val="16"/>
          <w:color w:val="333333"/>
        </w:rPr>
        <w:t>There are caps on annual incentives and the long-term equity awards, even if the required performance-related criteria are exceeded.</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7"/>
        </w:numPr>
        <w:rPr>
          <w:rFonts w:ascii="Arial" w:cs="Arial" w:eastAsia="Arial" w:hAnsi="Arial"/>
          <w:sz w:val="16"/>
          <w:szCs w:val="16"/>
          <w:color w:val="333333"/>
        </w:rPr>
      </w:pPr>
      <w:r>
        <w:rPr>
          <w:rFonts w:ascii="Arial" w:cs="Arial" w:eastAsia="Arial" w:hAnsi="Arial"/>
          <w:sz w:val="16"/>
          <w:szCs w:val="16"/>
          <w:color w:val="333333"/>
        </w:rPr>
        <w:t>A majority of the NEOs’ compensation is long-term, with equity grants vesting over three to five years, depending on the award.</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7"/>
        </w:numPr>
        <w:rPr>
          <w:rFonts w:ascii="Arial" w:cs="Arial" w:eastAsia="Arial" w:hAnsi="Arial"/>
          <w:sz w:val="16"/>
          <w:szCs w:val="16"/>
          <w:color w:val="333333"/>
        </w:rPr>
      </w:pPr>
      <w:r>
        <w:rPr>
          <w:rFonts w:ascii="Arial" w:cs="Arial" w:eastAsia="Arial" w:hAnsi="Arial"/>
          <w:sz w:val="16"/>
          <w:szCs w:val="16"/>
          <w:color w:val="333333"/>
        </w:rPr>
        <w:t>Our compensation is not based on highly leveraged short-term incentives that encourage high-risk investments at the expense of long-term value.</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7"/>
        </w:numPr>
        <w:rPr>
          <w:rFonts w:ascii="Arial" w:cs="Arial" w:eastAsia="Arial" w:hAnsi="Arial"/>
          <w:sz w:val="16"/>
          <w:szCs w:val="16"/>
          <w:color w:val="333333"/>
        </w:rPr>
      </w:pPr>
      <w:r>
        <w:rPr>
          <w:rFonts w:ascii="Arial" w:cs="Arial" w:eastAsia="Arial" w:hAnsi="Arial"/>
          <w:sz w:val="16"/>
          <w:szCs w:val="16"/>
          <w:color w:val="333333"/>
        </w:rPr>
        <w:t>Long-term compensation to executive officers is based on specific performance measures that balance long-term growth and returns.</w:t>
      </w:r>
    </w:p>
    <w:p>
      <w:pPr>
        <w:spacing w:after="0" w:line="72" w:lineRule="exact"/>
        <w:rPr>
          <w:rFonts w:ascii="Arial" w:cs="Arial" w:eastAsia="Arial" w:hAnsi="Arial"/>
          <w:sz w:val="16"/>
          <w:szCs w:val="16"/>
          <w:color w:val="333333"/>
        </w:rPr>
      </w:pPr>
    </w:p>
    <w:p>
      <w:pPr>
        <w:ind w:left="224" w:right="160" w:hanging="224"/>
        <w:spacing w:after="0" w:line="286" w:lineRule="auto"/>
        <w:tabs>
          <w:tab w:leader="none" w:pos="224" w:val="left"/>
        </w:tabs>
        <w:numPr>
          <w:ilvl w:val="0"/>
          <w:numId w:val="97"/>
        </w:numPr>
        <w:rPr>
          <w:rFonts w:ascii="Arial" w:cs="Arial" w:eastAsia="Arial" w:hAnsi="Arial"/>
          <w:sz w:val="16"/>
          <w:szCs w:val="16"/>
          <w:color w:val="333333"/>
        </w:rPr>
      </w:pPr>
      <w:r>
        <w:rPr>
          <w:rFonts w:ascii="Arial" w:cs="Arial" w:eastAsia="Arial" w:hAnsi="Arial"/>
          <w:sz w:val="16"/>
          <w:szCs w:val="16"/>
          <w:color w:val="333333"/>
        </w:rPr>
        <w:t>The Committee uses benchmarking data and the advice of its independent compensation consultant to keep compensation in line with typical market practices and appropriate to Martin Marietta’s needs.</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97"/>
        </w:numPr>
        <w:rPr>
          <w:rFonts w:ascii="Arial" w:cs="Arial" w:eastAsia="Arial" w:hAnsi="Arial"/>
          <w:sz w:val="16"/>
          <w:szCs w:val="16"/>
          <w:color w:val="333333"/>
        </w:rPr>
      </w:pPr>
      <w:r>
        <w:rPr>
          <w:rFonts w:ascii="Arial" w:cs="Arial" w:eastAsia="Arial" w:hAnsi="Arial"/>
          <w:sz w:val="16"/>
          <w:szCs w:val="16"/>
          <w:color w:val="333333"/>
        </w:rPr>
        <w:t>We use a balanced portfolio of long-term incentive programs.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7"/>
        </w:numPr>
        <w:rPr>
          <w:rFonts w:ascii="Arial" w:cs="Arial" w:eastAsia="Arial" w:hAnsi="Arial"/>
          <w:sz w:val="16"/>
          <w:szCs w:val="16"/>
          <w:color w:val="333333"/>
        </w:rPr>
      </w:pPr>
      <w:r>
        <w:rPr>
          <w:rFonts w:ascii="Arial" w:cs="Arial" w:eastAsia="Arial" w:hAnsi="Arial"/>
          <w:sz w:val="16"/>
          <w:szCs w:val="16"/>
          <w:color w:val="333333"/>
        </w:rPr>
        <w:t>The Committee’s governance process requires review and approval of all compensation over a certain amount.</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Stock-Based Awards Generally</w:t>
      </w:r>
    </w:p>
    <w:p>
      <w:pPr>
        <w:spacing w:after="0" w:line="123" w:lineRule="exact"/>
        <w:rPr>
          <w:sz w:val="20"/>
          <w:szCs w:val="20"/>
          <w:color w:val="auto"/>
        </w:rPr>
      </w:pPr>
    </w:p>
    <w:p>
      <w:pPr>
        <w:ind w:left="4" w:right="140"/>
        <w:spacing w:after="0" w:line="266" w:lineRule="auto"/>
        <w:rPr>
          <w:sz w:val="20"/>
          <w:szCs w:val="20"/>
          <w:color w:val="auto"/>
        </w:rPr>
      </w:pPr>
      <w:r>
        <w:rPr>
          <w:rFonts w:ascii="Arial" w:cs="Arial" w:eastAsia="Arial" w:hAnsi="Arial"/>
          <w:sz w:val="16"/>
          <w:szCs w:val="16"/>
          <w:color w:val="333333"/>
        </w:rPr>
        <w:t>All of Martin Marietta’s active equity-based award plans have been approved by shareholders. Our Stock Based Award Plan requires a minimum vesting period for executives and other employees of 12 months for restricted stock or RSUs and a minimum vesting period of 36 months for stock options or stock appreciation rights (SARs). The Company has not issued SARs and has not issued stock options since 2015.</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Stock Ownership Requirements</w:t>
      </w:r>
    </w:p>
    <w:p>
      <w:pPr>
        <w:spacing w:after="0" w:line="123" w:lineRule="exact"/>
        <w:rPr>
          <w:sz w:val="20"/>
          <w:szCs w:val="20"/>
          <w:color w:val="auto"/>
        </w:rPr>
      </w:pPr>
    </w:p>
    <w:p>
      <w:pPr>
        <w:ind w:left="4" w:right="260"/>
        <w:spacing w:after="0" w:line="286" w:lineRule="auto"/>
        <w:rPr>
          <w:sz w:val="20"/>
          <w:szCs w:val="20"/>
          <w:color w:val="auto"/>
        </w:rPr>
      </w:pPr>
      <w:r>
        <w:rPr>
          <w:rFonts w:ascii="Arial" w:cs="Arial" w:eastAsia="Arial" w:hAnsi="Arial"/>
          <w:sz w:val="16"/>
          <w:szCs w:val="16"/>
          <w:color w:val="333333"/>
        </w:rPr>
        <w:t>In 2018, the Board adopted robust formal Stock Ownership Guidelines for executive officers and members of the Board of Directors. These require the following ownership levels as a multiple of base salary or annual cash retainer, as applicable:</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4700" w:type="dxa"/>
            <w:vAlign w:val="bottom"/>
          </w:tcPr>
          <w:p>
            <w:pPr>
              <w:jc w:val="center"/>
              <w:ind w:left="2959"/>
              <w:spacing w:after="0"/>
              <w:rPr>
                <w:sz w:val="20"/>
                <w:szCs w:val="20"/>
                <w:color w:val="auto"/>
              </w:rPr>
            </w:pPr>
            <w:r>
              <w:rPr>
                <w:rFonts w:ascii="Arial" w:cs="Arial" w:eastAsia="Arial" w:hAnsi="Arial"/>
                <w:sz w:val="16"/>
                <w:szCs w:val="16"/>
                <w:b w:val="1"/>
                <w:bCs w:val="1"/>
                <w:color w:val="0086CC"/>
              </w:rPr>
              <w:t>ANNUAL BASE</w:t>
            </w:r>
          </w:p>
        </w:tc>
      </w:tr>
      <w:tr>
        <w:trPr>
          <w:trHeight w:val="226"/>
        </w:trPr>
        <w:tc>
          <w:tcPr>
            <w:tcW w:w="632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TITLE</w:t>
            </w:r>
          </w:p>
        </w:tc>
        <w:tc>
          <w:tcPr>
            <w:tcW w:w="4700" w:type="dxa"/>
            <w:vAlign w:val="bottom"/>
            <w:tcBorders>
              <w:bottom w:val="single" w:sz="8" w:color="0086CC"/>
            </w:tcBorders>
          </w:tcPr>
          <w:p>
            <w:pPr>
              <w:jc w:val="center"/>
              <w:ind w:left="2919"/>
              <w:spacing w:after="0"/>
              <w:rPr>
                <w:sz w:val="20"/>
                <w:szCs w:val="20"/>
                <w:color w:val="auto"/>
              </w:rPr>
            </w:pPr>
            <w:r>
              <w:rPr>
                <w:rFonts w:ascii="Arial" w:cs="Arial" w:eastAsia="Arial" w:hAnsi="Arial"/>
                <w:sz w:val="16"/>
                <w:szCs w:val="16"/>
                <w:b w:val="1"/>
                <w:bCs w:val="1"/>
                <w:color w:val="0086CC"/>
                <w:w w:val="99"/>
              </w:rPr>
              <w:t>SALARY MULTIPLE</w:t>
            </w:r>
          </w:p>
        </w:tc>
      </w:tr>
      <w:tr>
        <w:trPr>
          <w:trHeight w:val="263"/>
        </w:trPr>
        <w:tc>
          <w:tcPr>
            <w:tcW w:w="63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Chair, President and CEO</w:t>
            </w:r>
          </w:p>
        </w:tc>
        <w:tc>
          <w:tcPr>
            <w:tcW w:w="4700" w:type="dxa"/>
            <w:vAlign w:val="bottom"/>
            <w:tcBorders>
              <w:bottom w:val="single" w:sz="8" w:color="4D5357"/>
            </w:tcBorders>
          </w:tcPr>
          <w:p>
            <w:pPr>
              <w:ind w:left="3740"/>
              <w:spacing w:after="0"/>
              <w:rPr>
                <w:sz w:val="20"/>
                <w:szCs w:val="20"/>
                <w:color w:val="auto"/>
              </w:rPr>
            </w:pPr>
            <w:r>
              <w:rPr>
                <w:rFonts w:ascii="Arial" w:cs="Arial" w:eastAsia="Arial" w:hAnsi="Arial"/>
                <w:sz w:val="16"/>
                <w:szCs w:val="16"/>
                <w:color w:val="4D5357"/>
              </w:rPr>
              <w:t>7 times</w:t>
            </w:r>
          </w:p>
        </w:tc>
      </w:tr>
      <w:tr>
        <w:trPr>
          <w:trHeight w:val="264"/>
        </w:trPr>
        <w:tc>
          <w:tcPr>
            <w:tcW w:w="63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Other Executive Officers</w:t>
            </w:r>
          </w:p>
        </w:tc>
        <w:tc>
          <w:tcPr>
            <w:tcW w:w="4700" w:type="dxa"/>
            <w:vAlign w:val="bottom"/>
            <w:tcBorders>
              <w:bottom w:val="single" w:sz="8" w:color="4D5357"/>
            </w:tcBorders>
          </w:tcPr>
          <w:p>
            <w:pPr>
              <w:ind w:left="3740"/>
              <w:spacing w:after="0"/>
              <w:rPr>
                <w:sz w:val="20"/>
                <w:szCs w:val="20"/>
                <w:color w:val="auto"/>
              </w:rPr>
            </w:pPr>
            <w:r>
              <w:rPr>
                <w:rFonts w:ascii="Arial" w:cs="Arial" w:eastAsia="Arial" w:hAnsi="Arial"/>
                <w:sz w:val="16"/>
                <w:szCs w:val="16"/>
                <w:color w:val="4D5357"/>
              </w:rPr>
              <w:t>5 times</w:t>
            </w:r>
          </w:p>
        </w:tc>
      </w:tr>
      <w:tr>
        <w:trPr>
          <w:trHeight w:val="263"/>
        </w:trPr>
        <w:tc>
          <w:tcPr>
            <w:tcW w:w="63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Other Members of the Board of Directors</w:t>
            </w:r>
          </w:p>
        </w:tc>
        <w:tc>
          <w:tcPr>
            <w:tcW w:w="4700" w:type="dxa"/>
            <w:vAlign w:val="bottom"/>
            <w:tcBorders>
              <w:bottom w:val="single" w:sz="8" w:color="4D5357"/>
            </w:tcBorders>
          </w:tcPr>
          <w:p>
            <w:pPr>
              <w:ind w:left="3740"/>
              <w:spacing w:after="0"/>
              <w:rPr>
                <w:sz w:val="20"/>
                <w:szCs w:val="20"/>
                <w:color w:val="auto"/>
              </w:rPr>
            </w:pPr>
            <w:r>
              <w:rPr>
                <w:rFonts w:ascii="Arial" w:cs="Arial" w:eastAsia="Arial" w:hAnsi="Arial"/>
                <w:sz w:val="16"/>
                <w:szCs w:val="16"/>
                <w:color w:val="4D5357"/>
              </w:rPr>
              <w:t>5 times</w:t>
            </w:r>
          </w:p>
        </w:tc>
      </w:tr>
    </w:tbl>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following types of equity instruments count in determining stock ownership for purposes of these guidelines:</w:t>
      </w:r>
    </w:p>
    <w:p>
      <w:pPr>
        <w:spacing w:after="0" w:line="73" w:lineRule="exact"/>
        <w:rPr>
          <w:sz w:val="20"/>
          <w:szCs w:val="20"/>
          <w:color w:val="auto"/>
        </w:rPr>
      </w:pPr>
    </w:p>
    <w:p>
      <w:pPr>
        <w:ind w:left="224" w:right="340" w:hanging="224"/>
        <w:spacing w:after="0" w:line="286" w:lineRule="auto"/>
        <w:tabs>
          <w:tab w:leader="none" w:pos="224" w:val="left"/>
        </w:tabs>
        <w:numPr>
          <w:ilvl w:val="0"/>
          <w:numId w:val="98"/>
        </w:numPr>
        <w:rPr>
          <w:rFonts w:ascii="Arial" w:cs="Arial" w:eastAsia="Arial" w:hAnsi="Arial"/>
          <w:sz w:val="16"/>
          <w:szCs w:val="16"/>
          <w:color w:val="333333"/>
        </w:rPr>
      </w:pPr>
      <w:r>
        <w:rPr>
          <w:rFonts w:ascii="Arial" w:cs="Arial" w:eastAsia="Arial" w:hAnsi="Arial"/>
          <w:sz w:val="16"/>
          <w:szCs w:val="16"/>
          <w:color w:val="333333"/>
        </w:rPr>
        <w:t>Shares owned separately by the covered person or owned either jointly with, or separately by, his or her immediate family members residing in the same household;</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98"/>
        </w:numPr>
        <w:rPr>
          <w:rFonts w:ascii="Arial" w:cs="Arial" w:eastAsia="Arial" w:hAnsi="Arial"/>
          <w:sz w:val="16"/>
          <w:szCs w:val="16"/>
          <w:color w:val="333333"/>
        </w:rPr>
      </w:pPr>
      <w:r>
        <w:rPr>
          <w:rFonts w:ascii="Arial" w:cs="Arial" w:eastAsia="Arial" w:hAnsi="Arial"/>
          <w:sz w:val="16"/>
          <w:szCs w:val="16"/>
          <w:color w:val="333333"/>
        </w:rPr>
        <w:t>Shares held in trust for the benefit of the covered person or his or her immediate family members;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8"/>
        </w:numPr>
        <w:rPr>
          <w:rFonts w:ascii="Arial" w:cs="Arial" w:eastAsia="Arial" w:hAnsi="Arial"/>
          <w:sz w:val="16"/>
          <w:szCs w:val="16"/>
          <w:color w:val="333333"/>
        </w:rPr>
      </w:pPr>
      <w:r>
        <w:rPr>
          <w:rFonts w:ascii="Arial" w:cs="Arial" w:eastAsia="Arial" w:hAnsi="Arial"/>
          <w:sz w:val="16"/>
          <w:szCs w:val="16"/>
          <w:color w:val="333333"/>
        </w:rPr>
        <w:t>Shares purchased on the open market;</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8"/>
        </w:numPr>
        <w:rPr>
          <w:rFonts w:ascii="Arial" w:cs="Arial" w:eastAsia="Arial" w:hAnsi="Arial"/>
          <w:sz w:val="16"/>
          <w:szCs w:val="16"/>
          <w:color w:val="333333"/>
        </w:rPr>
      </w:pPr>
      <w:r>
        <w:rPr>
          <w:rFonts w:ascii="Arial" w:cs="Arial" w:eastAsia="Arial" w:hAnsi="Arial"/>
          <w:sz w:val="16"/>
          <w:szCs w:val="16"/>
          <w:color w:val="333333"/>
        </w:rPr>
        <w:t>Shares obtained through stock option exercise (and not thereafter sold);</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8"/>
        </w:numPr>
        <w:rPr>
          <w:rFonts w:ascii="Arial" w:cs="Arial" w:eastAsia="Arial" w:hAnsi="Arial"/>
          <w:sz w:val="16"/>
          <w:szCs w:val="16"/>
          <w:color w:val="333333"/>
        </w:rPr>
      </w:pPr>
      <w:r>
        <w:rPr>
          <w:rFonts w:ascii="Arial" w:cs="Arial" w:eastAsia="Arial" w:hAnsi="Arial"/>
          <w:sz w:val="16"/>
          <w:szCs w:val="16"/>
          <w:color w:val="333333"/>
        </w:rPr>
        <w:t>Vested shares pursuant to RSUs;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8"/>
        </w:numPr>
        <w:rPr>
          <w:rFonts w:ascii="Arial" w:cs="Arial" w:eastAsia="Arial" w:hAnsi="Arial"/>
          <w:sz w:val="16"/>
          <w:szCs w:val="16"/>
          <w:color w:val="333333"/>
        </w:rPr>
      </w:pPr>
      <w:r>
        <w:rPr>
          <w:rFonts w:ascii="Arial" w:cs="Arial" w:eastAsia="Arial" w:hAnsi="Arial"/>
          <w:sz w:val="16"/>
          <w:szCs w:val="16"/>
          <w:color w:val="333333"/>
        </w:rPr>
        <w:t>Unvested RSUs;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8"/>
        </w:numPr>
        <w:rPr>
          <w:rFonts w:ascii="Arial" w:cs="Arial" w:eastAsia="Arial" w:hAnsi="Arial"/>
          <w:sz w:val="16"/>
          <w:szCs w:val="16"/>
          <w:color w:val="333333"/>
        </w:rPr>
      </w:pPr>
      <w:r>
        <w:rPr>
          <w:rFonts w:ascii="Arial" w:cs="Arial" w:eastAsia="Arial" w:hAnsi="Arial"/>
          <w:sz w:val="16"/>
          <w:szCs w:val="16"/>
          <w:color w:val="333333"/>
        </w:rPr>
        <w:t>Shares held pursuant to deferred stock unit plans for Directors or executive officers; and</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98"/>
        </w:numPr>
        <w:rPr>
          <w:rFonts w:ascii="Arial" w:cs="Arial" w:eastAsia="Arial" w:hAnsi="Arial"/>
          <w:sz w:val="16"/>
          <w:szCs w:val="16"/>
          <w:color w:val="333333"/>
        </w:rPr>
      </w:pPr>
      <w:r>
        <w:rPr>
          <w:rFonts w:ascii="Arial" w:cs="Arial" w:eastAsia="Arial" w:hAnsi="Arial"/>
          <w:sz w:val="16"/>
          <w:szCs w:val="16"/>
          <w:color w:val="333333"/>
        </w:rPr>
        <w:t>Shares acquired under the Company’s Savings and Investment Plan and similar plans or arrangements and shares acquired pursuant to the ESPP</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684"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73 </w:t>
      </w:r>
      <w:r>
        <w:rPr>
          <w:rFonts w:ascii="Arial" w:cs="Arial" w:eastAsia="Arial" w:hAnsi="Arial"/>
          <w:sz w:val="16"/>
          <w:szCs w:val="16"/>
          <w:color w:val="333333"/>
        </w:rPr>
        <w:t xml:space="preserve">               </w:t>
      </w:r>
    </w:p>
    <w:p>
      <w:pPr>
        <w:sectPr>
          <w:pgSz w:w="11900" w:h="16838" w:orient="portrait"/>
          <w:cols w:equalWidth="0" w:num="4">
            <w:col w:w="44" w:space="120"/>
            <w:col w:w="3700" w:space="720"/>
            <w:col w:w="4660" w:space="720"/>
            <w:col w:w="1060"/>
          </w:cols>
          <w:pgMar w:left="436" w:top="684" w:right="4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663065" cy="5314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6630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280"/>
        <w:spacing w:after="0"/>
        <w:rPr>
          <w:sz w:val="20"/>
          <w:szCs w:val="20"/>
          <w:color w:val="auto"/>
        </w:rPr>
      </w:pPr>
      <w:r>
        <w:rPr>
          <w:rFonts w:ascii="Arial" w:cs="Arial" w:eastAsia="Arial" w:hAnsi="Arial"/>
          <w:sz w:val="14"/>
          <w:szCs w:val="14"/>
          <w:b w:val="1"/>
          <w:bCs w:val="1"/>
          <w:color w:val="FFFFFF"/>
        </w:rPr>
        <w:t xml:space="preserve">      Compensation Discussion    </w:t>
      </w:r>
    </w:p>
    <w:p>
      <w:pPr>
        <w:spacing w:after="0" w:line="15" w:lineRule="exact"/>
        <w:rPr>
          <w:sz w:val="20"/>
          <w:szCs w:val="20"/>
          <w:color w:val="auto"/>
        </w:rPr>
      </w:pPr>
    </w:p>
    <w:p>
      <w:pPr>
        <w:jc w:val="center"/>
        <w:ind w:right="8280"/>
        <w:spacing w:after="0"/>
        <w:rPr>
          <w:sz w:val="20"/>
          <w:szCs w:val="20"/>
          <w:color w:val="auto"/>
        </w:rPr>
      </w:pPr>
      <w:r>
        <w:rPr>
          <w:rFonts w:ascii="Arial" w:cs="Arial" w:eastAsia="Arial" w:hAnsi="Arial"/>
          <w:sz w:val="14"/>
          <w:szCs w:val="14"/>
          <w:b w:val="1"/>
          <w:bCs w:val="1"/>
          <w:color w:val="FFFFFF"/>
        </w:rPr>
        <w:t xml:space="preserve">      and Analysis     </w:t>
      </w:r>
    </w:p>
    <w:p>
      <w:pPr>
        <w:spacing w:after="0" w:line="266"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333333"/>
        </w:rPr>
        <w:t>Covered persons who are employees are expected to meet these requirements within five years of the later of becoming a covered person or the date of adoption of the policy, whichever is later. Until such time as such covered person has met these requirements, he or she is expected to retain 50% of any shares of common stock received upon vesting of RSUs, deferred stock unit awards, PSUs, the exercise of stock options, and other similar equity awards, net of amounts withheld to pay taxes and the exercise price of stock options until the applicable Guideline level is met.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Stock ownership does not include vested or unvested stock options, unvested PSUs and vested or unvested stock appreciation rights.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All of the Company’s executive officers and members of the Board of Directors are in compliance with the Stock Ownership Guidelines.</w:t>
      </w:r>
    </w:p>
    <w:p>
      <w:pPr>
        <w:spacing w:after="0" w:line="113"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333333"/>
        </w:rPr>
        <w:t>We also require a holding period of annual cash incentive compensation converted to Martin Marietta share equivalents as described below, with vesting generally in three years. There is no additional holding period beyond the vesting date, however a significant portion of the executive compensation program is in the form of equity awards that vest over three years generally.</w:t>
      </w:r>
    </w:p>
    <w:p>
      <w:pPr>
        <w:spacing w:after="0" w:line="63"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color w:val="333333"/>
        </w:rPr>
        <w:t>Our CEO and executive officers can invest a portion of each year’s cash bonus award, up to 50%, in common stock units of Martin Marietta pursuant to the Incentive Stock Plan. Stock is purchased at a 20% discount to the price on the grant date to account for the additional risk of taking a common stock unit payment in lieu of a risk-free cash payment.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86CC"/>
        </w:rPr>
        <w:t>Anti-Hedging and Pledging Policy</w:t>
      </w:r>
    </w:p>
    <w:p>
      <w:pPr>
        <w:spacing w:after="0" w:line="123"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33333"/>
        </w:rPr>
        <w:t>Our policies including our Insider Trading Policy prohibit hedging and pledging of Martin Marietta stock by all directors and executive officers. Under our policies, directors and executive officers may not engage in any hedging or monetization transactions, such as puts, calls, options, other derivative securities, prepaid variable forward contracts, equity swaps, collars, exchange funds and short sales with respect to Company stock, the purpose of which is to hedge or offset any decrease in the market value of such stock. This policy also prohibits Directors and executive officers from purchasing Company stock on margin, borrowing against Company stock on margin, or pledging Company stock as collateral for any loan.</w:t>
      </w:r>
    </w:p>
    <w:p>
      <w:pPr>
        <w:spacing w:after="0" w:line="7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333333"/>
        </w:rPr>
        <w:t>We have adopted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We believe that our Insider Trading Policy and repurchase procedures are reasonably designed to promote compliance with insider trading laws, rules and regulations, and listing standards applicable to the Company.</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86CC"/>
        </w:rPr>
        <w:t>Clawback Policy</w:t>
      </w:r>
    </w:p>
    <w:p>
      <w:pPr>
        <w:spacing w:after="0" w:line="12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33333"/>
        </w:rPr>
        <w:t>We have a mandatory clawback policy that was adopted in 2023 to reflect Rule 10D of the Securities Exchange Act of 1934 as required by the Dodd-Frank Wall Street Reform and Consumer Protection Act. The mandatory clawback policy requires recovery of incentive-based compensation from current and former executive officers (including all Section 16 officers) who received such compensation during the three years preceding the date that the Company is required to prepare an accounting restatement due to (i)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The amount of the recovery is based on the compensation amounts determined based on the restated financial information to the extent the amount previously paid based on the initially reported financial information exceeds that amount. The recovery is mandated without regard to whether any misconduct occurred or to an executive officer’s individual responsibility for the misstated financial information.</w:t>
      </w:r>
    </w:p>
    <w:p>
      <w:pPr>
        <w:spacing w:after="0" w:line="77"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333333"/>
        </w:rPr>
        <w:t>The new policy supplements our clawback policy adopted in 2018 that remains in place. Under this separate, standalone policy, if the Board determines that an officer’s intentional misconduct, gross negligence or failure to report such acts by another person was a contributing factor in requiring us to restate any of our financial statements or constituted fraud, bribery or another illegal act (or contributed to another person’s fraud, bribery or other illegal act) which adversely impacted our financial position or reputation, then the Board shall take such action as it deems in the best interest of the Company and necessary to remedy the misconduct and prevent its recurrence. Among other actions, the Board may seek to recover or require reimbursement of any amount awarded to the officer in the form of an annual incentive bonus or LTI award. There were no events requiring Board consideration of a clawback action under either of our clawback policies during 2025.</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6000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74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320" w:space="120"/>
            <w:col w:w="460" w:space="120"/>
            <w:col w:w="8620" w:space="720"/>
            <w:col w:w="780"/>
          </w:cols>
          <w:pgMar w:left="320" w:top="482" w:right="4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217170</wp:posOffset>
            </wp:positionV>
            <wp:extent cx="1739900" cy="5314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399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FFFFFF"/>
        </w:rPr>
        <w:t xml:space="preserve">      Compensation Discussion    </w:t>
      </w:r>
    </w:p>
    <w:p>
      <w:pPr>
        <w:spacing w:after="0" w:line="1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FFFFFF"/>
        </w:rPr>
        <w:t xml:space="preserve">      and Analysis     </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86CC"/>
        </w:rPr>
        <w:t>Our Use of Independent Compensation Consultants</w:t>
      </w:r>
    </w:p>
    <w:p>
      <w:pPr>
        <w:spacing w:after="0" w:line="123" w:lineRule="exact"/>
        <w:rPr>
          <w:sz w:val="20"/>
          <w:szCs w:val="20"/>
          <w:color w:val="auto"/>
        </w:rPr>
      </w:pPr>
    </w:p>
    <w:p>
      <w:pPr>
        <w:jc w:val="both"/>
        <w:ind w:left="120" w:right="260"/>
        <w:spacing w:after="0" w:line="266" w:lineRule="auto"/>
        <w:rPr>
          <w:sz w:val="20"/>
          <w:szCs w:val="20"/>
          <w:color w:val="auto"/>
        </w:rPr>
      </w:pPr>
      <w:r>
        <w:rPr>
          <w:rFonts w:ascii="Arial" w:cs="Arial" w:eastAsia="Arial" w:hAnsi="Arial"/>
          <w:sz w:val="16"/>
          <w:szCs w:val="16"/>
          <w:color w:val="333333"/>
        </w:rPr>
        <w:t>The independent compensation consultant provides important information about market practices, the types and amounts of compensation offered to executives generally and the role of corporate governance considerations in making compensation decisions. The Committee’s charter authorizes it to retain outside advisors that it believes are appropriate to assist in evaluating executive compensation.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For 2025, the Committee continued to retain Pay Governance as an independent compensation consultant.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In connection with its retention of Pay Governance, the Committee considered the following factors in assessing Pay Governance’s independence:</w:t>
      </w:r>
    </w:p>
    <w:p>
      <w:pPr>
        <w:spacing w:after="0" w:line="73" w:lineRule="exact"/>
        <w:rPr>
          <w:sz w:val="20"/>
          <w:szCs w:val="20"/>
          <w:color w:val="auto"/>
        </w:rPr>
      </w:pPr>
    </w:p>
    <w:p>
      <w:pPr>
        <w:ind w:left="340" w:hanging="224"/>
        <w:spacing w:after="0"/>
        <w:tabs>
          <w:tab w:leader="none" w:pos="340" w:val="left"/>
        </w:tabs>
        <w:numPr>
          <w:ilvl w:val="0"/>
          <w:numId w:val="99"/>
        </w:numPr>
        <w:rPr>
          <w:rFonts w:ascii="Arial" w:cs="Arial" w:eastAsia="Arial" w:hAnsi="Arial"/>
          <w:sz w:val="16"/>
          <w:szCs w:val="16"/>
          <w:color w:val="333333"/>
        </w:rPr>
      </w:pPr>
      <w:r>
        <w:rPr>
          <w:rFonts w:ascii="Arial" w:cs="Arial" w:eastAsia="Arial" w:hAnsi="Arial"/>
          <w:sz w:val="16"/>
          <w:szCs w:val="16"/>
          <w:color w:val="333333"/>
        </w:rPr>
        <w:t>Pay Governance does not provide any services to Martin Marietta other than compensation advisory services.</w:t>
      </w:r>
    </w:p>
    <w:p>
      <w:pPr>
        <w:spacing w:after="0" w:line="72" w:lineRule="exact"/>
        <w:rPr>
          <w:rFonts w:ascii="Arial" w:cs="Arial" w:eastAsia="Arial" w:hAnsi="Arial"/>
          <w:sz w:val="16"/>
          <w:szCs w:val="16"/>
          <w:color w:val="333333"/>
        </w:rPr>
      </w:pPr>
    </w:p>
    <w:p>
      <w:pPr>
        <w:ind w:left="340" w:hanging="224"/>
        <w:spacing w:after="0"/>
        <w:tabs>
          <w:tab w:leader="none" w:pos="340" w:val="left"/>
        </w:tabs>
        <w:numPr>
          <w:ilvl w:val="0"/>
          <w:numId w:val="99"/>
        </w:numPr>
        <w:rPr>
          <w:rFonts w:ascii="Arial" w:cs="Arial" w:eastAsia="Arial" w:hAnsi="Arial"/>
          <w:sz w:val="16"/>
          <w:szCs w:val="16"/>
          <w:color w:val="333333"/>
        </w:rPr>
      </w:pPr>
      <w:r>
        <w:rPr>
          <w:rFonts w:ascii="Arial" w:cs="Arial" w:eastAsia="Arial" w:hAnsi="Arial"/>
          <w:sz w:val="16"/>
          <w:szCs w:val="16"/>
          <w:color w:val="333333"/>
        </w:rPr>
        <w:t>The compensation paid to Pay Governance is less than 1% of Pay Governance’s revenues.</w:t>
      </w:r>
    </w:p>
    <w:p>
      <w:pPr>
        <w:spacing w:after="0" w:line="72" w:lineRule="exact"/>
        <w:rPr>
          <w:rFonts w:ascii="Arial" w:cs="Arial" w:eastAsia="Arial" w:hAnsi="Arial"/>
          <w:sz w:val="16"/>
          <w:szCs w:val="16"/>
          <w:color w:val="333333"/>
        </w:rPr>
      </w:pPr>
    </w:p>
    <w:p>
      <w:pPr>
        <w:ind w:left="340" w:hanging="224"/>
        <w:spacing w:after="0"/>
        <w:tabs>
          <w:tab w:leader="none" w:pos="340" w:val="left"/>
        </w:tabs>
        <w:numPr>
          <w:ilvl w:val="0"/>
          <w:numId w:val="99"/>
        </w:numPr>
        <w:rPr>
          <w:rFonts w:ascii="Arial" w:cs="Arial" w:eastAsia="Arial" w:hAnsi="Arial"/>
          <w:sz w:val="16"/>
          <w:szCs w:val="16"/>
          <w:color w:val="333333"/>
        </w:rPr>
      </w:pPr>
      <w:r>
        <w:rPr>
          <w:rFonts w:ascii="Arial" w:cs="Arial" w:eastAsia="Arial" w:hAnsi="Arial"/>
          <w:sz w:val="16"/>
          <w:szCs w:val="16"/>
          <w:color w:val="333333"/>
        </w:rPr>
        <w:t>Pay Governance has business ethics and insider trading and stock ownership policies, which are designed to avoid conflicts of interest.</w:t>
      </w:r>
    </w:p>
    <w:p>
      <w:pPr>
        <w:spacing w:after="0" w:line="72" w:lineRule="exact"/>
        <w:rPr>
          <w:rFonts w:ascii="Arial" w:cs="Arial" w:eastAsia="Arial" w:hAnsi="Arial"/>
          <w:sz w:val="16"/>
          <w:szCs w:val="16"/>
          <w:color w:val="333333"/>
        </w:rPr>
      </w:pPr>
    </w:p>
    <w:p>
      <w:pPr>
        <w:ind w:left="340" w:hanging="224"/>
        <w:spacing w:after="0"/>
        <w:tabs>
          <w:tab w:leader="none" w:pos="340" w:val="left"/>
        </w:tabs>
        <w:numPr>
          <w:ilvl w:val="0"/>
          <w:numId w:val="99"/>
        </w:numPr>
        <w:rPr>
          <w:rFonts w:ascii="Arial" w:cs="Arial" w:eastAsia="Arial" w:hAnsi="Arial"/>
          <w:sz w:val="16"/>
          <w:szCs w:val="16"/>
          <w:color w:val="333333"/>
        </w:rPr>
      </w:pPr>
      <w:r>
        <w:rPr>
          <w:rFonts w:ascii="Arial" w:cs="Arial" w:eastAsia="Arial" w:hAnsi="Arial"/>
          <w:sz w:val="16"/>
          <w:szCs w:val="16"/>
          <w:color w:val="333333"/>
        </w:rPr>
        <w:t>Pay Governance employees supporting the engagement do not own Martin Marietta securities.</w:t>
      </w:r>
    </w:p>
    <w:p>
      <w:pPr>
        <w:spacing w:after="0" w:line="72" w:lineRule="exact"/>
        <w:rPr>
          <w:rFonts w:ascii="Arial" w:cs="Arial" w:eastAsia="Arial" w:hAnsi="Arial"/>
          <w:sz w:val="16"/>
          <w:szCs w:val="16"/>
          <w:color w:val="333333"/>
        </w:rPr>
      </w:pPr>
    </w:p>
    <w:p>
      <w:pPr>
        <w:ind w:left="340" w:hanging="224"/>
        <w:spacing w:after="0" w:line="286" w:lineRule="auto"/>
        <w:tabs>
          <w:tab w:leader="none" w:pos="340" w:val="left"/>
        </w:tabs>
        <w:numPr>
          <w:ilvl w:val="0"/>
          <w:numId w:val="99"/>
        </w:numPr>
        <w:rPr>
          <w:rFonts w:ascii="Arial" w:cs="Arial" w:eastAsia="Arial" w:hAnsi="Arial"/>
          <w:sz w:val="16"/>
          <w:szCs w:val="16"/>
          <w:color w:val="333333"/>
        </w:rPr>
      </w:pPr>
      <w:r>
        <w:rPr>
          <w:rFonts w:ascii="Arial" w:cs="Arial" w:eastAsia="Arial" w:hAnsi="Arial"/>
          <w:sz w:val="16"/>
          <w:szCs w:val="16"/>
          <w:color w:val="333333"/>
        </w:rPr>
        <w:t>Pay Governance employees supporting the engagement have no business or personal relationships with members of the Compensation Committee or with any Martin Marietta executive officer.</w:t>
      </w:r>
    </w:p>
    <w:p>
      <w:pPr>
        <w:spacing w:after="0" w:line="48"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333333"/>
        </w:rPr>
        <w:t>The nature and scope of Pay Governance’s engagement was determined by the Committee and not limited in any way by management. The Committee also considered Pay Governance Global Business Standards intended to address potential conflicts of interests with respect to their executive compensation consulting services and the other factors required to be considered by applicable SEC and NYSE rules in approving the Committee’s engagement of Pay Governance for 2025. Based on this review, the Committee did not identify that Pay Governance had any conflicts of interest that would prevent Pay Governance from independently advising the Committee. Pay Governance did not provide any additional services beyond those relating to director and executive officer compensation in an amount in excess of $120,000 in 2025.</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86CC"/>
        </w:rPr>
        <w:t>Practice Regarding Timing of Equity Grants</w:t>
      </w:r>
    </w:p>
    <w:p>
      <w:pPr>
        <w:spacing w:after="0" w:line="123"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333333"/>
        </w:rPr>
        <w:t>The stock purchase awards under our Incentive Stock Plan and the PSUs and RSUs awarded under our LTI program, each as described above, were granted in 2025 at the Committee’s regularly scheduled meetings in February following the public announcement of financial results for the prior year. Newly hired or promoted executive officers may, subject to the discretion of the Committee, receive an award of RSUs as of the date of their hire or promotion. The number of such RSUs is based on the average Martin Marietta stock price for the 20-day period ending on the date of the grant, the first date of employment, or promotion effective date whichever is later. The Committee’s schedule is determined several months in advance and the proximity of any awards to earnings announcements or other market events is coincidental.</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Our practice regarding the timing of equity grants is:</w:t>
      </w:r>
    </w:p>
    <w:p>
      <w:pPr>
        <w:spacing w:after="0" w:line="73" w:lineRule="exact"/>
        <w:rPr>
          <w:sz w:val="20"/>
          <w:szCs w:val="20"/>
          <w:color w:val="auto"/>
        </w:rPr>
      </w:pPr>
    </w:p>
    <w:p>
      <w:pPr>
        <w:ind w:left="340" w:right="420" w:hanging="224"/>
        <w:spacing w:after="0" w:line="286" w:lineRule="auto"/>
        <w:tabs>
          <w:tab w:leader="none" w:pos="340" w:val="left"/>
        </w:tabs>
        <w:numPr>
          <w:ilvl w:val="0"/>
          <w:numId w:val="100"/>
        </w:numPr>
        <w:rPr>
          <w:rFonts w:ascii="Arial" w:cs="Arial" w:eastAsia="Arial" w:hAnsi="Arial"/>
          <w:sz w:val="16"/>
          <w:szCs w:val="16"/>
          <w:color w:val="333333"/>
        </w:rPr>
      </w:pPr>
      <w:r>
        <w:rPr>
          <w:rFonts w:ascii="Arial" w:cs="Arial" w:eastAsia="Arial" w:hAnsi="Arial"/>
          <w:sz w:val="16"/>
          <w:szCs w:val="16"/>
          <w:color w:val="333333"/>
        </w:rPr>
        <w:t>No equity award may be backdated. A future date may be used if, among other reasons, the Committee’s action occurs in connection with a new employee who has not yet commenced employment.</w:t>
      </w:r>
    </w:p>
    <w:p>
      <w:pPr>
        <w:spacing w:after="0" w:line="7" w:lineRule="exact"/>
        <w:rPr>
          <w:rFonts w:ascii="Arial" w:cs="Arial" w:eastAsia="Arial" w:hAnsi="Arial"/>
          <w:sz w:val="16"/>
          <w:szCs w:val="16"/>
          <w:color w:val="333333"/>
        </w:rPr>
      </w:pPr>
    </w:p>
    <w:p>
      <w:pPr>
        <w:ind w:left="340" w:right="80" w:hanging="224"/>
        <w:spacing w:after="0" w:line="286" w:lineRule="auto"/>
        <w:tabs>
          <w:tab w:leader="none" w:pos="340" w:val="left"/>
        </w:tabs>
        <w:numPr>
          <w:ilvl w:val="0"/>
          <w:numId w:val="100"/>
        </w:numPr>
        <w:rPr>
          <w:rFonts w:ascii="Arial" w:cs="Arial" w:eastAsia="Arial" w:hAnsi="Arial"/>
          <w:sz w:val="16"/>
          <w:szCs w:val="16"/>
          <w:color w:val="333333"/>
        </w:rPr>
      </w:pPr>
      <w:r>
        <w:rPr>
          <w:rFonts w:ascii="Arial" w:cs="Arial" w:eastAsia="Arial" w:hAnsi="Arial"/>
          <w:sz w:val="16"/>
          <w:szCs w:val="16"/>
          <w:color w:val="333333"/>
        </w:rPr>
        <w:t>Proposed equity awards are presented to the Committee in February of each year. Off-cycle awards may be considered in the Committee’s discretion in special circumstances, which may include hiring, retention, promotion or acquisition transactions.</w:t>
      </w:r>
    </w:p>
    <w:p>
      <w:pPr>
        <w:spacing w:after="0" w:line="48"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333333"/>
        </w:rPr>
        <w:t>In addition, our existing stock award plan prohibits repricing of stock options or paying cash for underwater stock options. The Company has not issued SARs or stock options since 2015 and, for that reason, does not have a current practice with respect to the timing of such awards relative to its announcement of material non-public information. In the event that the Committee were to determine to award SARs or stock options, it would adopt a policy with respect to the timing of such awards relative to the announcement of material information that would affect the value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5918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59182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82" w:name="page83"/>
    <w:bookmarkEnd w:id="82"/>
    <w:p>
      <w:pPr>
        <w:jc w:val="center"/>
        <w:ind w:right="8496"/>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663065" cy="4718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663065" cy="471805"/>
                    </a:xfrm>
                    <a:prstGeom prst="rect">
                      <a:avLst/>
                    </a:prstGeom>
                    <a:noFill/>
                  </pic:spPr>
                </pic:pic>
              </a:graphicData>
            </a:graphic>
          </wp:anchor>
        </w:drawing>
        <w:t xml:space="preserve">      Compensation Discussion    </w:t>
      </w:r>
    </w:p>
    <w:p>
      <w:pPr>
        <w:spacing w:after="0" w:line="15" w:lineRule="exact"/>
        <w:rPr>
          <w:sz w:val="20"/>
          <w:szCs w:val="20"/>
          <w:color w:val="auto"/>
        </w:rPr>
      </w:pPr>
    </w:p>
    <w:p>
      <w:pPr>
        <w:jc w:val="center"/>
        <w:ind w:right="8496"/>
        <w:spacing w:after="0"/>
        <w:rPr>
          <w:sz w:val="20"/>
          <w:szCs w:val="20"/>
          <w:color w:val="auto"/>
        </w:rPr>
      </w:pPr>
      <w:r>
        <w:rPr>
          <w:rFonts w:ascii="Arial" w:cs="Arial" w:eastAsia="Arial" w:hAnsi="Arial"/>
          <w:sz w:val="14"/>
          <w:szCs w:val="14"/>
          <w:b w:val="1"/>
          <w:bCs w:val="1"/>
          <w:color w:val="FFFFFF"/>
        </w:rPr>
        <w:t xml:space="preserve">      and Analysis     </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Perquisites</w:t>
      </w:r>
    </w:p>
    <w:p>
      <w:pPr>
        <w:spacing w:after="0" w:line="123"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333333"/>
        </w:rPr>
        <w:t>Martin Marietta provides executives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NEOs. The value of each of the NEO’s perquisites, determined in accordance with SEC rules, is included in the annual compensation set forth in the Summary Compensation Table.</w:t>
      </w:r>
    </w:p>
    <w:p>
      <w:pPr>
        <w:spacing w:after="0" w:line="70" w:lineRule="exact"/>
        <w:rPr>
          <w:sz w:val="20"/>
          <w:szCs w:val="20"/>
          <w:color w:val="auto"/>
        </w:rPr>
      </w:pPr>
    </w:p>
    <w:p>
      <w:pPr>
        <w:ind w:left="4" w:right="60"/>
        <w:spacing w:after="0" w:line="252" w:lineRule="auto"/>
        <w:rPr>
          <w:sz w:val="20"/>
          <w:szCs w:val="20"/>
          <w:color w:val="auto"/>
        </w:rPr>
      </w:pPr>
      <w:r>
        <w:rPr>
          <w:rFonts w:ascii="Arial" w:cs="Arial" w:eastAsia="Arial" w:hAnsi="Arial"/>
          <w:sz w:val="16"/>
          <w:szCs w:val="16"/>
          <w:color w:val="333333"/>
        </w:rPr>
        <w:t>In 2025, we provided personal use of leased automobiles to NEOs. We pay for the insurance, maintenance and fuel for such vehicles, and the value of personal mileage and use is charged to the NEO as imputed income. We make the company-owned aircraft available to the CEO and other senior executives for business travel. If the NEO is accompanied by his or her spouse on such trips, that use is included in the NEO’s taxable income for the year and the incremental cost, if any, is included as “All Other Compensation” in the Summary Compensation Table required to be included in our Proxy Statement for that year. In February 2026, in connection with a security review, the Committee adopted a policy requiring the CEO to use Company-owned aircraft for personal travel. Martin Marietta also provides executive officers, as well as most other salaried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 or other employees.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Retirement and Other Benefits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In order to maintain market competitive levels of compensation, we provide retirement and other benefits to the NEOs and other employees, including:</w:t>
      </w:r>
    </w:p>
    <w:p>
      <w:pPr>
        <w:spacing w:after="0" w:line="73" w:lineRule="exact"/>
        <w:rPr>
          <w:sz w:val="20"/>
          <w:szCs w:val="20"/>
          <w:color w:val="auto"/>
        </w:rPr>
      </w:pPr>
    </w:p>
    <w:p>
      <w:pPr>
        <w:ind w:left="224" w:hanging="224"/>
        <w:spacing w:after="0"/>
        <w:tabs>
          <w:tab w:leader="none" w:pos="224" w:val="left"/>
        </w:tabs>
        <w:numPr>
          <w:ilvl w:val="0"/>
          <w:numId w:val="101"/>
        </w:numPr>
        <w:rPr>
          <w:rFonts w:ascii="Arial" w:cs="Arial" w:eastAsia="Arial" w:hAnsi="Arial"/>
          <w:sz w:val="16"/>
          <w:szCs w:val="16"/>
          <w:color w:val="333333"/>
        </w:rPr>
      </w:pPr>
      <w:r>
        <w:rPr>
          <w:rFonts w:ascii="Arial" w:cs="Arial" w:eastAsia="Arial" w:hAnsi="Arial"/>
          <w:sz w:val="16"/>
          <w:szCs w:val="16"/>
          <w:color w:val="333333"/>
        </w:rPr>
        <w:t>Medical and dental benefits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01"/>
        </w:numPr>
        <w:rPr>
          <w:rFonts w:ascii="Arial" w:cs="Arial" w:eastAsia="Arial" w:hAnsi="Arial"/>
          <w:sz w:val="16"/>
          <w:szCs w:val="16"/>
          <w:color w:val="333333"/>
        </w:rPr>
      </w:pPr>
      <w:r>
        <w:rPr>
          <w:rFonts w:ascii="Arial" w:cs="Arial" w:eastAsia="Arial" w:hAnsi="Arial"/>
          <w:sz w:val="16"/>
          <w:szCs w:val="16"/>
          <w:color w:val="333333"/>
        </w:rPr>
        <w:t>Life, accidental death and disability insurance</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01"/>
        </w:numPr>
        <w:rPr>
          <w:rFonts w:ascii="Arial" w:cs="Arial" w:eastAsia="Arial" w:hAnsi="Arial"/>
          <w:sz w:val="16"/>
          <w:szCs w:val="16"/>
          <w:color w:val="333333"/>
        </w:rPr>
      </w:pPr>
      <w:r>
        <w:rPr>
          <w:rFonts w:ascii="Arial" w:cs="Arial" w:eastAsia="Arial" w:hAnsi="Arial"/>
          <w:sz w:val="16"/>
          <w:szCs w:val="16"/>
          <w:color w:val="333333"/>
        </w:rPr>
        <w:t>Pension and savings plans</w:t>
      </w:r>
    </w:p>
    <w:p>
      <w:pPr>
        <w:spacing w:after="0" w:line="113"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333333"/>
        </w:rPr>
        <w:t>The benefits under the defined benefit pension plan are more valuable for employees who remain with Martin Marietta for longer periods, thereby furthering our objectives of retaining individuals with more expertise in relevant areas and who can also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6"/>
          <w:szCs w:val="16"/>
          <w:color w:val="333333"/>
        </w:rPr>
        <w:t>Additional information regarding these benefits is under the heading Pension Benefits Table on page 83 and the accompanying narrative.</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Potential Payments upon Termination or Change of Control</w:t>
      </w:r>
    </w:p>
    <w:p>
      <w:pPr>
        <w:spacing w:after="0" w:line="123"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333333"/>
        </w:rPr>
        <w:t>We do not have written employment agreements with executives. Instead, each of our NEOs has a change of control severance agreement (an Employment Protection Agreement) that provides for retention and continuity in order to minimize disruptions during a pending or anticipated change of control. The agreements are triggered only by a qualifying termination of employment in connection with a change of control. Martin Marietta’s equity-based award plans and retirement plans also provide for certain post-termination payments and benefits. The Committee believes these payments and benefits are also important to align the interests of the executive officers with the interests of the shareholders because the agreements will reduce or eliminate the reluctance to pursue potential change of control transactions that may ultimately lead to termination of their employment but would otherwise be in the best interests of our shareholders. The Employment Protection Agreements are described on pages 84-85 of this Proxy Statement.</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Tax and Accounting Implications</w:t>
      </w:r>
    </w:p>
    <w:p>
      <w:pPr>
        <w:spacing w:after="0" w:line="123" w:lineRule="exact"/>
        <w:rPr>
          <w:sz w:val="20"/>
          <w:szCs w:val="20"/>
          <w:color w:val="auto"/>
        </w:rPr>
      </w:pPr>
    </w:p>
    <w:p>
      <w:pPr>
        <w:ind w:left="4" w:right="480"/>
        <w:spacing w:after="0" w:line="266" w:lineRule="auto"/>
        <w:rPr>
          <w:sz w:val="20"/>
          <w:szCs w:val="20"/>
          <w:color w:val="auto"/>
        </w:rPr>
      </w:pPr>
      <w:r>
        <w:rPr>
          <w:rFonts w:ascii="Arial" w:cs="Arial" w:eastAsia="Arial" w:hAnsi="Arial"/>
          <w:sz w:val="16"/>
          <w:szCs w:val="16"/>
          <w:color w:val="333333"/>
        </w:rPr>
        <w:t>In administering the compensation program for NEOs, for awards made in 2025 the Committee considered tax consequences, including the limit on deductibility on compensation in excess of $1 million to certain executive officers under Section 162(m) of the Internal Revenue Code and the consequences under financial accounting standards.</w:t>
      </w:r>
    </w:p>
    <w:p>
      <w:pPr>
        <w:spacing w:after="0" w:line="63"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333333"/>
        </w:rPr>
        <w:t>While the Committee considers the tax deductibility as one factor in determining executive compensation, the Committee also looks at other factors in making its decisions, as noted above, and retains the flexibility to award compensation that it determines to be consistent with the goals of our executive compensation program to attract talent, promote retention, or recognize and reward desired performance even if the awards are not deductible for income tax purposes.</w:t>
      </w:r>
    </w:p>
    <w:p>
      <w:pPr>
        <w:spacing w:after="0" w:line="35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508"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76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508" w:right="439" w:bottom="1440" w:gutter="0" w:footer="0" w:header="0"/>
          <w:type w:val="continuous"/>
        </w:sectPr>
      </w:pPr>
    </w:p>
    <w:bookmarkStart w:id="83" w:name="page84"/>
    <w:bookmarkEnd w:id="83"/>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27"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Executive Officer Compensation</w:t>
      </w:r>
    </w:p>
    <w:p>
      <w:pPr>
        <w:spacing w:after="0" w:line="123" w:lineRule="exact"/>
        <w:rPr>
          <w:sz w:val="20"/>
          <w:szCs w:val="20"/>
          <w:color w:val="auto"/>
        </w:rPr>
      </w:pPr>
    </w:p>
    <w:p>
      <w:pPr>
        <w:ind w:left="4" w:right="80"/>
        <w:spacing w:after="0" w:line="254" w:lineRule="auto"/>
        <w:rPr>
          <w:sz w:val="20"/>
          <w:szCs w:val="20"/>
          <w:color w:val="auto"/>
        </w:rPr>
      </w:pPr>
      <w:r>
        <w:rPr>
          <w:rFonts w:ascii="Arial" w:cs="Arial" w:eastAsia="Arial" w:hAnsi="Arial"/>
          <w:sz w:val="16"/>
          <w:szCs w:val="16"/>
          <w:color w:val="333333"/>
        </w:rPr>
        <w:t>The following tables show annual and long-term compensation, for services in all capacities to Martin Marietta, earned by the Chief Executive Officer, our current Chief Financial Officer, our former Chief Financial Officer who served from January 2025 to April 2025, our interim Chief Financial Officer who served from April 2025 to July 2025, and the three other most highly compensated executive officers in 2025, which we refer to collectively in this Proxy Statement as the “named executive officers” or “NEOs.” These tables and the accompanying narratives should be read in conjunction with the Compensation Discussion and Analysis section of this Proxy Statement, which provides a detailed overview of the methods used by Martin Marietta to compensate its officers, including the named executive officers.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Summary Compensation Table</w:t>
      </w:r>
    </w:p>
    <w:p>
      <w:pPr>
        <w:spacing w:after="0" w:line="123" w:lineRule="exact"/>
        <w:rPr>
          <w:sz w:val="20"/>
          <w:szCs w:val="20"/>
          <w:color w:val="auto"/>
        </w:rPr>
      </w:pPr>
    </w:p>
    <w:p>
      <w:pPr>
        <w:ind w:left="4" w:right="140"/>
        <w:spacing w:after="0" w:line="286" w:lineRule="auto"/>
        <w:rPr>
          <w:sz w:val="20"/>
          <w:szCs w:val="20"/>
          <w:color w:val="auto"/>
        </w:rPr>
      </w:pPr>
      <w:r>
        <w:rPr>
          <w:rFonts w:ascii="Arial" w:cs="Arial" w:eastAsia="Arial" w:hAnsi="Arial"/>
          <w:sz w:val="16"/>
          <w:szCs w:val="16"/>
          <w:color w:val="333333"/>
        </w:rPr>
        <w:t>The table below summarizes the total compensation paid to or earned by each of the named executive officers for the fiscal years set forth below. Martin Marietta has not entered into any employment agreements with any of the named executive officers.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Summary Compensation Table</w:t>
      </w:r>
    </w:p>
    <w:p>
      <w:pPr>
        <w:spacing w:after="0" w:line="269"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0086CC"/>
                <w:w w:val="94"/>
              </w:rPr>
              <w:t>CHANGE IN</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PENSION VALUE AND</w:t>
            </w: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NON-QUALIFIED</w:t>
            </w: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vMerge w:val="restart"/>
          </w:tcPr>
          <w:p>
            <w:pPr>
              <w:ind w:left="60"/>
              <w:spacing w:after="0"/>
              <w:rPr>
                <w:sz w:val="20"/>
                <w:szCs w:val="20"/>
                <w:color w:val="auto"/>
              </w:rPr>
            </w:pPr>
            <w:r>
              <w:rPr>
                <w:rFonts w:ascii="Arial" w:cs="Arial" w:eastAsia="Arial" w:hAnsi="Arial"/>
                <w:sz w:val="12"/>
                <w:szCs w:val="12"/>
                <w:b w:val="1"/>
                <w:bCs w:val="1"/>
                <w:color w:val="0086CC"/>
              </w:rPr>
              <w:t>NAME AND</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NON-EQUITY</w:t>
            </w: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DEFERRED</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ALL OTHER</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Pr>
          <w:p>
            <w:pPr>
              <w:jc w:val="center"/>
              <w:ind w:left="58"/>
              <w:spacing w:after="0" w:line="122" w:lineRule="exact"/>
              <w:rPr>
                <w:sz w:val="20"/>
                <w:szCs w:val="20"/>
                <w:color w:val="auto"/>
              </w:rPr>
            </w:pPr>
            <w:r>
              <w:rPr>
                <w:rFonts w:ascii="Arial" w:cs="Arial" w:eastAsia="Arial" w:hAnsi="Arial"/>
                <w:sz w:val="12"/>
                <w:szCs w:val="12"/>
                <w:b w:val="1"/>
                <w:bCs w:val="1"/>
                <w:color w:val="0086CC"/>
                <w:w w:val="96"/>
              </w:rPr>
              <w:t>BONUS</w:t>
            </w:r>
          </w:p>
        </w:tc>
        <w:tc>
          <w:tcPr>
            <w:tcW w:w="880" w:type="dxa"/>
            <w:vAlign w:val="bottom"/>
          </w:tcPr>
          <w:p>
            <w:pPr>
              <w:jc w:val="center"/>
              <w:spacing w:after="0" w:line="122" w:lineRule="exact"/>
              <w:rPr>
                <w:sz w:val="20"/>
                <w:szCs w:val="20"/>
                <w:color w:val="auto"/>
              </w:rPr>
            </w:pPr>
            <w:r>
              <w:rPr>
                <w:rFonts w:ascii="Arial" w:cs="Arial" w:eastAsia="Arial" w:hAnsi="Arial"/>
                <w:sz w:val="12"/>
                <w:szCs w:val="12"/>
                <w:b w:val="1"/>
                <w:bCs w:val="1"/>
                <w:color w:val="0086CC"/>
                <w:w w:val="95"/>
              </w:rPr>
              <w:t>STOCK</w:t>
            </w: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0086CC"/>
                <w:w w:val="95"/>
              </w:rPr>
              <w:t>OPTION</w:t>
            </w:r>
          </w:p>
        </w:tc>
        <w:tc>
          <w:tcPr>
            <w:tcW w:w="1300" w:type="dxa"/>
            <w:vAlign w:val="bottom"/>
          </w:tcPr>
          <w:p>
            <w:pPr>
              <w:jc w:val="center"/>
              <w:spacing w:after="0" w:line="122" w:lineRule="exact"/>
              <w:rPr>
                <w:sz w:val="20"/>
                <w:szCs w:val="20"/>
                <w:color w:val="auto"/>
              </w:rPr>
            </w:pPr>
            <w:r>
              <w:rPr>
                <w:rFonts w:ascii="Arial" w:cs="Arial" w:eastAsia="Arial" w:hAnsi="Arial"/>
                <w:sz w:val="12"/>
                <w:szCs w:val="12"/>
                <w:b w:val="1"/>
                <w:bCs w:val="1"/>
                <w:color w:val="0086CC"/>
                <w:w w:val="95"/>
              </w:rPr>
              <w:t>INCENTIVE PLAN</w:t>
            </w:r>
          </w:p>
        </w:tc>
        <w:tc>
          <w:tcPr>
            <w:tcW w:w="1360" w:type="dxa"/>
            <w:vAlign w:val="bottom"/>
          </w:tcPr>
          <w:p>
            <w:pPr>
              <w:jc w:val="center"/>
              <w:spacing w:after="0" w:line="122" w:lineRule="exact"/>
              <w:rPr>
                <w:sz w:val="20"/>
                <w:szCs w:val="20"/>
                <w:color w:val="auto"/>
              </w:rPr>
            </w:pPr>
            <w:r>
              <w:rPr>
                <w:rFonts w:ascii="Arial" w:cs="Arial" w:eastAsia="Arial" w:hAnsi="Arial"/>
                <w:sz w:val="12"/>
                <w:szCs w:val="12"/>
                <w:b w:val="1"/>
                <w:bCs w:val="1"/>
                <w:color w:val="0086CC"/>
                <w:w w:val="97"/>
              </w:rPr>
              <w:t>COMPENSATION</w:t>
            </w:r>
          </w:p>
        </w:tc>
        <w:tc>
          <w:tcPr>
            <w:tcW w:w="1120" w:type="dxa"/>
            <w:vAlign w:val="bottom"/>
          </w:tcPr>
          <w:p>
            <w:pPr>
              <w:jc w:val="center"/>
              <w:spacing w:after="0" w:line="122" w:lineRule="exact"/>
              <w:rPr>
                <w:sz w:val="20"/>
                <w:szCs w:val="20"/>
                <w:color w:val="auto"/>
              </w:rPr>
            </w:pPr>
            <w:r>
              <w:rPr>
                <w:rFonts w:ascii="Arial" w:cs="Arial" w:eastAsia="Arial" w:hAnsi="Arial"/>
                <w:sz w:val="12"/>
                <w:szCs w:val="12"/>
                <w:b w:val="1"/>
                <w:bCs w:val="1"/>
                <w:color w:val="0086CC"/>
                <w:w w:val="95"/>
              </w:rPr>
              <w:t>COMPENSATION</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860" w:type="dxa"/>
            <w:vAlign w:val="bottom"/>
          </w:tcPr>
          <w:p>
            <w:pPr>
              <w:ind w:left="60"/>
              <w:spacing w:after="0"/>
              <w:rPr>
                <w:sz w:val="20"/>
                <w:szCs w:val="20"/>
                <w:color w:val="auto"/>
              </w:rPr>
            </w:pPr>
            <w:r>
              <w:rPr>
                <w:rFonts w:ascii="Arial" w:cs="Arial" w:eastAsia="Arial" w:hAnsi="Arial"/>
                <w:sz w:val="12"/>
                <w:szCs w:val="12"/>
                <w:b w:val="1"/>
                <w:bCs w:val="1"/>
                <w:color w:val="0086CC"/>
              </w:rPr>
              <w:t>PRINCIPAL POSITION</w:t>
            </w:r>
          </w:p>
        </w:tc>
        <w:tc>
          <w:tcPr>
            <w:tcW w:w="900" w:type="dxa"/>
            <w:vAlign w:val="bottom"/>
          </w:tcPr>
          <w:p>
            <w:pPr>
              <w:jc w:val="right"/>
              <w:ind w:right="158"/>
              <w:spacing w:after="0"/>
              <w:rPr>
                <w:sz w:val="20"/>
                <w:szCs w:val="20"/>
                <w:color w:val="auto"/>
              </w:rPr>
            </w:pPr>
            <w:r>
              <w:rPr>
                <w:rFonts w:ascii="Arial" w:cs="Arial" w:eastAsia="Arial" w:hAnsi="Arial"/>
                <w:sz w:val="12"/>
                <w:szCs w:val="12"/>
                <w:b w:val="1"/>
                <w:bCs w:val="1"/>
                <w:color w:val="0086CC"/>
              </w:rPr>
              <w:t>YEAR</w:t>
            </w:r>
          </w:p>
        </w:tc>
        <w:tc>
          <w:tcPr>
            <w:tcW w:w="1180" w:type="dxa"/>
            <w:vAlign w:val="bottom"/>
          </w:tcPr>
          <w:p>
            <w:pPr>
              <w:jc w:val="right"/>
              <w:ind w:right="198"/>
              <w:spacing w:after="0" w:line="177" w:lineRule="exact"/>
              <w:rPr>
                <w:sz w:val="20"/>
                <w:szCs w:val="20"/>
                <w:color w:val="auto"/>
              </w:rPr>
            </w:pPr>
            <w:r>
              <w:rPr>
                <w:rFonts w:ascii="Arial" w:cs="Arial" w:eastAsia="Arial" w:hAnsi="Arial"/>
                <w:sz w:val="12"/>
                <w:szCs w:val="12"/>
                <w:b w:val="1"/>
                <w:bCs w:val="1"/>
                <w:color w:val="0086CC"/>
              </w:rPr>
              <w:t>SALARY ($)</w:t>
            </w:r>
            <w:r>
              <w:rPr>
                <w:rFonts w:ascii="Arial" w:cs="Arial" w:eastAsia="Arial" w:hAnsi="Arial"/>
                <w:sz w:val="17"/>
                <w:szCs w:val="17"/>
                <w:b w:val="1"/>
                <w:bCs w:val="1"/>
                <w:color w:val="0086CC"/>
                <w:vertAlign w:val="superscript"/>
              </w:rPr>
              <w:t>1</w:t>
            </w:r>
          </w:p>
        </w:tc>
        <w:tc>
          <w:tcPr>
            <w:tcW w:w="780" w:type="dxa"/>
            <w:vAlign w:val="bottom"/>
          </w:tcPr>
          <w:p>
            <w:pPr>
              <w:jc w:val="center"/>
              <w:ind w:left="58"/>
              <w:spacing w:after="0"/>
              <w:rPr>
                <w:sz w:val="20"/>
                <w:szCs w:val="20"/>
                <w:color w:val="auto"/>
              </w:rPr>
            </w:pPr>
            <w:r>
              <w:rPr>
                <w:rFonts w:ascii="Arial" w:cs="Arial" w:eastAsia="Arial" w:hAnsi="Arial"/>
                <w:sz w:val="12"/>
                <w:szCs w:val="12"/>
                <w:b w:val="1"/>
                <w:bCs w:val="1"/>
                <w:color w:val="0086CC"/>
                <w:w w:val="95"/>
              </w:rPr>
              <w:t>($)</w:t>
            </w:r>
          </w:p>
        </w:tc>
        <w:tc>
          <w:tcPr>
            <w:tcW w:w="880" w:type="dxa"/>
            <w:vAlign w:val="bottom"/>
          </w:tcPr>
          <w:p>
            <w:pPr>
              <w:jc w:val="center"/>
              <w:spacing w:after="0" w:line="177" w:lineRule="exact"/>
              <w:rPr>
                <w:sz w:val="20"/>
                <w:szCs w:val="20"/>
                <w:color w:val="auto"/>
              </w:rPr>
            </w:pPr>
            <w:r>
              <w:rPr>
                <w:rFonts w:ascii="Arial" w:cs="Arial" w:eastAsia="Arial" w:hAnsi="Arial"/>
                <w:sz w:val="12"/>
                <w:szCs w:val="12"/>
                <w:b w:val="1"/>
                <w:bCs w:val="1"/>
                <w:color w:val="0086CC"/>
                <w:w w:val="94"/>
              </w:rPr>
              <w:t>AWARDS ($)</w:t>
            </w:r>
            <w:r>
              <w:rPr>
                <w:rFonts w:ascii="Arial" w:cs="Arial" w:eastAsia="Arial" w:hAnsi="Arial"/>
                <w:sz w:val="17"/>
                <w:szCs w:val="17"/>
                <w:b w:val="1"/>
                <w:bCs w:val="1"/>
                <w:color w:val="0086CC"/>
                <w:w w:val="94"/>
                <w:vertAlign w:val="superscript"/>
              </w:rPr>
              <w:t>2</w:t>
            </w:r>
          </w:p>
        </w:tc>
        <w:tc>
          <w:tcPr>
            <w:tcW w:w="860" w:type="dxa"/>
            <w:vAlign w:val="bottom"/>
          </w:tcPr>
          <w:p>
            <w:pPr>
              <w:jc w:val="center"/>
              <w:spacing w:after="0" w:line="177" w:lineRule="exact"/>
              <w:rPr>
                <w:sz w:val="20"/>
                <w:szCs w:val="20"/>
                <w:color w:val="auto"/>
              </w:rPr>
            </w:pPr>
            <w:r>
              <w:rPr>
                <w:rFonts w:ascii="Arial" w:cs="Arial" w:eastAsia="Arial" w:hAnsi="Arial"/>
                <w:sz w:val="12"/>
                <w:szCs w:val="12"/>
                <w:b w:val="1"/>
                <w:bCs w:val="1"/>
                <w:color w:val="0086CC"/>
                <w:w w:val="94"/>
              </w:rPr>
              <w:t>AWARDS ($)</w:t>
            </w:r>
            <w:r>
              <w:rPr>
                <w:rFonts w:ascii="Arial" w:cs="Arial" w:eastAsia="Arial" w:hAnsi="Arial"/>
                <w:sz w:val="17"/>
                <w:szCs w:val="17"/>
                <w:b w:val="1"/>
                <w:bCs w:val="1"/>
                <w:color w:val="0086CC"/>
                <w:w w:val="94"/>
                <w:vertAlign w:val="superscript"/>
              </w:rPr>
              <w:t>3</w:t>
            </w:r>
          </w:p>
        </w:tc>
        <w:tc>
          <w:tcPr>
            <w:tcW w:w="1300" w:type="dxa"/>
            <w:vAlign w:val="bottom"/>
          </w:tcPr>
          <w:p>
            <w:pPr>
              <w:jc w:val="center"/>
              <w:spacing w:after="0" w:line="177" w:lineRule="exact"/>
              <w:rPr>
                <w:sz w:val="20"/>
                <w:szCs w:val="20"/>
                <w:color w:val="auto"/>
              </w:rPr>
            </w:pPr>
            <w:r>
              <w:rPr>
                <w:rFonts w:ascii="Arial" w:cs="Arial" w:eastAsia="Arial" w:hAnsi="Arial"/>
                <w:sz w:val="12"/>
                <w:szCs w:val="12"/>
                <w:b w:val="1"/>
                <w:bCs w:val="1"/>
                <w:color w:val="0086CC"/>
                <w:w w:val="94"/>
              </w:rPr>
              <w:t>COMPENSATION ($)</w:t>
            </w:r>
            <w:r>
              <w:rPr>
                <w:rFonts w:ascii="Arial" w:cs="Arial" w:eastAsia="Arial" w:hAnsi="Arial"/>
                <w:sz w:val="17"/>
                <w:szCs w:val="17"/>
                <w:b w:val="1"/>
                <w:bCs w:val="1"/>
                <w:color w:val="0086CC"/>
                <w:w w:val="94"/>
                <w:vertAlign w:val="superscript"/>
              </w:rPr>
              <w:t>4</w:t>
            </w:r>
          </w:p>
        </w:tc>
        <w:tc>
          <w:tcPr>
            <w:tcW w:w="1360" w:type="dxa"/>
            <w:vAlign w:val="bottom"/>
          </w:tcPr>
          <w:p>
            <w:pPr>
              <w:jc w:val="center"/>
              <w:spacing w:after="0" w:line="177" w:lineRule="exact"/>
              <w:rPr>
                <w:sz w:val="20"/>
                <w:szCs w:val="20"/>
                <w:color w:val="auto"/>
              </w:rPr>
            </w:pPr>
            <w:r>
              <w:rPr>
                <w:rFonts w:ascii="Arial" w:cs="Arial" w:eastAsia="Arial" w:hAnsi="Arial"/>
                <w:sz w:val="12"/>
                <w:szCs w:val="12"/>
                <w:b w:val="1"/>
                <w:bCs w:val="1"/>
                <w:color w:val="0086CC"/>
                <w:w w:val="95"/>
              </w:rPr>
              <w:t>EARNINGS ($)</w:t>
            </w:r>
            <w:r>
              <w:rPr>
                <w:rFonts w:ascii="Arial" w:cs="Arial" w:eastAsia="Arial" w:hAnsi="Arial"/>
                <w:sz w:val="17"/>
                <w:szCs w:val="17"/>
                <w:b w:val="1"/>
                <w:bCs w:val="1"/>
                <w:color w:val="0086CC"/>
                <w:w w:val="95"/>
                <w:vertAlign w:val="superscript"/>
              </w:rPr>
              <w:t>5</w:t>
            </w:r>
          </w:p>
        </w:tc>
        <w:tc>
          <w:tcPr>
            <w:tcW w:w="1120" w:type="dxa"/>
            <w:vAlign w:val="bottom"/>
          </w:tcPr>
          <w:p>
            <w:pPr>
              <w:jc w:val="center"/>
              <w:spacing w:after="0" w:line="177" w:lineRule="exact"/>
              <w:rPr>
                <w:sz w:val="20"/>
                <w:szCs w:val="20"/>
                <w:color w:val="auto"/>
              </w:rPr>
            </w:pPr>
            <w:r>
              <w:rPr>
                <w:rFonts w:ascii="Arial" w:cs="Arial" w:eastAsia="Arial" w:hAnsi="Arial"/>
                <w:sz w:val="12"/>
                <w:szCs w:val="12"/>
                <w:b w:val="1"/>
                <w:bCs w:val="1"/>
                <w:color w:val="0086CC"/>
                <w:w w:val="95"/>
              </w:rPr>
              <w:t>($)</w:t>
            </w:r>
            <w:r>
              <w:rPr>
                <w:rFonts w:ascii="Arial" w:cs="Arial" w:eastAsia="Arial" w:hAnsi="Arial"/>
                <w:sz w:val="17"/>
                <w:szCs w:val="17"/>
                <w:b w:val="1"/>
                <w:bCs w:val="1"/>
                <w:color w:val="0086CC"/>
                <w:w w:val="95"/>
                <w:vertAlign w:val="superscript"/>
              </w:rPr>
              <w:t>6</w:t>
            </w:r>
          </w:p>
        </w:tc>
        <w:tc>
          <w:tcPr>
            <w:tcW w:w="780" w:type="dxa"/>
            <w:vAlign w:val="bottom"/>
          </w:tcPr>
          <w:p>
            <w:pPr>
              <w:jc w:val="right"/>
              <w:ind w:right="38"/>
              <w:spacing w:after="0"/>
              <w:rPr>
                <w:sz w:val="20"/>
                <w:szCs w:val="20"/>
                <w:color w:val="auto"/>
              </w:rPr>
            </w:pPr>
            <w:r>
              <w:rPr>
                <w:rFonts w:ascii="Arial" w:cs="Arial" w:eastAsia="Arial" w:hAnsi="Arial"/>
                <w:sz w:val="12"/>
                <w:szCs w:val="12"/>
                <w:b w:val="1"/>
                <w:bCs w:val="1"/>
                <w:color w:val="0086CC"/>
              </w:rPr>
              <w:t>TOTAL ($)</w:t>
            </w:r>
          </w:p>
        </w:tc>
        <w:tc>
          <w:tcPr>
            <w:tcW w:w="0" w:type="dxa"/>
            <w:vAlign w:val="bottom"/>
          </w:tcPr>
          <w:p>
            <w:pPr>
              <w:spacing w:after="0"/>
              <w:rPr>
                <w:sz w:val="1"/>
                <w:szCs w:val="1"/>
                <w:color w:val="auto"/>
              </w:rPr>
            </w:pPr>
          </w:p>
        </w:tc>
      </w:tr>
      <w:tr>
        <w:trPr>
          <w:trHeight w:val="163"/>
        </w:trPr>
        <w:tc>
          <w:tcPr>
            <w:tcW w:w="1860" w:type="dxa"/>
            <w:vAlign w:val="bottom"/>
            <w:tcBorders>
              <w:bottom w:val="single" w:sz="8" w:color="0086CC"/>
            </w:tcBorders>
          </w:tcPr>
          <w:p>
            <w:pPr>
              <w:ind w:left="60"/>
              <w:spacing w:after="0"/>
              <w:rPr>
                <w:sz w:val="20"/>
                <w:szCs w:val="20"/>
                <w:color w:val="auto"/>
              </w:rPr>
            </w:pPr>
            <w:r>
              <w:rPr>
                <w:rFonts w:ascii="Arial" w:cs="Arial" w:eastAsia="Arial" w:hAnsi="Arial"/>
                <w:sz w:val="12"/>
                <w:szCs w:val="12"/>
                <w:color w:val="0086CC"/>
              </w:rPr>
              <w:t>(A)</w:t>
            </w:r>
          </w:p>
        </w:tc>
        <w:tc>
          <w:tcPr>
            <w:tcW w:w="900" w:type="dxa"/>
            <w:vAlign w:val="bottom"/>
            <w:tcBorders>
              <w:bottom w:val="single" w:sz="8" w:color="0086CC"/>
            </w:tcBorders>
          </w:tcPr>
          <w:p>
            <w:pPr>
              <w:jc w:val="right"/>
              <w:ind w:right="238"/>
              <w:spacing w:after="0"/>
              <w:rPr>
                <w:sz w:val="20"/>
                <w:szCs w:val="20"/>
                <w:color w:val="auto"/>
              </w:rPr>
            </w:pPr>
            <w:r>
              <w:rPr>
                <w:rFonts w:ascii="Arial" w:cs="Arial" w:eastAsia="Arial" w:hAnsi="Arial"/>
                <w:sz w:val="12"/>
                <w:szCs w:val="12"/>
                <w:color w:val="0086CC"/>
              </w:rPr>
              <w:t>(B)</w:t>
            </w:r>
          </w:p>
        </w:tc>
        <w:tc>
          <w:tcPr>
            <w:tcW w:w="1180" w:type="dxa"/>
            <w:vAlign w:val="bottom"/>
            <w:tcBorders>
              <w:bottom w:val="single" w:sz="8" w:color="0086CC"/>
            </w:tcBorders>
          </w:tcPr>
          <w:p>
            <w:pPr>
              <w:jc w:val="right"/>
              <w:ind w:right="458"/>
              <w:spacing w:after="0"/>
              <w:rPr>
                <w:sz w:val="20"/>
                <w:szCs w:val="20"/>
                <w:color w:val="auto"/>
              </w:rPr>
            </w:pPr>
            <w:r>
              <w:rPr>
                <w:rFonts w:ascii="Arial" w:cs="Arial" w:eastAsia="Arial" w:hAnsi="Arial"/>
                <w:sz w:val="12"/>
                <w:szCs w:val="12"/>
                <w:color w:val="0086CC"/>
              </w:rPr>
              <w:t>(C)</w:t>
            </w:r>
          </w:p>
        </w:tc>
        <w:tc>
          <w:tcPr>
            <w:tcW w:w="780" w:type="dxa"/>
            <w:vAlign w:val="bottom"/>
            <w:tcBorders>
              <w:bottom w:val="single" w:sz="8" w:color="0086CC"/>
            </w:tcBorders>
          </w:tcPr>
          <w:p>
            <w:pPr>
              <w:jc w:val="center"/>
              <w:ind w:left="58"/>
              <w:spacing w:after="0"/>
              <w:rPr>
                <w:sz w:val="20"/>
                <w:szCs w:val="20"/>
                <w:color w:val="auto"/>
              </w:rPr>
            </w:pPr>
            <w:r>
              <w:rPr>
                <w:rFonts w:ascii="Arial" w:cs="Arial" w:eastAsia="Arial" w:hAnsi="Arial"/>
                <w:sz w:val="12"/>
                <w:szCs w:val="12"/>
                <w:color w:val="0086CC"/>
              </w:rPr>
              <w:t>(D)</w:t>
            </w:r>
          </w:p>
        </w:tc>
        <w:tc>
          <w:tcPr>
            <w:tcW w:w="880" w:type="dxa"/>
            <w:vAlign w:val="bottom"/>
            <w:tcBorders>
              <w:bottom w:val="single" w:sz="8" w:color="0086CC"/>
            </w:tcBorders>
          </w:tcPr>
          <w:p>
            <w:pPr>
              <w:jc w:val="center"/>
              <w:spacing w:after="0"/>
              <w:rPr>
                <w:sz w:val="20"/>
                <w:szCs w:val="20"/>
                <w:color w:val="auto"/>
              </w:rPr>
            </w:pPr>
            <w:r>
              <w:rPr>
                <w:rFonts w:ascii="Arial" w:cs="Arial" w:eastAsia="Arial" w:hAnsi="Arial"/>
                <w:sz w:val="12"/>
                <w:szCs w:val="12"/>
                <w:color w:val="0086CC"/>
                <w:w w:val="99"/>
              </w:rPr>
              <w:t>(E)</w:t>
            </w:r>
          </w:p>
        </w:tc>
        <w:tc>
          <w:tcPr>
            <w:tcW w:w="860" w:type="dxa"/>
            <w:vAlign w:val="bottom"/>
            <w:tcBorders>
              <w:bottom w:val="single" w:sz="8" w:color="0086CC"/>
            </w:tcBorders>
          </w:tcPr>
          <w:p>
            <w:pPr>
              <w:jc w:val="center"/>
              <w:spacing w:after="0"/>
              <w:rPr>
                <w:sz w:val="20"/>
                <w:szCs w:val="20"/>
                <w:color w:val="auto"/>
              </w:rPr>
            </w:pPr>
            <w:r>
              <w:rPr>
                <w:rFonts w:ascii="Arial" w:cs="Arial" w:eastAsia="Arial" w:hAnsi="Arial"/>
                <w:sz w:val="12"/>
                <w:szCs w:val="12"/>
                <w:color w:val="0086CC"/>
              </w:rPr>
              <w:t>(F)</w:t>
            </w:r>
          </w:p>
        </w:tc>
        <w:tc>
          <w:tcPr>
            <w:tcW w:w="1300" w:type="dxa"/>
            <w:vAlign w:val="bottom"/>
            <w:tcBorders>
              <w:bottom w:val="single" w:sz="8" w:color="0086CC"/>
            </w:tcBorders>
          </w:tcPr>
          <w:p>
            <w:pPr>
              <w:jc w:val="center"/>
              <w:spacing w:after="0"/>
              <w:rPr>
                <w:sz w:val="20"/>
                <w:szCs w:val="20"/>
                <w:color w:val="auto"/>
              </w:rPr>
            </w:pPr>
            <w:r>
              <w:rPr>
                <w:rFonts w:ascii="Arial" w:cs="Arial" w:eastAsia="Arial" w:hAnsi="Arial"/>
                <w:sz w:val="12"/>
                <w:szCs w:val="12"/>
                <w:color w:val="0086CC"/>
                <w:w w:val="92"/>
              </w:rPr>
              <w:t>(G)</w:t>
            </w:r>
          </w:p>
        </w:tc>
        <w:tc>
          <w:tcPr>
            <w:tcW w:w="1360" w:type="dxa"/>
            <w:vAlign w:val="bottom"/>
            <w:tcBorders>
              <w:bottom w:val="single" w:sz="8" w:color="0086CC"/>
            </w:tcBorders>
          </w:tcPr>
          <w:p>
            <w:pPr>
              <w:jc w:val="center"/>
              <w:spacing w:after="0"/>
              <w:rPr>
                <w:sz w:val="20"/>
                <w:szCs w:val="20"/>
                <w:color w:val="auto"/>
              </w:rPr>
            </w:pPr>
            <w:r>
              <w:rPr>
                <w:rFonts w:ascii="Arial" w:cs="Arial" w:eastAsia="Arial" w:hAnsi="Arial"/>
                <w:sz w:val="12"/>
                <w:szCs w:val="12"/>
                <w:color w:val="0086CC"/>
                <w:w w:val="95"/>
              </w:rPr>
              <w:t>(H)</w:t>
            </w:r>
          </w:p>
        </w:tc>
        <w:tc>
          <w:tcPr>
            <w:tcW w:w="1120" w:type="dxa"/>
            <w:vAlign w:val="bottom"/>
            <w:tcBorders>
              <w:bottom w:val="single" w:sz="8" w:color="0086CC"/>
            </w:tcBorders>
          </w:tcPr>
          <w:p>
            <w:pPr>
              <w:jc w:val="center"/>
              <w:spacing w:after="0"/>
              <w:rPr>
                <w:sz w:val="20"/>
                <w:szCs w:val="20"/>
                <w:color w:val="auto"/>
              </w:rPr>
            </w:pPr>
            <w:r>
              <w:rPr>
                <w:rFonts w:ascii="Arial" w:cs="Arial" w:eastAsia="Arial" w:hAnsi="Arial"/>
                <w:sz w:val="12"/>
                <w:szCs w:val="12"/>
                <w:color w:val="0086CC"/>
              </w:rPr>
              <w:t>(I)</w:t>
            </w:r>
          </w:p>
        </w:tc>
        <w:tc>
          <w:tcPr>
            <w:tcW w:w="780" w:type="dxa"/>
            <w:vAlign w:val="bottom"/>
            <w:tcBorders>
              <w:bottom w:val="single" w:sz="8" w:color="0086CC"/>
            </w:tcBorders>
          </w:tcPr>
          <w:p>
            <w:pPr>
              <w:jc w:val="right"/>
              <w:ind w:right="258"/>
              <w:spacing w:after="0"/>
              <w:rPr>
                <w:sz w:val="20"/>
                <w:szCs w:val="20"/>
                <w:color w:val="auto"/>
              </w:rPr>
            </w:pPr>
            <w:r>
              <w:rPr>
                <w:rFonts w:ascii="Arial" w:cs="Arial" w:eastAsia="Arial" w:hAnsi="Arial"/>
                <w:sz w:val="12"/>
                <w:szCs w:val="12"/>
                <w:color w:val="0086CC"/>
              </w:rPr>
              <w:t>(J)</w:t>
            </w:r>
          </w:p>
        </w:tc>
        <w:tc>
          <w:tcPr>
            <w:tcW w:w="0" w:type="dxa"/>
            <w:vAlign w:val="bottom"/>
          </w:tcPr>
          <w:p>
            <w:pPr>
              <w:spacing w:after="0"/>
              <w:rPr>
                <w:sz w:val="1"/>
                <w:szCs w:val="1"/>
                <w:color w:val="auto"/>
              </w:rPr>
            </w:pPr>
          </w:p>
        </w:tc>
      </w:tr>
      <w:tr>
        <w:trPr>
          <w:trHeight w:val="171"/>
        </w:trPr>
        <w:tc>
          <w:tcPr>
            <w:tcW w:w="1860" w:type="dxa"/>
            <w:vAlign w:val="bottom"/>
          </w:tcPr>
          <w:p>
            <w:pPr>
              <w:ind w:left="60"/>
              <w:spacing w:after="0"/>
              <w:rPr>
                <w:sz w:val="20"/>
                <w:szCs w:val="20"/>
                <w:color w:val="auto"/>
              </w:rPr>
            </w:pPr>
            <w:r>
              <w:rPr>
                <w:rFonts w:ascii="Arial" w:cs="Arial" w:eastAsia="Arial" w:hAnsi="Arial"/>
                <w:sz w:val="13"/>
                <w:szCs w:val="13"/>
                <w:b w:val="1"/>
                <w:bCs w:val="1"/>
                <w:color w:val="4D5357"/>
              </w:rPr>
              <w:t>C. Howard Nye</w:t>
            </w:r>
          </w:p>
        </w:tc>
        <w:tc>
          <w:tcPr>
            <w:tcW w:w="900" w:type="dxa"/>
            <w:vAlign w:val="bottom"/>
          </w:tcPr>
          <w:p>
            <w:pPr>
              <w:jc w:val="right"/>
              <w:ind w:right="158"/>
              <w:spacing w:after="0"/>
              <w:rPr>
                <w:sz w:val="20"/>
                <w:szCs w:val="20"/>
                <w:color w:val="auto"/>
              </w:rPr>
            </w:pPr>
            <w:r>
              <w:rPr>
                <w:rFonts w:ascii="Arial" w:cs="Arial" w:eastAsia="Arial" w:hAnsi="Arial"/>
                <w:sz w:val="13"/>
                <w:szCs w:val="13"/>
                <w:color w:val="0086CC"/>
              </w:rPr>
              <w:t>2025</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1,368,333</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9,428,726</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2,835,719</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585,757</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45,530</w:t>
            </w:r>
          </w:p>
        </w:tc>
        <w:tc>
          <w:tcPr>
            <w:tcW w:w="780" w:type="dxa"/>
            <w:vAlign w:val="bottom"/>
          </w:tcPr>
          <w:p>
            <w:pPr>
              <w:jc w:val="right"/>
              <w:spacing w:after="0"/>
              <w:rPr>
                <w:sz w:val="20"/>
                <w:szCs w:val="20"/>
                <w:color w:val="auto"/>
              </w:rPr>
            </w:pPr>
            <w:r>
              <w:rPr>
                <w:rFonts w:ascii="Arial" w:cs="Arial" w:eastAsia="Arial" w:hAnsi="Arial"/>
                <w:sz w:val="13"/>
                <w:szCs w:val="13"/>
                <w:color w:val="4D5357"/>
              </w:rPr>
              <w:t>14,264,065</w:t>
            </w:r>
          </w:p>
        </w:tc>
        <w:tc>
          <w:tcPr>
            <w:tcW w:w="0" w:type="dxa"/>
            <w:vAlign w:val="bottom"/>
          </w:tcPr>
          <w:p>
            <w:pPr>
              <w:spacing w:after="0"/>
              <w:rPr>
                <w:sz w:val="1"/>
                <w:szCs w:val="1"/>
                <w:color w:val="auto"/>
              </w:rPr>
            </w:pPr>
          </w:p>
        </w:tc>
      </w:tr>
      <w:tr>
        <w:trPr>
          <w:trHeight w:val="189"/>
        </w:trPr>
        <w:tc>
          <w:tcPr>
            <w:tcW w:w="1860" w:type="dxa"/>
            <w:vAlign w:val="bottom"/>
          </w:tcPr>
          <w:p>
            <w:pPr>
              <w:ind w:left="60"/>
              <w:spacing w:after="0"/>
              <w:rPr>
                <w:sz w:val="20"/>
                <w:szCs w:val="20"/>
                <w:color w:val="auto"/>
              </w:rPr>
            </w:pPr>
            <w:r>
              <w:rPr>
                <w:rFonts w:ascii="Arial" w:cs="Arial" w:eastAsia="Arial" w:hAnsi="Arial"/>
                <w:sz w:val="13"/>
                <w:szCs w:val="13"/>
                <w:color w:val="4D5357"/>
              </w:rPr>
              <w:t>Chair, President and CEO</w:t>
            </w:r>
          </w:p>
        </w:tc>
        <w:tc>
          <w:tcPr>
            <w:tcW w:w="900" w:type="dxa"/>
            <w:vAlign w:val="bottom"/>
          </w:tcPr>
          <w:p>
            <w:pPr>
              <w:jc w:val="right"/>
              <w:ind w:right="158"/>
              <w:spacing w:after="0"/>
              <w:rPr>
                <w:sz w:val="20"/>
                <w:szCs w:val="20"/>
                <w:color w:val="auto"/>
              </w:rPr>
            </w:pPr>
            <w:r>
              <w:rPr>
                <w:rFonts w:ascii="Arial" w:cs="Arial" w:eastAsia="Arial" w:hAnsi="Arial"/>
                <w:sz w:val="13"/>
                <w:szCs w:val="13"/>
                <w:color w:val="4D5357"/>
              </w:rPr>
              <w:t>2024</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1,285,000</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9,295,192</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1,942,872</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5,154,637</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39,062</w:t>
            </w:r>
          </w:p>
        </w:tc>
        <w:tc>
          <w:tcPr>
            <w:tcW w:w="780" w:type="dxa"/>
            <w:vAlign w:val="bottom"/>
          </w:tcPr>
          <w:p>
            <w:pPr>
              <w:jc w:val="right"/>
              <w:spacing w:after="0"/>
              <w:rPr>
                <w:sz w:val="20"/>
                <w:szCs w:val="20"/>
                <w:color w:val="auto"/>
              </w:rPr>
            </w:pPr>
            <w:r>
              <w:rPr>
                <w:rFonts w:ascii="Arial" w:cs="Arial" w:eastAsia="Arial" w:hAnsi="Arial"/>
                <w:sz w:val="13"/>
                <w:szCs w:val="13"/>
                <w:color w:val="4D5357"/>
              </w:rPr>
              <w:t>17,716,763</w:t>
            </w:r>
          </w:p>
        </w:tc>
        <w:tc>
          <w:tcPr>
            <w:tcW w:w="0" w:type="dxa"/>
            <w:vAlign w:val="bottom"/>
          </w:tcPr>
          <w:p>
            <w:pPr>
              <w:spacing w:after="0"/>
              <w:rPr>
                <w:sz w:val="1"/>
                <w:szCs w:val="1"/>
                <w:color w:val="auto"/>
              </w:rPr>
            </w:pPr>
          </w:p>
        </w:tc>
      </w:tr>
      <w:tr>
        <w:trPr>
          <w:trHeight w:val="173"/>
        </w:trPr>
        <w:tc>
          <w:tcPr>
            <w:tcW w:w="1860" w:type="dxa"/>
            <w:vAlign w:val="bottom"/>
            <w:tcBorders>
              <w:bottom w:val="single" w:sz="8" w:color="4D5357"/>
            </w:tcBorders>
          </w:tcPr>
          <w:p>
            <w:pPr>
              <w:spacing w:after="0"/>
              <w:rPr>
                <w:sz w:val="15"/>
                <w:szCs w:val="15"/>
                <w:color w:val="auto"/>
              </w:rPr>
            </w:pPr>
          </w:p>
        </w:tc>
        <w:tc>
          <w:tcPr>
            <w:tcW w:w="900" w:type="dxa"/>
            <w:vAlign w:val="bottom"/>
            <w:tcBorders>
              <w:bottom w:val="single" w:sz="8" w:color="4D5357"/>
            </w:tcBorders>
          </w:tcPr>
          <w:p>
            <w:pPr>
              <w:jc w:val="right"/>
              <w:ind w:right="158"/>
              <w:spacing w:after="0"/>
              <w:rPr>
                <w:sz w:val="20"/>
                <w:szCs w:val="20"/>
                <w:color w:val="auto"/>
              </w:rPr>
            </w:pPr>
            <w:r>
              <w:rPr>
                <w:rFonts w:ascii="Arial" w:cs="Arial" w:eastAsia="Arial" w:hAnsi="Arial"/>
                <w:sz w:val="13"/>
                <w:szCs w:val="13"/>
                <w:color w:val="4D5357"/>
              </w:rPr>
              <w:t>2023</w:t>
            </w:r>
          </w:p>
        </w:tc>
        <w:tc>
          <w:tcPr>
            <w:tcW w:w="1180" w:type="dxa"/>
            <w:vAlign w:val="bottom"/>
            <w:tcBorders>
              <w:bottom w:val="single" w:sz="8" w:color="4D5357"/>
            </w:tcBorders>
          </w:tcPr>
          <w:p>
            <w:pPr>
              <w:jc w:val="right"/>
              <w:ind w:right="238"/>
              <w:spacing w:after="0"/>
              <w:rPr>
                <w:sz w:val="20"/>
                <w:szCs w:val="20"/>
                <w:color w:val="auto"/>
              </w:rPr>
            </w:pPr>
            <w:r>
              <w:rPr>
                <w:rFonts w:ascii="Arial" w:cs="Arial" w:eastAsia="Arial" w:hAnsi="Arial"/>
                <w:sz w:val="13"/>
                <w:szCs w:val="13"/>
                <w:color w:val="4D5357"/>
              </w:rPr>
              <w:t>1,285,000</w:t>
            </w:r>
          </w:p>
        </w:tc>
        <w:tc>
          <w:tcPr>
            <w:tcW w:w="780" w:type="dxa"/>
            <w:vAlign w:val="bottom"/>
            <w:tcBorders>
              <w:bottom w:val="single" w:sz="8" w:color="4D5357"/>
            </w:tcBorders>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Borders>
              <w:bottom w:val="single" w:sz="8" w:color="4D5357"/>
            </w:tcBorders>
          </w:tcPr>
          <w:p>
            <w:pPr>
              <w:jc w:val="right"/>
              <w:ind w:right="38"/>
              <w:spacing w:after="0"/>
              <w:rPr>
                <w:sz w:val="20"/>
                <w:szCs w:val="20"/>
                <w:color w:val="auto"/>
              </w:rPr>
            </w:pPr>
            <w:r>
              <w:rPr>
                <w:rFonts w:ascii="Arial" w:cs="Arial" w:eastAsia="Arial" w:hAnsi="Arial"/>
                <w:sz w:val="13"/>
                <w:szCs w:val="13"/>
                <w:color w:val="4D5357"/>
              </w:rPr>
              <w:t>8,580,337</w:t>
            </w:r>
          </w:p>
        </w:tc>
        <w:tc>
          <w:tcPr>
            <w:tcW w:w="860" w:type="dxa"/>
            <w:vAlign w:val="bottom"/>
            <w:tcBorders>
              <w:bottom w:val="single" w:sz="8" w:color="4D5357"/>
            </w:tcBorders>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Borders>
              <w:bottom w:val="single" w:sz="8" w:color="4D5357"/>
            </w:tcBorders>
          </w:tcPr>
          <w:p>
            <w:pPr>
              <w:jc w:val="right"/>
              <w:ind w:right="178"/>
              <w:spacing w:after="0"/>
              <w:rPr>
                <w:sz w:val="20"/>
                <w:szCs w:val="20"/>
                <w:color w:val="auto"/>
              </w:rPr>
            </w:pPr>
            <w:r>
              <w:rPr>
                <w:rFonts w:ascii="Arial" w:cs="Arial" w:eastAsia="Arial" w:hAnsi="Arial"/>
                <w:sz w:val="13"/>
                <w:szCs w:val="13"/>
                <w:color w:val="4D5357"/>
              </w:rPr>
              <w:t>3,453,842</w:t>
            </w:r>
          </w:p>
        </w:tc>
        <w:tc>
          <w:tcPr>
            <w:tcW w:w="1360" w:type="dxa"/>
            <w:vAlign w:val="bottom"/>
            <w:tcBorders>
              <w:bottom w:val="single" w:sz="8" w:color="4D5357"/>
            </w:tcBorders>
          </w:tcPr>
          <w:p>
            <w:pPr>
              <w:jc w:val="right"/>
              <w:ind w:right="218"/>
              <w:spacing w:after="0"/>
              <w:rPr>
                <w:sz w:val="20"/>
                <w:szCs w:val="20"/>
                <w:color w:val="auto"/>
              </w:rPr>
            </w:pPr>
            <w:r>
              <w:rPr>
                <w:rFonts w:ascii="Arial" w:cs="Arial" w:eastAsia="Arial" w:hAnsi="Arial"/>
                <w:sz w:val="13"/>
                <w:szCs w:val="13"/>
                <w:color w:val="4D5357"/>
              </w:rPr>
              <w:t>5,132,284</w:t>
            </w:r>
          </w:p>
        </w:tc>
        <w:tc>
          <w:tcPr>
            <w:tcW w:w="1120" w:type="dxa"/>
            <w:vAlign w:val="bottom"/>
            <w:tcBorders>
              <w:bottom w:val="single" w:sz="8" w:color="4D5357"/>
            </w:tcBorders>
          </w:tcPr>
          <w:p>
            <w:pPr>
              <w:jc w:val="right"/>
              <w:ind w:right="238"/>
              <w:spacing w:after="0"/>
              <w:rPr>
                <w:sz w:val="20"/>
                <w:szCs w:val="20"/>
                <w:color w:val="auto"/>
              </w:rPr>
            </w:pPr>
            <w:r>
              <w:rPr>
                <w:rFonts w:ascii="Arial" w:cs="Arial" w:eastAsia="Arial" w:hAnsi="Arial"/>
                <w:sz w:val="13"/>
                <w:szCs w:val="13"/>
                <w:color w:val="4D5357"/>
              </w:rPr>
              <w:t>37,422</w:t>
            </w:r>
          </w:p>
        </w:tc>
        <w:tc>
          <w:tcPr>
            <w:tcW w:w="78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18,488,885</w:t>
            </w:r>
          </w:p>
        </w:tc>
        <w:tc>
          <w:tcPr>
            <w:tcW w:w="0" w:type="dxa"/>
            <w:vAlign w:val="bottom"/>
          </w:tcPr>
          <w:p>
            <w:pPr>
              <w:spacing w:after="0"/>
              <w:rPr>
                <w:sz w:val="1"/>
                <w:szCs w:val="1"/>
                <w:color w:val="auto"/>
              </w:rPr>
            </w:pPr>
          </w:p>
        </w:tc>
      </w:tr>
      <w:tr>
        <w:trPr>
          <w:trHeight w:val="171"/>
        </w:trPr>
        <w:tc>
          <w:tcPr>
            <w:tcW w:w="1860" w:type="dxa"/>
            <w:vAlign w:val="bottom"/>
          </w:tcPr>
          <w:p>
            <w:pPr>
              <w:ind w:left="60"/>
              <w:spacing w:after="0" w:line="171" w:lineRule="exact"/>
              <w:rPr>
                <w:sz w:val="20"/>
                <w:szCs w:val="20"/>
                <w:color w:val="auto"/>
              </w:rPr>
            </w:pPr>
            <w:r>
              <w:rPr>
                <w:rFonts w:ascii="Arial" w:cs="Arial" w:eastAsia="Arial" w:hAnsi="Arial"/>
                <w:sz w:val="13"/>
                <w:szCs w:val="13"/>
                <w:b w:val="1"/>
                <w:bCs w:val="1"/>
                <w:color w:val="4D5357"/>
              </w:rPr>
              <w:t>Michael J. Petro</w:t>
            </w:r>
            <w:r>
              <w:rPr>
                <w:rFonts w:ascii="Arial" w:cs="Arial" w:eastAsia="Arial" w:hAnsi="Arial"/>
                <w:sz w:val="18"/>
                <w:szCs w:val="18"/>
                <w:b w:val="1"/>
                <w:bCs w:val="1"/>
                <w:color w:val="4D5357"/>
                <w:vertAlign w:val="superscript"/>
              </w:rPr>
              <w:t>7</w:t>
            </w:r>
          </w:p>
        </w:tc>
        <w:tc>
          <w:tcPr>
            <w:tcW w:w="900" w:type="dxa"/>
            <w:vAlign w:val="bottom"/>
          </w:tcPr>
          <w:p>
            <w:pPr>
              <w:jc w:val="right"/>
              <w:ind w:right="158"/>
              <w:spacing w:after="0"/>
              <w:rPr>
                <w:sz w:val="20"/>
                <w:szCs w:val="20"/>
                <w:color w:val="auto"/>
              </w:rPr>
            </w:pPr>
            <w:r>
              <w:rPr>
                <w:rFonts w:ascii="Arial" w:cs="Arial" w:eastAsia="Arial" w:hAnsi="Arial"/>
                <w:sz w:val="13"/>
                <w:szCs w:val="13"/>
                <w:color w:val="0086CC"/>
              </w:rPr>
              <w:t>2025</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510,910</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1,828,743</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851,877</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210,125</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29,951</w:t>
            </w:r>
          </w:p>
        </w:tc>
        <w:tc>
          <w:tcPr>
            <w:tcW w:w="780" w:type="dxa"/>
            <w:vAlign w:val="bottom"/>
          </w:tcPr>
          <w:p>
            <w:pPr>
              <w:jc w:val="right"/>
              <w:spacing w:after="0"/>
              <w:rPr>
                <w:sz w:val="20"/>
                <w:szCs w:val="20"/>
                <w:color w:val="auto"/>
              </w:rPr>
            </w:pPr>
            <w:r>
              <w:rPr>
                <w:rFonts w:ascii="Arial" w:cs="Arial" w:eastAsia="Arial" w:hAnsi="Arial"/>
                <w:sz w:val="13"/>
                <w:szCs w:val="13"/>
                <w:color w:val="4D5357"/>
              </w:rPr>
              <w:t>3,431,606</w:t>
            </w:r>
          </w:p>
        </w:tc>
        <w:tc>
          <w:tcPr>
            <w:tcW w:w="0" w:type="dxa"/>
            <w:vAlign w:val="bottom"/>
          </w:tcPr>
          <w:p>
            <w:pPr>
              <w:spacing w:after="0"/>
              <w:rPr>
                <w:sz w:val="1"/>
                <w:szCs w:val="1"/>
                <w:color w:val="auto"/>
              </w:rPr>
            </w:pPr>
          </w:p>
        </w:tc>
      </w:tr>
      <w:tr>
        <w:trPr>
          <w:trHeight w:val="153"/>
        </w:trPr>
        <w:tc>
          <w:tcPr>
            <w:tcW w:w="1860" w:type="dxa"/>
            <w:vAlign w:val="bottom"/>
          </w:tcPr>
          <w:p>
            <w:pPr>
              <w:ind w:left="60"/>
              <w:spacing w:after="0"/>
              <w:rPr>
                <w:sz w:val="20"/>
                <w:szCs w:val="20"/>
                <w:color w:val="auto"/>
              </w:rPr>
            </w:pPr>
            <w:r>
              <w:rPr>
                <w:rFonts w:ascii="Arial" w:cs="Arial" w:eastAsia="Arial" w:hAnsi="Arial"/>
                <w:sz w:val="13"/>
                <w:szCs w:val="13"/>
                <w:color w:val="4D5357"/>
              </w:rPr>
              <w:t>Senior Vice President and</w:t>
            </w:r>
          </w:p>
        </w:tc>
        <w:tc>
          <w:tcPr>
            <w:tcW w:w="900" w:type="dxa"/>
            <w:vAlign w:val="bottom"/>
          </w:tcPr>
          <w:p>
            <w:pPr>
              <w:jc w:val="right"/>
              <w:ind w:right="158"/>
              <w:spacing w:after="0"/>
              <w:rPr>
                <w:sz w:val="20"/>
                <w:szCs w:val="20"/>
                <w:color w:val="auto"/>
              </w:rPr>
            </w:pPr>
            <w:r>
              <w:rPr>
                <w:rFonts w:ascii="Arial" w:cs="Arial" w:eastAsia="Arial" w:hAnsi="Arial"/>
                <w:sz w:val="13"/>
                <w:szCs w:val="13"/>
                <w:color w:val="4D5357"/>
              </w:rPr>
              <w:t>2024</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414,167</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911,193</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503,269</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185,082</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25,410</w:t>
            </w:r>
          </w:p>
        </w:tc>
        <w:tc>
          <w:tcPr>
            <w:tcW w:w="780" w:type="dxa"/>
            <w:vAlign w:val="bottom"/>
          </w:tcPr>
          <w:p>
            <w:pPr>
              <w:jc w:val="right"/>
              <w:spacing w:after="0"/>
              <w:rPr>
                <w:sz w:val="20"/>
                <w:szCs w:val="20"/>
                <w:color w:val="auto"/>
              </w:rPr>
            </w:pPr>
            <w:r>
              <w:rPr>
                <w:rFonts w:ascii="Arial" w:cs="Arial" w:eastAsia="Arial" w:hAnsi="Arial"/>
                <w:sz w:val="13"/>
                <w:szCs w:val="13"/>
                <w:color w:val="4D5357"/>
              </w:rPr>
              <w:t>2,039,121</w:t>
            </w:r>
          </w:p>
        </w:tc>
        <w:tc>
          <w:tcPr>
            <w:tcW w:w="0" w:type="dxa"/>
            <w:vAlign w:val="bottom"/>
          </w:tcPr>
          <w:p>
            <w:pPr>
              <w:spacing w:after="0"/>
              <w:rPr>
                <w:sz w:val="1"/>
                <w:szCs w:val="1"/>
                <w:color w:val="auto"/>
              </w:rPr>
            </w:pPr>
          </w:p>
        </w:tc>
      </w:tr>
      <w:tr>
        <w:trPr>
          <w:trHeight w:val="162"/>
        </w:trPr>
        <w:tc>
          <w:tcPr>
            <w:tcW w:w="1860" w:type="dxa"/>
            <w:vAlign w:val="bottom"/>
          </w:tcPr>
          <w:p>
            <w:pPr>
              <w:ind w:left="60"/>
              <w:spacing w:after="0"/>
              <w:rPr>
                <w:sz w:val="20"/>
                <w:szCs w:val="20"/>
                <w:color w:val="auto"/>
              </w:rPr>
            </w:pPr>
            <w:r>
              <w:rPr>
                <w:rFonts w:ascii="Arial" w:cs="Arial" w:eastAsia="Arial" w:hAnsi="Arial"/>
                <w:sz w:val="13"/>
                <w:szCs w:val="13"/>
                <w:color w:val="4D5357"/>
              </w:rPr>
              <w:t>Chief Financial Officer</w:t>
            </w:r>
          </w:p>
        </w:tc>
        <w:tc>
          <w:tcPr>
            <w:tcW w:w="900" w:type="dxa"/>
            <w:vAlign w:val="bottom"/>
            <w:vMerge w:val="restart"/>
          </w:tcPr>
          <w:p>
            <w:pPr>
              <w:jc w:val="right"/>
              <w:ind w:right="158"/>
              <w:spacing w:after="0"/>
              <w:rPr>
                <w:sz w:val="20"/>
                <w:szCs w:val="20"/>
                <w:color w:val="auto"/>
              </w:rPr>
            </w:pPr>
            <w:r>
              <w:rPr>
                <w:rFonts w:ascii="Arial" w:cs="Arial" w:eastAsia="Arial" w:hAnsi="Arial"/>
                <w:sz w:val="13"/>
                <w:szCs w:val="13"/>
                <w:color w:val="4D5357"/>
              </w:rPr>
              <w:t>2023</w:t>
            </w:r>
          </w:p>
        </w:tc>
        <w:tc>
          <w:tcPr>
            <w:tcW w:w="1180" w:type="dxa"/>
            <w:vAlign w:val="bottom"/>
            <w:vMerge w:val="restart"/>
          </w:tcPr>
          <w:p>
            <w:pPr>
              <w:jc w:val="right"/>
              <w:ind w:right="238"/>
              <w:spacing w:after="0"/>
              <w:rPr>
                <w:sz w:val="20"/>
                <w:szCs w:val="20"/>
                <w:color w:val="auto"/>
              </w:rPr>
            </w:pPr>
            <w:r>
              <w:rPr>
                <w:rFonts w:ascii="Arial" w:cs="Arial" w:eastAsia="Arial" w:hAnsi="Arial"/>
                <w:sz w:val="13"/>
                <w:szCs w:val="13"/>
                <w:color w:val="4D5357"/>
              </w:rPr>
              <w:t>396,667</w:t>
            </w:r>
          </w:p>
        </w:tc>
        <w:tc>
          <w:tcPr>
            <w:tcW w:w="780" w:type="dxa"/>
            <w:vAlign w:val="bottom"/>
            <w:vMerge w:val="restart"/>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4D5357"/>
              </w:rPr>
              <w:t>547,180</w:t>
            </w:r>
          </w:p>
        </w:tc>
        <w:tc>
          <w:tcPr>
            <w:tcW w:w="860" w:type="dxa"/>
            <w:vAlign w:val="bottom"/>
            <w:vMerge w:val="restart"/>
          </w:tcPr>
          <w:p>
            <w:pPr>
              <w:ind w:left="420"/>
              <w:spacing w:after="0"/>
              <w:rPr>
                <w:sz w:val="20"/>
                <w:szCs w:val="20"/>
                <w:color w:val="auto"/>
              </w:rPr>
            </w:pPr>
            <w:r>
              <w:rPr>
                <w:rFonts w:ascii="Arial" w:cs="Arial" w:eastAsia="Arial" w:hAnsi="Arial"/>
                <w:sz w:val="13"/>
                <w:szCs w:val="13"/>
                <w:color w:val="4D5357"/>
              </w:rPr>
              <w:t>—</w:t>
            </w:r>
          </w:p>
        </w:tc>
        <w:tc>
          <w:tcPr>
            <w:tcW w:w="1300" w:type="dxa"/>
            <w:vAlign w:val="bottom"/>
            <w:vMerge w:val="restart"/>
          </w:tcPr>
          <w:p>
            <w:pPr>
              <w:jc w:val="right"/>
              <w:ind w:right="178"/>
              <w:spacing w:after="0"/>
              <w:rPr>
                <w:sz w:val="20"/>
                <w:szCs w:val="20"/>
                <w:color w:val="auto"/>
              </w:rPr>
            </w:pPr>
            <w:r>
              <w:rPr>
                <w:rFonts w:ascii="Arial" w:cs="Arial" w:eastAsia="Arial" w:hAnsi="Arial"/>
                <w:sz w:val="13"/>
                <w:szCs w:val="13"/>
                <w:color w:val="4D5357"/>
              </w:rPr>
              <w:t>892,725</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4D5357"/>
              </w:rPr>
              <w:t>165,198</w:t>
            </w:r>
          </w:p>
        </w:tc>
        <w:tc>
          <w:tcPr>
            <w:tcW w:w="1120" w:type="dxa"/>
            <w:vAlign w:val="bottom"/>
            <w:vMerge w:val="restart"/>
          </w:tcPr>
          <w:p>
            <w:pPr>
              <w:jc w:val="right"/>
              <w:ind w:right="238"/>
              <w:spacing w:after="0"/>
              <w:rPr>
                <w:sz w:val="20"/>
                <w:szCs w:val="20"/>
                <w:color w:val="auto"/>
              </w:rPr>
            </w:pPr>
            <w:r>
              <w:rPr>
                <w:rFonts w:ascii="Arial" w:cs="Arial" w:eastAsia="Arial" w:hAnsi="Arial"/>
                <w:sz w:val="13"/>
                <w:szCs w:val="13"/>
                <w:color w:val="4D5357"/>
              </w:rPr>
              <w:t>25,676</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4D5357"/>
              </w:rPr>
              <w:t>2,027,446</w:t>
            </w:r>
          </w:p>
        </w:tc>
        <w:tc>
          <w:tcPr>
            <w:tcW w:w="0" w:type="dxa"/>
            <w:vAlign w:val="bottom"/>
          </w:tcPr>
          <w:p>
            <w:pPr>
              <w:spacing w:after="0"/>
              <w:rPr>
                <w:sz w:val="1"/>
                <w:szCs w:val="1"/>
                <w:color w:val="auto"/>
              </w:rPr>
            </w:pPr>
          </w:p>
        </w:tc>
      </w:tr>
      <w:tr>
        <w:trPr>
          <w:trHeight w:val="48"/>
        </w:trPr>
        <w:tc>
          <w:tcPr>
            <w:tcW w:w="1860" w:type="dxa"/>
            <w:vAlign w:val="bottom"/>
            <w:tcBorders>
              <w:bottom w:val="single" w:sz="8" w:color="4D5357"/>
            </w:tcBorders>
          </w:tcPr>
          <w:p>
            <w:pPr>
              <w:spacing w:after="0"/>
              <w:rPr>
                <w:sz w:val="4"/>
                <w:szCs w:val="4"/>
                <w:color w:val="auto"/>
              </w:rPr>
            </w:pPr>
          </w:p>
        </w:tc>
        <w:tc>
          <w:tcPr>
            <w:tcW w:w="900" w:type="dxa"/>
            <w:vAlign w:val="bottom"/>
            <w:tcBorders>
              <w:bottom w:val="single" w:sz="8" w:color="4D5357"/>
            </w:tcBorders>
            <w:vMerge w:val="continue"/>
          </w:tcPr>
          <w:p>
            <w:pPr>
              <w:spacing w:after="0"/>
              <w:rPr>
                <w:sz w:val="4"/>
                <w:szCs w:val="4"/>
                <w:color w:val="auto"/>
              </w:rPr>
            </w:pPr>
          </w:p>
        </w:tc>
        <w:tc>
          <w:tcPr>
            <w:tcW w:w="1180" w:type="dxa"/>
            <w:vAlign w:val="bottom"/>
            <w:tcBorders>
              <w:bottom w:val="single" w:sz="8" w:color="4D5357"/>
            </w:tcBorders>
            <w:vMerge w:val="continue"/>
          </w:tcPr>
          <w:p>
            <w:pPr>
              <w:spacing w:after="0"/>
              <w:rPr>
                <w:sz w:val="4"/>
                <w:szCs w:val="4"/>
                <w:color w:val="auto"/>
              </w:rPr>
            </w:pPr>
          </w:p>
        </w:tc>
        <w:tc>
          <w:tcPr>
            <w:tcW w:w="780" w:type="dxa"/>
            <w:vAlign w:val="bottom"/>
            <w:tcBorders>
              <w:bottom w:val="single" w:sz="8" w:color="4D5357"/>
            </w:tcBorders>
            <w:vMerge w:val="continue"/>
          </w:tcPr>
          <w:p>
            <w:pPr>
              <w:spacing w:after="0"/>
              <w:rPr>
                <w:sz w:val="4"/>
                <w:szCs w:val="4"/>
                <w:color w:val="auto"/>
              </w:rPr>
            </w:pPr>
          </w:p>
        </w:tc>
        <w:tc>
          <w:tcPr>
            <w:tcW w:w="880" w:type="dxa"/>
            <w:vAlign w:val="bottom"/>
            <w:tcBorders>
              <w:bottom w:val="single" w:sz="8" w:color="4D5357"/>
            </w:tcBorders>
            <w:vMerge w:val="continue"/>
          </w:tcPr>
          <w:p>
            <w:pPr>
              <w:spacing w:after="0"/>
              <w:rPr>
                <w:sz w:val="4"/>
                <w:szCs w:val="4"/>
                <w:color w:val="auto"/>
              </w:rPr>
            </w:pPr>
          </w:p>
        </w:tc>
        <w:tc>
          <w:tcPr>
            <w:tcW w:w="860" w:type="dxa"/>
            <w:vAlign w:val="bottom"/>
            <w:tcBorders>
              <w:bottom w:val="single" w:sz="8" w:color="4D5357"/>
            </w:tcBorders>
            <w:vMerge w:val="continue"/>
          </w:tcPr>
          <w:p>
            <w:pPr>
              <w:spacing w:after="0"/>
              <w:rPr>
                <w:sz w:val="4"/>
                <w:szCs w:val="4"/>
                <w:color w:val="auto"/>
              </w:rPr>
            </w:pPr>
          </w:p>
        </w:tc>
        <w:tc>
          <w:tcPr>
            <w:tcW w:w="1300" w:type="dxa"/>
            <w:vAlign w:val="bottom"/>
            <w:tcBorders>
              <w:bottom w:val="single" w:sz="8" w:color="4D5357"/>
            </w:tcBorders>
            <w:vMerge w:val="continue"/>
          </w:tcPr>
          <w:p>
            <w:pPr>
              <w:spacing w:after="0"/>
              <w:rPr>
                <w:sz w:val="4"/>
                <w:szCs w:val="4"/>
                <w:color w:val="auto"/>
              </w:rPr>
            </w:pPr>
          </w:p>
        </w:tc>
        <w:tc>
          <w:tcPr>
            <w:tcW w:w="1360" w:type="dxa"/>
            <w:vAlign w:val="bottom"/>
            <w:tcBorders>
              <w:bottom w:val="single" w:sz="8" w:color="4D5357"/>
            </w:tcBorders>
            <w:vMerge w:val="continue"/>
          </w:tcPr>
          <w:p>
            <w:pPr>
              <w:spacing w:after="0"/>
              <w:rPr>
                <w:sz w:val="4"/>
                <w:szCs w:val="4"/>
                <w:color w:val="auto"/>
              </w:rPr>
            </w:pPr>
          </w:p>
        </w:tc>
        <w:tc>
          <w:tcPr>
            <w:tcW w:w="1120" w:type="dxa"/>
            <w:vAlign w:val="bottom"/>
            <w:tcBorders>
              <w:bottom w:val="single" w:sz="8" w:color="4D5357"/>
            </w:tcBorders>
            <w:vMerge w:val="continue"/>
          </w:tcPr>
          <w:p>
            <w:pPr>
              <w:spacing w:after="0"/>
              <w:rPr>
                <w:sz w:val="4"/>
                <w:szCs w:val="4"/>
                <w:color w:val="auto"/>
              </w:rPr>
            </w:pPr>
          </w:p>
        </w:tc>
        <w:tc>
          <w:tcPr>
            <w:tcW w:w="780" w:type="dxa"/>
            <w:vAlign w:val="bottom"/>
            <w:tcBorders>
              <w:bottom w:val="single" w:sz="8" w:color="4D5357"/>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60"/>
              <w:spacing w:after="0" w:line="189" w:lineRule="exact"/>
              <w:rPr>
                <w:sz w:val="20"/>
                <w:szCs w:val="20"/>
                <w:color w:val="auto"/>
              </w:rPr>
            </w:pPr>
            <w:r>
              <w:rPr>
                <w:rFonts w:ascii="Arial" w:cs="Arial" w:eastAsia="Arial" w:hAnsi="Arial"/>
                <w:sz w:val="13"/>
                <w:szCs w:val="13"/>
                <w:b w:val="1"/>
                <w:bCs w:val="1"/>
                <w:color w:val="4D5357"/>
              </w:rPr>
              <w:t>Robert J. Cardin</w:t>
            </w:r>
            <w:r>
              <w:rPr>
                <w:rFonts w:ascii="Arial" w:cs="Arial" w:eastAsia="Arial" w:hAnsi="Arial"/>
                <w:sz w:val="18"/>
                <w:szCs w:val="18"/>
                <w:b w:val="1"/>
                <w:bCs w:val="1"/>
                <w:color w:val="4D5357"/>
                <w:vertAlign w:val="superscript"/>
              </w:rPr>
              <w:t>8</w:t>
            </w:r>
          </w:p>
        </w:tc>
        <w:tc>
          <w:tcPr>
            <w:tcW w:w="900" w:type="dxa"/>
            <w:vAlign w:val="bottom"/>
          </w:tcPr>
          <w:p>
            <w:pPr>
              <w:jc w:val="right"/>
              <w:ind w:right="158"/>
              <w:spacing w:after="0"/>
              <w:rPr>
                <w:sz w:val="20"/>
                <w:szCs w:val="20"/>
                <w:color w:val="auto"/>
              </w:rPr>
            </w:pPr>
            <w:r>
              <w:rPr>
                <w:rFonts w:ascii="Arial" w:cs="Arial" w:eastAsia="Arial" w:hAnsi="Arial"/>
                <w:sz w:val="13"/>
                <w:szCs w:val="13"/>
                <w:color w:val="0086CC"/>
              </w:rPr>
              <w:t>2025</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467,176</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500,000</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2,464,863</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777,999</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591,025</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39,242</w:t>
            </w:r>
          </w:p>
        </w:tc>
        <w:tc>
          <w:tcPr>
            <w:tcW w:w="780" w:type="dxa"/>
            <w:vAlign w:val="bottom"/>
          </w:tcPr>
          <w:p>
            <w:pPr>
              <w:jc w:val="right"/>
              <w:spacing w:after="0"/>
              <w:rPr>
                <w:sz w:val="20"/>
                <w:szCs w:val="20"/>
                <w:color w:val="auto"/>
              </w:rPr>
            </w:pPr>
            <w:r>
              <w:rPr>
                <w:rFonts w:ascii="Arial" w:cs="Arial" w:eastAsia="Arial" w:hAnsi="Arial"/>
                <w:sz w:val="13"/>
                <w:szCs w:val="13"/>
                <w:color w:val="4D5357"/>
              </w:rPr>
              <w:t>4,840,305</w:t>
            </w:r>
          </w:p>
        </w:tc>
        <w:tc>
          <w:tcPr>
            <w:tcW w:w="0" w:type="dxa"/>
            <w:vAlign w:val="bottom"/>
          </w:tcPr>
          <w:p>
            <w:pPr>
              <w:spacing w:after="0"/>
              <w:rPr>
                <w:sz w:val="1"/>
                <w:szCs w:val="1"/>
                <w:color w:val="auto"/>
              </w:rPr>
            </w:pPr>
          </w:p>
        </w:tc>
      </w:tr>
      <w:tr>
        <w:trPr>
          <w:trHeight w:val="117"/>
        </w:trPr>
        <w:tc>
          <w:tcPr>
            <w:tcW w:w="1860" w:type="dxa"/>
            <w:vAlign w:val="bottom"/>
          </w:tcPr>
          <w:p>
            <w:pPr>
              <w:ind w:left="60"/>
              <w:spacing w:after="0" w:line="117" w:lineRule="exact"/>
              <w:rPr>
                <w:sz w:val="20"/>
                <w:szCs w:val="20"/>
                <w:color w:val="auto"/>
              </w:rPr>
            </w:pPr>
            <w:r>
              <w:rPr>
                <w:rFonts w:ascii="Arial" w:cs="Arial" w:eastAsia="Arial" w:hAnsi="Arial"/>
                <w:sz w:val="13"/>
                <w:szCs w:val="13"/>
                <w:color w:val="4D5357"/>
              </w:rPr>
              <w:t>Senior Vice President,</w:t>
            </w:r>
          </w:p>
        </w:tc>
        <w:tc>
          <w:tcPr>
            <w:tcW w:w="900" w:type="dxa"/>
            <w:vAlign w:val="bottom"/>
            <w:vMerge w:val="restart"/>
          </w:tcPr>
          <w:p>
            <w:pPr>
              <w:jc w:val="right"/>
              <w:ind w:right="158"/>
              <w:spacing w:after="0"/>
              <w:rPr>
                <w:sz w:val="20"/>
                <w:szCs w:val="20"/>
                <w:color w:val="auto"/>
              </w:rPr>
            </w:pPr>
            <w:r>
              <w:rPr>
                <w:rFonts w:ascii="Arial" w:cs="Arial" w:eastAsia="Arial" w:hAnsi="Arial"/>
                <w:sz w:val="13"/>
                <w:szCs w:val="13"/>
                <w:color w:val="4D5357"/>
              </w:rPr>
              <w:t>2024</w:t>
            </w:r>
          </w:p>
        </w:tc>
        <w:tc>
          <w:tcPr>
            <w:tcW w:w="1180" w:type="dxa"/>
            <w:vAlign w:val="bottom"/>
            <w:vMerge w:val="restart"/>
          </w:tcPr>
          <w:p>
            <w:pPr>
              <w:jc w:val="right"/>
              <w:ind w:right="238"/>
              <w:spacing w:after="0"/>
              <w:rPr>
                <w:sz w:val="20"/>
                <w:szCs w:val="20"/>
                <w:color w:val="auto"/>
              </w:rPr>
            </w:pPr>
            <w:r>
              <w:rPr>
                <w:rFonts w:ascii="Arial" w:cs="Arial" w:eastAsia="Arial" w:hAnsi="Arial"/>
                <w:sz w:val="13"/>
                <w:szCs w:val="13"/>
                <w:color w:val="4D5357"/>
              </w:rPr>
              <w:t>449,034</w:t>
            </w:r>
          </w:p>
        </w:tc>
        <w:tc>
          <w:tcPr>
            <w:tcW w:w="780" w:type="dxa"/>
            <w:vAlign w:val="bottom"/>
            <w:vMerge w:val="restart"/>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4D5357"/>
              </w:rPr>
              <w:t>987,548</w:t>
            </w:r>
          </w:p>
        </w:tc>
        <w:tc>
          <w:tcPr>
            <w:tcW w:w="860" w:type="dxa"/>
            <w:vAlign w:val="bottom"/>
            <w:vMerge w:val="restart"/>
          </w:tcPr>
          <w:p>
            <w:pPr>
              <w:ind w:left="420"/>
              <w:spacing w:after="0"/>
              <w:rPr>
                <w:sz w:val="20"/>
                <w:szCs w:val="20"/>
                <w:color w:val="auto"/>
              </w:rPr>
            </w:pPr>
            <w:r>
              <w:rPr>
                <w:rFonts w:ascii="Arial" w:cs="Arial" w:eastAsia="Arial" w:hAnsi="Arial"/>
                <w:sz w:val="13"/>
                <w:szCs w:val="13"/>
                <w:color w:val="4D5357"/>
              </w:rPr>
              <w:t>—</w:t>
            </w:r>
          </w:p>
        </w:tc>
        <w:tc>
          <w:tcPr>
            <w:tcW w:w="1300" w:type="dxa"/>
            <w:vAlign w:val="bottom"/>
            <w:vMerge w:val="restart"/>
          </w:tcPr>
          <w:p>
            <w:pPr>
              <w:jc w:val="right"/>
              <w:ind w:right="178"/>
              <w:spacing w:after="0"/>
              <w:rPr>
                <w:sz w:val="20"/>
                <w:szCs w:val="20"/>
                <w:color w:val="auto"/>
              </w:rPr>
            </w:pPr>
            <w:r>
              <w:rPr>
                <w:rFonts w:ascii="Arial" w:cs="Arial" w:eastAsia="Arial" w:hAnsi="Arial"/>
                <w:sz w:val="13"/>
                <w:szCs w:val="13"/>
                <w:color w:val="4D5357"/>
              </w:rPr>
              <w:t>545,638</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4D5357"/>
              </w:rPr>
              <w:t>433,807</w:t>
            </w:r>
          </w:p>
        </w:tc>
        <w:tc>
          <w:tcPr>
            <w:tcW w:w="1120" w:type="dxa"/>
            <w:vAlign w:val="bottom"/>
            <w:vMerge w:val="restart"/>
          </w:tcPr>
          <w:p>
            <w:pPr>
              <w:jc w:val="right"/>
              <w:ind w:right="238"/>
              <w:spacing w:after="0"/>
              <w:rPr>
                <w:sz w:val="20"/>
                <w:szCs w:val="20"/>
                <w:color w:val="auto"/>
              </w:rPr>
            </w:pPr>
            <w:r>
              <w:rPr>
                <w:rFonts w:ascii="Arial" w:cs="Arial" w:eastAsia="Arial" w:hAnsi="Arial"/>
                <w:sz w:val="13"/>
                <w:szCs w:val="13"/>
                <w:color w:val="4D5357"/>
              </w:rPr>
              <w:t>36,027</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4D5357"/>
              </w:rPr>
              <w:t>2,452,054</w:t>
            </w:r>
          </w:p>
        </w:tc>
        <w:tc>
          <w:tcPr>
            <w:tcW w:w="0" w:type="dxa"/>
            <w:vAlign w:val="bottom"/>
          </w:tcPr>
          <w:p>
            <w:pPr>
              <w:spacing w:after="0"/>
              <w:rPr>
                <w:sz w:val="1"/>
                <w:szCs w:val="1"/>
                <w:color w:val="auto"/>
              </w:rPr>
            </w:pPr>
          </w:p>
        </w:tc>
      </w:tr>
      <w:tr>
        <w:trPr>
          <w:trHeight w:val="135"/>
        </w:trPr>
        <w:tc>
          <w:tcPr>
            <w:tcW w:w="1860" w:type="dxa"/>
            <w:vAlign w:val="bottom"/>
          </w:tcPr>
          <w:p>
            <w:pPr>
              <w:ind w:left="60"/>
              <w:spacing w:after="0" w:line="135" w:lineRule="exact"/>
              <w:rPr>
                <w:sz w:val="20"/>
                <w:szCs w:val="20"/>
                <w:color w:val="auto"/>
              </w:rPr>
            </w:pPr>
            <w:r>
              <w:rPr>
                <w:rFonts w:ascii="Arial" w:cs="Arial" w:eastAsia="Arial" w:hAnsi="Arial"/>
                <w:sz w:val="13"/>
                <w:szCs w:val="13"/>
                <w:color w:val="4D5357"/>
              </w:rPr>
              <w:t>Controller and Chief</w:t>
            </w:r>
          </w:p>
        </w:tc>
        <w:tc>
          <w:tcPr>
            <w:tcW w:w="9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tcPr>
          <w:p>
            <w:pPr>
              <w:ind w:left="60"/>
              <w:spacing w:after="0" w:line="139" w:lineRule="exact"/>
              <w:rPr>
                <w:sz w:val="20"/>
                <w:szCs w:val="20"/>
                <w:color w:val="auto"/>
              </w:rPr>
            </w:pPr>
            <w:r>
              <w:rPr>
                <w:rFonts w:ascii="Arial" w:cs="Arial" w:eastAsia="Arial" w:hAnsi="Arial"/>
                <w:sz w:val="13"/>
                <w:szCs w:val="13"/>
                <w:color w:val="4D5357"/>
              </w:rPr>
              <w:t>Accounting Officer;</w:t>
            </w:r>
          </w:p>
        </w:tc>
        <w:tc>
          <w:tcPr>
            <w:tcW w:w="900" w:type="dxa"/>
            <w:vAlign w:val="bottom"/>
          </w:tcPr>
          <w:p>
            <w:pPr>
              <w:jc w:val="right"/>
              <w:ind w:right="158"/>
              <w:spacing w:after="0" w:line="139" w:lineRule="exact"/>
              <w:rPr>
                <w:sz w:val="20"/>
                <w:szCs w:val="20"/>
                <w:color w:val="auto"/>
              </w:rPr>
            </w:pPr>
            <w:r>
              <w:rPr>
                <w:rFonts w:ascii="Arial" w:cs="Arial" w:eastAsia="Arial" w:hAnsi="Arial"/>
                <w:sz w:val="13"/>
                <w:szCs w:val="13"/>
                <w:color w:val="4D5357"/>
              </w:rPr>
              <w:t>2023</w:t>
            </w:r>
          </w:p>
        </w:tc>
        <w:tc>
          <w:tcPr>
            <w:tcW w:w="1180" w:type="dxa"/>
            <w:vAlign w:val="bottom"/>
          </w:tcPr>
          <w:p>
            <w:pPr>
              <w:jc w:val="right"/>
              <w:ind w:right="238"/>
              <w:spacing w:after="0" w:line="139" w:lineRule="exact"/>
              <w:rPr>
                <w:sz w:val="20"/>
                <w:szCs w:val="20"/>
                <w:color w:val="auto"/>
              </w:rPr>
            </w:pPr>
            <w:r>
              <w:rPr>
                <w:rFonts w:ascii="Arial" w:cs="Arial" w:eastAsia="Arial" w:hAnsi="Arial"/>
                <w:sz w:val="13"/>
                <w:szCs w:val="13"/>
                <w:color w:val="4D5357"/>
              </w:rPr>
              <w:t>430,562</w:t>
            </w:r>
          </w:p>
        </w:tc>
        <w:tc>
          <w:tcPr>
            <w:tcW w:w="780" w:type="dxa"/>
            <w:vAlign w:val="bottom"/>
          </w:tcPr>
          <w:p>
            <w:pPr>
              <w:jc w:val="right"/>
              <w:ind w:right="18"/>
              <w:spacing w:after="0" w:line="139" w:lineRule="exact"/>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line="139" w:lineRule="exact"/>
              <w:rPr>
                <w:sz w:val="20"/>
                <w:szCs w:val="20"/>
                <w:color w:val="auto"/>
              </w:rPr>
            </w:pPr>
            <w:r>
              <w:rPr>
                <w:rFonts w:ascii="Arial" w:cs="Arial" w:eastAsia="Arial" w:hAnsi="Arial"/>
                <w:sz w:val="13"/>
                <w:szCs w:val="13"/>
                <w:color w:val="4D5357"/>
              </w:rPr>
              <w:t>593,407</w:t>
            </w:r>
          </w:p>
        </w:tc>
        <w:tc>
          <w:tcPr>
            <w:tcW w:w="860" w:type="dxa"/>
            <w:vAlign w:val="bottom"/>
          </w:tcPr>
          <w:p>
            <w:pPr>
              <w:ind w:left="420"/>
              <w:spacing w:after="0" w:line="139" w:lineRule="exact"/>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line="139" w:lineRule="exact"/>
              <w:rPr>
                <w:sz w:val="20"/>
                <w:szCs w:val="20"/>
                <w:color w:val="auto"/>
              </w:rPr>
            </w:pPr>
            <w:r>
              <w:rPr>
                <w:rFonts w:ascii="Arial" w:cs="Arial" w:eastAsia="Arial" w:hAnsi="Arial"/>
                <w:sz w:val="13"/>
                <w:szCs w:val="13"/>
                <w:color w:val="4D5357"/>
              </w:rPr>
              <w:t>930,218</w:t>
            </w:r>
          </w:p>
        </w:tc>
        <w:tc>
          <w:tcPr>
            <w:tcW w:w="1360" w:type="dxa"/>
            <w:vAlign w:val="bottom"/>
          </w:tcPr>
          <w:p>
            <w:pPr>
              <w:jc w:val="right"/>
              <w:ind w:right="218"/>
              <w:spacing w:after="0" w:line="139" w:lineRule="exact"/>
              <w:rPr>
                <w:sz w:val="20"/>
                <w:szCs w:val="20"/>
                <w:color w:val="auto"/>
              </w:rPr>
            </w:pPr>
            <w:r>
              <w:rPr>
                <w:rFonts w:ascii="Arial" w:cs="Arial" w:eastAsia="Arial" w:hAnsi="Arial"/>
                <w:sz w:val="13"/>
                <w:szCs w:val="13"/>
                <w:color w:val="4D5357"/>
              </w:rPr>
              <w:t>320,612</w:t>
            </w:r>
          </w:p>
        </w:tc>
        <w:tc>
          <w:tcPr>
            <w:tcW w:w="1120" w:type="dxa"/>
            <w:vAlign w:val="bottom"/>
          </w:tcPr>
          <w:p>
            <w:pPr>
              <w:jc w:val="right"/>
              <w:ind w:right="238"/>
              <w:spacing w:after="0" w:line="139" w:lineRule="exact"/>
              <w:rPr>
                <w:sz w:val="20"/>
                <w:szCs w:val="20"/>
                <w:color w:val="auto"/>
              </w:rPr>
            </w:pPr>
            <w:r>
              <w:rPr>
                <w:rFonts w:ascii="Arial" w:cs="Arial" w:eastAsia="Arial" w:hAnsi="Arial"/>
                <w:sz w:val="13"/>
                <w:szCs w:val="13"/>
                <w:color w:val="4D5357"/>
              </w:rPr>
              <w:t>33,986</w:t>
            </w: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4D5357"/>
              </w:rPr>
              <w:t>2,308,785</w:t>
            </w:r>
          </w:p>
        </w:tc>
        <w:tc>
          <w:tcPr>
            <w:tcW w:w="0" w:type="dxa"/>
            <w:vAlign w:val="bottom"/>
          </w:tcPr>
          <w:p>
            <w:pPr>
              <w:spacing w:after="0"/>
              <w:rPr>
                <w:sz w:val="1"/>
                <w:szCs w:val="1"/>
                <w:color w:val="auto"/>
              </w:rPr>
            </w:pPr>
          </w:p>
        </w:tc>
      </w:tr>
      <w:tr>
        <w:trPr>
          <w:trHeight w:val="131"/>
        </w:trPr>
        <w:tc>
          <w:tcPr>
            <w:tcW w:w="1860" w:type="dxa"/>
            <w:vAlign w:val="bottom"/>
          </w:tcPr>
          <w:p>
            <w:pPr>
              <w:ind w:left="60"/>
              <w:spacing w:after="0" w:line="131" w:lineRule="exact"/>
              <w:rPr>
                <w:sz w:val="20"/>
                <w:szCs w:val="20"/>
                <w:color w:val="auto"/>
              </w:rPr>
            </w:pPr>
            <w:r>
              <w:rPr>
                <w:rFonts w:ascii="Arial" w:cs="Arial" w:eastAsia="Arial" w:hAnsi="Arial"/>
                <w:sz w:val="13"/>
                <w:szCs w:val="13"/>
                <w:color w:val="4D5357"/>
              </w:rPr>
              <w:t>Former Interim Chief</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60" w:type="dxa"/>
            <w:vAlign w:val="bottom"/>
            <w:tcBorders>
              <w:bottom w:val="single" w:sz="8" w:color="4D5357"/>
            </w:tcBorders>
          </w:tcPr>
          <w:p>
            <w:pPr>
              <w:ind w:left="60"/>
              <w:spacing w:after="0" w:line="194" w:lineRule="exact"/>
              <w:rPr>
                <w:sz w:val="20"/>
                <w:szCs w:val="20"/>
                <w:color w:val="auto"/>
              </w:rPr>
            </w:pPr>
            <w:r>
              <w:rPr>
                <w:rFonts w:ascii="Arial" w:cs="Arial" w:eastAsia="Arial" w:hAnsi="Arial"/>
                <w:sz w:val="13"/>
                <w:szCs w:val="13"/>
                <w:color w:val="4D5357"/>
              </w:rPr>
              <w:t>Financial Officer</w:t>
            </w:r>
            <w:r>
              <w:rPr>
                <w:rFonts w:ascii="Arial" w:cs="Arial" w:eastAsia="Arial" w:hAnsi="Arial"/>
                <w:sz w:val="18"/>
                <w:szCs w:val="18"/>
                <w:color w:val="4D5357"/>
                <w:vertAlign w:val="superscript"/>
              </w:rPr>
              <w:t>7</w:t>
            </w:r>
          </w:p>
        </w:tc>
        <w:tc>
          <w:tcPr>
            <w:tcW w:w="900" w:type="dxa"/>
            <w:vAlign w:val="bottom"/>
            <w:tcBorders>
              <w:bottom w:val="single" w:sz="8" w:color="4D5357"/>
            </w:tcBorders>
          </w:tcPr>
          <w:p>
            <w:pPr>
              <w:spacing w:after="0"/>
              <w:rPr>
                <w:sz w:val="16"/>
                <w:szCs w:val="16"/>
                <w:color w:val="auto"/>
              </w:rPr>
            </w:pPr>
          </w:p>
        </w:tc>
        <w:tc>
          <w:tcPr>
            <w:tcW w:w="1180" w:type="dxa"/>
            <w:vAlign w:val="bottom"/>
            <w:tcBorders>
              <w:bottom w:val="single" w:sz="8" w:color="4D5357"/>
            </w:tcBorders>
          </w:tcPr>
          <w:p>
            <w:pPr>
              <w:spacing w:after="0"/>
              <w:rPr>
                <w:sz w:val="16"/>
                <w:szCs w:val="16"/>
                <w:color w:val="auto"/>
              </w:rPr>
            </w:pPr>
          </w:p>
        </w:tc>
        <w:tc>
          <w:tcPr>
            <w:tcW w:w="780" w:type="dxa"/>
            <w:vAlign w:val="bottom"/>
            <w:tcBorders>
              <w:bottom w:val="single" w:sz="8" w:color="4D5357"/>
            </w:tcBorders>
          </w:tcPr>
          <w:p>
            <w:pPr>
              <w:spacing w:after="0"/>
              <w:rPr>
                <w:sz w:val="16"/>
                <w:szCs w:val="16"/>
                <w:color w:val="auto"/>
              </w:rPr>
            </w:pPr>
          </w:p>
        </w:tc>
        <w:tc>
          <w:tcPr>
            <w:tcW w:w="880" w:type="dxa"/>
            <w:vAlign w:val="bottom"/>
            <w:tcBorders>
              <w:bottom w:val="single" w:sz="8" w:color="4D5357"/>
            </w:tcBorders>
          </w:tcPr>
          <w:p>
            <w:pPr>
              <w:spacing w:after="0"/>
              <w:rPr>
                <w:sz w:val="16"/>
                <w:szCs w:val="16"/>
                <w:color w:val="auto"/>
              </w:rPr>
            </w:pPr>
          </w:p>
        </w:tc>
        <w:tc>
          <w:tcPr>
            <w:tcW w:w="860" w:type="dxa"/>
            <w:vAlign w:val="bottom"/>
            <w:tcBorders>
              <w:bottom w:val="single" w:sz="8" w:color="4D5357"/>
            </w:tcBorders>
          </w:tcPr>
          <w:p>
            <w:pPr>
              <w:spacing w:after="0"/>
              <w:rPr>
                <w:sz w:val="16"/>
                <w:szCs w:val="16"/>
                <w:color w:val="auto"/>
              </w:rPr>
            </w:pPr>
          </w:p>
        </w:tc>
        <w:tc>
          <w:tcPr>
            <w:tcW w:w="1300" w:type="dxa"/>
            <w:vAlign w:val="bottom"/>
            <w:tcBorders>
              <w:bottom w:val="single" w:sz="8" w:color="4D5357"/>
            </w:tcBorders>
          </w:tcPr>
          <w:p>
            <w:pPr>
              <w:spacing w:after="0"/>
              <w:rPr>
                <w:sz w:val="16"/>
                <w:szCs w:val="16"/>
                <w:color w:val="auto"/>
              </w:rPr>
            </w:pPr>
          </w:p>
        </w:tc>
        <w:tc>
          <w:tcPr>
            <w:tcW w:w="1360" w:type="dxa"/>
            <w:vAlign w:val="bottom"/>
            <w:tcBorders>
              <w:bottom w:val="single" w:sz="8" w:color="4D5357"/>
            </w:tcBorders>
          </w:tcPr>
          <w:p>
            <w:pPr>
              <w:spacing w:after="0"/>
              <w:rPr>
                <w:sz w:val="16"/>
                <w:szCs w:val="16"/>
                <w:color w:val="auto"/>
              </w:rPr>
            </w:pPr>
          </w:p>
        </w:tc>
        <w:tc>
          <w:tcPr>
            <w:tcW w:w="1120" w:type="dxa"/>
            <w:vAlign w:val="bottom"/>
            <w:tcBorders>
              <w:bottom w:val="single" w:sz="8" w:color="4D5357"/>
            </w:tcBorders>
          </w:tcPr>
          <w:p>
            <w:pPr>
              <w:spacing w:after="0"/>
              <w:rPr>
                <w:sz w:val="16"/>
                <w:szCs w:val="16"/>
                <w:color w:val="auto"/>
              </w:rPr>
            </w:pPr>
          </w:p>
        </w:tc>
        <w:tc>
          <w:tcPr>
            <w:tcW w:w="780" w:type="dxa"/>
            <w:vAlign w:val="bottom"/>
            <w:tcBorders>
              <w:bottom w:val="single" w:sz="8" w:color="4D5357"/>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60" w:type="dxa"/>
            <w:vAlign w:val="bottom"/>
          </w:tcPr>
          <w:p>
            <w:pPr>
              <w:ind w:left="60"/>
              <w:spacing w:after="0"/>
              <w:rPr>
                <w:sz w:val="20"/>
                <w:szCs w:val="20"/>
                <w:color w:val="auto"/>
              </w:rPr>
            </w:pPr>
            <w:r>
              <w:rPr>
                <w:rFonts w:ascii="Arial" w:cs="Arial" w:eastAsia="Arial" w:hAnsi="Arial"/>
                <w:sz w:val="13"/>
                <w:szCs w:val="13"/>
                <w:b w:val="1"/>
                <w:bCs w:val="1"/>
                <w:color w:val="4D5357"/>
              </w:rPr>
              <w:t>James A. J. Nickolas</w:t>
            </w:r>
          </w:p>
        </w:tc>
        <w:tc>
          <w:tcPr>
            <w:tcW w:w="900" w:type="dxa"/>
            <w:vAlign w:val="bottom"/>
          </w:tcPr>
          <w:p>
            <w:pPr>
              <w:jc w:val="right"/>
              <w:ind w:right="158"/>
              <w:spacing w:after="0"/>
              <w:rPr>
                <w:sz w:val="20"/>
                <w:szCs w:val="20"/>
                <w:color w:val="auto"/>
              </w:rPr>
            </w:pPr>
            <w:r>
              <w:rPr>
                <w:rFonts w:ascii="Arial" w:cs="Arial" w:eastAsia="Arial" w:hAnsi="Arial"/>
                <w:sz w:val="13"/>
                <w:szCs w:val="13"/>
                <w:color w:val="0086CC"/>
              </w:rPr>
              <w:t>2025</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206,704</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74,823</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20,718</w:t>
            </w:r>
          </w:p>
        </w:tc>
        <w:tc>
          <w:tcPr>
            <w:tcW w:w="780" w:type="dxa"/>
            <w:vAlign w:val="bottom"/>
          </w:tcPr>
          <w:p>
            <w:pPr>
              <w:jc w:val="right"/>
              <w:spacing w:after="0"/>
              <w:rPr>
                <w:sz w:val="20"/>
                <w:szCs w:val="20"/>
                <w:color w:val="auto"/>
              </w:rPr>
            </w:pPr>
            <w:r>
              <w:rPr>
                <w:rFonts w:ascii="Arial" w:cs="Arial" w:eastAsia="Arial" w:hAnsi="Arial"/>
                <w:sz w:val="13"/>
                <w:szCs w:val="13"/>
                <w:color w:val="4D5357"/>
              </w:rPr>
              <w:t>302,245</w:t>
            </w:r>
          </w:p>
        </w:tc>
        <w:tc>
          <w:tcPr>
            <w:tcW w:w="0" w:type="dxa"/>
            <w:vAlign w:val="bottom"/>
          </w:tcPr>
          <w:p>
            <w:pPr>
              <w:spacing w:after="0"/>
              <w:rPr>
                <w:sz w:val="1"/>
                <w:szCs w:val="1"/>
                <w:color w:val="auto"/>
              </w:rPr>
            </w:pPr>
          </w:p>
        </w:tc>
      </w:tr>
      <w:tr>
        <w:trPr>
          <w:trHeight w:val="117"/>
        </w:trPr>
        <w:tc>
          <w:tcPr>
            <w:tcW w:w="1860" w:type="dxa"/>
            <w:vAlign w:val="bottom"/>
          </w:tcPr>
          <w:p>
            <w:pPr>
              <w:ind w:left="60"/>
              <w:spacing w:after="0" w:line="117" w:lineRule="exact"/>
              <w:rPr>
                <w:sz w:val="20"/>
                <w:szCs w:val="20"/>
                <w:color w:val="auto"/>
              </w:rPr>
            </w:pPr>
            <w:r>
              <w:rPr>
                <w:rFonts w:ascii="Arial" w:cs="Arial" w:eastAsia="Arial" w:hAnsi="Arial"/>
                <w:sz w:val="13"/>
                <w:szCs w:val="13"/>
                <w:color w:val="4D5357"/>
              </w:rPr>
              <w:t>Former Executive Vice</w:t>
            </w:r>
          </w:p>
        </w:tc>
        <w:tc>
          <w:tcPr>
            <w:tcW w:w="900" w:type="dxa"/>
            <w:vAlign w:val="bottom"/>
            <w:vMerge w:val="restart"/>
          </w:tcPr>
          <w:p>
            <w:pPr>
              <w:jc w:val="right"/>
              <w:ind w:right="158"/>
              <w:spacing w:after="0"/>
              <w:rPr>
                <w:sz w:val="20"/>
                <w:szCs w:val="20"/>
                <w:color w:val="auto"/>
              </w:rPr>
            </w:pPr>
            <w:r>
              <w:rPr>
                <w:rFonts w:ascii="Arial" w:cs="Arial" w:eastAsia="Arial" w:hAnsi="Arial"/>
                <w:sz w:val="13"/>
                <w:szCs w:val="13"/>
                <w:color w:val="4D5357"/>
              </w:rPr>
              <w:t>2024</w:t>
            </w:r>
          </w:p>
        </w:tc>
        <w:tc>
          <w:tcPr>
            <w:tcW w:w="1180" w:type="dxa"/>
            <w:vAlign w:val="bottom"/>
            <w:vMerge w:val="restart"/>
          </w:tcPr>
          <w:p>
            <w:pPr>
              <w:jc w:val="right"/>
              <w:ind w:right="238"/>
              <w:spacing w:after="0"/>
              <w:rPr>
                <w:sz w:val="20"/>
                <w:szCs w:val="20"/>
                <w:color w:val="auto"/>
              </w:rPr>
            </w:pPr>
            <w:r>
              <w:rPr>
                <w:rFonts w:ascii="Arial" w:cs="Arial" w:eastAsia="Arial" w:hAnsi="Arial"/>
                <w:sz w:val="13"/>
                <w:szCs w:val="13"/>
                <w:color w:val="4D5357"/>
              </w:rPr>
              <w:t>713,387</w:t>
            </w:r>
          </w:p>
        </w:tc>
        <w:tc>
          <w:tcPr>
            <w:tcW w:w="780" w:type="dxa"/>
            <w:vAlign w:val="bottom"/>
            <w:vMerge w:val="restart"/>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4D5357"/>
              </w:rPr>
              <w:t>2,033,656</w:t>
            </w:r>
          </w:p>
        </w:tc>
        <w:tc>
          <w:tcPr>
            <w:tcW w:w="860" w:type="dxa"/>
            <w:vAlign w:val="bottom"/>
            <w:vMerge w:val="restart"/>
          </w:tcPr>
          <w:p>
            <w:pPr>
              <w:ind w:left="420"/>
              <w:spacing w:after="0"/>
              <w:rPr>
                <w:sz w:val="20"/>
                <w:szCs w:val="20"/>
                <w:color w:val="auto"/>
              </w:rPr>
            </w:pPr>
            <w:r>
              <w:rPr>
                <w:rFonts w:ascii="Arial" w:cs="Arial" w:eastAsia="Arial" w:hAnsi="Arial"/>
                <w:sz w:val="13"/>
                <w:szCs w:val="13"/>
                <w:color w:val="4D5357"/>
              </w:rPr>
              <w:t>—</w:t>
            </w:r>
          </w:p>
        </w:tc>
        <w:tc>
          <w:tcPr>
            <w:tcW w:w="1300" w:type="dxa"/>
            <w:vAlign w:val="bottom"/>
            <w:vMerge w:val="restart"/>
          </w:tcPr>
          <w:p>
            <w:pPr>
              <w:jc w:val="right"/>
              <w:ind w:right="178"/>
              <w:spacing w:after="0"/>
              <w:rPr>
                <w:sz w:val="20"/>
                <w:szCs w:val="20"/>
                <w:color w:val="auto"/>
              </w:rPr>
            </w:pPr>
            <w:r>
              <w:rPr>
                <w:rFonts w:ascii="Arial" w:cs="Arial" w:eastAsia="Arial" w:hAnsi="Arial"/>
                <w:sz w:val="13"/>
                <w:szCs w:val="13"/>
                <w:color w:val="4D5357"/>
              </w:rPr>
              <w:t>963,132</w:t>
            </w:r>
          </w:p>
        </w:tc>
        <w:tc>
          <w:tcPr>
            <w:tcW w:w="1360" w:type="dxa"/>
            <w:vAlign w:val="bottom"/>
            <w:vMerge w:val="restart"/>
          </w:tcPr>
          <w:p>
            <w:pPr>
              <w:jc w:val="right"/>
              <w:ind w:right="218"/>
              <w:spacing w:after="0"/>
              <w:rPr>
                <w:sz w:val="20"/>
                <w:szCs w:val="20"/>
                <w:color w:val="auto"/>
              </w:rPr>
            </w:pPr>
            <w:r>
              <w:rPr>
                <w:rFonts w:ascii="Arial" w:cs="Arial" w:eastAsia="Arial" w:hAnsi="Arial"/>
                <w:sz w:val="13"/>
                <w:szCs w:val="13"/>
                <w:color w:val="4D5357"/>
              </w:rPr>
              <w:t>631,079</w:t>
            </w:r>
          </w:p>
        </w:tc>
        <w:tc>
          <w:tcPr>
            <w:tcW w:w="1120" w:type="dxa"/>
            <w:vAlign w:val="bottom"/>
            <w:vMerge w:val="restart"/>
          </w:tcPr>
          <w:p>
            <w:pPr>
              <w:jc w:val="right"/>
              <w:ind w:right="238"/>
              <w:spacing w:after="0"/>
              <w:rPr>
                <w:sz w:val="20"/>
                <w:szCs w:val="20"/>
                <w:color w:val="auto"/>
              </w:rPr>
            </w:pPr>
            <w:r>
              <w:rPr>
                <w:rFonts w:ascii="Arial" w:cs="Arial" w:eastAsia="Arial" w:hAnsi="Arial"/>
                <w:sz w:val="13"/>
                <w:szCs w:val="13"/>
                <w:color w:val="4D5357"/>
              </w:rPr>
              <w:t>32,234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4D5357"/>
              </w:rPr>
              <w:t>4,373,488</w:t>
            </w:r>
          </w:p>
        </w:tc>
        <w:tc>
          <w:tcPr>
            <w:tcW w:w="0" w:type="dxa"/>
            <w:vAlign w:val="bottom"/>
          </w:tcPr>
          <w:p>
            <w:pPr>
              <w:spacing w:after="0"/>
              <w:rPr>
                <w:sz w:val="1"/>
                <w:szCs w:val="1"/>
                <w:color w:val="auto"/>
              </w:rPr>
            </w:pPr>
          </w:p>
        </w:tc>
      </w:tr>
      <w:tr>
        <w:trPr>
          <w:trHeight w:val="112"/>
        </w:trPr>
        <w:tc>
          <w:tcPr>
            <w:tcW w:w="1860" w:type="dxa"/>
            <w:vAlign w:val="bottom"/>
            <w:vMerge w:val="restart"/>
          </w:tcPr>
          <w:p>
            <w:pPr>
              <w:ind w:left="60"/>
              <w:spacing w:after="0" w:line="135" w:lineRule="exact"/>
              <w:rPr>
                <w:sz w:val="20"/>
                <w:szCs w:val="20"/>
                <w:color w:val="auto"/>
              </w:rPr>
            </w:pPr>
            <w:r>
              <w:rPr>
                <w:rFonts w:ascii="Arial" w:cs="Arial" w:eastAsia="Arial" w:hAnsi="Arial"/>
                <w:sz w:val="13"/>
                <w:szCs w:val="13"/>
                <w:color w:val="4D5357"/>
              </w:rPr>
              <w:t>President and Chief</w:t>
            </w:r>
          </w:p>
        </w:tc>
        <w:tc>
          <w:tcPr>
            <w:tcW w:w="9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8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4D5357"/>
              </w:rPr>
              <w:t>Financial Officer</w:t>
            </w:r>
          </w:p>
        </w:tc>
        <w:tc>
          <w:tcPr>
            <w:tcW w:w="90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4D5357"/>
              </w:rPr>
              <w:t>2023</w:t>
            </w:r>
          </w:p>
        </w:tc>
        <w:tc>
          <w:tcPr>
            <w:tcW w:w="118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4D5357"/>
              </w:rPr>
              <w:t>680,500</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4D5357"/>
              </w:rPr>
              <w:t>1,252,003</w:t>
            </w: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4D5357"/>
              </w:rPr>
              <w:t>1,701,933</w:t>
            </w:r>
          </w:p>
        </w:tc>
        <w:tc>
          <w:tcPr>
            <w:tcW w:w="13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4D5357"/>
              </w:rPr>
              <w:t>631,870</w:t>
            </w:r>
          </w:p>
        </w:tc>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4D5357"/>
              </w:rPr>
              <w:t>29,254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D5357"/>
              </w:rPr>
              <w:t>4,295,560</w:t>
            </w:r>
          </w:p>
        </w:tc>
        <w:tc>
          <w:tcPr>
            <w:tcW w:w="0" w:type="dxa"/>
            <w:vAlign w:val="bottom"/>
          </w:tcPr>
          <w:p>
            <w:pPr>
              <w:spacing w:after="0"/>
              <w:rPr>
                <w:sz w:val="1"/>
                <w:szCs w:val="1"/>
                <w:color w:val="auto"/>
              </w:rPr>
            </w:pPr>
          </w:p>
        </w:tc>
      </w:tr>
      <w:tr>
        <w:trPr>
          <w:trHeight w:val="189"/>
        </w:trPr>
        <w:tc>
          <w:tcPr>
            <w:tcW w:w="1860" w:type="dxa"/>
            <w:vAlign w:val="bottom"/>
          </w:tcPr>
          <w:p>
            <w:pPr>
              <w:ind w:left="60"/>
              <w:spacing w:after="0" w:line="189" w:lineRule="exact"/>
              <w:rPr>
                <w:sz w:val="20"/>
                <w:szCs w:val="20"/>
                <w:color w:val="auto"/>
              </w:rPr>
            </w:pPr>
            <w:r>
              <w:rPr>
                <w:rFonts w:ascii="Arial" w:cs="Arial" w:eastAsia="Arial" w:hAnsi="Arial"/>
                <w:sz w:val="13"/>
                <w:szCs w:val="13"/>
                <w:b w:val="1"/>
                <w:bCs w:val="1"/>
                <w:color w:val="4D5357"/>
              </w:rPr>
              <w:t>Donald A. McCunniff</w:t>
            </w:r>
            <w:r>
              <w:rPr>
                <w:rFonts w:ascii="Arial" w:cs="Arial" w:eastAsia="Arial" w:hAnsi="Arial"/>
                <w:sz w:val="18"/>
                <w:szCs w:val="18"/>
                <w:b w:val="1"/>
                <w:bCs w:val="1"/>
                <w:color w:val="4D5357"/>
                <w:vertAlign w:val="superscript"/>
              </w:rPr>
              <w:t>10</w:t>
            </w:r>
          </w:p>
        </w:tc>
        <w:tc>
          <w:tcPr>
            <w:tcW w:w="900" w:type="dxa"/>
            <w:vAlign w:val="bottom"/>
          </w:tcPr>
          <w:p>
            <w:pPr>
              <w:jc w:val="right"/>
              <w:ind w:right="158"/>
              <w:spacing w:after="0"/>
              <w:rPr>
                <w:sz w:val="20"/>
                <w:szCs w:val="20"/>
                <w:color w:val="auto"/>
              </w:rPr>
            </w:pPr>
            <w:r>
              <w:rPr>
                <w:rFonts w:ascii="Arial" w:cs="Arial" w:eastAsia="Arial" w:hAnsi="Arial"/>
                <w:sz w:val="13"/>
                <w:szCs w:val="13"/>
                <w:color w:val="0086CC"/>
              </w:rPr>
              <w:t>2025</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697,500</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1,704,694</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1,290,627</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40,435</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46,450</w:t>
            </w:r>
          </w:p>
        </w:tc>
        <w:tc>
          <w:tcPr>
            <w:tcW w:w="780" w:type="dxa"/>
            <w:vAlign w:val="bottom"/>
          </w:tcPr>
          <w:p>
            <w:pPr>
              <w:jc w:val="right"/>
              <w:spacing w:after="0"/>
              <w:rPr>
                <w:sz w:val="20"/>
                <w:szCs w:val="20"/>
                <w:color w:val="auto"/>
              </w:rPr>
            </w:pPr>
            <w:r>
              <w:rPr>
                <w:rFonts w:ascii="Arial" w:cs="Arial" w:eastAsia="Arial" w:hAnsi="Arial"/>
                <w:sz w:val="13"/>
                <w:szCs w:val="13"/>
                <w:color w:val="4D5357"/>
              </w:rPr>
              <w:t>3,779,706</w:t>
            </w:r>
          </w:p>
        </w:tc>
        <w:tc>
          <w:tcPr>
            <w:tcW w:w="0" w:type="dxa"/>
            <w:vAlign w:val="bottom"/>
          </w:tcPr>
          <w:p>
            <w:pPr>
              <w:spacing w:after="0"/>
              <w:rPr>
                <w:sz w:val="1"/>
                <w:szCs w:val="1"/>
                <w:color w:val="auto"/>
              </w:rPr>
            </w:pPr>
          </w:p>
        </w:tc>
      </w:tr>
      <w:tr>
        <w:trPr>
          <w:trHeight w:val="117"/>
        </w:trPr>
        <w:tc>
          <w:tcPr>
            <w:tcW w:w="1860" w:type="dxa"/>
            <w:vAlign w:val="bottom"/>
          </w:tcPr>
          <w:p>
            <w:pPr>
              <w:ind w:left="60"/>
              <w:spacing w:after="0" w:line="117" w:lineRule="exact"/>
              <w:rPr>
                <w:sz w:val="20"/>
                <w:szCs w:val="20"/>
                <w:color w:val="auto"/>
              </w:rPr>
            </w:pPr>
            <w:r>
              <w:rPr>
                <w:rFonts w:ascii="Arial" w:cs="Arial" w:eastAsia="Arial" w:hAnsi="Arial"/>
                <w:sz w:val="13"/>
                <w:szCs w:val="13"/>
                <w:color w:val="4D5357"/>
              </w:rPr>
              <w:t>Executive Vice President,</w:t>
            </w: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tcPr>
          <w:p>
            <w:pPr>
              <w:ind w:left="60"/>
              <w:spacing w:after="0" w:line="135" w:lineRule="exact"/>
              <w:rPr>
                <w:sz w:val="20"/>
                <w:szCs w:val="20"/>
                <w:color w:val="auto"/>
              </w:rPr>
            </w:pPr>
            <w:r>
              <w:rPr>
                <w:rFonts w:ascii="Arial" w:cs="Arial" w:eastAsia="Arial" w:hAnsi="Arial"/>
                <w:sz w:val="13"/>
                <w:szCs w:val="13"/>
                <w:color w:val="4D5357"/>
              </w:rPr>
              <w:t>Chief Human Resources</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60"/>
              <w:spacing w:after="0"/>
              <w:rPr>
                <w:sz w:val="20"/>
                <w:szCs w:val="20"/>
                <w:color w:val="auto"/>
              </w:rPr>
            </w:pPr>
            <w:r>
              <w:rPr>
                <w:rFonts w:ascii="Arial" w:cs="Arial" w:eastAsia="Arial" w:hAnsi="Arial"/>
                <w:sz w:val="13"/>
                <w:szCs w:val="13"/>
                <w:color w:val="4D5357"/>
              </w:rPr>
              <w:t>Officer</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860" w:type="dxa"/>
            <w:vAlign w:val="bottom"/>
            <w:tcBorders>
              <w:bottom w:val="single" w:sz="8" w:color="4D5357"/>
            </w:tcBorders>
          </w:tcPr>
          <w:p>
            <w:pPr>
              <w:spacing w:after="0"/>
              <w:rPr>
                <w:sz w:val="2"/>
                <w:szCs w:val="2"/>
                <w:color w:val="auto"/>
              </w:rPr>
            </w:pPr>
          </w:p>
        </w:tc>
        <w:tc>
          <w:tcPr>
            <w:tcW w:w="900" w:type="dxa"/>
            <w:vAlign w:val="bottom"/>
            <w:tcBorders>
              <w:bottom w:val="single" w:sz="8" w:color="4D5357"/>
            </w:tcBorders>
          </w:tcPr>
          <w:p>
            <w:pPr>
              <w:spacing w:after="0"/>
              <w:rPr>
                <w:sz w:val="2"/>
                <w:szCs w:val="2"/>
                <w:color w:val="auto"/>
              </w:rPr>
            </w:pPr>
          </w:p>
        </w:tc>
        <w:tc>
          <w:tcPr>
            <w:tcW w:w="1180" w:type="dxa"/>
            <w:vAlign w:val="bottom"/>
            <w:tcBorders>
              <w:bottom w:val="single" w:sz="8" w:color="4D5357"/>
            </w:tcBorders>
          </w:tcPr>
          <w:p>
            <w:pPr>
              <w:spacing w:after="0"/>
              <w:rPr>
                <w:sz w:val="2"/>
                <w:szCs w:val="2"/>
                <w:color w:val="auto"/>
              </w:rPr>
            </w:pPr>
          </w:p>
        </w:tc>
        <w:tc>
          <w:tcPr>
            <w:tcW w:w="780" w:type="dxa"/>
            <w:vAlign w:val="bottom"/>
            <w:tcBorders>
              <w:bottom w:val="single" w:sz="8" w:color="4D5357"/>
            </w:tcBorders>
          </w:tcPr>
          <w:p>
            <w:pPr>
              <w:spacing w:after="0"/>
              <w:rPr>
                <w:sz w:val="2"/>
                <w:szCs w:val="2"/>
                <w:color w:val="auto"/>
              </w:rPr>
            </w:pPr>
          </w:p>
        </w:tc>
        <w:tc>
          <w:tcPr>
            <w:tcW w:w="880" w:type="dxa"/>
            <w:vAlign w:val="bottom"/>
            <w:tcBorders>
              <w:bottom w:val="single" w:sz="8" w:color="4D5357"/>
            </w:tcBorders>
          </w:tcPr>
          <w:p>
            <w:pPr>
              <w:spacing w:after="0"/>
              <w:rPr>
                <w:sz w:val="2"/>
                <w:szCs w:val="2"/>
                <w:color w:val="auto"/>
              </w:rPr>
            </w:pPr>
          </w:p>
        </w:tc>
        <w:tc>
          <w:tcPr>
            <w:tcW w:w="860" w:type="dxa"/>
            <w:vAlign w:val="bottom"/>
            <w:tcBorders>
              <w:bottom w:val="single" w:sz="8" w:color="4D5357"/>
            </w:tcBorders>
          </w:tcPr>
          <w:p>
            <w:pPr>
              <w:spacing w:after="0"/>
              <w:rPr>
                <w:sz w:val="2"/>
                <w:szCs w:val="2"/>
                <w:color w:val="auto"/>
              </w:rPr>
            </w:pPr>
          </w:p>
        </w:tc>
        <w:tc>
          <w:tcPr>
            <w:tcW w:w="1300" w:type="dxa"/>
            <w:vAlign w:val="bottom"/>
            <w:tcBorders>
              <w:bottom w:val="single" w:sz="8" w:color="4D5357"/>
            </w:tcBorders>
          </w:tcPr>
          <w:p>
            <w:pPr>
              <w:spacing w:after="0"/>
              <w:rPr>
                <w:sz w:val="2"/>
                <w:szCs w:val="2"/>
                <w:color w:val="auto"/>
              </w:rPr>
            </w:pPr>
          </w:p>
        </w:tc>
        <w:tc>
          <w:tcPr>
            <w:tcW w:w="1360" w:type="dxa"/>
            <w:vAlign w:val="bottom"/>
            <w:tcBorders>
              <w:bottom w:val="single" w:sz="8" w:color="4D5357"/>
            </w:tcBorders>
          </w:tcPr>
          <w:p>
            <w:pPr>
              <w:spacing w:after="0"/>
              <w:rPr>
                <w:sz w:val="2"/>
                <w:szCs w:val="2"/>
                <w:color w:val="auto"/>
              </w:rPr>
            </w:pPr>
          </w:p>
        </w:tc>
        <w:tc>
          <w:tcPr>
            <w:tcW w:w="1120" w:type="dxa"/>
            <w:vAlign w:val="bottom"/>
            <w:tcBorders>
              <w:bottom w:val="single" w:sz="8" w:color="4D5357"/>
            </w:tcBorders>
          </w:tcPr>
          <w:p>
            <w:pPr>
              <w:spacing w:after="0"/>
              <w:rPr>
                <w:sz w:val="2"/>
                <w:szCs w:val="2"/>
                <w:color w:val="auto"/>
              </w:rPr>
            </w:pPr>
          </w:p>
        </w:tc>
        <w:tc>
          <w:tcPr>
            <w:tcW w:w="780" w:type="dxa"/>
            <w:vAlign w:val="bottom"/>
            <w:tcBorders>
              <w:bottom w:val="single" w:sz="8" w:color="4D5357"/>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860" w:type="dxa"/>
            <w:vAlign w:val="bottom"/>
          </w:tcPr>
          <w:p>
            <w:pPr>
              <w:ind w:left="60"/>
              <w:spacing w:after="0" w:line="164" w:lineRule="exact"/>
              <w:rPr>
                <w:sz w:val="20"/>
                <w:szCs w:val="20"/>
                <w:color w:val="auto"/>
              </w:rPr>
            </w:pPr>
            <w:r>
              <w:rPr>
                <w:rFonts w:ascii="Arial" w:cs="Arial" w:eastAsia="Arial" w:hAnsi="Arial"/>
                <w:sz w:val="13"/>
                <w:szCs w:val="13"/>
                <w:b w:val="1"/>
                <w:bCs w:val="1"/>
                <w:color w:val="4D5357"/>
              </w:rPr>
              <w:t>Jason P. Flynn</w:t>
            </w:r>
            <w:r>
              <w:rPr>
                <w:rFonts w:ascii="Arial" w:cs="Arial" w:eastAsia="Arial" w:hAnsi="Arial"/>
                <w:sz w:val="18"/>
                <w:szCs w:val="18"/>
                <w:b w:val="1"/>
                <w:bCs w:val="1"/>
                <w:color w:val="4D5357"/>
                <w:vertAlign w:val="superscript"/>
              </w:rPr>
              <w:t>10</w:t>
            </w:r>
          </w:p>
        </w:tc>
        <w:tc>
          <w:tcPr>
            <w:tcW w:w="900" w:type="dxa"/>
            <w:vAlign w:val="bottom"/>
          </w:tcPr>
          <w:p>
            <w:pPr>
              <w:jc w:val="right"/>
              <w:ind w:right="158"/>
              <w:spacing w:after="0"/>
              <w:rPr>
                <w:sz w:val="20"/>
                <w:szCs w:val="20"/>
                <w:color w:val="auto"/>
              </w:rPr>
            </w:pPr>
            <w:r>
              <w:rPr>
                <w:rFonts w:ascii="Arial" w:cs="Arial" w:eastAsia="Arial" w:hAnsi="Arial"/>
                <w:sz w:val="13"/>
                <w:szCs w:val="13"/>
                <w:color w:val="0086CC"/>
              </w:rPr>
              <w:t>2025</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389,856</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1,005,144</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324,735</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90,837</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35,211</w:t>
            </w:r>
          </w:p>
        </w:tc>
        <w:tc>
          <w:tcPr>
            <w:tcW w:w="780" w:type="dxa"/>
            <w:vAlign w:val="bottom"/>
          </w:tcPr>
          <w:p>
            <w:pPr>
              <w:jc w:val="right"/>
              <w:spacing w:after="0"/>
              <w:rPr>
                <w:sz w:val="20"/>
                <w:szCs w:val="20"/>
                <w:color w:val="auto"/>
              </w:rPr>
            </w:pPr>
            <w:r>
              <w:rPr>
                <w:rFonts w:ascii="Arial" w:cs="Arial" w:eastAsia="Arial" w:hAnsi="Arial"/>
                <w:sz w:val="13"/>
                <w:szCs w:val="13"/>
                <w:color w:val="4D5357"/>
              </w:rPr>
              <w:t>1,845,783</w:t>
            </w:r>
          </w:p>
        </w:tc>
        <w:tc>
          <w:tcPr>
            <w:tcW w:w="0" w:type="dxa"/>
            <w:vAlign w:val="bottom"/>
          </w:tcPr>
          <w:p>
            <w:pPr>
              <w:spacing w:after="0"/>
              <w:rPr>
                <w:sz w:val="1"/>
                <w:szCs w:val="1"/>
                <w:color w:val="auto"/>
              </w:rPr>
            </w:pPr>
          </w:p>
        </w:tc>
      </w:tr>
      <w:tr>
        <w:trPr>
          <w:trHeight w:val="135"/>
        </w:trPr>
        <w:tc>
          <w:tcPr>
            <w:tcW w:w="1860" w:type="dxa"/>
            <w:vAlign w:val="bottom"/>
          </w:tcPr>
          <w:p>
            <w:pPr>
              <w:ind w:left="60"/>
              <w:spacing w:after="0" w:line="135" w:lineRule="exact"/>
              <w:rPr>
                <w:sz w:val="20"/>
                <w:szCs w:val="20"/>
                <w:color w:val="auto"/>
              </w:rPr>
            </w:pPr>
            <w:r>
              <w:rPr>
                <w:rFonts w:ascii="Arial" w:cs="Arial" w:eastAsia="Arial" w:hAnsi="Arial"/>
                <w:sz w:val="13"/>
                <w:szCs w:val="13"/>
                <w:color w:val="4D5357"/>
              </w:rPr>
              <w:t>Senior Vice President,</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60"/>
              <w:spacing w:after="0"/>
              <w:rPr>
                <w:sz w:val="20"/>
                <w:szCs w:val="20"/>
                <w:color w:val="auto"/>
              </w:rPr>
            </w:pPr>
            <w:r>
              <w:rPr>
                <w:rFonts w:ascii="Arial" w:cs="Arial" w:eastAsia="Arial" w:hAnsi="Arial"/>
                <w:sz w:val="13"/>
                <w:szCs w:val="13"/>
                <w:color w:val="4D5357"/>
              </w:rPr>
              <w:t>Chief Information Officer</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60" w:type="dxa"/>
            <w:vAlign w:val="bottom"/>
            <w:tcBorders>
              <w:bottom w:val="single" w:sz="8" w:color="4D5357"/>
            </w:tcBorders>
          </w:tcPr>
          <w:p>
            <w:pPr>
              <w:spacing w:after="0"/>
              <w:rPr>
                <w:sz w:val="4"/>
                <w:szCs w:val="4"/>
                <w:color w:val="auto"/>
              </w:rPr>
            </w:pPr>
          </w:p>
        </w:tc>
        <w:tc>
          <w:tcPr>
            <w:tcW w:w="900" w:type="dxa"/>
            <w:vAlign w:val="bottom"/>
            <w:tcBorders>
              <w:bottom w:val="single" w:sz="8" w:color="4D5357"/>
            </w:tcBorders>
          </w:tcPr>
          <w:p>
            <w:pPr>
              <w:spacing w:after="0"/>
              <w:rPr>
                <w:sz w:val="4"/>
                <w:szCs w:val="4"/>
                <w:color w:val="auto"/>
              </w:rPr>
            </w:pPr>
          </w:p>
        </w:tc>
        <w:tc>
          <w:tcPr>
            <w:tcW w:w="1180" w:type="dxa"/>
            <w:vAlign w:val="bottom"/>
            <w:tcBorders>
              <w:bottom w:val="single" w:sz="8" w:color="4D5357"/>
            </w:tcBorders>
          </w:tcPr>
          <w:p>
            <w:pPr>
              <w:spacing w:after="0"/>
              <w:rPr>
                <w:sz w:val="4"/>
                <w:szCs w:val="4"/>
                <w:color w:val="auto"/>
              </w:rPr>
            </w:pPr>
          </w:p>
        </w:tc>
        <w:tc>
          <w:tcPr>
            <w:tcW w:w="780" w:type="dxa"/>
            <w:vAlign w:val="bottom"/>
            <w:tcBorders>
              <w:bottom w:val="single" w:sz="8" w:color="4D5357"/>
            </w:tcBorders>
          </w:tcPr>
          <w:p>
            <w:pPr>
              <w:spacing w:after="0"/>
              <w:rPr>
                <w:sz w:val="4"/>
                <w:szCs w:val="4"/>
                <w:color w:val="auto"/>
              </w:rPr>
            </w:pPr>
          </w:p>
        </w:tc>
        <w:tc>
          <w:tcPr>
            <w:tcW w:w="880" w:type="dxa"/>
            <w:vAlign w:val="bottom"/>
            <w:tcBorders>
              <w:bottom w:val="single" w:sz="8" w:color="4D5357"/>
            </w:tcBorders>
          </w:tcPr>
          <w:p>
            <w:pPr>
              <w:spacing w:after="0"/>
              <w:rPr>
                <w:sz w:val="4"/>
                <w:szCs w:val="4"/>
                <w:color w:val="auto"/>
              </w:rPr>
            </w:pPr>
          </w:p>
        </w:tc>
        <w:tc>
          <w:tcPr>
            <w:tcW w:w="860" w:type="dxa"/>
            <w:vAlign w:val="bottom"/>
            <w:tcBorders>
              <w:bottom w:val="single" w:sz="8" w:color="4D5357"/>
            </w:tcBorders>
          </w:tcPr>
          <w:p>
            <w:pPr>
              <w:spacing w:after="0"/>
              <w:rPr>
                <w:sz w:val="4"/>
                <w:szCs w:val="4"/>
                <w:color w:val="auto"/>
              </w:rPr>
            </w:pPr>
          </w:p>
        </w:tc>
        <w:tc>
          <w:tcPr>
            <w:tcW w:w="1300" w:type="dxa"/>
            <w:vAlign w:val="bottom"/>
            <w:tcBorders>
              <w:bottom w:val="single" w:sz="8" w:color="4D5357"/>
            </w:tcBorders>
          </w:tcPr>
          <w:p>
            <w:pPr>
              <w:spacing w:after="0"/>
              <w:rPr>
                <w:sz w:val="4"/>
                <w:szCs w:val="4"/>
                <w:color w:val="auto"/>
              </w:rPr>
            </w:pPr>
          </w:p>
        </w:tc>
        <w:tc>
          <w:tcPr>
            <w:tcW w:w="1360" w:type="dxa"/>
            <w:vAlign w:val="bottom"/>
            <w:tcBorders>
              <w:bottom w:val="single" w:sz="8" w:color="4D5357"/>
            </w:tcBorders>
          </w:tcPr>
          <w:p>
            <w:pPr>
              <w:spacing w:after="0"/>
              <w:rPr>
                <w:sz w:val="4"/>
                <w:szCs w:val="4"/>
                <w:color w:val="auto"/>
              </w:rPr>
            </w:pPr>
          </w:p>
        </w:tc>
        <w:tc>
          <w:tcPr>
            <w:tcW w:w="1120" w:type="dxa"/>
            <w:vAlign w:val="bottom"/>
            <w:tcBorders>
              <w:bottom w:val="single" w:sz="8" w:color="4D5357"/>
            </w:tcBorders>
          </w:tcPr>
          <w:p>
            <w:pPr>
              <w:spacing w:after="0"/>
              <w:rPr>
                <w:sz w:val="4"/>
                <w:szCs w:val="4"/>
                <w:color w:val="auto"/>
              </w:rPr>
            </w:pPr>
          </w:p>
        </w:tc>
        <w:tc>
          <w:tcPr>
            <w:tcW w:w="780" w:type="dxa"/>
            <w:vAlign w:val="bottom"/>
            <w:tcBorders>
              <w:bottom w:val="single" w:sz="8" w:color="4D5357"/>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860" w:type="dxa"/>
            <w:vAlign w:val="bottom"/>
          </w:tcPr>
          <w:p>
            <w:pPr>
              <w:ind w:left="60"/>
              <w:spacing w:after="0"/>
              <w:rPr>
                <w:sz w:val="20"/>
                <w:szCs w:val="20"/>
                <w:color w:val="auto"/>
              </w:rPr>
            </w:pPr>
            <w:r>
              <w:rPr>
                <w:rFonts w:ascii="Arial" w:cs="Arial" w:eastAsia="Arial" w:hAnsi="Arial"/>
                <w:sz w:val="13"/>
                <w:szCs w:val="13"/>
                <w:b w:val="1"/>
                <w:bCs w:val="1"/>
                <w:color w:val="4D5357"/>
              </w:rPr>
              <w:t>Bradley D. Kohn</w:t>
            </w:r>
            <w:r>
              <w:rPr>
                <w:rFonts w:ascii="Arial" w:cs="Arial" w:eastAsia="Arial" w:hAnsi="Arial"/>
                <w:sz w:val="18"/>
                <w:szCs w:val="18"/>
                <w:b w:val="1"/>
                <w:bCs w:val="1"/>
                <w:color w:val="4D5357"/>
                <w:vertAlign w:val="superscript"/>
              </w:rPr>
              <w:t>10, 11</w:t>
            </w:r>
          </w:p>
        </w:tc>
        <w:tc>
          <w:tcPr>
            <w:tcW w:w="900" w:type="dxa"/>
            <w:vAlign w:val="bottom"/>
          </w:tcPr>
          <w:p>
            <w:pPr>
              <w:jc w:val="right"/>
              <w:ind w:right="158"/>
              <w:spacing w:after="0"/>
              <w:rPr>
                <w:sz w:val="20"/>
                <w:szCs w:val="20"/>
                <w:color w:val="auto"/>
              </w:rPr>
            </w:pPr>
            <w:r>
              <w:rPr>
                <w:rFonts w:ascii="Arial" w:cs="Arial" w:eastAsia="Arial" w:hAnsi="Arial"/>
                <w:sz w:val="13"/>
                <w:szCs w:val="13"/>
                <w:color w:val="0086CC"/>
              </w:rPr>
              <w:t>2025</w:t>
            </w:r>
          </w:p>
        </w:tc>
        <w:tc>
          <w:tcPr>
            <w:tcW w:w="1180" w:type="dxa"/>
            <w:vAlign w:val="bottom"/>
          </w:tcPr>
          <w:p>
            <w:pPr>
              <w:jc w:val="right"/>
              <w:ind w:right="238"/>
              <w:spacing w:after="0"/>
              <w:rPr>
                <w:sz w:val="20"/>
                <w:szCs w:val="20"/>
                <w:color w:val="auto"/>
              </w:rPr>
            </w:pPr>
            <w:r>
              <w:rPr>
                <w:rFonts w:ascii="Arial" w:cs="Arial" w:eastAsia="Arial" w:hAnsi="Arial"/>
                <w:sz w:val="13"/>
                <w:szCs w:val="13"/>
                <w:color w:val="4D5357"/>
              </w:rPr>
              <w:t>580,000</w:t>
            </w:r>
          </w:p>
        </w:tc>
        <w:tc>
          <w:tcPr>
            <w:tcW w:w="780" w:type="dxa"/>
            <w:vAlign w:val="bottom"/>
          </w:tcPr>
          <w:p>
            <w:pPr>
              <w:jc w:val="right"/>
              <w:ind w:right="18"/>
              <w:spacing w:after="0"/>
              <w:rPr>
                <w:sz w:val="20"/>
                <w:szCs w:val="20"/>
                <w:color w:val="auto"/>
              </w:rPr>
            </w:pPr>
            <w:r>
              <w:rPr>
                <w:rFonts w:ascii="Arial" w:cs="Arial" w:eastAsia="Arial" w:hAnsi="Arial"/>
                <w:sz w:val="13"/>
                <w:szCs w:val="13"/>
                <w:color w:val="4D5357"/>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4D5357"/>
              </w:rPr>
              <w:t>1,083,582</w:t>
            </w:r>
          </w:p>
        </w:tc>
        <w:tc>
          <w:tcPr>
            <w:tcW w:w="860" w:type="dxa"/>
            <w:vAlign w:val="bottom"/>
          </w:tcPr>
          <w:p>
            <w:pPr>
              <w:ind w:left="420"/>
              <w:spacing w:after="0"/>
              <w:rPr>
                <w:sz w:val="20"/>
                <w:szCs w:val="20"/>
                <w:color w:val="auto"/>
              </w:rPr>
            </w:pPr>
            <w:r>
              <w:rPr>
                <w:rFonts w:ascii="Arial" w:cs="Arial" w:eastAsia="Arial" w:hAnsi="Arial"/>
                <w:sz w:val="13"/>
                <w:szCs w:val="13"/>
                <w:color w:val="4D5357"/>
              </w:rPr>
              <w:t>—</w:t>
            </w:r>
          </w:p>
        </w:tc>
        <w:tc>
          <w:tcPr>
            <w:tcW w:w="1300" w:type="dxa"/>
            <w:vAlign w:val="bottom"/>
          </w:tcPr>
          <w:p>
            <w:pPr>
              <w:jc w:val="right"/>
              <w:ind w:right="178"/>
              <w:spacing w:after="0"/>
              <w:rPr>
                <w:sz w:val="20"/>
                <w:szCs w:val="20"/>
                <w:color w:val="auto"/>
              </w:rPr>
            </w:pPr>
            <w:r>
              <w:rPr>
                <w:rFonts w:ascii="Arial" w:cs="Arial" w:eastAsia="Arial" w:hAnsi="Arial"/>
                <w:sz w:val="13"/>
                <w:szCs w:val="13"/>
                <w:color w:val="4D5357"/>
              </w:rPr>
              <w:t>522,000</w:t>
            </w:r>
          </w:p>
        </w:tc>
        <w:tc>
          <w:tcPr>
            <w:tcW w:w="1360" w:type="dxa"/>
            <w:vAlign w:val="bottom"/>
          </w:tcPr>
          <w:p>
            <w:pPr>
              <w:jc w:val="right"/>
              <w:ind w:right="218"/>
              <w:spacing w:after="0"/>
              <w:rPr>
                <w:sz w:val="20"/>
                <w:szCs w:val="20"/>
                <w:color w:val="auto"/>
              </w:rPr>
            </w:pPr>
            <w:r>
              <w:rPr>
                <w:rFonts w:ascii="Arial" w:cs="Arial" w:eastAsia="Arial" w:hAnsi="Arial"/>
                <w:sz w:val="13"/>
                <w:szCs w:val="13"/>
                <w:color w:val="4D5357"/>
              </w:rPr>
              <w:t>100,099</w:t>
            </w:r>
          </w:p>
        </w:tc>
        <w:tc>
          <w:tcPr>
            <w:tcW w:w="1120" w:type="dxa"/>
            <w:vAlign w:val="bottom"/>
          </w:tcPr>
          <w:p>
            <w:pPr>
              <w:jc w:val="right"/>
              <w:ind w:right="238"/>
              <w:spacing w:after="0"/>
              <w:rPr>
                <w:sz w:val="20"/>
                <w:szCs w:val="20"/>
                <w:color w:val="auto"/>
              </w:rPr>
            </w:pPr>
            <w:r>
              <w:rPr>
                <w:rFonts w:ascii="Arial" w:cs="Arial" w:eastAsia="Arial" w:hAnsi="Arial"/>
                <w:sz w:val="13"/>
                <w:szCs w:val="13"/>
                <w:color w:val="4D5357"/>
              </w:rPr>
              <w:t>32,327</w:t>
            </w:r>
          </w:p>
        </w:tc>
        <w:tc>
          <w:tcPr>
            <w:tcW w:w="780" w:type="dxa"/>
            <w:vAlign w:val="bottom"/>
          </w:tcPr>
          <w:p>
            <w:pPr>
              <w:jc w:val="right"/>
              <w:spacing w:after="0"/>
              <w:rPr>
                <w:sz w:val="20"/>
                <w:szCs w:val="20"/>
                <w:color w:val="auto"/>
              </w:rPr>
            </w:pPr>
            <w:r>
              <w:rPr>
                <w:rFonts w:ascii="Arial" w:cs="Arial" w:eastAsia="Arial" w:hAnsi="Arial"/>
                <w:sz w:val="13"/>
                <w:szCs w:val="13"/>
                <w:color w:val="4D5357"/>
              </w:rPr>
              <w:t>2,318,008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24"/>
          </w:cols>
          <w:pgMar w:left="436" w:top="285" w:right="439" w:bottom="1440" w:gutter="0" w:footer="0" w:header="0"/>
        </w:sectPr>
      </w:pPr>
    </w:p>
    <w:p>
      <w:pPr>
        <w:ind w:left="64"/>
        <w:spacing w:after="0" w:line="207" w:lineRule="auto"/>
        <w:rPr>
          <w:sz w:val="20"/>
          <w:szCs w:val="20"/>
          <w:color w:val="auto"/>
        </w:rPr>
      </w:pPr>
      <w:r>
        <w:rPr>
          <w:rFonts w:ascii="Arial" w:cs="Arial" w:eastAsia="Arial" w:hAnsi="Arial"/>
          <w:sz w:val="4"/>
          <w:szCs w:val="4"/>
          <w:color w:val="4D5357"/>
        </w:rPr>
        <w:t>Former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69951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8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4" w:hanging="224"/>
        <w:spacing w:after="0"/>
        <w:tabs>
          <w:tab w:leader="none" w:pos="224" w:val="left"/>
        </w:tabs>
        <w:numPr>
          <w:ilvl w:val="0"/>
          <w:numId w:val="102"/>
        </w:numPr>
        <w:rPr>
          <w:rFonts w:ascii="Arial" w:cs="Arial" w:eastAsia="Arial" w:hAnsi="Arial"/>
          <w:sz w:val="13"/>
          <w:szCs w:val="13"/>
          <w:color w:val="333333"/>
        </w:rPr>
      </w:pPr>
      <w:r>
        <w:rPr>
          <w:rFonts w:ascii="Arial" w:cs="Arial" w:eastAsia="Arial" w:hAnsi="Arial"/>
          <w:sz w:val="13"/>
          <w:szCs w:val="13"/>
          <w:color w:val="333333"/>
        </w:rPr>
        <w:t>The amounts in column (C) reflect the base salary actually paid.</w:t>
      </w:r>
    </w:p>
    <w:p>
      <w:pPr>
        <w:spacing w:after="0" w:line="53" w:lineRule="exact"/>
        <w:rPr>
          <w:sz w:val="20"/>
          <w:szCs w:val="20"/>
          <w:color w:val="auto"/>
        </w:rPr>
      </w:pPr>
    </w:p>
    <w:p>
      <w:pPr>
        <w:ind w:left="224" w:right="20" w:hanging="224"/>
        <w:spacing w:after="0" w:line="226" w:lineRule="auto"/>
        <w:tabs>
          <w:tab w:leader="none" w:pos="224" w:val="left"/>
        </w:tabs>
        <w:numPr>
          <w:ilvl w:val="0"/>
          <w:numId w:val="103"/>
        </w:numPr>
        <w:rPr>
          <w:rFonts w:ascii="Arial" w:cs="Arial" w:eastAsia="Arial" w:hAnsi="Arial"/>
          <w:sz w:val="13"/>
          <w:szCs w:val="13"/>
          <w:color w:val="333333"/>
        </w:rPr>
      </w:pPr>
      <w:r>
        <w:rPr>
          <w:rFonts w:ascii="Arial" w:cs="Arial" w:eastAsia="Arial" w:hAnsi="Arial"/>
          <w:sz w:val="13"/>
          <w:szCs w:val="13"/>
          <w:color w:val="333333"/>
        </w:rPr>
        <w:t>The amounts in column (E) reflect the aggregate grant date fair value of awards made in the year reported, determined in accordance with FASB ASC Topic 718 (without any assumption for early forfeiture), of awards of RSUs and awards of PSUs, which are described in more detail on pages 66-70 under the heading “2025 Long-Term Incentive Compensation Overview.” The amounts included in the table reflects the value of the units granted, which are subject to forfeiture if the executive does not remain in the employment of Martin Marietta for the requisite time period (generally three years) or if Martin Marietta does not achieve the performance criteria, where applicable. The amounts reported include the amounts of cash bonuses deferred in common stock units by each named executive officer pursuant to Martin Marietta’s</w:t>
      </w:r>
    </w:p>
    <w:p>
      <w:pPr>
        <w:spacing w:after="0" w:line="36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285" w:right="439" w:bottom="1440" w:gutter="0" w:footer="0" w:header="0"/>
          <w:type w:val="continuous"/>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77 </w:t>
      </w:r>
      <w:r>
        <w:rPr>
          <w:rFonts w:ascii="Arial" w:cs="Arial" w:eastAsia="Arial" w:hAnsi="Arial"/>
          <w:sz w:val="16"/>
          <w:szCs w:val="16"/>
          <w:color w:val="333333"/>
        </w:rPr>
        <w:t xml:space="preserve">               </w:t>
      </w:r>
    </w:p>
    <w:p>
      <w:pPr>
        <w:sectPr>
          <w:pgSz w:w="11900" w:h="16838" w:orient="portrait"/>
          <w:cols w:equalWidth="0" w:num="4">
            <w:col w:w="44" w:space="120"/>
            <w:col w:w="3700" w:space="720"/>
            <w:col w:w="4660" w:space="720"/>
            <w:col w:w="1060"/>
          </w:cols>
          <w:pgMar w:left="436" w:top="285" w:right="439" w:bottom="1440" w:gutter="0" w:footer="0" w:header="0"/>
          <w:type w:val="continuous"/>
        </w:sectPr>
      </w:pPr>
    </w:p>
    <w:bookmarkStart w:id="84" w:name="page85"/>
    <w:bookmarkEnd w:id="84"/>
    <w:tbl>
      <w:tblPr>
        <w:tblLayout w:type="fixed"/>
        <w:tblInd w:w="4" w:type="dxa"/>
        <w:tblCellMar>
          <w:top w:w="0" w:type="dxa"/>
          <w:left w:w="0" w:type="dxa"/>
          <w:bottom w:w="0" w:type="dxa"/>
          <w:right w:w="0" w:type="dxa"/>
        </w:tblCellMar>
      </w:tblPr>
      <w:tr>
        <w:trPr>
          <w:trHeight w:val="355"/>
        </w:trPr>
        <w:tc>
          <w:tcPr>
            <w:tcW w:w="320" w:type="dxa"/>
            <w:vAlign w:val="bottom"/>
            <w:shd w:val="clear" w:color="auto" w:fill="4D5357"/>
          </w:tcPr>
          <w:p>
            <w:pPr>
              <w:ind w:left="240"/>
              <w:spacing w:after="0"/>
              <w:rPr>
                <w:sz w:val="20"/>
                <w:szCs w:val="20"/>
                <w:color w:val="auto"/>
              </w:rPr>
            </w:pPr>
            <w:r>
              <w:rPr>
                <w:rFonts w:ascii="Arial" w:cs="Arial" w:eastAsia="Arial" w:hAnsi="Arial"/>
                <w:sz w:val="8"/>
                <w:szCs w:val="8"/>
                <w:b w:val="1"/>
                <w:bCs w:val="1"/>
                <w:color w:val="FFFFFF"/>
                <w:w w:val="74"/>
              </w:rPr>
              <w:t> </w:t>
            </w:r>
          </w:p>
        </w:tc>
        <w:tc>
          <w:tcPr>
            <w:tcW w:w="14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   Executive    </w:t>
            </w:r>
          </w:p>
        </w:tc>
      </w:tr>
      <w:tr>
        <w:trPr>
          <w:trHeight w:val="196"/>
        </w:trPr>
        <w:tc>
          <w:tcPr>
            <w:tcW w:w="32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Compensation    </w:t>
            </w:r>
          </w:p>
        </w:tc>
      </w:tr>
      <w:tr>
        <w:trPr>
          <w:trHeight w:val="191"/>
        </w:trPr>
        <w:tc>
          <w:tcPr>
            <w:tcW w:w="320" w:type="dxa"/>
            <w:vAlign w:val="bottom"/>
            <w:shd w:val="clear" w:color="auto" w:fill="4D5357"/>
          </w:tcPr>
          <w:p>
            <w:pPr>
              <w:spacing w:after="0"/>
              <w:rPr>
                <w:sz w:val="16"/>
                <w:szCs w:val="16"/>
                <w:color w:val="auto"/>
              </w:rPr>
            </w:pPr>
          </w:p>
        </w:tc>
        <w:tc>
          <w:tcPr>
            <w:tcW w:w="1420" w:type="dxa"/>
            <w:vAlign w:val="bottom"/>
            <w:shd w:val="clear" w:color="auto" w:fill="4D5357"/>
          </w:tcPr>
          <w:p>
            <w:pPr>
              <w:spacing w:after="0"/>
              <w:rPr>
                <w:sz w:val="16"/>
                <w:szCs w:val="16"/>
                <w:color w:val="auto"/>
              </w:rPr>
            </w:pP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24" w:right="100"/>
        <w:spacing w:after="0" w:line="244" w:lineRule="auto"/>
        <w:rPr>
          <w:sz w:val="20"/>
          <w:szCs w:val="20"/>
          <w:color w:val="auto"/>
        </w:rPr>
      </w:pPr>
      <w:r>
        <w:rPr>
          <w:rFonts w:ascii="Arial" w:cs="Arial" w:eastAsia="Arial" w:hAnsi="Arial"/>
          <w:sz w:val="12"/>
          <w:szCs w:val="12"/>
          <w:color w:val="333333"/>
        </w:rPr>
        <w:t>Incentive Stock Plan, which is discussed in further detail on page 66 under the heading “Annual Incentive Feature: Incentive Stock Plan”. The amount in column (E) includes PSUs based on the target level of performance. Assuming the maximum payout under the PSUs granted in 2025, whose payout will be determined in February 2028 based on the Company’s performance in 2025-2028, the amounts reported above for 2025 would be as follows: Mr. Nye, $10,973,282; Mr. Petro, $1,082,467; Mr. Cardin, $ 1,174,284; Mr. Nickolas, 0; Mr. McCunniff, 2,277,290; Mr. Kohn, 1,447,318; and Mr. Flynn, $908,501. Assumptions used in the calculation of these amounts are included in Note K to Martin Marietta’s audited financial statements for the fiscal year ended December 31, 2025, included in Martin Marietta’s Annual Report on Form 10-K filed with the SEC on February 20, 2026. The amounts of cash bonus deferred in 2025 for each named executive officer are included in column (e) as follows: Mr. Nye, $1,216,034; Mr. Petro, $0; Mr. Cardin, $0; Mr. Nickolas, $0; Mr. McCunniff, $0; Mr. Flynn, $324,861; and Mr. Kohn, $0.</w:t>
      </w:r>
    </w:p>
    <w:p>
      <w:pPr>
        <w:spacing w:after="0" w:line="36" w:lineRule="exact"/>
        <w:rPr>
          <w:sz w:val="20"/>
          <w:szCs w:val="20"/>
          <w:color w:val="auto"/>
        </w:rPr>
      </w:pPr>
    </w:p>
    <w:p>
      <w:pPr>
        <w:ind w:left="224" w:hanging="224"/>
        <w:spacing w:after="0"/>
        <w:tabs>
          <w:tab w:leader="none" w:pos="224" w:val="left"/>
        </w:tabs>
        <w:numPr>
          <w:ilvl w:val="0"/>
          <w:numId w:val="104"/>
        </w:numPr>
        <w:rPr>
          <w:rFonts w:ascii="Arial" w:cs="Arial" w:eastAsia="Arial" w:hAnsi="Arial"/>
          <w:sz w:val="13"/>
          <w:szCs w:val="13"/>
          <w:color w:val="333333"/>
        </w:rPr>
      </w:pPr>
      <w:r>
        <w:rPr>
          <w:rFonts w:ascii="Arial" w:cs="Arial" w:eastAsia="Arial" w:hAnsi="Arial"/>
          <w:sz w:val="13"/>
          <w:szCs w:val="13"/>
          <w:color w:val="333333"/>
        </w:rPr>
        <w:t>The Company does not issue SARs and has not granted any stock options since 2015. The Stock-Based Award Plan prohibits share recycling for stock options or SARs.</w:t>
      </w:r>
    </w:p>
    <w:p>
      <w:pPr>
        <w:spacing w:after="0" w:line="53" w:lineRule="exact"/>
        <w:rPr>
          <w:sz w:val="20"/>
          <w:szCs w:val="20"/>
          <w:color w:val="auto"/>
        </w:rPr>
      </w:pPr>
    </w:p>
    <w:p>
      <w:pPr>
        <w:ind w:left="224" w:right="60" w:hanging="224"/>
        <w:spacing w:after="0" w:line="233" w:lineRule="auto"/>
        <w:tabs>
          <w:tab w:leader="none" w:pos="224" w:val="left"/>
        </w:tabs>
        <w:numPr>
          <w:ilvl w:val="0"/>
          <w:numId w:val="105"/>
        </w:numPr>
        <w:rPr>
          <w:rFonts w:ascii="Arial" w:cs="Arial" w:eastAsia="Arial" w:hAnsi="Arial"/>
          <w:sz w:val="13"/>
          <w:szCs w:val="13"/>
          <w:color w:val="333333"/>
        </w:rPr>
      </w:pPr>
      <w:r>
        <w:rPr>
          <w:rFonts w:ascii="Arial" w:cs="Arial" w:eastAsia="Arial" w:hAnsi="Arial"/>
          <w:sz w:val="13"/>
          <w:szCs w:val="13"/>
          <w:color w:val="333333"/>
        </w:rPr>
        <w:t>The amounts in column (G) for 2025 reflect the cash paid to the named individuals earned in 2025 and paid in 2026 under annual incentive arrangements discussed in further detail beginning on page 62 under the headings “2025 Annual Cash Incentive Goals and Results” and “2025 Actual Incentive Cash Earned,” and not deferred pursuant to Martin Marietta’s Incentive Stock Plan, which is discussed in further detail on page 66 under the heading “Annual Incentive Feature: Incentive Stock Plan.”</w:t>
      </w:r>
    </w:p>
    <w:p>
      <w:pPr>
        <w:spacing w:after="0" w:line="37" w:lineRule="exact"/>
        <w:rPr>
          <w:sz w:val="20"/>
          <w:szCs w:val="20"/>
          <w:color w:val="auto"/>
        </w:rPr>
      </w:pPr>
    </w:p>
    <w:p>
      <w:pPr>
        <w:ind w:left="224" w:right="20" w:hanging="224"/>
        <w:spacing w:after="0" w:line="233" w:lineRule="auto"/>
        <w:tabs>
          <w:tab w:leader="none" w:pos="224" w:val="left"/>
        </w:tabs>
        <w:numPr>
          <w:ilvl w:val="0"/>
          <w:numId w:val="106"/>
        </w:numPr>
        <w:rPr>
          <w:rFonts w:ascii="Arial" w:cs="Arial" w:eastAsia="Arial" w:hAnsi="Arial"/>
          <w:sz w:val="13"/>
          <w:szCs w:val="13"/>
          <w:color w:val="333333"/>
        </w:rPr>
      </w:pPr>
      <w:r>
        <w:rPr>
          <w:rFonts w:ascii="Arial" w:cs="Arial" w:eastAsia="Arial" w:hAnsi="Arial"/>
          <w:sz w:val="13"/>
          <w:szCs w:val="13"/>
          <w:color w:val="333333"/>
        </w:rPr>
        <w:t>The amounts in column (H) reflect the aggregate increase in the actuarial present value of the named executive officer’s accumulated benefits during 2025, 2024 and 2023,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w:t>
      </w:r>
    </w:p>
    <w:p>
      <w:pPr>
        <w:spacing w:after="0" w:line="37" w:lineRule="exact"/>
        <w:rPr>
          <w:sz w:val="20"/>
          <w:szCs w:val="20"/>
          <w:color w:val="auto"/>
        </w:rPr>
      </w:pPr>
    </w:p>
    <w:p>
      <w:pPr>
        <w:ind w:left="224" w:hanging="224"/>
        <w:spacing w:after="0"/>
        <w:tabs>
          <w:tab w:leader="none" w:pos="224" w:val="left"/>
        </w:tabs>
        <w:numPr>
          <w:ilvl w:val="0"/>
          <w:numId w:val="107"/>
        </w:numPr>
        <w:rPr>
          <w:rFonts w:ascii="Arial" w:cs="Arial" w:eastAsia="Arial" w:hAnsi="Arial"/>
          <w:sz w:val="12"/>
          <w:szCs w:val="12"/>
          <w:color w:val="333333"/>
        </w:rPr>
      </w:pPr>
      <w:r>
        <w:rPr>
          <w:rFonts w:ascii="Arial" w:cs="Arial" w:eastAsia="Arial" w:hAnsi="Arial"/>
          <w:sz w:val="12"/>
          <w:szCs w:val="12"/>
          <w:color w:val="333333"/>
        </w:rPr>
        <w:t>The amount shown in column (I) for 2025 reflects for each named executive officer: matching contributions allocated by Martin Marietta to each of the named executive officers pursuant to the</w:t>
      </w:r>
    </w:p>
    <w:p>
      <w:pPr>
        <w:spacing w:after="0" w:line="9" w:lineRule="exact"/>
        <w:rPr>
          <w:rFonts w:ascii="Arial" w:cs="Arial" w:eastAsia="Arial" w:hAnsi="Arial"/>
          <w:sz w:val="12"/>
          <w:szCs w:val="12"/>
          <w:color w:val="333333"/>
        </w:rPr>
      </w:pPr>
    </w:p>
    <w:p>
      <w:pPr>
        <w:ind w:left="224" w:right="180"/>
        <w:spacing w:after="0"/>
        <w:rPr>
          <w:rFonts w:ascii="Arial" w:cs="Arial" w:eastAsia="Arial" w:hAnsi="Arial"/>
          <w:sz w:val="12"/>
          <w:szCs w:val="12"/>
          <w:color w:val="333333"/>
        </w:rPr>
      </w:pPr>
      <w:r>
        <w:rPr>
          <w:rFonts w:ascii="Arial" w:cs="Arial" w:eastAsia="Arial" w:hAnsi="Arial"/>
          <w:sz w:val="12"/>
          <w:szCs w:val="12"/>
          <w:color w:val="333333"/>
        </w:rPr>
        <w:t>Savings and Investment Plan, which is more fully described on page 81 under the heading “Retirement and Other Benefits” in the following amounts: Mr. Nye, $12,250; Mr. Petro, $12,250; Mr. Nickolas, $7,435; Mr. Cardin, $12,250; Mr. McCunniff, $12,250; Mr. Kohn, $12,250, and Mr. Flynn, $12,250; the value attributable to life insurance benefits provided to the named executive officers, which is more fully described on page 81 under the heading “Retirement and Other Benefits” in the following amounts: Mr. Nye, $15,444; Mr. Petro, $852; Mr. Nickolas, $2,935; Mr. Cardin, $5,151; Mr. McCunniff, $15,159; Mr. Flynn, $961; and Mr. Kohn, $3,174; and the value attributable to personal use of leased automobiles provided by Martin Marietta in the following amounts: Mr. Nye, $15,160; Mr. Petro, $16,849; Mr. Nickolas, $10,348; Mr. Cardin, $21,841; Mr. McCunniff, $19,041; Mr. Flynn, $22,000; and Mr. Kohn, $16,903. These values are included as compensation on the W-2 of named executive officers who receive such benefits. Each such named executive officer is responsible for paying income tax on such amount.</w:t>
      </w:r>
    </w:p>
    <w:p>
      <w:pPr>
        <w:spacing w:after="0" w:line="38" w:lineRule="exact"/>
        <w:rPr>
          <w:sz w:val="20"/>
          <w:szCs w:val="20"/>
          <w:color w:val="auto"/>
        </w:rPr>
      </w:pPr>
    </w:p>
    <w:p>
      <w:pPr>
        <w:ind w:left="224" w:hanging="224"/>
        <w:spacing w:after="0"/>
        <w:tabs>
          <w:tab w:leader="none" w:pos="224" w:val="left"/>
        </w:tabs>
        <w:numPr>
          <w:ilvl w:val="0"/>
          <w:numId w:val="108"/>
        </w:numPr>
        <w:rPr>
          <w:rFonts w:ascii="Arial" w:cs="Arial" w:eastAsia="Arial" w:hAnsi="Arial"/>
          <w:sz w:val="13"/>
          <w:szCs w:val="13"/>
          <w:color w:val="333333"/>
        </w:rPr>
      </w:pPr>
      <w:r>
        <w:rPr>
          <w:rFonts w:ascii="Arial" w:cs="Arial" w:eastAsia="Arial" w:hAnsi="Arial"/>
          <w:sz w:val="13"/>
          <w:szCs w:val="13"/>
          <w:color w:val="333333"/>
        </w:rPr>
        <w:t>Mr. Petro was appointed as Chief Financial Officer in July 2025. He previously served as Senior Vice President, Strategy and Development.</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8  Mr. Cardin served as Interim Chief Financial Officer from April 2025 to July 2025.</w:t>
      </w:r>
    </w:p>
    <w:p>
      <w:pPr>
        <w:spacing w:after="0" w:line="53" w:lineRule="exact"/>
        <w:rPr>
          <w:sz w:val="20"/>
          <w:szCs w:val="20"/>
          <w:color w:val="auto"/>
        </w:rPr>
      </w:pPr>
    </w:p>
    <w:p>
      <w:pPr>
        <w:ind w:left="224" w:right="140" w:hanging="224"/>
        <w:spacing w:after="0" w:line="243" w:lineRule="auto"/>
        <w:tabs>
          <w:tab w:leader="none" w:pos="224" w:val="left"/>
        </w:tabs>
        <w:numPr>
          <w:ilvl w:val="0"/>
          <w:numId w:val="109"/>
        </w:numPr>
        <w:rPr>
          <w:rFonts w:ascii="Arial" w:cs="Arial" w:eastAsia="Arial" w:hAnsi="Arial"/>
          <w:sz w:val="13"/>
          <w:szCs w:val="13"/>
          <w:color w:val="333333"/>
        </w:rPr>
      </w:pPr>
      <w:r>
        <w:rPr>
          <w:rFonts w:ascii="Arial" w:cs="Arial" w:eastAsia="Arial" w:hAnsi="Arial"/>
          <w:sz w:val="13"/>
          <w:szCs w:val="13"/>
          <w:color w:val="333333"/>
        </w:rPr>
        <w:t>Mr. Nickolas ceased serving as Executive Vice President and Chief Financial Officer in April 2025 and all unvested RSUs and PSUs, including all such RSUs and PSUs awarded to him in 2025 included in the table as Stock Awards at their grant date fair value were forfeited upon his departure.</w:t>
      </w:r>
    </w:p>
    <w:p>
      <w:pPr>
        <w:spacing w:after="0" w:line="35" w:lineRule="exact"/>
        <w:rPr>
          <w:sz w:val="20"/>
          <w:szCs w:val="20"/>
          <w:color w:val="auto"/>
        </w:rPr>
      </w:pPr>
    </w:p>
    <w:p>
      <w:pPr>
        <w:ind w:left="224" w:hanging="224"/>
        <w:spacing w:after="0"/>
        <w:tabs>
          <w:tab w:leader="none" w:pos="224" w:val="left"/>
        </w:tabs>
        <w:numPr>
          <w:ilvl w:val="0"/>
          <w:numId w:val="110"/>
        </w:numPr>
        <w:rPr>
          <w:rFonts w:ascii="Arial" w:cs="Arial" w:eastAsia="Arial" w:hAnsi="Arial"/>
          <w:sz w:val="13"/>
          <w:szCs w:val="13"/>
          <w:color w:val="333333"/>
        </w:rPr>
      </w:pPr>
      <w:r>
        <w:rPr>
          <w:rFonts w:ascii="Arial" w:cs="Arial" w:eastAsia="Arial" w:hAnsi="Arial"/>
          <w:sz w:val="13"/>
          <w:szCs w:val="13"/>
          <w:color w:val="333333"/>
        </w:rPr>
        <w:t>Mr. McCunniff, Mr. Flynn and Mr. Kohn were not named executive officers for purposes of the Summary Compensation Table in 2023 or 2024.</w:t>
      </w:r>
    </w:p>
    <w:p>
      <w:pPr>
        <w:spacing w:after="0" w:line="53" w:lineRule="exact"/>
        <w:rPr>
          <w:rFonts w:ascii="Arial" w:cs="Arial" w:eastAsia="Arial" w:hAnsi="Arial"/>
          <w:sz w:val="13"/>
          <w:szCs w:val="13"/>
          <w:color w:val="333333"/>
        </w:rPr>
      </w:pPr>
    </w:p>
    <w:p>
      <w:pPr>
        <w:ind w:left="224" w:right="160" w:hanging="224"/>
        <w:spacing w:after="0" w:line="243" w:lineRule="auto"/>
        <w:tabs>
          <w:tab w:leader="none" w:pos="224" w:val="left"/>
        </w:tabs>
        <w:numPr>
          <w:ilvl w:val="0"/>
          <w:numId w:val="110"/>
        </w:numPr>
        <w:rPr>
          <w:rFonts w:ascii="Arial" w:cs="Arial" w:eastAsia="Arial" w:hAnsi="Arial"/>
          <w:sz w:val="13"/>
          <w:szCs w:val="13"/>
          <w:color w:val="333333"/>
        </w:rPr>
      </w:pPr>
      <w:r>
        <w:rPr>
          <w:rFonts w:ascii="Arial" w:cs="Arial" w:eastAsia="Arial" w:hAnsi="Arial"/>
          <w:sz w:val="13"/>
          <w:szCs w:val="13"/>
          <w:color w:val="333333"/>
        </w:rPr>
        <w:t>Mr. Kohn’s departure in February 2026 was prior to the payout of the annual cash incentive compensation payments; however, Mr. Kohn was provided an equivalent amount to his target under such plan in connection with his depature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Grants of Plan-Based Awards</w:t>
      </w:r>
    </w:p>
    <w:p>
      <w:pPr>
        <w:spacing w:after="0" w:line="123" w:lineRule="exact"/>
        <w:rPr>
          <w:sz w:val="20"/>
          <w:szCs w:val="20"/>
          <w:color w:val="auto"/>
        </w:rPr>
      </w:pPr>
    </w:p>
    <w:p>
      <w:pPr>
        <w:ind w:left="4" w:right="460"/>
        <w:spacing w:after="0" w:line="286" w:lineRule="auto"/>
        <w:rPr>
          <w:sz w:val="20"/>
          <w:szCs w:val="20"/>
          <w:color w:val="auto"/>
        </w:rPr>
      </w:pPr>
      <w:r>
        <w:rPr>
          <w:rFonts w:ascii="Arial" w:cs="Arial" w:eastAsia="Arial" w:hAnsi="Arial"/>
          <w:sz w:val="16"/>
          <w:szCs w:val="16"/>
          <w:color w:val="333333"/>
        </w:rPr>
        <w:t>The table below shows each grant of an award made to a named executive officer in the fiscal year ended December 31, 2025. This includes equity awards made to the named executive officers under the Stock-Based Award Plan and the Incentive Stock Plan.</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6995160" cy="6172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617220"/>
                    </a:xfrm>
                    <a:prstGeom prst="rect">
                      <a:avLst/>
                    </a:prstGeom>
                    <a:noFill/>
                  </pic:spPr>
                </pic:pic>
              </a:graphicData>
            </a:graphic>
          </wp:anchor>
        </w:drawing>
      </w:r>
    </w:p>
    <w:p>
      <w:pPr>
        <w:spacing w:after="0" w:line="259"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960" w:type="dxa"/>
            <w:vAlign w:val="bottom"/>
            <w:shd w:val="clear" w:color="auto" w:fill="EAEAEA"/>
          </w:tcPr>
          <w:p>
            <w:pPr>
              <w:spacing w:after="0"/>
              <w:rPr>
                <w:sz w:val="12"/>
                <w:szCs w:val="12"/>
                <w:color w:val="auto"/>
              </w:rPr>
            </w:pPr>
          </w:p>
        </w:tc>
        <w:tc>
          <w:tcPr>
            <w:tcW w:w="1200" w:type="dxa"/>
            <w:vAlign w:val="bottom"/>
            <w:shd w:val="clear" w:color="auto" w:fill="EAEAEA"/>
          </w:tcPr>
          <w:p>
            <w:pPr>
              <w:spacing w:after="0"/>
              <w:rPr>
                <w:sz w:val="12"/>
                <w:szCs w:val="12"/>
                <w:color w:val="auto"/>
              </w:rPr>
            </w:pPr>
          </w:p>
        </w:tc>
        <w:tc>
          <w:tcPr>
            <w:tcW w:w="620" w:type="dxa"/>
            <w:vAlign w:val="bottom"/>
            <w:shd w:val="clear" w:color="auto" w:fill="EAEAEA"/>
          </w:tcPr>
          <w:p>
            <w:pPr>
              <w:spacing w:after="0"/>
              <w:rPr>
                <w:sz w:val="12"/>
                <w:szCs w:val="12"/>
                <w:color w:val="auto"/>
              </w:rPr>
            </w:pPr>
          </w:p>
        </w:tc>
        <w:tc>
          <w:tcPr>
            <w:tcW w:w="140" w:type="dxa"/>
            <w:vAlign w:val="bottom"/>
            <w:shd w:val="clear" w:color="auto" w:fill="EAEAEA"/>
          </w:tcPr>
          <w:p>
            <w:pPr>
              <w:spacing w:after="0"/>
              <w:rPr>
                <w:sz w:val="12"/>
                <w:szCs w:val="12"/>
                <w:color w:val="auto"/>
              </w:rPr>
            </w:pPr>
          </w:p>
        </w:tc>
        <w:tc>
          <w:tcPr>
            <w:tcW w:w="120" w:type="dxa"/>
            <w:vAlign w:val="bottom"/>
            <w:shd w:val="clear" w:color="auto" w:fill="EAEAEA"/>
          </w:tcPr>
          <w:p>
            <w:pPr>
              <w:spacing w:after="0"/>
              <w:rPr>
                <w:sz w:val="12"/>
                <w:szCs w:val="12"/>
                <w:color w:val="auto"/>
              </w:rPr>
            </w:pPr>
          </w:p>
        </w:tc>
        <w:tc>
          <w:tcPr>
            <w:tcW w:w="660" w:type="dxa"/>
            <w:vAlign w:val="bottom"/>
            <w:shd w:val="clear" w:color="auto" w:fill="EAEAEA"/>
          </w:tcPr>
          <w:p>
            <w:pPr>
              <w:ind w:left="620"/>
              <w:spacing w:after="0"/>
              <w:rPr>
                <w:sz w:val="20"/>
                <w:szCs w:val="20"/>
                <w:color w:val="auto"/>
              </w:rPr>
            </w:pPr>
            <w:r>
              <w:rPr>
                <w:rFonts w:ascii="Arial" w:cs="Arial" w:eastAsia="Arial" w:hAnsi="Arial"/>
                <w:sz w:val="2"/>
                <w:szCs w:val="2"/>
                <w:b w:val="1"/>
                <w:bCs w:val="1"/>
                <w:color w:val="0086CC"/>
                <w:w w:val="97"/>
              </w:rPr>
              <w:t> </w:t>
            </w:r>
          </w:p>
        </w:tc>
        <w:tc>
          <w:tcPr>
            <w:tcW w:w="700" w:type="dxa"/>
            <w:vAlign w:val="bottom"/>
            <w:shd w:val="clear" w:color="auto" w:fill="EAEAEA"/>
          </w:tcPr>
          <w:p>
            <w:pPr>
              <w:spacing w:after="0"/>
              <w:rPr>
                <w:sz w:val="12"/>
                <w:szCs w:val="12"/>
                <w:color w:val="auto"/>
              </w:rPr>
            </w:pPr>
          </w:p>
        </w:tc>
        <w:tc>
          <w:tcPr>
            <w:tcW w:w="800" w:type="dxa"/>
            <w:vAlign w:val="bottom"/>
            <w:shd w:val="clear" w:color="auto" w:fill="EAEAEA"/>
          </w:tcPr>
          <w:p>
            <w:pPr>
              <w:spacing w:after="0"/>
              <w:rPr>
                <w:sz w:val="12"/>
                <w:szCs w:val="12"/>
                <w:color w:val="auto"/>
              </w:rPr>
            </w:pPr>
          </w:p>
        </w:tc>
        <w:tc>
          <w:tcPr>
            <w:tcW w:w="200" w:type="dxa"/>
            <w:vAlign w:val="bottom"/>
            <w:shd w:val="clear" w:color="auto" w:fill="EAEAEA"/>
          </w:tcPr>
          <w:p>
            <w:pPr>
              <w:spacing w:after="0"/>
              <w:rPr>
                <w:sz w:val="12"/>
                <w:szCs w:val="12"/>
                <w:color w:val="auto"/>
              </w:rPr>
            </w:pPr>
          </w:p>
        </w:tc>
        <w:tc>
          <w:tcPr>
            <w:tcW w:w="1320" w:type="dxa"/>
            <w:vAlign w:val="bottom"/>
            <w:shd w:val="clear" w:color="auto" w:fill="EAEAEA"/>
          </w:tcPr>
          <w:p>
            <w:pPr>
              <w:spacing w:after="0"/>
              <w:rPr>
                <w:sz w:val="12"/>
                <w:szCs w:val="12"/>
                <w:color w:val="auto"/>
              </w:rPr>
            </w:pPr>
          </w:p>
        </w:tc>
        <w:tc>
          <w:tcPr>
            <w:tcW w:w="980" w:type="dxa"/>
            <w:vAlign w:val="bottom"/>
            <w:shd w:val="clear" w:color="auto" w:fill="EAEAEA"/>
          </w:tcPr>
          <w:p>
            <w:pPr>
              <w:spacing w:after="0"/>
              <w:rPr>
                <w:sz w:val="12"/>
                <w:szCs w:val="12"/>
                <w:color w:val="auto"/>
              </w:rPr>
            </w:pPr>
          </w:p>
        </w:tc>
        <w:tc>
          <w:tcPr>
            <w:tcW w:w="860" w:type="dxa"/>
            <w:vAlign w:val="bottom"/>
            <w:shd w:val="clear" w:color="auto" w:fill="EAEAEA"/>
          </w:tcPr>
          <w:p>
            <w:pPr>
              <w:spacing w:after="0"/>
              <w:rPr>
                <w:sz w:val="12"/>
                <w:szCs w:val="12"/>
                <w:color w:val="auto"/>
              </w:rPr>
            </w:pPr>
          </w:p>
        </w:tc>
        <w:tc>
          <w:tcPr>
            <w:tcW w:w="1420" w:type="dxa"/>
            <w:vAlign w:val="bottom"/>
            <w:shd w:val="clear" w:color="auto" w:fill="EAEAEA"/>
          </w:tcPr>
          <w:p>
            <w:pPr>
              <w:jc w:val="center"/>
              <w:ind w:left="42"/>
              <w:spacing w:after="0"/>
              <w:rPr>
                <w:sz w:val="20"/>
                <w:szCs w:val="20"/>
                <w:color w:val="auto"/>
              </w:rPr>
            </w:pPr>
            <w:r>
              <w:rPr>
                <w:rFonts w:ascii="Arial" w:cs="Arial" w:eastAsia="Arial" w:hAnsi="Arial"/>
                <w:sz w:val="12"/>
                <w:szCs w:val="12"/>
                <w:b w:val="1"/>
                <w:bCs w:val="1"/>
                <w:color w:val="0086CC"/>
                <w:w w:val="98"/>
              </w:rPr>
              <w:t>ALL OTHER STOCK</w:t>
            </w:r>
          </w:p>
        </w:tc>
        <w:tc>
          <w:tcPr>
            <w:tcW w:w="1040" w:type="dxa"/>
            <w:vAlign w:val="bottom"/>
            <w:shd w:val="clear" w:color="auto" w:fill="EAEAEA"/>
          </w:tcPr>
          <w:p>
            <w:pPr>
              <w:jc w:val="center"/>
              <w:ind w:left="20"/>
              <w:spacing w:after="0"/>
              <w:rPr>
                <w:sz w:val="20"/>
                <w:szCs w:val="20"/>
                <w:color w:val="auto"/>
              </w:rPr>
            </w:pPr>
            <w:r>
              <w:rPr>
                <w:rFonts w:ascii="Arial" w:cs="Arial" w:eastAsia="Arial" w:hAnsi="Arial"/>
                <w:sz w:val="12"/>
                <w:szCs w:val="12"/>
                <w:b w:val="1"/>
                <w:bCs w:val="1"/>
                <w:color w:val="0086CC"/>
                <w:w w:val="96"/>
              </w:rPr>
              <w:t>GRANT DATE</w:t>
            </w:r>
          </w:p>
        </w:tc>
        <w:tc>
          <w:tcPr>
            <w:tcW w:w="0" w:type="dxa"/>
            <w:vAlign w:val="bottom"/>
          </w:tcPr>
          <w:p>
            <w:pPr>
              <w:spacing w:after="0"/>
              <w:rPr>
                <w:sz w:val="1"/>
                <w:szCs w:val="1"/>
                <w:color w:val="auto"/>
              </w:rPr>
            </w:pPr>
          </w:p>
        </w:tc>
      </w:tr>
      <w:tr>
        <w:trPr>
          <w:trHeight w:val="135"/>
        </w:trPr>
        <w:tc>
          <w:tcPr>
            <w:tcW w:w="960" w:type="dxa"/>
            <w:vAlign w:val="bottom"/>
            <w:shd w:val="clear" w:color="auto" w:fill="EAEAEA"/>
          </w:tcPr>
          <w:p>
            <w:pPr>
              <w:spacing w:after="0"/>
              <w:rPr>
                <w:sz w:val="11"/>
                <w:szCs w:val="11"/>
                <w:color w:val="auto"/>
              </w:rPr>
            </w:pPr>
          </w:p>
        </w:tc>
        <w:tc>
          <w:tcPr>
            <w:tcW w:w="12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140" w:type="dxa"/>
            <w:vAlign w:val="bottom"/>
            <w:shd w:val="clear" w:color="auto" w:fill="EAEAEA"/>
          </w:tcPr>
          <w:p>
            <w:pPr>
              <w:spacing w:after="0"/>
              <w:rPr>
                <w:sz w:val="11"/>
                <w:szCs w:val="11"/>
                <w:color w:val="auto"/>
              </w:rPr>
            </w:pPr>
          </w:p>
        </w:tc>
        <w:tc>
          <w:tcPr>
            <w:tcW w:w="120" w:type="dxa"/>
            <w:vAlign w:val="bottom"/>
            <w:shd w:val="clear" w:color="auto" w:fill="EAEAEA"/>
          </w:tcPr>
          <w:p>
            <w:pPr>
              <w:spacing w:after="0"/>
              <w:rPr>
                <w:sz w:val="11"/>
                <w:szCs w:val="11"/>
                <w:color w:val="auto"/>
              </w:rPr>
            </w:pPr>
          </w:p>
        </w:tc>
        <w:tc>
          <w:tcPr>
            <w:tcW w:w="660" w:type="dxa"/>
            <w:vAlign w:val="bottom"/>
            <w:shd w:val="clear" w:color="auto" w:fill="EAEAEA"/>
          </w:tcPr>
          <w:p>
            <w:pPr>
              <w:ind w:left="620"/>
              <w:spacing w:after="0"/>
              <w:rPr>
                <w:sz w:val="20"/>
                <w:szCs w:val="20"/>
                <w:color w:val="auto"/>
              </w:rPr>
            </w:pPr>
            <w:r>
              <w:rPr>
                <w:rFonts w:ascii="Arial" w:cs="Arial" w:eastAsia="Arial" w:hAnsi="Arial"/>
                <w:sz w:val="2"/>
                <w:szCs w:val="2"/>
                <w:b w:val="1"/>
                <w:bCs w:val="1"/>
                <w:color w:val="0086CC"/>
                <w:w w:val="97"/>
              </w:rPr>
              <w:t> </w:t>
            </w:r>
          </w:p>
        </w:tc>
        <w:tc>
          <w:tcPr>
            <w:tcW w:w="700" w:type="dxa"/>
            <w:vAlign w:val="bottom"/>
            <w:shd w:val="clear" w:color="auto" w:fill="EAEAEA"/>
          </w:tcPr>
          <w:p>
            <w:pPr>
              <w:spacing w:after="0"/>
              <w:rPr>
                <w:sz w:val="11"/>
                <w:szCs w:val="11"/>
                <w:color w:val="auto"/>
              </w:rPr>
            </w:pPr>
          </w:p>
        </w:tc>
        <w:tc>
          <w:tcPr>
            <w:tcW w:w="800" w:type="dxa"/>
            <w:vAlign w:val="bottom"/>
            <w:shd w:val="clear" w:color="auto" w:fill="EAEAEA"/>
          </w:tcPr>
          <w:p>
            <w:pPr>
              <w:spacing w:after="0"/>
              <w:rPr>
                <w:sz w:val="11"/>
                <w:szCs w:val="11"/>
                <w:color w:val="auto"/>
              </w:rPr>
            </w:pPr>
          </w:p>
        </w:tc>
        <w:tc>
          <w:tcPr>
            <w:tcW w:w="200" w:type="dxa"/>
            <w:vAlign w:val="bottom"/>
            <w:shd w:val="clear" w:color="auto" w:fill="EAEAEA"/>
          </w:tcPr>
          <w:p>
            <w:pPr>
              <w:spacing w:after="0"/>
              <w:rPr>
                <w:sz w:val="11"/>
                <w:szCs w:val="11"/>
                <w:color w:val="auto"/>
              </w:rPr>
            </w:pPr>
          </w:p>
        </w:tc>
        <w:tc>
          <w:tcPr>
            <w:tcW w:w="1320" w:type="dxa"/>
            <w:vAlign w:val="bottom"/>
            <w:shd w:val="clear" w:color="auto" w:fill="EAEAEA"/>
          </w:tcPr>
          <w:p>
            <w:pPr>
              <w:spacing w:after="0"/>
              <w:rPr>
                <w:sz w:val="11"/>
                <w:szCs w:val="11"/>
                <w:color w:val="auto"/>
              </w:rPr>
            </w:pPr>
          </w:p>
        </w:tc>
        <w:tc>
          <w:tcPr>
            <w:tcW w:w="98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420" w:type="dxa"/>
            <w:vAlign w:val="bottom"/>
            <w:shd w:val="clear" w:color="auto" w:fill="EAEAEA"/>
          </w:tcPr>
          <w:p>
            <w:pPr>
              <w:jc w:val="center"/>
              <w:ind w:left="42"/>
              <w:spacing w:after="0" w:line="135" w:lineRule="exact"/>
              <w:rPr>
                <w:sz w:val="20"/>
                <w:szCs w:val="20"/>
                <w:color w:val="auto"/>
              </w:rPr>
            </w:pPr>
            <w:r>
              <w:rPr>
                <w:rFonts w:ascii="Arial" w:cs="Arial" w:eastAsia="Arial" w:hAnsi="Arial"/>
                <w:sz w:val="12"/>
                <w:szCs w:val="12"/>
                <w:b w:val="1"/>
                <w:bCs w:val="1"/>
                <w:color w:val="0086CC"/>
                <w:w w:val="96"/>
              </w:rPr>
              <w:t>AWARDS:</w:t>
            </w:r>
          </w:p>
        </w:tc>
        <w:tc>
          <w:tcPr>
            <w:tcW w:w="1040" w:type="dxa"/>
            <w:vAlign w:val="bottom"/>
            <w:shd w:val="clear" w:color="auto" w:fill="EAEAEA"/>
          </w:tcPr>
          <w:p>
            <w:pPr>
              <w:jc w:val="right"/>
              <w:spacing w:after="0" w:line="135" w:lineRule="exact"/>
              <w:rPr>
                <w:sz w:val="20"/>
                <w:szCs w:val="20"/>
                <w:color w:val="auto"/>
              </w:rPr>
            </w:pPr>
            <w:r>
              <w:rPr>
                <w:rFonts w:ascii="Arial" w:cs="Arial" w:eastAsia="Arial" w:hAnsi="Arial"/>
                <w:sz w:val="12"/>
                <w:szCs w:val="12"/>
                <w:b w:val="1"/>
                <w:bCs w:val="1"/>
                <w:color w:val="0086CC"/>
              </w:rPr>
              <w:t>FAIR VALUE OF</w:t>
            </w:r>
          </w:p>
        </w:tc>
        <w:tc>
          <w:tcPr>
            <w:tcW w:w="0" w:type="dxa"/>
            <w:vAlign w:val="bottom"/>
          </w:tcPr>
          <w:p>
            <w:pPr>
              <w:spacing w:after="0"/>
              <w:rPr>
                <w:sz w:val="1"/>
                <w:szCs w:val="1"/>
                <w:color w:val="auto"/>
              </w:rPr>
            </w:pPr>
          </w:p>
        </w:tc>
      </w:tr>
      <w:tr>
        <w:trPr>
          <w:trHeight w:val="149"/>
        </w:trPr>
        <w:tc>
          <w:tcPr>
            <w:tcW w:w="960" w:type="dxa"/>
            <w:vAlign w:val="bottom"/>
            <w:shd w:val="clear" w:color="auto" w:fill="EAEAEA"/>
          </w:tcPr>
          <w:p>
            <w:pPr>
              <w:spacing w:after="0"/>
              <w:rPr>
                <w:sz w:val="12"/>
                <w:szCs w:val="12"/>
                <w:color w:val="auto"/>
              </w:rPr>
            </w:pPr>
          </w:p>
        </w:tc>
        <w:tc>
          <w:tcPr>
            <w:tcW w:w="1200" w:type="dxa"/>
            <w:vAlign w:val="bottom"/>
            <w:shd w:val="clear" w:color="auto" w:fill="EAEAEA"/>
          </w:tcPr>
          <w:p>
            <w:pPr>
              <w:spacing w:after="0"/>
              <w:rPr>
                <w:sz w:val="12"/>
                <w:szCs w:val="12"/>
                <w:color w:val="auto"/>
              </w:rPr>
            </w:pPr>
          </w:p>
        </w:tc>
        <w:tc>
          <w:tcPr>
            <w:tcW w:w="3240" w:type="dxa"/>
            <w:vAlign w:val="bottom"/>
            <w:gridSpan w:val="7"/>
            <w:shd w:val="clear" w:color="auto" w:fill="EAEAEA"/>
          </w:tcPr>
          <w:p>
            <w:pPr>
              <w:ind w:left="440"/>
              <w:spacing w:after="0"/>
              <w:rPr>
                <w:sz w:val="20"/>
                <w:szCs w:val="20"/>
                <w:color w:val="auto"/>
              </w:rPr>
            </w:pPr>
            <w:r>
              <w:rPr>
                <w:rFonts w:ascii="Arial" w:cs="Arial" w:eastAsia="Arial" w:hAnsi="Arial"/>
                <w:sz w:val="12"/>
                <w:szCs w:val="12"/>
                <w:b w:val="1"/>
                <w:bCs w:val="1"/>
                <w:color w:val="0086CC"/>
              </w:rPr>
              <w:t>ESTIMATED FUTURE PAYOUTS UNDER</w:t>
            </w:r>
          </w:p>
        </w:tc>
        <w:tc>
          <w:tcPr>
            <w:tcW w:w="3160" w:type="dxa"/>
            <w:vAlign w:val="bottom"/>
            <w:gridSpan w:val="3"/>
            <w:shd w:val="clear" w:color="auto" w:fill="EAEAEA"/>
          </w:tcPr>
          <w:p>
            <w:pPr>
              <w:jc w:val="right"/>
              <w:ind w:right="378"/>
              <w:spacing w:after="0"/>
              <w:rPr>
                <w:sz w:val="20"/>
                <w:szCs w:val="20"/>
                <w:color w:val="auto"/>
              </w:rPr>
            </w:pPr>
            <w:r>
              <w:rPr>
                <w:rFonts w:ascii="Arial" w:cs="Arial" w:eastAsia="Arial" w:hAnsi="Arial"/>
                <w:sz w:val="12"/>
                <w:szCs w:val="12"/>
                <w:b w:val="1"/>
                <w:bCs w:val="1"/>
                <w:color w:val="0086CC"/>
              </w:rPr>
              <w:t>ESTIMATED FUTURE PAYOUTS UNDER</w:t>
            </w:r>
          </w:p>
        </w:tc>
        <w:tc>
          <w:tcPr>
            <w:tcW w:w="1420" w:type="dxa"/>
            <w:vAlign w:val="bottom"/>
            <w:shd w:val="clear" w:color="auto" w:fill="EAEAEA"/>
          </w:tcPr>
          <w:p>
            <w:pPr>
              <w:jc w:val="center"/>
              <w:ind w:left="42"/>
              <w:spacing w:after="0"/>
              <w:rPr>
                <w:sz w:val="20"/>
                <w:szCs w:val="20"/>
                <w:color w:val="auto"/>
              </w:rPr>
            </w:pPr>
            <w:r>
              <w:rPr>
                <w:rFonts w:ascii="Arial" w:cs="Arial" w:eastAsia="Arial" w:hAnsi="Arial"/>
                <w:sz w:val="12"/>
                <w:szCs w:val="12"/>
                <w:b w:val="1"/>
                <w:bCs w:val="1"/>
                <w:color w:val="0086CC"/>
                <w:w w:val="99"/>
              </w:rPr>
              <w:t>NUMBER OF</w:t>
            </w:r>
          </w:p>
        </w:tc>
        <w:tc>
          <w:tcPr>
            <w:tcW w:w="1040" w:type="dxa"/>
            <w:vAlign w:val="bottom"/>
            <w:shd w:val="clear" w:color="auto" w:fill="EAEAEA"/>
          </w:tcPr>
          <w:p>
            <w:pPr>
              <w:jc w:val="center"/>
              <w:ind w:left="20"/>
              <w:spacing w:after="0"/>
              <w:rPr>
                <w:sz w:val="20"/>
                <w:szCs w:val="20"/>
                <w:color w:val="auto"/>
              </w:rPr>
            </w:pPr>
            <w:r>
              <w:rPr>
                <w:rFonts w:ascii="Arial" w:cs="Arial" w:eastAsia="Arial" w:hAnsi="Arial"/>
                <w:sz w:val="12"/>
                <w:szCs w:val="12"/>
                <w:b w:val="1"/>
                <w:bCs w:val="1"/>
                <w:color w:val="0086CC"/>
                <w:w w:val="95"/>
              </w:rPr>
              <w:t>STOCK AND</w:t>
            </w:r>
          </w:p>
        </w:tc>
        <w:tc>
          <w:tcPr>
            <w:tcW w:w="0" w:type="dxa"/>
            <w:vAlign w:val="bottom"/>
          </w:tcPr>
          <w:p>
            <w:pPr>
              <w:spacing w:after="0"/>
              <w:rPr>
                <w:sz w:val="1"/>
                <w:szCs w:val="1"/>
                <w:color w:val="auto"/>
              </w:rPr>
            </w:pPr>
          </w:p>
        </w:tc>
      </w:tr>
      <w:tr>
        <w:trPr>
          <w:trHeight w:val="175"/>
        </w:trPr>
        <w:tc>
          <w:tcPr>
            <w:tcW w:w="960" w:type="dxa"/>
            <w:vAlign w:val="bottom"/>
            <w:tcBorders>
              <w:bottom w:val="single" w:sz="8" w:color="EAEAEA"/>
            </w:tcBorders>
            <w:shd w:val="clear" w:color="auto" w:fill="EAEAEA"/>
          </w:tcPr>
          <w:p>
            <w:pPr>
              <w:spacing w:after="0"/>
              <w:rPr>
                <w:sz w:val="15"/>
                <w:szCs w:val="15"/>
                <w:color w:val="auto"/>
              </w:rPr>
            </w:pPr>
          </w:p>
        </w:tc>
        <w:tc>
          <w:tcPr>
            <w:tcW w:w="1200" w:type="dxa"/>
            <w:vAlign w:val="bottom"/>
            <w:tcBorders>
              <w:bottom w:val="single" w:sz="8" w:color="EAEAEA"/>
            </w:tcBorders>
            <w:shd w:val="clear" w:color="auto" w:fill="EAEAEA"/>
          </w:tcPr>
          <w:p>
            <w:pPr>
              <w:spacing w:after="0"/>
              <w:rPr>
                <w:sz w:val="15"/>
                <w:szCs w:val="15"/>
                <w:color w:val="auto"/>
              </w:rPr>
            </w:pPr>
          </w:p>
        </w:tc>
        <w:tc>
          <w:tcPr>
            <w:tcW w:w="3240" w:type="dxa"/>
            <w:vAlign w:val="bottom"/>
            <w:tcBorders>
              <w:bottom w:val="single" w:sz="8" w:color="EAEAEA"/>
            </w:tcBorders>
            <w:gridSpan w:val="7"/>
            <w:shd w:val="clear" w:color="auto" w:fill="EAEAEA"/>
          </w:tcPr>
          <w:p>
            <w:pPr>
              <w:ind w:left="440"/>
              <w:spacing w:after="0" w:line="135" w:lineRule="exact"/>
              <w:rPr>
                <w:sz w:val="20"/>
                <w:szCs w:val="20"/>
                <w:color w:val="auto"/>
              </w:rPr>
            </w:pPr>
            <w:r>
              <w:rPr>
                <w:rFonts w:ascii="Arial" w:cs="Arial" w:eastAsia="Arial" w:hAnsi="Arial"/>
                <w:sz w:val="12"/>
                <w:szCs w:val="12"/>
                <w:b w:val="1"/>
                <w:bCs w:val="1"/>
                <w:color w:val="0086CC"/>
              </w:rPr>
              <w:t>NON-EQUITY INCENTIVE PLAN AWARD</w:t>
            </w:r>
          </w:p>
        </w:tc>
        <w:tc>
          <w:tcPr>
            <w:tcW w:w="3160" w:type="dxa"/>
            <w:vAlign w:val="bottom"/>
            <w:tcBorders>
              <w:bottom w:val="single" w:sz="8" w:color="EAEAEA"/>
            </w:tcBorders>
            <w:gridSpan w:val="3"/>
            <w:shd w:val="clear" w:color="auto" w:fill="EAEAEA"/>
          </w:tcPr>
          <w:p>
            <w:pPr>
              <w:jc w:val="right"/>
              <w:ind w:right="498"/>
              <w:spacing w:after="0" w:line="135" w:lineRule="exact"/>
              <w:rPr>
                <w:sz w:val="20"/>
                <w:szCs w:val="20"/>
                <w:color w:val="auto"/>
              </w:rPr>
            </w:pPr>
            <w:r>
              <w:rPr>
                <w:rFonts w:ascii="Arial" w:cs="Arial" w:eastAsia="Arial" w:hAnsi="Arial"/>
                <w:sz w:val="12"/>
                <w:szCs w:val="12"/>
                <w:b w:val="1"/>
                <w:bCs w:val="1"/>
                <w:color w:val="0086CC"/>
              </w:rPr>
              <w:t>EQUITY INCENTIVE PLAN AWARDS</w:t>
            </w:r>
          </w:p>
        </w:tc>
        <w:tc>
          <w:tcPr>
            <w:tcW w:w="1420" w:type="dxa"/>
            <w:vAlign w:val="bottom"/>
            <w:tcBorders>
              <w:bottom w:val="single" w:sz="8" w:color="EAEAEA"/>
            </w:tcBorders>
            <w:shd w:val="clear" w:color="auto" w:fill="EAEAEA"/>
          </w:tcPr>
          <w:p>
            <w:pPr>
              <w:jc w:val="center"/>
              <w:ind w:left="42"/>
              <w:spacing w:after="0" w:line="135" w:lineRule="exact"/>
              <w:rPr>
                <w:sz w:val="20"/>
                <w:szCs w:val="20"/>
                <w:color w:val="auto"/>
              </w:rPr>
            </w:pPr>
            <w:r>
              <w:rPr>
                <w:rFonts w:ascii="Arial" w:cs="Arial" w:eastAsia="Arial" w:hAnsi="Arial"/>
                <w:sz w:val="12"/>
                <w:szCs w:val="12"/>
                <w:b w:val="1"/>
                <w:bCs w:val="1"/>
                <w:color w:val="0086CC"/>
                <w:w w:val="97"/>
              </w:rPr>
              <w:t>SHARES OF</w:t>
            </w:r>
          </w:p>
        </w:tc>
        <w:tc>
          <w:tcPr>
            <w:tcW w:w="1040" w:type="dxa"/>
            <w:vAlign w:val="bottom"/>
            <w:tcBorders>
              <w:bottom w:val="single" w:sz="8" w:color="EAEAEA"/>
            </w:tcBorders>
            <w:shd w:val="clear" w:color="auto" w:fill="EAEAEA"/>
          </w:tcPr>
          <w:p>
            <w:pPr>
              <w:jc w:val="center"/>
              <w:ind w:left="20"/>
              <w:spacing w:after="0" w:line="135" w:lineRule="exact"/>
              <w:rPr>
                <w:sz w:val="20"/>
                <w:szCs w:val="20"/>
                <w:color w:val="auto"/>
              </w:rPr>
            </w:pPr>
            <w:r>
              <w:rPr>
                <w:rFonts w:ascii="Arial" w:cs="Arial" w:eastAsia="Arial" w:hAnsi="Arial"/>
                <w:sz w:val="12"/>
                <w:szCs w:val="12"/>
                <w:b w:val="1"/>
                <w:bCs w:val="1"/>
                <w:color w:val="0086CC"/>
                <w:w w:val="95"/>
              </w:rPr>
              <w:t>OPTION</w:t>
            </w:r>
          </w:p>
        </w:tc>
        <w:tc>
          <w:tcPr>
            <w:tcW w:w="0" w:type="dxa"/>
            <w:vAlign w:val="bottom"/>
          </w:tcPr>
          <w:p>
            <w:pPr>
              <w:spacing w:after="0"/>
              <w:rPr>
                <w:sz w:val="1"/>
                <w:szCs w:val="1"/>
                <w:color w:val="auto"/>
              </w:rPr>
            </w:pPr>
          </w:p>
        </w:tc>
      </w:tr>
      <w:tr>
        <w:trPr>
          <w:trHeight w:val="51"/>
        </w:trPr>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0086CC"/>
              </w:rPr>
              <w:t>NAME</w:t>
            </w:r>
          </w:p>
        </w:tc>
        <w:tc>
          <w:tcPr>
            <w:tcW w:w="1200" w:type="dxa"/>
            <w:vAlign w:val="bottom"/>
            <w:vMerge w:val="restart"/>
          </w:tcPr>
          <w:p>
            <w:pPr>
              <w:jc w:val="right"/>
              <w:ind w:right="199"/>
              <w:spacing w:after="0"/>
              <w:rPr>
                <w:sz w:val="20"/>
                <w:szCs w:val="20"/>
                <w:color w:val="auto"/>
              </w:rPr>
            </w:pPr>
            <w:r>
              <w:rPr>
                <w:rFonts w:ascii="Arial" w:cs="Arial" w:eastAsia="Arial" w:hAnsi="Arial"/>
                <w:sz w:val="12"/>
                <w:szCs w:val="12"/>
                <w:b w:val="1"/>
                <w:bCs w:val="1"/>
                <w:color w:val="0086CC"/>
              </w:rPr>
              <w:t>GRANT DATE</w:t>
            </w:r>
          </w:p>
        </w:tc>
        <w:tc>
          <w:tcPr>
            <w:tcW w:w="1540" w:type="dxa"/>
            <w:vAlign w:val="bottom"/>
            <w:tcBorders>
              <w:top w:val="single" w:sz="8" w:color="0086CC"/>
            </w:tcBorders>
            <w:gridSpan w:val="4"/>
            <w:vMerge w:val="restart"/>
          </w:tcPr>
          <w:p>
            <w:pPr>
              <w:ind w:left="320"/>
              <w:spacing w:after="0"/>
              <w:rPr>
                <w:sz w:val="20"/>
                <w:szCs w:val="20"/>
                <w:color w:val="auto"/>
              </w:rPr>
            </w:pPr>
            <w:r>
              <w:rPr>
                <w:rFonts w:ascii="Arial" w:cs="Arial" w:eastAsia="Arial" w:hAnsi="Arial"/>
                <w:sz w:val="12"/>
                <w:szCs w:val="12"/>
                <w:b w:val="1"/>
                <w:bCs w:val="1"/>
                <w:color w:val="0086CC"/>
              </w:rPr>
              <w:t>THRESHOLD ($)</w:t>
            </w:r>
          </w:p>
        </w:tc>
        <w:tc>
          <w:tcPr>
            <w:tcW w:w="700" w:type="dxa"/>
            <w:vAlign w:val="bottom"/>
            <w:tcBorders>
              <w:top w:val="single" w:sz="8" w:color="0086CC"/>
            </w:tcBorders>
            <w:vMerge w:val="restart"/>
          </w:tcPr>
          <w:p>
            <w:pPr>
              <w:jc w:val="right"/>
              <w:spacing w:after="0"/>
              <w:rPr>
                <w:sz w:val="20"/>
                <w:szCs w:val="20"/>
                <w:color w:val="auto"/>
              </w:rPr>
            </w:pPr>
            <w:r>
              <w:rPr>
                <w:rFonts w:ascii="Arial" w:cs="Arial" w:eastAsia="Arial" w:hAnsi="Arial"/>
                <w:sz w:val="12"/>
                <w:szCs w:val="12"/>
                <w:b w:val="1"/>
                <w:bCs w:val="1"/>
                <w:color w:val="0086CC"/>
                <w:w w:val="94"/>
              </w:rPr>
              <w:t>TARGET ($)</w:t>
            </w:r>
          </w:p>
        </w:tc>
        <w:tc>
          <w:tcPr>
            <w:tcW w:w="800" w:type="dxa"/>
            <w:vAlign w:val="bottom"/>
            <w:tcBorders>
              <w:top w:val="single" w:sz="8" w:color="0086CC"/>
            </w:tcBorders>
            <w:vMerge w:val="restart"/>
          </w:tcPr>
          <w:p>
            <w:pPr>
              <w:jc w:val="center"/>
              <w:spacing w:after="0"/>
              <w:rPr>
                <w:sz w:val="20"/>
                <w:szCs w:val="20"/>
                <w:color w:val="auto"/>
              </w:rPr>
            </w:pPr>
            <w:r>
              <w:rPr>
                <w:rFonts w:ascii="Arial" w:cs="Arial" w:eastAsia="Arial" w:hAnsi="Arial"/>
                <w:sz w:val="12"/>
                <w:szCs w:val="12"/>
                <w:b w:val="1"/>
                <w:bCs w:val="1"/>
                <w:color w:val="0086CC"/>
                <w:w w:val="96"/>
              </w:rPr>
              <w:t>MAXIMUM ($)</w:t>
            </w:r>
          </w:p>
        </w:tc>
        <w:tc>
          <w:tcPr>
            <w:tcW w:w="200" w:type="dxa"/>
            <w:vAlign w:val="bottom"/>
            <w:vMerge w:val="restart"/>
          </w:tcPr>
          <w:p>
            <w:pPr>
              <w:spacing w:after="0"/>
              <w:rPr>
                <w:sz w:val="4"/>
                <w:szCs w:val="4"/>
                <w:color w:val="auto"/>
              </w:rPr>
            </w:pPr>
          </w:p>
        </w:tc>
        <w:tc>
          <w:tcPr>
            <w:tcW w:w="1320" w:type="dxa"/>
            <w:vAlign w:val="bottom"/>
            <w:tcBorders>
              <w:top w:val="single" w:sz="8" w:color="0086CC"/>
            </w:tcBorders>
            <w:vMerge w:val="restart"/>
          </w:tcPr>
          <w:p>
            <w:pPr>
              <w:jc w:val="right"/>
              <w:ind w:right="139"/>
              <w:spacing w:after="0"/>
              <w:rPr>
                <w:sz w:val="20"/>
                <w:szCs w:val="20"/>
                <w:color w:val="auto"/>
              </w:rPr>
            </w:pPr>
            <w:r>
              <w:rPr>
                <w:rFonts w:ascii="Arial" w:cs="Arial" w:eastAsia="Arial" w:hAnsi="Arial"/>
                <w:sz w:val="12"/>
                <w:szCs w:val="12"/>
                <w:b w:val="1"/>
                <w:bCs w:val="1"/>
                <w:color w:val="0086CC"/>
              </w:rPr>
              <w:t>THRESHOLD (#)</w:t>
            </w:r>
          </w:p>
        </w:tc>
        <w:tc>
          <w:tcPr>
            <w:tcW w:w="980" w:type="dxa"/>
            <w:vAlign w:val="bottom"/>
            <w:tcBorders>
              <w:top w:val="single" w:sz="8" w:color="0086CC"/>
            </w:tcBorders>
            <w:vMerge w:val="restart"/>
          </w:tcPr>
          <w:p>
            <w:pPr>
              <w:jc w:val="right"/>
              <w:ind w:right="58"/>
              <w:spacing w:after="0"/>
              <w:rPr>
                <w:sz w:val="20"/>
                <w:szCs w:val="20"/>
                <w:color w:val="auto"/>
              </w:rPr>
            </w:pPr>
            <w:r>
              <w:rPr>
                <w:rFonts w:ascii="Arial" w:cs="Arial" w:eastAsia="Arial" w:hAnsi="Arial"/>
                <w:sz w:val="12"/>
                <w:szCs w:val="12"/>
                <w:b w:val="1"/>
                <w:bCs w:val="1"/>
                <w:color w:val="0086CC"/>
              </w:rPr>
              <w:t>TARGET (#)</w:t>
            </w:r>
          </w:p>
        </w:tc>
        <w:tc>
          <w:tcPr>
            <w:tcW w:w="860" w:type="dxa"/>
            <w:vAlign w:val="bottom"/>
            <w:tcBorders>
              <w:top w:val="single" w:sz="8" w:color="0086CC"/>
            </w:tcBorders>
            <w:vMerge w:val="restart"/>
          </w:tcPr>
          <w:p>
            <w:pPr>
              <w:jc w:val="right"/>
              <w:spacing w:after="0"/>
              <w:rPr>
                <w:sz w:val="20"/>
                <w:szCs w:val="20"/>
                <w:color w:val="auto"/>
              </w:rPr>
            </w:pPr>
            <w:r>
              <w:rPr>
                <w:rFonts w:ascii="Arial" w:cs="Arial" w:eastAsia="Arial" w:hAnsi="Arial"/>
                <w:sz w:val="12"/>
                <w:szCs w:val="12"/>
                <w:b w:val="1"/>
                <w:bCs w:val="1"/>
                <w:color w:val="0086CC"/>
              </w:rPr>
              <w:t>MAXIMUM (#)</w:t>
            </w:r>
          </w:p>
        </w:tc>
        <w:tc>
          <w:tcPr>
            <w:tcW w:w="1420" w:type="dxa"/>
            <w:vAlign w:val="bottom"/>
            <w:tcBorders>
              <w:top w:val="single" w:sz="8" w:color="EAEAEA"/>
            </w:tcBorders>
            <w:shd w:val="clear" w:color="auto" w:fill="EAEAEA"/>
          </w:tcPr>
          <w:p>
            <w:pPr>
              <w:jc w:val="center"/>
              <w:ind w:left="42"/>
              <w:spacing w:after="0" w:line="52" w:lineRule="exact"/>
              <w:rPr>
                <w:sz w:val="20"/>
                <w:szCs w:val="20"/>
                <w:color w:val="auto"/>
              </w:rPr>
            </w:pPr>
            <w:r>
              <w:rPr>
                <w:rFonts w:ascii="Arial" w:cs="Arial" w:eastAsia="Arial" w:hAnsi="Arial"/>
                <w:sz w:val="5"/>
                <w:szCs w:val="5"/>
                <w:b w:val="1"/>
                <w:bCs w:val="1"/>
                <w:color w:val="0086CC"/>
              </w:rPr>
              <w:t>STOCK OR</w:t>
            </w:r>
          </w:p>
        </w:tc>
        <w:tc>
          <w:tcPr>
            <w:tcW w:w="1040" w:type="dxa"/>
            <w:vAlign w:val="bottom"/>
            <w:tcBorders>
              <w:top w:val="single" w:sz="8" w:color="EAEAEA"/>
            </w:tcBorders>
            <w:shd w:val="clear" w:color="auto" w:fill="EAEAEA"/>
          </w:tcPr>
          <w:p>
            <w:pPr>
              <w:jc w:val="center"/>
              <w:ind w:left="20"/>
              <w:spacing w:after="0" w:line="52" w:lineRule="exact"/>
              <w:rPr>
                <w:sz w:val="20"/>
                <w:szCs w:val="20"/>
                <w:color w:val="auto"/>
              </w:rPr>
            </w:pPr>
            <w:r>
              <w:rPr>
                <w:rFonts w:ascii="Arial" w:cs="Arial" w:eastAsia="Arial" w:hAnsi="Arial"/>
                <w:sz w:val="5"/>
                <w:szCs w:val="5"/>
                <w:b w:val="1"/>
                <w:bCs w:val="1"/>
                <w:color w:val="0086CC"/>
              </w:rPr>
              <w:t>AWARDS</w:t>
            </w:r>
            <w:r>
              <w:rPr>
                <w:rFonts w:ascii="Arial" w:cs="Arial" w:eastAsia="Arial" w:hAnsi="Arial"/>
                <w:sz w:val="5"/>
                <w:szCs w:val="5"/>
                <w:b w:val="1"/>
                <w:bCs w:val="1"/>
                <w:color w:val="0086CC"/>
                <w:vertAlign w:val="superscript"/>
              </w:rPr>
              <w:t>4</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420" w:type="dxa"/>
            <w:vAlign w:val="bottom"/>
            <w:shd w:val="clear" w:color="auto" w:fill="EAEAEA"/>
          </w:tcPr>
          <w:p>
            <w:pPr>
              <w:jc w:val="center"/>
              <w:ind w:left="42"/>
              <w:spacing w:after="0" w:line="122" w:lineRule="exact"/>
              <w:rPr>
                <w:sz w:val="20"/>
                <w:szCs w:val="20"/>
                <w:color w:val="auto"/>
              </w:rPr>
            </w:pPr>
            <w:r>
              <w:rPr>
                <w:rFonts w:ascii="Arial" w:cs="Arial" w:eastAsia="Arial" w:hAnsi="Arial"/>
                <w:sz w:val="12"/>
                <w:szCs w:val="12"/>
                <w:b w:val="1"/>
                <w:bCs w:val="1"/>
                <w:color w:val="0086CC"/>
                <w:w w:val="96"/>
              </w:rPr>
              <w:t>UNITS (#)</w:t>
            </w:r>
          </w:p>
        </w:tc>
        <w:tc>
          <w:tcPr>
            <w:tcW w:w="1040" w:type="dxa"/>
            <w:vAlign w:val="bottom"/>
            <w:shd w:val="clear" w:color="auto" w:fill="EAEAEA"/>
          </w:tcPr>
          <w:p>
            <w:pPr>
              <w:jc w:val="center"/>
              <w:ind w:left="20"/>
              <w:spacing w:after="0" w:line="122" w:lineRule="exact"/>
              <w:rPr>
                <w:sz w:val="20"/>
                <w:szCs w:val="20"/>
                <w:color w:val="auto"/>
              </w:rPr>
            </w:pPr>
            <w:r>
              <w:rPr>
                <w:rFonts w:ascii="Arial" w:cs="Arial" w:eastAsia="Arial" w:hAnsi="Arial"/>
                <w:sz w:val="12"/>
                <w:szCs w:val="12"/>
                <w:b w:val="1"/>
                <w:bCs w:val="1"/>
                <w:color w:val="0086CC"/>
              </w:rPr>
              <w:t>($)</w:t>
            </w:r>
          </w:p>
        </w:tc>
        <w:tc>
          <w:tcPr>
            <w:tcW w:w="0" w:type="dxa"/>
            <w:vAlign w:val="bottom"/>
          </w:tcPr>
          <w:p>
            <w:pPr>
              <w:spacing w:after="0"/>
              <w:rPr>
                <w:sz w:val="1"/>
                <w:szCs w:val="1"/>
                <w:color w:val="auto"/>
              </w:rPr>
            </w:pPr>
          </w:p>
        </w:tc>
      </w:tr>
      <w:tr>
        <w:trPr>
          <w:trHeight w:val="179"/>
        </w:trPr>
        <w:tc>
          <w:tcPr>
            <w:tcW w:w="960" w:type="dxa"/>
            <w:vAlign w:val="bottom"/>
            <w:tcBorders>
              <w:bottom w:val="single" w:sz="8" w:color="0086CC"/>
            </w:tcBorders>
          </w:tcPr>
          <w:p>
            <w:pPr>
              <w:ind w:left="60"/>
              <w:spacing w:after="0"/>
              <w:rPr>
                <w:sz w:val="20"/>
                <w:szCs w:val="20"/>
                <w:color w:val="auto"/>
              </w:rPr>
            </w:pPr>
            <w:r>
              <w:rPr>
                <w:rFonts w:ascii="Arial" w:cs="Arial" w:eastAsia="Arial" w:hAnsi="Arial"/>
                <w:sz w:val="12"/>
                <w:szCs w:val="12"/>
                <w:b w:val="1"/>
                <w:bCs w:val="1"/>
                <w:color w:val="0086CC"/>
              </w:rPr>
              <w:t>(A)</w:t>
            </w:r>
          </w:p>
        </w:tc>
        <w:tc>
          <w:tcPr>
            <w:tcW w:w="1200" w:type="dxa"/>
            <w:vAlign w:val="bottom"/>
            <w:tcBorders>
              <w:bottom w:val="single" w:sz="8" w:color="0086CC"/>
            </w:tcBorders>
          </w:tcPr>
          <w:p>
            <w:pPr>
              <w:jc w:val="right"/>
              <w:ind w:right="499"/>
              <w:spacing w:after="0"/>
              <w:rPr>
                <w:sz w:val="20"/>
                <w:szCs w:val="20"/>
                <w:color w:val="auto"/>
              </w:rPr>
            </w:pPr>
            <w:r>
              <w:rPr>
                <w:rFonts w:ascii="Arial" w:cs="Arial" w:eastAsia="Arial" w:hAnsi="Arial"/>
                <w:sz w:val="12"/>
                <w:szCs w:val="12"/>
                <w:b w:val="1"/>
                <w:bCs w:val="1"/>
                <w:color w:val="0086CC"/>
              </w:rPr>
              <w:t>(B)</w:t>
            </w:r>
          </w:p>
        </w:tc>
        <w:tc>
          <w:tcPr>
            <w:tcW w:w="620" w:type="dxa"/>
            <w:vAlign w:val="bottom"/>
            <w:tcBorders>
              <w:bottom w:val="single" w:sz="8" w:color="0086CC"/>
            </w:tcBorders>
          </w:tcPr>
          <w:p>
            <w:pPr>
              <w:spacing w:after="0"/>
              <w:rPr>
                <w:sz w:val="15"/>
                <w:szCs w:val="15"/>
                <w:color w:val="auto"/>
              </w:rPr>
            </w:pPr>
          </w:p>
        </w:tc>
        <w:tc>
          <w:tcPr>
            <w:tcW w:w="260" w:type="dxa"/>
            <w:vAlign w:val="bottom"/>
            <w:tcBorders>
              <w:bottom w:val="single" w:sz="8" w:color="0086CC"/>
            </w:tcBorders>
            <w:gridSpan w:val="2"/>
          </w:tcPr>
          <w:p>
            <w:pPr>
              <w:ind w:left="80"/>
              <w:spacing w:after="0"/>
              <w:rPr>
                <w:sz w:val="20"/>
                <w:szCs w:val="20"/>
                <w:color w:val="auto"/>
              </w:rPr>
            </w:pPr>
            <w:r>
              <w:rPr>
                <w:rFonts w:ascii="Arial" w:cs="Arial" w:eastAsia="Arial" w:hAnsi="Arial"/>
                <w:sz w:val="12"/>
                <w:szCs w:val="12"/>
                <w:b w:val="1"/>
                <w:bCs w:val="1"/>
                <w:color w:val="0086CC"/>
                <w:w w:val="95"/>
              </w:rPr>
              <w:t>(C)</w:t>
            </w:r>
          </w:p>
        </w:tc>
        <w:tc>
          <w:tcPr>
            <w:tcW w:w="660" w:type="dxa"/>
            <w:vAlign w:val="bottom"/>
            <w:tcBorders>
              <w:bottom w:val="single" w:sz="8" w:color="0086CC"/>
            </w:tcBorders>
          </w:tcPr>
          <w:p>
            <w:pPr>
              <w:spacing w:after="0"/>
              <w:rPr>
                <w:sz w:val="15"/>
                <w:szCs w:val="15"/>
                <w:color w:val="auto"/>
              </w:rPr>
            </w:pPr>
          </w:p>
        </w:tc>
        <w:tc>
          <w:tcPr>
            <w:tcW w:w="700" w:type="dxa"/>
            <w:vAlign w:val="bottom"/>
            <w:tcBorders>
              <w:bottom w:val="single" w:sz="8" w:color="0086CC"/>
            </w:tcBorders>
          </w:tcPr>
          <w:p>
            <w:pPr>
              <w:jc w:val="right"/>
              <w:ind w:right="218"/>
              <w:spacing w:after="0"/>
              <w:rPr>
                <w:sz w:val="20"/>
                <w:szCs w:val="20"/>
                <w:color w:val="auto"/>
              </w:rPr>
            </w:pPr>
            <w:r>
              <w:rPr>
                <w:rFonts w:ascii="Arial" w:cs="Arial" w:eastAsia="Arial" w:hAnsi="Arial"/>
                <w:sz w:val="12"/>
                <w:szCs w:val="12"/>
                <w:b w:val="1"/>
                <w:bCs w:val="1"/>
                <w:color w:val="0086CC"/>
              </w:rPr>
              <w:t>(D)</w:t>
            </w:r>
          </w:p>
        </w:tc>
        <w:tc>
          <w:tcPr>
            <w:tcW w:w="1000" w:type="dxa"/>
            <w:vAlign w:val="bottom"/>
            <w:tcBorders>
              <w:bottom w:val="single" w:sz="8" w:color="0086CC"/>
            </w:tcBorders>
            <w:gridSpan w:val="2"/>
          </w:tcPr>
          <w:p>
            <w:pPr>
              <w:jc w:val="center"/>
              <w:ind w:right="160"/>
              <w:spacing w:after="0"/>
              <w:rPr>
                <w:sz w:val="20"/>
                <w:szCs w:val="20"/>
                <w:color w:val="auto"/>
              </w:rPr>
            </w:pPr>
            <w:r>
              <w:rPr>
                <w:rFonts w:ascii="Arial" w:cs="Arial" w:eastAsia="Arial" w:hAnsi="Arial"/>
                <w:sz w:val="12"/>
                <w:szCs w:val="12"/>
                <w:b w:val="1"/>
                <w:bCs w:val="1"/>
                <w:color w:val="0086CC"/>
                <w:w w:val="99"/>
              </w:rPr>
              <w:t>(E)</w:t>
            </w:r>
          </w:p>
        </w:tc>
        <w:tc>
          <w:tcPr>
            <w:tcW w:w="1320" w:type="dxa"/>
            <w:vAlign w:val="bottom"/>
            <w:tcBorders>
              <w:bottom w:val="single" w:sz="8" w:color="0086CC"/>
            </w:tcBorders>
          </w:tcPr>
          <w:p>
            <w:pPr>
              <w:jc w:val="right"/>
              <w:ind w:right="499"/>
              <w:spacing w:after="0"/>
              <w:rPr>
                <w:sz w:val="20"/>
                <w:szCs w:val="20"/>
                <w:color w:val="auto"/>
              </w:rPr>
            </w:pPr>
            <w:r>
              <w:rPr>
                <w:rFonts w:ascii="Arial" w:cs="Arial" w:eastAsia="Arial" w:hAnsi="Arial"/>
                <w:sz w:val="12"/>
                <w:szCs w:val="12"/>
                <w:b w:val="1"/>
                <w:bCs w:val="1"/>
                <w:color w:val="0086CC"/>
              </w:rPr>
              <w:t>(F)</w:t>
            </w:r>
          </w:p>
        </w:tc>
        <w:tc>
          <w:tcPr>
            <w:tcW w:w="980" w:type="dxa"/>
            <w:vAlign w:val="bottom"/>
            <w:tcBorders>
              <w:bottom w:val="single" w:sz="8" w:color="0086CC"/>
            </w:tcBorders>
          </w:tcPr>
          <w:p>
            <w:pPr>
              <w:jc w:val="right"/>
              <w:ind w:right="298"/>
              <w:spacing w:after="0"/>
              <w:rPr>
                <w:sz w:val="20"/>
                <w:szCs w:val="20"/>
                <w:color w:val="auto"/>
              </w:rPr>
            </w:pPr>
            <w:r>
              <w:rPr>
                <w:rFonts w:ascii="Arial" w:cs="Arial" w:eastAsia="Arial" w:hAnsi="Arial"/>
                <w:sz w:val="12"/>
                <w:szCs w:val="12"/>
                <w:b w:val="1"/>
                <w:bCs w:val="1"/>
                <w:color w:val="0086CC"/>
              </w:rPr>
              <w:t>(G)</w:t>
            </w:r>
          </w:p>
        </w:tc>
        <w:tc>
          <w:tcPr>
            <w:tcW w:w="860" w:type="dxa"/>
            <w:vAlign w:val="bottom"/>
            <w:tcBorders>
              <w:bottom w:val="single" w:sz="8" w:color="0086CC"/>
            </w:tcBorders>
          </w:tcPr>
          <w:p>
            <w:pPr>
              <w:jc w:val="right"/>
              <w:ind w:right="218"/>
              <w:spacing w:after="0"/>
              <w:rPr>
                <w:sz w:val="20"/>
                <w:szCs w:val="20"/>
                <w:color w:val="auto"/>
              </w:rPr>
            </w:pPr>
            <w:r>
              <w:rPr>
                <w:rFonts w:ascii="Arial" w:cs="Arial" w:eastAsia="Arial" w:hAnsi="Arial"/>
                <w:sz w:val="12"/>
                <w:szCs w:val="12"/>
                <w:b w:val="1"/>
                <w:bCs w:val="1"/>
                <w:color w:val="0086CC"/>
              </w:rPr>
              <w:t>(H)</w:t>
            </w:r>
          </w:p>
        </w:tc>
        <w:tc>
          <w:tcPr>
            <w:tcW w:w="1420" w:type="dxa"/>
            <w:vAlign w:val="bottom"/>
            <w:tcBorders>
              <w:bottom w:val="single" w:sz="8" w:color="0086CC"/>
            </w:tcBorders>
            <w:shd w:val="clear" w:color="auto" w:fill="EAEAEA"/>
          </w:tcPr>
          <w:p>
            <w:pPr>
              <w:jc w:val="center"/>
              <w:ind w:left="42"/>
              <w:spacing w:after="0"/>
              <w:rPr>
                <w:sz w:val="20"/>
                <w:szCs w:val="20"/>
                <w:color w:val="auto"/>
              </w:rPr>
            </w:pPr>
            <w:r>
              <w:rPr>
                <w:rFonts w:ascii="Arial" w:cs="Arial" w:eastAsia="Arial" w:hAnsi="Arial"/>
                <w:sz w:val="12"/>
                <w:szCs w:val="12"/>
                <w:b w:val="1"/>
                <w:bCs w:val="1"/>
                <w:color w:val="0086CC"/>
              </w:rPr>
              <w:t>(I)</w:t>
            </w:r>
          </w:p>
        </w:tc>
        <w:tc>
          <w:tcPr>
            <w:tcW w:w="1040" w:type="dxa"/>
            <w:vAlign w:val="bottom"/>
            <w:tcBorders>
              <w:bottom w:val="single" w:sz="8" w:color="0086CC"/>
            </w:tcBorders>
            <w:shd w:val="clear" w:color="auto" w:fill="EAEAEA"/>
          </w:tcPr>
          <w:p>
            <w:pPr>
              <w:jc w:val="center"/>
              <w:ind w:left="20"/>
              <w:spacing w:after="0"/>
              <w:rPr>
                <w:sz w:val="20"/>
                <w:szCs w:val="20"/>
                <w:color w:val="auto"/>
              </w:rPr>
            </w:pPr>
            <w:r>
              <w:rPr>
                <w:rFonts w:ascii="Arial" w:cs="Arial" w:eastAsia="Arial" w:hAnsi="Arial"/>
                <w:sz w:val="12"/>
                <w:szCs w:val="12"/>
                <w:b w:val="1"/>
                <w:bCs w:val="1"/>
                <w:color w:val="0086CC"/>
              </w:rPr>
              <w:t>(J)</w:t>
            </w:r>
          </w:p>
        </w:tc>
        <w:tc>
          <w:tcPr>
            <w:tcW w:w="0" w:type="dxa"/>
            <w:vAlign w:val="bottom"/>
          </w:tcPr>
          <w:p>
            <w:pPr>
              <w:spacing w:after="0"/>
              <w:rPr>
                <w:sz w:val="1"/>
                <w:szCs w:val="1"/>
                <w:color w:val="auto"/>
              </w:rPr>
            </w:pPr>
          </w:p>
        </w:tc>
      </w:tr>
      <w:tr>
        <w:trPr>
          <w:trHeight w:val="319"/>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C. Howard</w:t>
            </w:r>
          </w:p>
        </w:tc>
        <w:tc>
          <w:tcPr>
            <w:tcW w:w="1200" w:type="dxa"/>
            <w:vAlign w:val="bottom"/>
          </w:tcPr>
          <w:p>
            <w:pPr>
              <w:jc w:val="right"/>
              <w:ind w:right="259"/>
              <w:spacing w:after="0"/>
              <w:rPr>
                <w:sz w:val="20"/>
                <w:szCs w:val="20"/>
                <w:color w:val="auto"/>
              </w:rPr>
            </w:pPr>
            <w:r>
              <w:rPr>
                <w:rFonts w:ascii="Arial" w:cs="Arial" w:eastAsia="Arial" w:hAnsi="Arial"/>
                <w:sz w:val="13"/>
                <w:szCs w:val="13"/>
                <w:color w:val="0086CC"/>
              </w:rPr>
              <w:t>2/20/26</w:t>
            </w:r>
            <w:r>
              <w:rPr>
                <w:rFonts w:ascii="Arial" w:cs="Arial" w:eastAsia="Arial" w:hAnsi="Arial"/>
                <w:sz w:val="18"/>
                <w:szCs w:val="18"/>
                <w:color w:val="0086CC"/>
                <w:vertAlign w:val="superscript"/>
              </w:rPr>
              <w:t>1</w:t>
            </w:r>
          </w:p>
        </w:tc>
        <w:tc>
          <w:tcPr>
            <w:tcW w:w="620" w:type="dxa"/>
            <w:vAlign w:val="bottom"/>
          </w:tcPr>
          <w:p>
            <w:pPr>
              <w:ind w:left="500"/>
              <w:spacing w:after="0"/>
              <w:rPr>
                <w:sz w:val="20"/>
                <w:szCs w:val="20"/>
                <w:color w:val="auto"/>
              </w:rPr>
            </w:pPr>
            <w:r>
              <w:rPr>
                <w:rFonts w:ascii="Arial" w:cs="Arial" w:eastAsia="Arial" w:hAnsi="Arial"/>
                <w:sz w:val="10"/>
                <w:szCs w:val="10"/>
                <w:color w:val="4D5357"/>
                <w:w w:val="77"/>
              </w:rPr>
              <w:t>  </w:t>
            </w:r>
          </w:p>
        </w:tc>
        <w:tc>
          <w:tcPr>
            <w:tcW w:w="140" w:type="dxa"/>
            <w:vAlign w:val="bottom"/>
          </w:tcPr>
          <w:p>
            <w:pPr>
              <w:ind w:left="60"/>
              <w:spacing w:after="0"/>
              <w:rPr>
                <w:sz w:val="20"/>
                <w:szCs w:val="20"/>
                <w:color w:val="auto"/>
              </w:rPr>
            </w:pPr>
            <w:r>
              <w:rPr>
                <w:rFonts w:ascii="Arial" w:cs="Arial" w:eastAsia="Arial" w:hAnsi="Arial"/>
                <w:sz w:val="8"/>
                <w:szCs w:val="8"/>
                <w:color w:val="4D5357"/>
                <w:w w:val="74"/>
              </w:rPr>
              <w:t> </w:t>
            </w:r>
          </w:p>
        </w:tc>
        <w:tc>
          <w:tcPr>
            <w:tcW w:w="120" w:type="dxa"/>
            <w:vAlign w:val="bottom"/>
          </w:tcPr>
          <w:p>
            <w:pPr>
              <w:ind w:left="40"/>
              <w:spacing w:after="0"/>
              <w:rPr>
                <w:sz w:val="20"/>
                <w:szCs w:val="20"/>
                <w:color w:val="auto"/>
              </w:rPr>
            </w:pPr>
            <w:r>
              <w:rPr>
                <w:rFonts w:ascii="Arial" w:cs="Arial" w:eastAsia="Arial" w:hAnsi="Arial"/>
                <w:sz w:val="8"/>
                <w:szCs w:val="8"/>
                <w:color w:val="4D5357"/>
                <w:w w:val="74"/>
              </w:rPr>
              <w:t> </w:t>
            </w:r>
          </w:p>
        </w:tc>
        <w:tc>
          <w:tcPr>
            <w:tcW w:w="660" w:type="dxa"/>
            <w:vAlign w:val="bottom"/>
          </w:tcPr>
          <w:p>
            <w:pPr>
              <w:ind w:left="40"/>
              <w:spacing w:after="0"/>
              <w:rPr>
                <w:sz w:val="20"/>
                <w:szCs w:val="20"/>
                <w:color w:val="auto"/>
              </w:rPr>
            </w:pPr>
            <w:r>
              <w:rPr>
                <w:rFonts w:ascii="Arial" w:cs="Arial" w:eastAsia="Arial" w:hAnsi="Arial"/>
                <w:sz w:val="13"/>
                <w:szCs w:val="13"/>
                <w:color w:val="4D5357"/>
              </w:rPr>
              <w:t> </w:t>
            </w:r>
          </w:p>
        </w:tc>
        <w:tc>
          <w:tcPr>
            <w:tcW w:w="700" w:type="dxa"/>
            <w:vAlign w:val="bottom"/>
          </w:tcPr>
          <w:p>
            <w:pPr>
              <w:jc w:val="right"/>
              <w:spacing w:after="0"/>
              <w:rPr>
                <w:sz w:val="20"/>
                <w:szCs w:val="20"/>
                <w:color w:val="auto"/>
              </w:rPr>
            </w:pPr>
            <w:r>
              <w:rPr>
                <w:rFonts w:ascii="Arial" w:cs="Arial" w:eastAsia="Arial" w:hAnsi="Arial"/>
                <w:sz w:val="13"/>
                <w:szCs w:val="13"/>
                <w:color w:val="4D5357"/>
              </w:rPr>
              <w:t>1,532,533</w:t>
            </w:r>
          </w:p>
        </w:tc>
        <w:tc>
          <w:tcPr>
            <w:tcW w:w="800" w:type="dxa"/>
            <w:vAlign w:val="bottom"/>
          </w:tcPr>
          <w:p>
            <w:pPr>
              <w:jc w:val="right"/>
              <w:spacing w:after="0"/>
              <w:rPr>
                <w:sz w:val="20"/>
                <w:szCs w:val="20"/>
                <w:color w:val="auto"/>
              </w:rPr>
            </w:pPr>
            <w:r>
              <w:rPr>
                <w:rFonts w:ascii="Arial" w:cs="Arial" w:eastAsia="Arial" w:hAnsi="Arial"/>
                <w:sz w:val="13"/>
                <w:szCs w:val="13"/>
                <w:color w:val="4D5357"/>
              </w:rPr>
              <w:t>3,831,333</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jc w:val="right"/>
              <w:ind w:right="198"/>
              <w:spacing w:after="0"/>
              <w:rPr>
                <w:sz w:val="20"/>
                <w:szCs w:val="20"/>
                <w:color w:val="auto"/>
              </w:rPr>
            </w:pPr>
            <w:r>
              <w:rPr>
                <w:rFonts w:ascii="Arial" w:cs="Arial" w:eastAsia="Arial" w:hAnsi="Arial"/>
                <w:sz w:val="13"/>
                <w:szCs w:val="13"/>
                <w:color w:val="4D5357"/>
              </w:rPr>
              <w:t>1,197</w:t>
            </w:r>
          </w:p>
        </w:tc>
        <w:tc>
          <w:tcPr>
            <w:tcW w:w="860" w:type="dxa"/>
            <w:vAlign w:val="bottom"/>
          </w:tcPr>
          <w:p>
            <w:pPr>
              <w:jc w:val="right"/>
              <w:ind w:right="18"/>
              <w:spacing w:after="0"/>
              <w:rPr>
                <w:sz w:val="20"/>
                <w:szCs w:val="20"/>
                <w:color w:val="auto"/>
              </w:rPr>
            </w:pPr>
            <w:r>
              <w:rPr>
                <w:rFonts w:ascii="Arial" w:cs="Arial" w:eastAsia="Arial" w:hAnsi="Arial"/>
                <w:sz w:val="13"/>
                <w:szCs w:val="13"/>
                <w:color w:val="4D5357"/>
              </w:rPr>
              <w:t>   2,993</w:t>
            </w:r>
          </w:p>
        </w:tc>
        <w:tc>
          <w:tcPr>
            <w:tcW w:w="1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4D5357"/>
              </w:rPr>
              <w:t>   821,070</w:t>
            </w:r>
          </w:p>
        </w:tc>
        <w:tc>
          <w:tcPr>
            <w:tcW w:w="0" w:type="dxa"/>
            <w:vAlign w:val="bottom"/>
          </w:tcPr>
          <w:p>
            <w:pPr>
              <w:spacing w:after="0"/>
              <w:rPr>
                <w:sz w:val="1"/>
                <w:szCs w:val="1"/>
                <w:color w:val="auto"/>
              </w:rPr>
            </w:pPr>
          </w:p>
        </w:tc>
      </w:tr>
      <w:tr>
        <w:trPr>
          <w:trHeight w:val="203"/>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Nye</w:t>
            </w:r>
          </w:p>
        </w:tc>
        <w:tc>
          <w:tcPr>
            <w:tcW w:w="1200" w:type="dxa"/>
            <w:vAlign w:val="bottom"/>
          </w:tcPr>
          <w:p>
            <w:pPr>
              <w:jc w:val="right"/>
              <w:ind w:right="259"/>
              <w:spacing w:after="0" w:line="202"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2</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3"/>
                <w:szCs w:val="13"/>
                <w:color w:val="4D5357"/>
              </w:rPr>
              <w:t>3,634</w:t>
            </w:r>
          </w:p>
        </w:tc>
        <w:tc>
          <w:tcPr>
            <w:tcW w:w="980" w:type="dxa"/>
            <w:vAlign w:val="bottom"/>
          </w:tcPr>
          <w:p>
            <w:pPr>
              <w:jc w:val="right"/>
              <w:ind w:right="198"/>
              <w:spacing w:after="0"/>
              <w:rPr>
                <w:sz w:val="20"/>
                <w:szCs w:val="20"/>
                <w:color w:val="auto"/>
              </w:rPr>
            </w:pPr>
            <w:r>
              <w:rPr>
                <w:rFonts w:ascii="Arial" w:cs="Arial" w:eastAsia="Arial" w:hAnsi="Arial"/>
                <w:sz w:val="13"/>
                <w:szCs w:val="13"/>
                <w:color w:val="4D5357"/>
              </w:rPr>
              <w:t>9,083</w:t>
            </w:r>
          </w:p>
        </w:tc>
        <w:tc>
          <w:tcPr>
            <w:tcW w:w="860" w:type="dxa"/>
            <w:vAlign w:val="bottom"/>
          </w:tcPr>
          <w:p>
            <w:pPr>
              <w:jc w:val="right"/>
              <w:ind w:right="18"/>
              <w:spacing w:after="0"/>
              <w:rPr>
                <w:sz w:val="20"/>
                <w:szCs w:val="20"/>
                <w:color w:val="auto"/>
              </w:rPr>
            </w:pPr>
            <w:r>
              <w:rPr>
                <w:rFonts w:ascii="Arial" w:cs="Arial" w:eastAsia="Arial" w:hAnsi="Arial"/>
                <w:sz w:val="13"/>
                <w:szCs w:val="13"/>
                <w:color w:val="4D5357"/>
              </w:rPr>
              <w:t>21,800</w:t>
            </w:r>
          </w:p>
        </w:tc>
        <w:tc>
          <w:tcPr>
            <w:tcW w:w="1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4D5357"/>
              </w:rPr>
              <w:t>4,572,201</w:t>
            </w:r>
          </w:p>
        </w:tc>
        <w:tc>
          <w:tcPr>
            <w:tcW w:w="0" w:type="dxa"/>
            <w:vAlign w:val="bottom"/>
          </w:tcPr>
          <w:p>
            <w:pPr>
              <w:spacing w:after="0"/>
              <w:rPr>
                <w:sz w:val="1"/>
                <w:szCs w:val="1"/>
                <w:color w:val="auto"/>
              </w:rPr>
            </w:pPr>
          </w:p>
        </w:tc>
      </w:tr>
      <w:tr>
        <w:trPr>
          <w:trHeight w:val="180"/>
        </w:trPr>
        <w:tc>
          <w:tcPr>
            <w:tcW w:w="960" w:type="dxa"/>
            <w:vAlign w:val="bottom"/>
            <w:tcBorders>
              <w:bottom w:val="single" w:sz="8" w:color="4D5357"/>
            </w:tcBorders>
          </w:tcPr>
          <w:p>
            <w:pPr>
              <w:spacing w:after="0"/>
              <w:rPr>
                <w:sz w:val="15"/>
                <w:szCs w:val="15"/>
                <w:color w:val="auto"/>
              </w:rPr>
            </w:pPr>
          </w:p>
        </w:tc>
        <w:tc>
          <w:tcPr>
            <w:tcW w:w="1200" w:type="dxa"/>
            <w:vAlign w:val="bottom"/>
            <w:tcBorders>
              <w:bottom w:val="single" w:sz="8" w:color="4D5357"/>
            </w:tcBorders>
          </w:tcPr>
          <w:p>
            <w:pPr>
              <w:jc w:val="right"/>
              <w:ind w:right="259"/>
              <w:spacing w:after="0" w:line="180"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3</w:t>
            </w:r>
          </w:p>
        </w:tc>
        <w:tc>
          <w:tcPr>
            <w:tcW w:w="620" w:type="dxa"/>
            <w:vAlign w:val="bottom"/>
            <w:tcBorders>
              <w:bottom w:val="single" w:sz="8" w:color="4D5357"/>
            </w:tcBorders>
          </w:tcPr>
          <w:p>
            <w:pPr>
              <w:spacing w:after="0"/>
              <w:rPr>
                <w:sz w:val="15"/>
                <w:szCs w:val="15"/>
                <w:color w:val="auto"/>
              </w:rPr>
            </w:pPr>
          </w:p>
        </w:tc>
        <w:tc>
          <w:tcPr>
            <w:tcW w:w="140" w:type="dxa"/>
            <w:vAlign w:val="bottom"/>
            <w:tcBorders>
              <w:bottom w:val="single" w:sz="8" w:color="4D5357"/>
            </w:tcBorders>
          </w:tcPr>
          <w:p>
            <w:pPr>
              <w:spacing w:after="0"/>
              <w:rPr>
                <w:sz w:val="15"/>
                <w:szCs w:val="15"/>
                <w:color w:val="auto"/>
              </w:rPr>
            </w:pPr>
          </w:p>
        </w:tc>
        <w:tc>
          <w:tcPr>
            <w:tcW w:w="120" w:type="dxa"/>
            <w:vAlign w:val="bottom"/>
            <w:tcBorders>
              <w:bottom w:val="single" w:sz="8" w:color="4D5357"/>
            </w:tcBorders>
          </w:tcPr>
          <w:p>
            <w:pPr>
              <w:spacing w:after="0"/>
              <w:rPr>
                <w:sz w:val="15"/>
                <w:szCs w:val="15"/>
                <w:color w:val="auto"/>
              </w:rPr>
            </w:pPr>
          </w:p>
        </w:tc>
        <w:tc>
          <w:tcPr>
            <w:tcW w:w="660" w:type="dxa"/>
            <w:vAlign w:val="bottom"/>
            <w:tcBorders>
              <w:bottom w:val="single" w:sz="8" w:color="4D5357"/>
            </w:tcBorders>
          </w:tcPr>
          <w:p>
            <w:pPr>
              <w:spacing w:after="0"/>
              <w:rPr>
                <w:sz w:val="15"/>
                <w:szCs w:val="15"/>
                <w:color w:val="auto"/>
              </w:rPr>
            </w:pPr>
          </w:p>
        </w:tc>
        <w:tc>
          <w:tcPr>
            <w:tcW w:w="700" w:type="dxa"/>
            <w:vAlign w:val="bottom"/>
            <w:tcBorders>
              <w:bottom w:val="single" w:sz="8" w:color="4D5357"/>
            </w:tcBorders>
          </w:tcPr>
          <w:p>
            <w:pPr>
              <w:spacing w:after="0"/>
              <w:rPr>
                <w:sz w:val="15"/>
                <w:szCs w:val="15"/>
                <w:color w:val="auto"/>
              </w:rPr>
            </w:pPr>
          </w:p>
        </w:tc>
        <w:tc>
          <w:tcPr>
            <w:tcW w:w="800" w:type="dxa"/>
            <w:vAlign w:val="bottom"/>
            <w:tcBorders>
              <w:bottom w:val="single" w:sz="8" w:color="4D5357"/>
            </w:tcBorders>
          </w:tcPr>
          <w:p>
            <w:pPr>
              <w:spacing w:after="0"/>
              <w:rPr>
                <w:sz w:val="15"/>
                <w:szCs w:val="15"/>
                <w:color w:val="auto"/>
              </w:rPr>
            </w:pPr>
          </w:p>
        </w:tc>
        <w:tc>
          <w:tcPr>
            <w:tcW w:w="200" w:type="dxa"/>
            <w:vAlign w:val="bottom"/>
            <w:tcBorders>
              <w:bottom w:val="single" w:sz="8" w:color="4D5357"/>
            </w:tcBorders>
          </w:tcPr>
          <w:p>
            <w:pPr>
              <w:spacing w:after="0"/>
              <w:rPr>
                <w:sz w:val="15"/>
                <w:szCs w:val="15"/>
                <w:color w:val="auto"/>
              </w:rPr>
            </w:pPr>
          </w:p>
        </w:tc>
        <w:tc>
          <w:tcPr>
            <w:tcW w:w="1320" w:type="dxa"/>
            <w:vAlign w:val="bottom"/>
            <w:tcBorders>
              <w:bottom w:val="single" w:sz="8" w:color="4D5357"/>
            </w:tcBorders>
          </w:tcPr>
          <w:p>
            <w:pPr>
              <w:spacing w:after="0"/>
              <w:rPr>
                <w:sz w:val="15"/>
                <w:szCs w:val="15"/>
                <w:color w:val="auto"/>
              </w:rPr>
            </w:pPr>
          </w:p>
        </w:tc>
        <w:tc>
          <w:tcPr>
            <w:tcW w:w="980" w:type="dxa"/>
            <w:vAlign w:val="bottom"/>
            <w:tcBorders>
              <w:bottom w:val="single" w:sz="8" w:color="4D5357"/>
            </w:tcBorders>
          </w:tcPr>
          <w:p>
            <w:pPr>
              <w:spacing w:after="0"/>
              <w:rPr>
                <w:sz w:val="15"/>
                <w:szCs w:val="15"/>
                <w:color w:val="auto"/>
              </w:rPr>
            </w:pPr>
          </w:p>
        </w:tc>
        <w:tc>
          <w:tcPr>
            <w:tcW w:w="860" w:type="dxa"/>
            <w:vAlign w:val="bottom"/>
            <w:tcBorders>
              <w:bottom w:val="single" w:sz="8" w:color="4D5357"/>
            </w:tcBorders>
          </w:tcPr>
          <w:p>
            <w:pPr>
              <w:spacing w:after="0"/>
              <w:rPr>
                <w:sz w:val="15"/>
                <w:szCs w:val="15"/>
                <w:color w:val="auto"/>
              </w:rPr>
            </w:pPr>
          </w:p>
        </w:tc>
        <w:tc>
          <w:tcPr>
            <w:tcW w:w="1420" w:type="dxa"/>
            <w:vAlign w:val="bottom"/>
            <w:tcBorders>
              <w:bottom w:val="single" w:sz="8" w:color="4D5357"/>
            </w:tcBorders>
          </w:tcPr>
          <w:p>
            <w:pPr>
              <w:jc w:val="right"/>
              <w:ind w:right="422"/>
              <w:spacing w:after="0"/>
              <w:rPr>
                <w:sz w:val="20"/>
                <w:szCs w:val="20"/>
                <w:color w:val="auto"/>
              </w:rPr>
            </w:pPr>
            <w:r>
              <w:rPr>
                <w:rFonts w:ascii="Arial" w:cs="Arial" w:eastAsia="Arial" w:hAnsi="Arial"/>
                <w:sz w:val="13"/>
                <w:szCs w:val="13"/>
                <w:color w:val="4D5357"/>
              </w:rPr>
              <w:t>7,432</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3,640,491</w:t>
            </w:r>
          </w:p>
        </w:tc>
        <w:tc>
          <w:tcPr>
            <w:tcW w:w="0" w:type="dxa"/>
            <w:vAlign w:val="bottom"/>
          </w:tcPr>
          <w:p>
            <w:pPr>
              <w:spacing w:after="0"/>
              <w:rPr>
                <w:sz w:val="1"/>
                <w:szCs w:val="1"/>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Michael J.</w:t>
            </w:r>
          </w:p>
        </w:tc>
        <w:tc>
          <w:tcPr>
            <w:tcW w:w="1200" w:type="dxa"/>
            <w:vAlign w:val="bottom"/>
          </w:tcPr>
          <w:p>
            <w:pPr>
              <w:jc w:val="right"/>
              <w:ind w:right="259"/>
              <w:spacing w:after="0" w:line="164" w:lineRule="exact"/>
              <w:rPr>
                <w:sz w:val="20"/>
                <w:szCs w:val="20"/>
                <w:color w:val="auto"/>
              </w:rPr>
            </w:pPr>
            <w:r>
              <w:rPr>
                <w:rFonts w:ascii="Arial" w:cs="Arial" w:eastAsia="Arial" w:hAnsi="Arial"/>
                <w:sz w:val="13"/>
                <w:szCs w:val="13"/>
                <w:color w:val="0086CC"/>
              </w:rPr>
              <w:t>2/20/26</w:t>
            </w:r>
            <w:r>
              <w:rPr>
                <w:rFonts w:ascii="Arial" w:cs="Arial" w:eastAsia="Arial" w:hAnsi="Arial"/>
                <w:sz w:val="18"/>
                <w:szCs w:val="18"/>
                <w:color w:val="0086CC"/>
                <w:vertAlign w:val="superscript"/>
              </w:rPr>
              <w:t>1</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4D5357"/>
              </w:rPr>
              <w:t>   459,819</w:t>
            </w:r>
          </w:p>
        </w:tc>
        <w:tc>
          <w:tcPr>
            <w:tcW w:w="800" w:type="dxa"/>
            <w:vAlign w:val="bottom"/>
          </w:tcPr>
          <w:p>
            <w:pPr>
              <w:jc w:val="right"/>
              <w:spacing w:after="0"/>
              <w:rPr>
                <w:sz w:val="20"/>
                <w:szCs w:val="20"/>
                <w:color w:val="auto"/>
              </w:rPr>
            </w:pPr>
            <w:r>
              <w:rPr>
                <w:rFonts w:ascii="Arial" w:cs="Arial" w:eastAsia="Arial" w:hAnsi="Arial"/>
                <w:sz w:val="13"/>
                <w:szCs w:val="13"/>
                <w:color w:val="4D5357"/>
              </w:rPr>
              <w:t>1,149,548</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Petro</w:t>
            </w:r>
          </w:p>
        </w:tc>
        <w:tc>
          <w:tcPr>
            <w:tcW w:w="1200" w:type="dxa"/>
            <w:vAlign w:val="bottom"/>
          </w:tcPr>
          <w:p>
            <w:pPr>
              <w:jc w:val="right"/>
              <w:ind w:right="259"/>
              <w:spacing w:after="0" w:line="189"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2</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Arial" w:cs="Arial" w:eastAsia="Arial" w:hAnsi="Arial"/>
                <w:sz w:val="13"/>
                <w:szCs w:val="13"/>
                <w:color w:val="4D5357"/>
              </w:rPr>
              <w:t>   359</w:t>
            </w:r>
          </w:p>
        </w:tc>
        <w:tc>
          <w:tcPr>
            <w:tcW w:w="980" w:type="dxa"/>
            <w:vAlign w:val="bottom"/>
          </w:tcPr>
          <w:p>
            <w:pPr>
              <w:jc w:val="right"/>
              <w:ind w:right="198"/>
              <w:spacing w:after="0"/>
              <w:rPr>
                <w:sz w:val="20"/>
                <w:szCs w:val="20"/>
                <w:color w:val="auto"/>
              </w:rPr>
            </w:pPr>
            <w:r>
              <w:rPr>
                <w:rFonts w:ascii="Arial" w:cs="Arial" w:eastAsia="Arial" w:hAnsi="Arial"/>
                <w:sz w:val="13"/>
                <w:szCs w:val="13"/>
                <w:color w:val="4D5357"/>
              </w:rPr>
              <w:t>   896</w:t>
            </w:r>
          </w:p>
        </w:tc>
        <w:tc>
          <w:tcPr>
            <w:tcW w:w="860" w:type="dxa"/>
            <w:vAlign w:val="bottom"/>
          </w:tcPr>
          <w:p>
            <w:pPr>
              <w:jc w:val="right"/>
              <w:ind w:right="18"/>
              <w:spacing w:after="0"/>
              <w:rPr>
                <w:sz w:val="20"/>
                <w:szCs w:val="20"/>
                <w:color w:val="auto"/>
              </w:rPr>
            </w:pPr>
            <w:r>
              <w:rPr>
                <w:rFonts w:ascii="Arial" w:cs="Arial" w:eastAsia="Arial" w:hAnsi="Arial"/>
                <w:sz w:val="13"/>
                <w:szCs w:val="13"/>
                <w:color w:val="4D5357"/>
              </w:rPr>
              <w:t>   2,151</w:t>
            </w:r>
          </w:p>
        </w:tc>
        <w:tc>
          <w:tcPr>
            <w:tcW w:w="1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4D5357"/>
              </w:rPr>
              <w:t>   451,028</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3</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jc w:val="right"/>
              <w:ind w:right="422"/>
              <w:spacing w:after="0"/>
              <w:rPr>
                <w:sz w:val="20"/>
                <w:szCs w:val="20"/>
                <w:color w:val="auto"/>
              </w:rPr>
            </w:pPr>
            <w:r>
              <w:rPr>
                <w:rFonts w:ascii="Arial" w:cs="Arial" w:eastAsia="Arial" w:hAnsi="Arial"/>
                <w:sz w:val="13"/>
                <w:szCs w:val="13"/>
                <w:color w:val="4D5357"/>
              </w:rPr>
              <w:t>   733</w:t>
            </w:r>
          </w:p>
        </w:tc>
        <w:tc>
          <w:tcPr>
            <w:tcW w:w="1040" w:type="dxa"/>
            <w:vAlign w:val="bottom"/>
          </w:tcPr>
          <w:p>
            <w:pPr>
              <w:jc w:val="right"/>
              <w:spacing w:after="0"/>
              <w:rPr>
                <w:sz w:val="20"/>
                <w:szCs w:val="20"/>
                <w:color w:val="auto"/>
              </w:rPr>
            </w:pPr>
            <w:r>
              <w:rPr>
                <w:rFonts w:ascii="Arial" w:cs="Arial" w:eastAsia="Arial" w:hAnsi="Arial"/>
                <w:sz w:val="13"/>
                <w:szCs w:val="13"/>
                <w:color w:val="4D5357"/>
              </w:rPr>
              <w:t>   359,053</w:t>
            </w:r>
          </w:p>
        </w:tc>
        <w:tc>
          <w:tcPr>
            <w:tcW w:w="0" w:type="dxa"/>
            <w:vAlign w:val="bottom"/>
          </w:tcPr>
          <w:p>
            <w:pPr>
              <w:spacing w:after="0"/>
              <w:rPr>
                <w:sz w:val="1"/>
                <w:szCs w:val="1"/>
                <w:color w:val="auto"/>
              </w:rPr>
            </w:pPr>
          </w:p>
        </w:tc>
      </w:tr>
      <w:tr>
        <w:trPr>
          <w:trHeight w:val="173"/>
        </w:trPr>
        <w:tc>
          <w:tcPr>
            <w:tcW w:w="960" w:type="dxa"/>
            <w:vAlign w:val="bottom"/>
            <w:tcBorders>
              <w:bottom w:val="single" w:sz="8" w:color="4D5357"/>
            </w:tcBorders>
          </w:tcPr>
          <w:p>
            <w:pPr>
              <w:spacing w:after="0"/>
              <w:rPr>
                <w:sz w:val="15"/>
                <w:szCs w:val="15"/>
                <w:color w:val="auto"/>
              </w:rPr>
            </w:pPr>
          </w:p>
        </w:tc>
        <w:tc>
          <w:tcPr>
            <w:tcW w:w="1200" w:type="dxa"/>
            <w:vAlign w:val="bottom"/>
            <w:tcBorders>
              <w:bottom w:val="single" w:sz="8" w:color="4D5357"/>
            </w:tcBorders>
          </w:tcPr>
          <w:p>
            <w:pPr>
              <w:jc w:val="right"/>
              <w:ind w:right="299"/>
              <w:spacing w:after="0"/>
              <w:rPr>
                <w:sz w:val="20"/>
                <w:szCs w:val="20"/>
                <w:color w:val="auto"/>
              </w:rPr>
            </w:pPr>
            <w:r>
              <w:rPr>
                <w:rFonts w:ascii="Arial" w:cs="Arial" w:eastAsia="Arial" w:hAnsi="Arial"/>
                <w:sz w:val="13"/>
                <w:szCs w:val="13"/>
                <w:color w:val="4D5357"/>
              </w:rPr>
              <w:t>07/08/25</w:t>
            </w:r>
          </w:p>
        </w:tc>
        <w:tc>
          <w:tcPr>
            <w:tcW w:w="620" w:type="dxa"/>
            <w:vAlign w:val="bottom"/>
            <w:tcBorders>
              <w:bottom w:val="single" w:sz="8" w:color="4D5357"/>
            </w:tcBorders>
          </w:tcPr>
          <w:p>
            <w:pPr>
              <w:spacing w:after="0"/>
              <w:rPr>
                <w:sz w:val="15"/>
                <w:szCs w:val="15"/>
                <w:color w:val="auto"/>
              </w:rPr>
            </w:pPr>
          </w:p>
        </w:tc>
        <w:tc>
          <w:tcPr>
            <w:tcW w:w="140" w:type="dxa"/>
            <w:vAlign w:val="bottom"/>
            <w:tcBorders>
              <w:bottom w:val="single" w:sz="8" w:color="4D5357"/>
            </w:tcBorders>
          </w:tcPr>
          <w:p>
            <w:pPr>
              <w:spacing w:after="0"/>
              <w:rPr>
                <w:sz w:val="15"/>
                <w:szCs w:val="15"/>
                <w:color w:val="auto"/>
              </w:rPr>
            </w:pPr>
          </w:p>
        </w:tc>
        <w:tc>
          <w:tcPr>
            <w:tcW w:w="120" w:type="dxa"/>
            <w:vAlign w:val="bottom"/>
            <w:tcBorders>
              <w:bottom w:val="single" w:sz="8" w:color="4D5357"/>
            </w:tcBorders>
          </w:tcPr>
          <w:p>
            <w:pPr>
              <w:spacing w:after="0"/>
              <w:rPr>
                <w:sz w:val="15"/>
                <w:szCs w:val="15"/>
                <w:color w:val="auto"/>
              </w:rPr>
            </w:pPr>
          </w:p>
        </w:tc>
        <w:tc>
          <w:tcPr>
            <w:tcW w:w="660" w:type="dxa"/>
            <w:vAlign w:val="bottom"/>
            <w:tcBorders>
              <w:bottom w:val="single" w:sz="8" w:color="4D5357"/>
            </w:tcBorders>
          </w:tcPr>
          <w:p>
            <w:pPr>
              <w:spacing w:after="0"/>
              <w:rPr>
                <w:sz w:val="15"/>
                <w:szCs w:val="15"/>
                <w:color w:val="auto"/>
              </w:rPr>
            </w:pPr>
          </w:p>
        </w:tc>
        <w:tc>
          <w:tcPr>
            <w:tcW w:w="700" w:type="dxa"/>
            <w:vAlign w:val="bottom"/>
            <w:tcBorders>
              <w:bottom w:val="single" w:sz="8" w:color="4D5357"/>
            </w:tcBorders>
          </w:tcPr>
          <w:p>
            <w:pPr>
              <w:spacing w:after="0"/>
              <w:rPr>
                <w:sz w:val="15"/>
                <w:szCs w:val="15"/>
                <w:color w:val="auto"/>
              </w:rPr>
            </w:pPr>
          </w:p>
        </w:tc>
        <w:tc>
          <w:tcPr>
            <w:tcW w:w="800" w:type="dxa"/>
            <w:vAlign w:val="bottom"/>
            <w:tcBorders>
              <w:bottom w:val="single" w:sz="8" w:color="4D5357"/>
            </w:tcBorders>
          </w:tcPr>
          <w:p>
            <w:pPr>
              <w:spacing w:after="0"/>
              <w:rPr>
                <w:sz w:val="15"/>
                <w:szCs w:val="15"/>
                <w:color w:val="auto"/>
              </w:rPr>
            </w:pPr>
          </w:p>
        </w:tc>
        <w:tc>
          <w:tcPr>
            <w:tcW w:w="200" w:type="dxa"/>
            <w:vAlign w:val="bottom"/>
            <w:tcBorders>
              <w:bottom w:val="single" w:sz="8" w:color="4D5357"/>
            </w:tcBorders>
          </w:tcPr>
          <w:p>
            <w:pPr>
              <w:spacing w:after="0"/>
              <w:rPr>
                <w:sz w:val="15"/>
                <w:szCs w:val="15"/>
                <w:color w:val="auto"/>
              </w:rPr>
            </w:pPr>
          </w:p>
        </w:tc>
        <w:tc>
          <w:tcPr>
            <w:tcW w:w="1320" w:type="dxa"/>
            <w:vAlign w:val="bottom"/>
            <w:tcBorders>
              <w:bottom w:val="single" w:sz="8" w:color="4D5357"/>
            </w:tcBorders>
          </w:tcPr>
          <w:p>
            <w:pPr>
              <w:spacing w:after="0"/>
              <w:rPr>
                <w:sz w:val="15"/>
                <w:szCs w:val="15"/>
                <w:color w:val="auto"/>
              </w:rPr>
            </w:pPr>
          </w:p>
        </w:tc>
        <w:tc>
          <w:tcPr>
            <w:tcW w:w="980" w:type="dxa"/>
            <w:vAlign w:val="bottom"/>
            <w:tcBorders>
              <w:bottom w:val="single" w:sz="8" w:color="4D5357"/>
            </w:tcBorders>
          </w:tcPr>
          <w:p>
            <w:pPr>
              <w:spacing w:after="0"/>
              <w:rPr>
                <w:sz w:val="15"/>
                <w:szCs w:val="15"/>
                <w:color w:val="auto"/>
              </w:rPr>
            </w:pPr>
          </w:p>
        </w:tc>
        <w:tc>
          <w:tcPr>
            <w:tcW w:w="860" w:type="dxa"/>
            <w:vAlign w:val="bottom"/>
            <w:tcBorders>
              <w:bottom w:val="single" w:sz="8" w:color="4D5357"/>
            </w:tcBorders>
          </w:tcPr>
          <w:p>
            <w:pPr>
              <w:spacing w:after="0"/>
              <w:rPr>
                <w:sz w:val="15"/>
                <w:szCs w:val="15"/>
                <w:color w:val="auto"/>
              </w:rPr>
            </w:pPr>
          </w:p>
        </w:tc>
        <w:tc>
          <w:tcPr>
            <w:tcW w:w="1420" w:type="dxa"/>
            <w:vAlign w:val="bottom"/>
            <w:tcBorders>
              <w:bottom w:val="single" w:sz="8" w:color="4D5357"/>
            </w:tcBorders>
          </w:tcPr>
          <w:p>
            <w:pPr>
              <w:jc w:val="right"/>
              <w:ind w:right="422"/>
              <w:spacing w:after="0"/>
              <w:rPr>
                <w:sz w:val="20"/>
                <w:szCs w:val="20"/>
                <w:color w:val="auto"/>
              </w:rPr>
            </w:pPr>
            <w:r>
              <w:rPr>
                <w:rFonts w:ascii="Arial" w:cs="Arial" w:eastAsia="Arial" w:hAnsi="Arial"/>
                <w:sz w:val="13"/>
                <w:szCs w:val="13"/>
                <w:color w:val="4D5357"/>
              </w:rPr>
              <w:t>1,822</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1,018,662</w:t>
            </w:r>
          </w:p>
        </w:tc>
        <w:tc>
          <w:tcPr>
            <w:tcW w:w="0" w:type="dxa"/>
            <w:vAlign w:val="bottom"/>
          </w:tcPr>
          <w:p>
            <w:pPr>
              <w:spacing w:after="0"/>
              <w:rPr>
                <w:sz w:val="1"/>
                <w:szCs w:val="1"/>
                <w:color w:val="auto"/>
              </w:rPr>
            </w:pPr>
          </w:p>
        </w:tc>
      </w:tr>
      <w:tr>
        <w:trPr>
          <w:trHeight w:val="171"/>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Robert J.</w:t>
            </w:r>
          </w:p>
        </w:tc>
        <w:tc>
          <w:tcPr>
            <w:tcW w:w="1200" w:type="dxa"/>
            <w:vAlign w:val="bottom"/>
          </w:tcPr>
          <w:p>
            <w:pPr>
              <w:jc w:val="right"/>
              <w:ind w:right="259"/>
              <w:spacing w:after="0" w:line="171" w:lineRule="exact"/>
              <w:rPr>
                <w:sz w:val="20"/>
                <w:szCs w:val="20"/>
                <w:color w:val="auto"/>
              </w:rPr>
            </w:pPr>
            <w:r>
              <w:rPr>
                <w:rFonts w:ascii="Arial" w:cs="Arial" w:eastAsia="Arial" w:hAnsi="Arial"/>
                <w:sz w:val="13"/>
                <w:szCs w:val="13"/>
                <w:color w:val="0086CC"/>
              </w:rPr>
              <w:t>2/20/26</w:t>
            </w:r>
            <w:r>
              <w:rPr>
                <w:rFonts w:ascii="Arial" w:cs="Arial" w:eastAsia="Arial" w:hAnsi="Arial"/>
                <w:sz w:val="18"/>
                <w:szCs w:val="18"/>
                <w:color w:val="0086CC"/>
                <w:vertAlign w:val="superscript"/>
              </w:rPr>
              <w:t>1</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4D5357"/>
              </w:rPr>
              <w:t>   420,458</w:t>
            </w:r>
          </w:p>
        </w:tc>
        <w:tc>
          <w:tcPr>
            <w:tcW w:w="800" w:type="dxa"/>
            <w:vAlign w:val="bottom"/>
          </w:tcPr>
          <w:p>
            <w:pPr>
              <w:jc w:val="right"/>
              <w:spacing w:after="0"/>
              <w:rPr>
                <w:sz w:val="20"/>
                <w:szCs w:val="20"/>
                <w:color w:val="auto"/>
              </w:rPr>
            </w:pPr>
            <w:r>
              <w:rPr>
                <w:rFonts w:ascii="Arial" w:cs="Arial" w:eastAsia="Arial" w:hAnsi="Arial"/>
                <w:sz w:val="13"/>
                <w:szCs w:val="13"/>
                <w:color w:val="4D5357"/>
              </w:rPr>
              <w:t>1,051,145</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Cardin</w:t>
            </w:r>
          </w:p>
        </w:tc>
        <w:tc>
          <w:tcPr>
            <w:tcW w:w="1200" w:type="dxa"/>
            <w:vAlign w:val="bottom"/>
          </w:tcPr>
          <w:p>
            <w:pPr>
              <w:jc w:val="right"/>
              <w:ind w:right="259"/>
              <w:spacing w:after="0" w:line="189"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2</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Arial" w:cs="Arial" w:eastAsia="Arial" w:hAnsi="Arial"/>
                <w:sz w:val="13"/>
                <w:szCs w:val="13"/>
                <w:color w:val="4D5357"/>
              </w:rPr>
              <w:t>   389</w:t>
            </w:r>
          </w:p>
        </w:tc>
        <w:tc>
          <w:tcPr>
            <w:tcW w:w="980" w:type="dxa"/>
            <w:vAlign w:val="bottom"/>
          </w:tcPr>
          <w:p>
            <w:pPr>
              <w:jc w:val="right"/>
              <w:ind w:right="198"/>
              <w:spacing w:after="0"/>
              <w:rPr>
                <w:sz w:val="20"/>
                <w:szCs w:val="20"/>
                <w:color w:val="auto"/>
              </w:rPr>
            </w:pPr>
            <w:r>
              <w:rPr>
                <w:rFonts w:ascii="Arial" w:cs="Arial" w:eastAsia="Arial" w:hAnsi="Arial"/>
                <w:sz w:val="13"/>
                <w:szCs w:val="13"/>
                <w:color w:val="4D5357"/>
              </w:rPr>
              <w:t>   972</w:t>
            </w:r>
          </w:p>
        </w:tc>
        <w:tc>
          <w:tcPr>
            <w:tcW w:w="860" w:type="dxa"/>
            <w:vAlign w:val="bottom"/>
          </w:tcPr>
          <w:p>
            <w:pPr>
              <w:jc w:val="right"/>
              <w:ind w:right="18"/>
              <w:spacing w:after="0"/>
              <w:rPr>
                <w:sz w:val="20"/>
                <w:szCs w:val="20"/>
                <w:color w:val="auto"/>
              </w:rPr>
            </w:pPr>
            <w:r>
              <w:rPr>
                <w:rFonts w:ascii="Arial" w:cs="Arial" w:eastAsia="Arial" w:hAnsi="Arial"/>
                <w:sz w:val="13"/>
                <w:szCs w:val="13"/>
                <w:color w:val="4D5357"/>
              </w:rPr>
              <w:t>   2,333</w:t>
            </w:r>
          </w:p>
        </w:tc>
        <w:tc>
          <w:tcPr>
            <w:tcW w:w="1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4D5357"/>
              </w:rPr>
              <w:t>   489,285</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1200" w:type="dxa"/>
            <w:vAlign w:val="bottom"/>
          </w:tcPr>
          <w:p>
            <w:pPr>
              <w:jc w:val="right"/>
              <w:ind w:right="259"/>
              <w:spacing w:after="0" w:line="176"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3</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jc w:val="right"/>
              <w:ind w:right="422"/>
              <w:spacing w:after="0"/>
              <w:rPr>
                <w:sz w:val="20"/>
                <w:szCs w:val="20"/>
                <w:color w:val="auto"/>
              </w:rPr>
            </w:pPr>
            <w:r>
              <w:rPr>
                <w:rFonts w:ascii="Arial" w:cs="Arial" w:eastAsia="Arial" w:hAnsi="Arial"/>
                <w:sz w:val="13"/>
                <w:szCs w:val="13"/>
                <w:color w:val="4D5357"/>
              </w:rPr>
              <w:t>795</w:t>
            </w:r>
          </w:p>
        </w:tc>
        <w:tc>
          <w:tcPr>
            <w:tcW w:w="1040" w:type="dxa"/>
            <w:vAlign w:val="bottom"/>
          </w:tcPr>
          <w:p>
            <w:pPr>
              <w:jc w:val="right"/>
              <w:spacing w:after="0"/>
              <w:rPr>
                <w:sz w:val="20"/>
                <w:szCs w:val="20"/>
                <w:color w:val="auto"/>
              </w:rPr>
            </w:pPr>
            <w:r>
              <w:rPr>
                <w:rFonts w:ascii="Arial" w:cs="Arial" w:eastAsia="Arial" w:hAnsi="Arial"/>
                <w:sz w:val="13"/>
                <w:szCs w:val="13"/>
                <w:color w:val="4D5357"/>
              </w:rPr>
              <w:t>   389,423</w:t>
            </w:r>
          </w:p>
        </w:tc>
        <w:tc>
          <w:tcPr>
            <w:tcW w:w="0" w:type="dxa"/>
            <w:vAlign w:val="bottom"/>
          </w:tcPr>
          <w:p>
            <w:pPr>
              <w:spacing w:after="0"/>
              <w:rPr>
                <w:sz w:val="1"/>
                <w:szCs w:val="1"/>
                <w:color w:val="auto"/>
              </w:rPr>
            </w:pPr>
          </w:p>
        </w:tc>
      </w:tr>
      <w:tr>
        <w:trPr>
          <w:trHeight w:val="173"/>
        </w:trPr>
        <w:tc>
          <w:tcPr>
            <w:tcW w:w="960" w:type="dxa"/>
            <w:vAlign w:val="bottom"/>
            <w:tcBorders>
              <w:bottom w:val="single" w:sz="8" w:color="4D5357"/>
            </w:tcBorders>
          </w:tcPr>
          <w:p>
            <w:pPr>
              <w:spacing w:after="0"/>
              <w:rPr>
                <w:sz w:val="15"/>
                <w:szCs w:val="15"/>
                <w:color w:val="auto"/>
              </w:rPr>
            </w:pPr>
          </w:p>
        </w:tc>
        <w:tc>
          <w:tcPr>
            <w:tcW w:w="1200" w:type="dxa"/>
            <w:vAlign w:val="bottom"/>
            <w:tcBorders>
              <w:bottom w:val="single" w:sz="8" w:color="4D5357"/>
            </w:tcBorders>
          </w:tcPr>
          <w:p>
            <w:pPr>
              <w:jc w:val="right"/>
              <w:ind w:right="299"/>
              <w:spacing w:after="0"/>
              <w:rPr>
                <w:sz w:val="20"/>
                <w:szCs w:val="20"/>
                <w:color w:val="auto"/>
              </w:rPr>
            </w:pPr>
            <w:r>
              <w:rPr>
                <w:rFonts w:ascii="Arial" w:cs="Arial" w:eastAsia="Arial" w:hAnsi="Arial"/>
                <w:sz w:val="13"/>
                <w:szCs w:val="13"/>
                <w:color w:val="4D5357"/>
              </w:rPr>
              <w:t>05/15/25</w:t>
            </w:r>
          </w:p>
        </w:tc>
        <w:tc>
          <w:tcPr>
            <w:tcW w:w="620" w:type="dxa"/>
            <w:vAlign w:val="bottom"/>
            <w:tcBorders>
              <w:bottom w:val="single" w:sz="8" w:color="4D5357"/>
            </w:tcBorders>
          </w:tcPr>
          <w:p>
            <w:pPr>
              <w:spacing w:after="0"/>
              <w:rPr>
                <w:sz w:val="15"/>
                <w:szCs w:val="15"/>
                <w:color w:val="auto"/>
              </w:rPr>
            </w:pPr>
          </w:p>
        </w:tc>
        <w:tc>
          <w:tcPr>
            <w:tcW w:w="140" w:type="dxa"/>
            <w:vAlign w:val="bottom"/>
            <w:tcBorders>
              <w:bottom w:val="single" w:sz="8" w:color="4D5357"/>
            </w:tcBorders>
          </w:tcPr>
          <w:p>
            <w:pPr>
              <w:spacing w:after="0"/>
              <w:rPr>
                <w:sz w:val="15"/>
                <w:szCs w:val="15"/>
                <w:color w:val="auto"/>
              </w:rPr>
            </w:pPr>
          </w:p>
        </w:tc>
        <w:tc>
          <w:tcPr>
            <w:tcW w:w="120" w:type="dxa"/>
            <w:vAlign w:val="bottom"/>
            <w:tcBorders>
              <w:bottom w:val="single" w:sz="8" w:color="4D5357"/>
            </w:tcBorders>
          </w:tcPr>
          <w:p>
            <w:pPr>
              <w:spacing w:after="0"/>
              <w:rPr>
                <w:sz w:val="15"/>
                <w:szCs w:val="15"/>
                <w:color w:val="auto"/>
              </w:rPr>
            </w:pPr>
          </w:p>
        </w:tc>
        <w:tc>
          <w:tcPr>
            <w:tcW w:w="660" w:type="dxa"/>
            <w:vAlign w:val="bottom"/>
            <w:tcBorders>
              <w:bottom w:val="single" w:sz="8" w:color="4D5357"/>
            </w:tcBorders>
          </w:tcPr>
          <w:p>
            <w:pPr>
              <w:spacing w:after="0"/>
              <w:rPr>
                <w:sz w:val="15"/>
                <w:szCs w:val="15"/>
                <w:color w:val="auto"/>
              </w:rPr>
            </w:pPr>
          </w:p>
        </w:tc>
        <w:tc>
          <w:tcPr>
            <w:tcW w:w="700" w:type="dxa"/>
            <w:vAlign w:val="bottom"/>
            <w:tcBorders>
              <w:bottom w:val="single" w:sz="8" w:color="4D5357"/>
            </w:tcBorders>
          </w:tcPr>
          <w:p>
            <w:pPr>
              <w:spacing w:after="0"/>
              <w:rPr>
                <w:sz w:val="15"/>
                <w:szCs w:val="15"/>
                <w:color w:val="auto"/>
              </w:rPr>
            </w:pPr>
          </w:p>
        </w:tc>
        <w:tc>
          <w:tcPr>
            <w:tcW w:w="800" w:type="dxa"/>
            <w:vAlign w:val="bottom"/>
            <w:tcBorders>
              <w:bottom w:val="single" w:sz="8" w:color="4D5357"/>
            </w:tcBorders>
          </w:tcPr>
          <w:p>
            <w:pPr>
              <w:spacing w:after="0"/>
              <w:rPr>
                <w:sz w:val="15"/>
                <w:szCs w:val="15"/>
                <w:color w:val="auto"/>
              </w:rPr>
            </w:pPr>
          </w:p>
        </w:tc>
        <w:tc>
          <w:tcPr>
            <w:tcW w:w="200" w:type="dxa"/>
            <w:vAlign w:val="bottom"/>
            <w:tcBorders>
              <w:bottom w:val="single" w:sz="8" w:color="4D5357"/>
            </w:tcBorders>
          </w:tcPr>
          <w:p>
            <w:pPr>
              <w:spacing w:after="0"/>
              <w:rPr>
                <w:sz w:val="15"/>
                <w:szCs w:val="15"/>
                <w:color w:val="auto"/>
              </w:rPr>
            </w:pPr>
          </w:p>
        </w:tc>
        <w:tc>
          <w:tcPr>
            <w:tcW w:w="1320" w:type="dxa"/>
            <w:vAlign w:val="bottom"/>
            <w:tcBorders>
              <w:bottom w:val="single" w:sz="8" w:color="4D5357"/>
            </w:tcBorders>
          </w:tcPr>
          <w:p>
            <w:pPr>
              <w:spacing w:after="0"/>
              <w:rPr>
                <w:sz w:val="15"/>
                <w:szCs w:val="15"/>
                <w:color w:val="auto"/>
              </w:rPr>
            </w:pPr>
          </w:p>
        </w:tc>
        <w:tc>
          <w:tcPr>
            <w:tcW w:w="980" w:type="dxa"/>
            <w:vAlign w:val="bottom"/>
            <w:tcBorders>
              <w:bottom w:val="single" w:sz="8" w:color="4D5357"/>
            </w:tcBorders>
          </w:tcPr>
          <w:p>
            <w:pPr>
              <w:spacing w:after="0"/>
              <w:rPr>
                <w:sz w:val="15"/>
                <w:szCs w:val="15"/>
                <w:color w:val="auto"/>
              </w:rPr>
            </w:pPr>
          </w:p>
        </w:tc>
        <w:tc>
          <w:tcPr>
            <w:tcW w:w="860" w:type="dxa"/>
            <w:vAlign w:val="bottom"/>
            <w:tcBorders>
              <w:bottom w:val="single" w:sz="8" w:color="4D5357"/>
            </w:tcBorders>
          </w:tcPr>
          <w:p>
            <w:pPr>
              <w:spacing w:after="0"/>
              <w:rPr>
                <w:sz w:val="15"/>
                <w:szCs w:val="15"/>
                <w:color w:val="auto"/>
              </w:rPr>
            </w:pPr>
          </w:p>
        </w:tc>
        <w:tc>
          <w:tcPr>
            <w:tcW w:w="1420" w:type="dxa"/>
            <w:vAlign w:val="bottom"/>
            <w:tcBorders>
              <w:bottom w:val="single" w:sz="8" w:color="4D5357"/>
            </w:tcBorders>
          </w:tcPr>
          <w:p>
            <w:pPr>
              <w:jc w:val="right"/>
              <w:ind w:right="422"/>
              <w:spacing w:after="0"/>
              <w:rPr>
                <w:sz w:val="20"/>
                <w:szCs w:val="20"/>
                <w:color w:val="auto"/>
              </w:rPr>
            </w:pPr>
            <w:r>
              <w:rPr>
                <w:rFonts w:ascii="Arial" w:cs="Arial" w:eastAsia="Arial" w:hAnsi="Arial"/>
                <w:sz w:val="13"/>
                <w:szCs w:val="13"/>
                <w:color w:val="4D5357"/>
              </w:rPr>
              <w:t>2,869</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1,586,155</w:t>
            </w:r>
          </w:p>
        </w:tc>
        <w:tc>
          <w:tcPr>
            <w:tcW w:w="0" w:type="dxa"/>
            <w:vAlign w:val="bottom"/>
          </w:tcPr>
          <w:p>
            <w:pPr>
              <w:spacing w:after="0"/>
              <w:rPr>
                <w:sz w:val="1"/>
                <w:szCs w:val="1"/>
                <w:color w:val="auto"/>
              </w:rPr>
            </w:pPr>
          </w:p>
        </w:tc>
      </w:tr>
      <w:tr>
        <w:trPr>
          <w:trHeight w:val="171"/>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James A. J.</w:t>
            </w:r>
          </w:p>
        </w:tc>
        <w:tc>
          <w:tcPr>
            <w:tcW w:w="1200" w:type="dxa"/>
            <w:vAlign w:val="bottom"/>
          </w:tcPr>
          <w:p>
            <w:pPr>
              <w:jc w:val="right"/>
              <w:ind w:right="259"/>
              <w:spacing w:after="0" w:line="171" w:lineRule="exact"/>
              <w:rPr>
                <w:sz w:val="20"/>
                <w:szCs w:val="20"/>
                <w:color w:val="auto"/>
              </w:rPr>
            </w:pPr>
            <w:r>
              <w:rPr>
                <w:rFonts w:ascii="Arial" w:cs="Arial" w:eastAsia="Arial" w:hAnsi="Arial"/>
                <w:sz w:val="13"/>
                <w:szCs w:val="13"/>
                <w:color w:val="0086CC"/>
              </w:rPr>
              <w:t>2/20/26</w:t>
            </w:r>
            <w:r>
              <w:rPr>
                <w:rFonts w:ascii="Arial" w:cs="Arial" w:eastAsia="Arial" w:hAnsi="Arial"/>
                <w:sz w:val="18"/>
                <w:szCs w:val="18"/>
                <w:color w:val="0086CC"/>
                <w:vertAlign w:val="superscript"/>
              </w:rPr>
              <w:t>1</w:t>
            </w:r>
          </w:p>
        </w:tc>
        <w:tc>
          <w:tcPr>
            <w:tcW w:w="620" w:type="dxa"/>
            <w:vAlign w:val="bottom"/>
          </w:tcPr>
          <w:p>
            <w:pPr>
              <w:ind w:left="500"/>
              <w:spacing w:after="0"/>
              <w:rPr>
                <w:sz w:val="20"/>
                <w:szCs w:val="20"/>
                <w:color w:val="auto"/>
              </w:rPr>
            </w:pPr>
            <w:r>
              <w:rPr>
                <w:rFonts w:ascii="Arial" w:cs="Arial" w:eastAsia="Arial" w:hAnsi="Arial"/>
                <w:sz w:val="10"/>
                <w:szCs w:val="10"/>
                <w:color w:val="4D5357"/>
                <w:w w:val="77"/>
              </w:rPr>
              <w:t>  </w:t>
            </w:r>
          </w:p>
        </w:tc>
        <w:tc>
          <w:tcPr>
            <w:tcW w:w="140" w:type="dxa"/>
            <w:vAlign w:val="bottom"/>
          </w:tcPr>
          <w:p>
            <w:pPr>
              <w:ind w:left="60"/>
              <w:spacing w:after="0"/>
              <w:rPr>
                <w:sz w:val="20"/>
                <w:szCs w:val="20"/>
                <w:color w:val="auto"/>
              </w:rPr>
            </w:pPr>
            <w:r>
              <w:rPr>
                <w:rFonts w:ascii="Arial" w:cs="Arial" w:eastAsia="Arial" w:hAnsi="Arial"/>
                <w:sz w:val="8"/>
                <w:szCs w:val="8"/>
                <w:color w:val="4D5357"/>
                <w:w w:val="74"/>
              </w:rPr>
              <w:t> </w:t>
            </w:r>
          </w:p>
        </w:tc>
        <w:tc>
          <w:tcPr>
            <w:tcW w:w="120" w:type="dxa"/>
            <w:vAlign w:val="bottom"/>
          </w:tcPr>
          <w:p>
            <w:pPr>
              <w:ind w:left="40"/>
              <w:spacing w:after="0"/>
              <w:rPr>
                <w:sz w:val="20"/>
                <w:szCs w:val="20"/>
                <w:color w:val="auto"/>
              </w:rPr>
            </w:pPr>
            <w:r>
              <w:rPr>
                <w:rFonts w:ascii="Arial" w:cs="Arial" w:eastAsia="Arial" w:hAnsi="Arial"/>
                <w:sz w:val="8"/>
                <w:szCs w:val="8"/>
                <w:color w:val="4D5357"/>
                <w:w w:val="74"/>
              </w:rPr>
              <w:t> </w:t>
            </w:r>
          </w:p>
        </w:tc>
        <w:tc>
          <w:tcPr>
            <w:tcW w:w="660" w:type="dxa"/>
            <w:vAlign w:val="bottom"/>
          </w:tcPr>
          <w:p>
            <w:pPr>
              <w:ind w:left="40"/>
              <w:spacing w:after="0"/>
              <w:rPr>
                <w:sz w:val="20"/>
                <w:szCs w:val="20"/>
                <w:color w:val="auto"/>
              </w:rPr>
            </w:pPr>
            <w:r>
              <w:rPr>
                <w:rFonts w:ascii="Arial" w:cs="Arial" w:eastAsia="Arial" w:hAnsi="Arial"/>
                <w:sz w:val="13"/>
                <w:szCs w:val="13"/>
                <w:color w:val="4D5357"/>
              </w:rPr>
              <w:t> </w:t>
            </w:r>
          </w:p>
        </w:tc>
        <w:tc>
          <w:tcPr>
            <w:tcW w:w="700" w:type="dxa"/>
            <w:vAlign w:val="bottom"/>
          </w:tcPr>
          <w:p>
            <w:pPr>
              <w:jc w:val="right"/>
              <w:spacing w:after="0"/>
              <w:rPr>
                <w:sz w:val="20"/>
                <w:szCs w:val="20"/>
                <w:color w:val="auto"/>
              </w:rPr>
            </w:pPr>
            <w:r>
              <w:rPr>
                <w:rFonts w:ascii="Arial" w:cs="Arial" w:eastAsia="Arial" w:hAnsi="Arial"/>
                <w:sz w:val="13"/>
                <w:szCs w:val="13"/>
                <w:color w:val="4D5357"/>
              </w:rPr>
              <w:t>   206,704</w:t>
            </w:r>
          </w:p>
        </w:tc>
        <w:tc>
          <w:tcPr>
            <w:tcW w:w="800" w:type="dxa"/>
            <w:vAlign w:val="bottom"/>
          </w:tcPr>
          <w:p>
            <w:pPr>
              <w:jc w:val="right"/>
              <w:spacing w:after="0"/>
              <w:rPr>
                <w:sz w:val="20"/>
                <w:szCs w:val="20"/>
                <w:color w:val="auto"/>
              </w:rPr>
            </w:pPr>
            <w:r>
              <w:rPr>
                <w:rFonts w:ascii="Arial" w:cs="Arial" w:eastAsia="Arial" w:hAnsi="Arial"/>
                <w:sz w:val="13"/>
                <w:szCs w:val="13"/>
                <w:color w:val="4D5357"/>
              </w:rPr>
              <w:t>516,760</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60"/>
              <w:spacing w:after="0" w:line="126" w:lineRule="exact"/>
              <w:rPr>
                <w:sz w:val="20"/>
                <w:szCs w:val="20"/>
                <w:color w:val="auto"/>
              </w:rPr>
            </w:pPr>
            <w:r>
              <w:rPr>
                <w:rFonts w:ascii="Arial" w:cs="Arial" w:eastAsia="Arial" w:hAnsi="Arial"/>
                <w:sz w:val="10"/>
                <w:szCs w:val="10"/>
                <w:b w:val="1"/>
                <w:bCs w:val="1"/>
                <w:color w:val="4D5357"/>
              </w:rPr>
              <w:t>Nickolas</w:t>
            </w:r>
            <w:r>
              <w:rPr>
                <w:rFonts w:ascii="Arial" w:cs="Arial" w:eastAsia="Arial" w:hAnsi="Arial"/>
                <w:sz w:val="14"/>
                <w:szCs w:val="14"/>
                <w:b w:val="1"/>
                <w:bCs w:val="1"/>
                <w:color w:val="4D5357"/>
                <w:vertAlign w:val="superscript"/>
              </w:rPr>
              <w:t>5</w:t>
            </w:r>
          </w:p>
        </w:tc>
        <w:tc>
          <w:tcPr>
            <w:tcW w:w="1200" w:type="dxa"/>
            <w:vAlign w:val="bottom"/>
          </w:tcPr>
          <w:p>
            <w:pPr>
              <w:jc w:val="right"/>
              <w:ind w:right="259"/>
              <w:spacing w:after="0"/>
              <w:rPr>
                <w:sz w:val="20"/>
                <w:szCs w:val="20"/>
                <w:color w:val="auto"/>
              </w:rPr>
            </w:pPr>
            <w:r>
              <w:rPr>
                <w:rFonts w:ascii="Arial" w:cs="Arial" w:eastAsia="Arial" w:hAnsi="Arial"/>
                <w:sz w:val="9"/>
                <w:szCs w:val="9"/>
                <w:color w:val="4D5357"/>
              </w:rPr>
              <w:t>2</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960" w:type="dxa"/>
            <w:vAlign w:val="bottom"/>
          </w:tcPr>
          <w:p>
            <w:pPr>
              <w:spacing w:after="0"/>
              <w:rPr>
                <w:sz w:val="6"/>
                <w:szCs w:val="6"/>
                <w:color w:val="auto"/>
              </w:rPr>
            </w:pPr>
          </w:p>
        </w:tc>
        <w:tc>
          <w:tcPr>
            <w:tcW w:w="1200" w:type="dxa"/>
            <w:vAlign w:val="bottom"/>
          </w:tcPr>
          <w:p>
            <w:pPr>
              <w:jc w:val="right"/>
              <w:ind w:right="299"/>
              <w:spacing w:after="0" w:line="77" w:lineRule="exact"/>
              <w:rPr>
                <w:sz w:val="20"/>
                <w:szCs w:val="20"/>
                <w:color w:val="auto"/>
              </w:rPr>
            </w:pPr>
            <w:r>
              <w:rPr>
                <w:rFonts w:ascii="Arial" w:cs="Arial" w:eastAsia="Arial" w:hAnsi="Arial"/>
                <w:sz w:val="8"/>
                <w:szCs w:val="8"/>
                <w:color w:val="4D5357"/>
              </w:rPr>
              <w:t>02/21/25</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960" w:type="dxa"/>
            <w:vAlign w:val="bottom"/>
            <w:tcBorders>
              <w:bottom w:val="single" w:sz="8" w:color="4D5357"/>
            </w:tcBorders>
          </w:tcPr>
          <w:p>
            <w:pPr>
              <w:spacing w:after="0"/>
              <w:rPr>
                <w:sz w:val="15"/>
                <w:szCs w:val="15"/>
                <w:color w:val="auto"/>
              </w:rPr>
            </w:pPr>
          </w:p>
        </w:tc>
        <w:tc>
          <w:tcPr>
            <w:tcW w:w="1200" w:type="dxa"/>
            <w:vAlign w:val="bottom"/>
            <w:tcBorders>
              <w:bottom w:val="single" w:sz="8" w:color="4D5357"/>
            </w:tcBorders>
          </w:tcPr>
          <w:p>
            <w:pPr>
              <w:jc w:val="right"/>
              <w:ind w:right="259"/>
              <w:spacing w:after="0" w:line="180"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3</w:t>
            </w:r>
          </w:p>
        </w:tc>
        <w:tc>
          <w:tcPr>
            <w:tcW w:w="620" w:type="dxa"/>
            <w:vAlign w:val="bottom"/>
            <w:tcBorders>
              <w:bottom w:val="single" w:sz="8" w:color="4D5357"/>
            </w:tcBorders>
          </w:tcPr>
          <w:p>
            <w:pPr>
              <w:spacing w:after="0"/>
              <w:rPr>
                <w:sz w:val="15"/>
                <w:szCs w:val="15"/>
                <w:color w:val="auto"/>
              </w:rPr>
            </w:pPr>
          </w:p>
        </w:tc>
        <w:tc>
          <w:tcPr>
            <w:tcW w:w="140" w:type="dxa"/>
            <w:vAlign w:val="bottom"/>
            <w:tcBorders>
              <w:bottom w:val="single" w:sz="8" w:color="4D5357"/>
            </w:tcBorders>
          </w:tcPr>
          <w:p>
            <w:pPr>
              <w:spacing w:after="0"/>
              <w:rPr>
                <w:sz w:val="15"/>
                <w:szCs w:val="15"/>
                <w:color w:val="auto"/>
              </w:rPr>
            </w:pPr>
          </w:p>
        </w:tc>
        <w:tc>
          <w:tcPr>
            <w:tcW w:w="120" w:type="dxa"/>
            <w:vAlign w:val="bottom"/>
            <w:tcBorders>
              <w:bottom w:val="single" w:sz="8" w:color="4D5357"/>
            </w:tcBorders>
          </w:tcPr>
          <w:p>
            <w:pPr>
              <w:spacing w:after="0"/>
              <w:rPr>
                <w:sz w:val="15"/>
                <w:szCs w:val="15"/>
                <w:color w:val="auto"/>
              </w:rPr>
            </w:pPr>
          </w:p>
        </w:tc>
        <w:tc>
          <w:tcPr>
            <w:tcW w:w="660" w:type="dxa"/>
            <w:vAlign w:val="bottom"/>
            <w:tcBorders>
              <w:bottom w:val="single" w:sz="8" w:color="4D5357"/>
            </w:tcBorders>
          </w:tcPr>
          <w:p>
            <w:pPr>
              <w:spacing w:after="0"/>
              <w:rPr>
                <w:sz w:val="15"/>
                <w:szCs w:val="15"/>
                <w:color w:val="auto"/>
              </w:rPr>
            </w:pPr>
          </w:p>
        </w:tc>
        <w:tc>
          <w:tcPr>
            <w:tcW w:w="700" w:type="dxa"/>
            <w:vAlign w:val="bottom"/>
            <w:tcBorders>
              <w:bottom w:val="single" w:sz="8" w:color="4D5357"/>
            </w:tcBorders>
          </w:tcPr>
          <w:p>
            <w:pPr>
              <w:spacing w:after="0"/>
              <w:rPr>
                <w:sz w:val="15"/>
                <w:szCs w:val="15"/>
                <w:color w:val="auto"/>
              </w:rPr>
            </w:pPr>
          </w:p>
        </w:tc>
        <w:tc>
          <w:tcPr>
            <w:tcW w:w="800" w:type="dxa"/>
            <w:vAlign w:val="bottom"/>
            <w:tcBorders>
              <w:bottom w:val="single" w:sz="8" w:color="4D5357"/>
            </w:tcBorders>
          </w:tcPr>
          <w:p>
            <w:pPr>
              <w:spacing w:after="0"/>
              <w:rPr>
                <w:sz w:val="15"/>
                <w:szCs w:val="15"/>
                <w:color w:val="auto"/>
              </w:rPr>
            </w:pPr>
          </w:p>
        </w:tc>
        <w:tc>
          <w:tcPr>
            <w:tcW w:w="200" w:type="dxa"/>
            <w:vAlign w:val="bottom"/>
            <w:tcBorders>
              <w:bottom w:val="single" w:sz="8" w:color="4D5357"/>
            </w:tcBorders>
          </w:tcPr>
          <w:p>
            <w:pPr>
              <w:spacing w:after="0"/>
              <w:rPr>
                <w:sz w:val="15"/>
                <w:szCs w:val="15"/>
                <w:color w:val="auto"/>
              </w:rPr>
            </w:pPr>
          </w:p>
        </w:tc>
        <w:tc>
          <w:tcPr>
            <w:tcW w:w="1320" w:type="dxa"/>
            <w:vAlign w:val="bottom"/>
            <w:tcBorders>
              <w:bottom w:val="single" w:sz="8" w:color="4D5357"/>
            </w:tcBorders>
          </w:tcPr>
          <w:p>
            <w:pPr>
              <w:spacing w:after="0"/>
              <w:rPr>
                <w:sz w:val="15"/>
                <w:szCs w:val="15"/>
                <w:color w:val="auto"/>
              </w:rPr>
            </w:pPr>
          </w:p>
        </w:tc>
        <w:tc>
          <w:tcPr>
            <w:tcW w:w="980" w:type="dxa"/>
            <w:vAlign w:val="bottom"/>
            <w:tcBorders>
              <w:bottom w:val="single" w:sz="8" w:color="4D5357"/>
            </w:tcBorders>
          </w:tcPr>
          <w:p>
            <w:pPr>
              <w:spacing w:after="0"/>
              <w:rPr>
                <w:sz w:val="15"/>
                <w:szCs w:val="15"/>
                <w:color w:val="auto"/>
              </w:rPr>
            </w:pPr>
          </w:p>
        </w:tc>
        <w:tc>
          <w:tcPr>
            <w:tcW w:w="860" w:type="dxa"/>
            <w:vAlign w:val="bottom"/>
            <w:tcBorders>
              <w:bottom w:val="single" w:sz="8" w:color="4D5357"/>
            </w:tcBorders>
          </w:tcPr>
          <w:p>
            <w:pPr>
              <w:spacing w:after="0"/>
              <w:rPr>
                <w:sz w:val="15"/>
                <w:szCs w:val="15"/>
                <w:color w:val="auto"/>
              </w:rPr>
            </w:pPr>
          </w:p>
        </w:tc>
        <w:tc>
          <w:tcPr>
            <w:tcW w:w="1420" w:type="dxa"/>
            <w:vAlign w:val="bottom"/>
            <w:tcBorders>
              <w:bottom w:val="single" w:sz="8" w:color="4D5357"/>
            </w:tcBorders>
          </w:tcPr>
          <w:p>
            <w:pPr>
              <w:spacing w:after="0"/>
              <w:rPr>
                <w:sz w:val="15"/>
                <w:szCs w:val="15"/>
                <w:color w:val="auto"/>
              </w:rPr>
            </w:pPr>
          </w:p>
        </w:tc>
        <w:tc>
          <w:tcPr>
            <w:tcW w:w="1040" w:type="dxa"/>
            <w:vAlign w:val="bottom"/>
            <w:tcBorders>
              <w:bottom w:val="single" w:sz="8" w:color="4D5357"/>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Donald A.</w:t>
            </w:r>
          </w:p>
        </w:tc>
        <w:tc>
          <w:tcPr>
            <w:tcW w:w="1200" w:type="dxa"/>
            <w:vAlign w:val="bottom"/>
          </w:tcPr>
          <w:p>
            <w:pPr>
              <w:jc w:val="right"/>
              <w:ind w:right="259"/>
              <w:spacing w:after="0" w:line="164" w:lineRule="exact"/>
              <w:rPr>
                <w:sz w:val="20"/>
                <w:szCs w:val="20"/>
                <w:color w:val="auto"/>
              </w:rPr>
            </w:pPr>
            <w:r>
              <w:rPr>
                <w:rFonts w:ascii="Arial" w:cs="Arial" w:eastAsia="Arial" w:hAnsi="Arial"/>
                <w:sz w:val="13"/>
                <w:szCs w:val="13"/>
                <w:color w:val="0086CC"/>
              </w:rPr>
              <w:t>2/20/26</w:t>
            </w:r>
            <w:r>
              <w:rPr>
                <w:rFonts w:ascii="Arial" w:cs="Arial" w:eastAsia="Arial" w:hAnsi="Arial"/>
                <w:sz w:val="18"/>
                <w:szCs w:val="18"/>
                <w:color w:val="0086CC"/>
                <w:vertAlign w:val="superscript"/>
              </w:rPr>
              <w:t>1</w:t>
            </w:r>
          </w:p>
        </w:tc>
        <w:tc>
          <w:tcPr>
            <w:tcW w:w="620" w:type="dxa"/>
            <w:vAlign w:val="bottom"/>
          </w:tcPr>
          <w:p>
            <w:pPr>
              <w:ind w:left="500"/>
              <w:spacing w:after="0"/>
              <w:rPr>
                <w:sz w:val="20"/>
                <w:szCs w:val="20"/>
                <w:color w:val="auto"/>
              </w:rPr>
            </w:pPr>
            <w:r>
              <w:rPr>
                <w:rFonts w:ascii="Arial" w:cs="Arial" w:eastAsia="Arial" w:hAnsi="Arial"/>
                <w:sz w:val="10"/>
                <w:szCs w:val="10"/>
                <w:color w:val="4D5357"/>
                <w:w w:val="77"/>
              </w:rPr>
              <w:t>  </w:t>
            </w:r>
          </w:p>
        </w:tc>
        <w:tc>
          <w:tcPr>
            <w:tcW w:w="140" w:type="dxa"/>
            <w:vAlign w:val="bottom"/>
          </w:tcPr>
          <w:p>
            <w:pPr>
              <w:ind w:left="60"/>
              <w:spacing w:after="0"/>
              <w:rPr>
                <w:sz w:val="20"/>
                <w:szCs w:val="20"/>
                <w:color w:val="auto"/>
              </w:rPr>
            </w:pPr>
            <w:r>
              <w:rPr>
                <w:rFonts w:ascii="Arial" w:cs="Arial" w:eastAsia="Arial" w:hAnsi="Arial"/>
                <w:sz w:val="8"/>
                <w:szCs w:val="8"/>
                <w:color w:val="4D5357"/>
                <w:w w:val="74"/>
              </w:rPr>
              <w:t> </w:t>
            </w:r>
          </w:p>
        </w:tc>
        <w:tc>
          <w:tcPr>
            <w:tcW w:w="120" w:type="dxa"/>
            <w:vAlign w:val="bottom"/>
          </w:tcPr>
          <w:p>
            <w:pPr>
              <w:ind w:left="40"/>
              <w:spacing w:after="0"/>
              <w:rPr>
                <w:sz w:val="20"/>
                <w:szCs w:val="20"/>
                <w:color w:val="auto"/>
              </w:rPr>
            </w:pPr>
            <w:r>
              <w:rPr>
                <w:rFonts w:ascii="Arial" w:cs="Arial" w:eastAsia="Arial" w:hAnsi="Arial"/>
                <w:sz w:val="8"/>
                <w:szCs w:val="8"/>
                <w:color w:val="4D5357"/>
                <w:w w:val="74"/>
              </w:rPr>
              <w:t> </w:t>
            </w:r>
          </w:p>
        </w:tc>
        <w:tc>
          <w:tcPr>
            <w:tcW w:w="660" w:type="dxa"/>
            <w:vAlign w:val="bottom"/>
          </w:tcPr>
          <w:p>
            <w:pPr>
              <w:ind w:left="40"/>
              <w:spacing w:after="0"/>
              <w:rPr>
                <w:sz w:val="20"/>
                <w:szCs w:val="20"/>
                <w:color w:val="auto"/>
              </w:rPr>
            </w:pPr>
            <w:r>
              <w:rPr>
                <w:rFonts w:ascii="Arial" w:cs="Arial" w:eastAsia="Arial" w:hAnsi="Arial"/>
                <w:sz w:val="13"/>
                <w:szCs w:val="13"/>
                <w:color w:val="4D5357"/>
              </w:rPr>
              <w:t> </w:t>
            </w:r>
          </w:p>
        </w:tc>
        <w:tc>
          <w:tcPr>
            <w:tcW w:w="700" w:type="dxa"/>
            <w:vAlign w:val="bottom"/>
          </w:tcPr>
          <w:p>
            <w:pPr>
              <w:jc w:val="right"/>
              <w:spacing w:after="0"/>
              <w:rPr>
                <w:sz w:val="20"/>
                <w:szCs w:val="20"/>
                <w:color w:val="auto"/>
              </w:rPr>
            </w:pPr>
            <w:r>
              <w:rPr>
                <w:rFonts w:ascii="Arial" w:cs="Arial" w:eastAsia="Arial" w:hAnsi="Arial"/>
                <w:sz w:val="13"/>
                <w:szCs w:val="13"/>
                <w:color w:val="4D5357"/>
              </w:rPr>
              <w:t>   697,500</w:t>
            </w:r>
          </w:p>
        </w:tc>
        <w:tc>
          <w:tcPr>
            <w:tcW w:w="800" w:type="dxa"/>
            <w:vAlign w:val="bottom"/>
          </w:tcPr>
          <w:p>
            <w:pPr>
              <w:jc w:val="right"/>
              <w:spacing w:after="0"/>
              <w:rPr>
                <w:sz w:val="20"/>
                <w:szCs w:val="20"/>
                <w:color w:val="auto"/>
              </w:rPr>
            </w:pPr>
            <w:r>
              <w:rPr>
                <w:rFonts w:ascii="Arial" w:cs="Arial" w:eastAsia="Arial" w:hAnsi="Arial"/>
                <w:sz w:val="13"/>
                <w:szCs w:val="13"/>
                <w:color w:val="4D5357"/>
              </w:rPr>
              <w:t>1,743,750</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McCunniff</w:t>
            </w:r>
          </w:p>
        </w:tc>
        <w:tc>
          <w:tcPr>
            <w:tcW w:w="1200" w:type="dxa"/>
            <w:vAlign w:val="bottom"/>
          </w:tcPr>
          <w:p>
            <w:pPr>
              <w:jc w:val="right"/>
              <w:ind w:right="259"/>
              <w:spacing w:after="0" w:line="202"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2</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3"/>
                <w:szCs w:val="13"/>
                <w:color w:val="4D5357"/>
              </w:rPr>
              <w:t>   754</w:t>
            </w:r>
          </w:p>
        </w:tc>
        <w:tc>
          <w:tcPr>
            <w:tcW w:w="980" w:type="dxa"/>
            <w:vAlign w:val="bottom"/>
          </w:tcPr>
          <w:p>
            <w:pPr>
              <w:jc w:val="right"/>
              <w:ind w:right="198"/>
              <w:spacing w:after="0"/>
              <w:rPr>
                <w:sz w:val="20"/>
                <w:szCs w:val="20"/>
                <w:color w:val="auto"/>
              </w:rPr>
            </w:pPr>
            <w:r>
              <w:rPr>
                <w:rFonts w:ascii="Arial" w:cs="Arial" w:eastAsia="Arial" w:hAnsi="Arial"/>
                <w:sz w:val="13"/>
                <w:szCs w:val="13"/>
                <w:color w:val="4D5357"/>
              </w:rPr>
              <w:t>1,885</w:t>
            </w:r>
          </w:p>
        </w:tc>
        <w:tc>
          <w:tcPr>
            <w:tcW w:w="860" w:type="dxa"/>
            <w:vAlign w:val="bottom"/>
          </w:tcPr>
          <w:p>
            <w:pPr>
              <w:jc w:val="right"/>
              <w:ind w:right="18"/>
              <w:spacing w:after="0"/>
              <w:rPr>
                <w:sz w:val="20"/>
                <w:szCs w:val="20"/>
                <w:color w:val="auto"/>
              </w:rPr>
            </w:pPr>
            <w:r>
              <w:rPr>
                <w:rFonts w:ascii="Arial" w:cs="Arial" w:eastAsia="Arial" w:hAnsi="Arial"/>
                <w:sz w:val="13"/>
                <w:szCs w:val="13"/>
                <w:color w:val="4D5357"/>
              </w:rPr>
              <w:t>   4,524</w:t>
            </w:r>
          </w:p>
        </w:tc>
        <w:tc>
          <w:tcPr>
            <w:tcW w:w="1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4D5357"/>
              </w:rPr>
              <w:t>   948,871</w:t>
            </w:r>
          </w:p>
        </w:tc>
        <w:tc>
          <w:tcPr>
            <w:tcW w:w="0" w:type="dxa"/>
            <w:vAlign w:val="bottom"/>
          </w:tcPr>
          <w:p>
            <w:pPr>
              <w:spacing w:after="0"/>
              <w:rPr>
                <w:sz w:val="1"/>
                <w:szCs w:val="1"/>
                <w:color w:val="auto"/>
              </w:rPr>
            </w:pPr>
          </w:p>
        </w:tc>
      </w:tr>
      <w:tr>
        <w:trPr>
          <w:trHeight w:val="180"/>
        </w:trPr>
        <w:tc>
          <w:tcPr>
            <w:tcW w:w="960" w:type="dxa"/>
            <w:vAlign w:val="bottom"/>
            <w:tcBorders>
              <w:bottom w:val="single" w:sz="8" w:color="4D5357"/>
            </w:tcBorders>
          </w:tcPr>
          <w:p>
            <w:pPr>
              <w:spacing w:after="0"/>
              <w:rPr>
                <w:sz w:val="15"/>
                <w:szCs w:val="15"/>
                <w:color w:val="auto"/>
              </w:rPr>
            </w:pPr>
          </w:p>
        </w:tc>
        <w:tc>
          <w:tcPr>
            <w:tcW w:w="1200" w:type="dxa"/>
            <w:vAlign w:val="bottom"/>
            <w:tcBorders>
              <w:bottom w:val="single" w:sz="8" w:color="4D5357"/>
            </w:tcBorders>
          </w:tcPr>
          <w:p>
            <w:pPr>
              <w:jc w:val="right"/>
              <w:ind w:right="259"/>
              <w:spacing w:after="0" w:line="180"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3</w:t>
            </w:r>
          </w:p>
        </w:tc>
        <w:tc>
          <w:tcPr>
            <w:tcW w:w="620" w:type="dxa"/>
            <w:vAlign w:val="bottom"/>
            <w:tcBorders>
              <w:bottom w:val="single" w:sz="8" w:color="4D5357"/>
            </w:tcBorders>
          </w:tcPr>
          <w:p>
            <w:pPr>
              <w:spacing w:after="0"/>
              <w:rPr>
                <w:sz w:val="15"/>
                <w:szCs w:val="15"/>
                <w:color w:val="auto"/>
              </w:rPr>
            </w:pPr>
          </w:p>
        </w:tc>
        <w:tc>
          <w:tcPr>
            <w:tcW w:w="140" w:type="dxa"/>
            <w:vAlign w:val="bottom"/>
            <w:tcBorders>
              <w:bottom w:val="single" w:sz="8" w:color="4D5357"/>
            </w:tcBorders>
          </w:tcPr>
          <w:p>
            <w:pPr>
              <w:spacing w:after="0"/>
              <w:rPr>
                <w:sz w:val="15"/>
                <w:szCs w:val="15"/>
                <w:color w:val="auto"/>
              </w:rPr>
            </w:pPr>
          </w:p>
        </w:tc>
        <w:tc>
          <w:tcPr>
            <w:tcW w:w="120" w:type="dxa"/>
            <w:vAlign w:val="bottom"/>
            <w:tcBorders>
              <w:bottom w:val="single" w:sz="8" w:color="4D5357"/>
            </w:tcBorders>
          </w:tcPr>
          <w:p>
            <w:pPr>
              <w:spacing w:after="0"/>
              <w:rPr>
                <w:sz w:val="15"/>
                <w:szCs w:val="15"/>
                <w:color w:val="auto"/>
              </w:rPr>
            </w:pPr>
          </w:p>
        </w:tc>
        <w:tc>
          <w:tcPr>
            <w:tcW w:w="660" w:type="dxa"/>
            <w:vAlign w:val="bottom"/>
            <w:tcBorders>
              <w:bottom w:val="single" w:sz="8" w:color="4D5357"/>
            </w:tcBorders>
          </w:tcPr>
          <w:p>
            <w:pPr>
              <w:spacing w:after="0"/>
              <w:rPr>
                <w:sz w:val="15"/>
                <w:szCs w:val="15"/>
                <w:color w:val="auto"/>
              </w:rPr>
            </w:pPr>
          </w:p>
        </w:tc>
        <w:tc>
          <w:tcPr>
            <w:tcW w:w="700" w:type="dxa"/>
            <w:vAlign w:val="bottom"/>
            <w:tcBorders>
              <w:bottom w:val="single" w:sz="8" w:color="4D5357"/>
            </w:tcBorders>
          </w:tcPr>
          <w:p>
            <w:pPr>
              <w:spacing w:after="0"/>
              <w:rPr>
                <w:sz w:val="15"/>
                <w:szCs w:val="15"/>
                <w:color w:val="auto"/>
              </w:rPr>
            </w:pPr>
          </w:p>
        </w:tc>
        <w:tc>
          <w:tcPr>
            <w:tcW w:w="800" w:type="dxa"/>
            <w:vAlign w:val="bottom"/>
            <w:tcBorders>
              <w:bottom w:val="single" w:sz="8" w:color="4D5357"/>
            </w:tcBorders>
          </w:tcPr>
          <w:p>
            <w:pPr>
              <w:spacing w:after="0"/>
              <w:rPr>
                <w:sz w:val="15"/>
                <w:szCs w:val="15"/>
                <w:color w:val="auto"/>
              </w:rPr>
            </w:pPr>
          </w:p>
        </w:tc>
        <w:tc>
          <w:tcPr>
            <w:tcW w:w="200" w:type="dxa"/>
            <w:vAlign w:val="bottom"/>
            <w:tcBorders>
              <w:bottom w:val="single" w:sz="8" w:color="4D5357"/>
            </w:tcBorders>
          </w:tcPr>
          <w:p>
            <w:pPr>
              <w:spacing w:after="0"/>
              <w:rPr>
                <w:sz w:val="15"/>
                <w:szCs w:val="15"/>
                <w:color w:val="auto"/>
              </w:rPr>
            </w:pPr>
          </w:p>
        </w:tc>
        <w:tc>
          <w:tcPr>
            <w:tcW w:w="1320" w:type="dxa"/>
            <w:vAlign w:val="bottom"/>
            <w:tcBorders>
              <w:bottom w:val="single" w:sz="8" w:color="4D5357"/>
            </w:tcBorders>
          </w:tcPr>
          <w:p>
            <w:pPr>
              <w:spacing w:after="0"/>
              <w:rPr>
                <w:sz w:val="15"/>
                <w:szCs w:val="15"/>
                <w:color w:val="auto"/>
              </w:rPr>
            </w:pPr>
          </w:p>
        </w:tc>
        <w:tc>
          <w:tcPr>
            <w:tcW w:w="980" w:type="dxa"/>
            <w:vAlign w:val="bottom"/>
            <w:tcBorders>
              <w:bottom w:val="single" w:sz="8" w:color="4D5357"/>
            </w:tcBorders>
          </w:tcPr>
          <w:p>
            <w:pPr>
              <w:spacing w:after="0"/>
              <w:rPr>
                <w:sz w:val="15"/>
                <w:szCs w:val="15"/>
                <w:color w:val="auto"/>
              </w:rPr>
            </w:pPr>
          </w:p>
        </w:tc>
        <w:tc>
          <w:tcPr>
            <w:tcW w:w="860" w:type="dxa"/>
            <w:vAlign w:val="bottom"/>
            <w:tcBorders>
              <w:bottom w:val="single" w:sz="8" w:color="4D5357"/>
            </w:tcBorders>
          </w:tcPr>
          <w:p>
            <w:pPr>
              <w:spacing w:after="0"/>
              <w:rPr>
                <w:sz w:val="15"/>
                <w:szCs w:val="15"/>
                <w:color w:val="auto"/>
              </w:rPr>
            </w:pPr>
          </w:p>
        </w:tc>
        <w:tc>
          <w:tcPr>
            <w:tcW w:w="1420" w:type="dxa"/>
            <w:vAlign w:val="bottom"/>
            <w:tcBorders>
              <w:bottom w:val="single" w:sz="8" w:color="4D5357"/>
            </w:tcBorders>
          </w:tcPr>
          <w:p>
            <w:pPr>
              <w:jc w:val="right"/>
              <w:ind w:right="422"/>
              <w:spacing w:after="0"/>
              <w:rPr>
                <w:sz w:val="20"/>
                <w:szCs w:val="20"/>
                <w:color w:val="auto"/>
              </w:rPr>
            </w:pPr>
            <w:r>
              <w:rPr>
                <w:rFonts w:ascii="Arial" w:cs="Arial" w:eastAsia="Arial" w:hAnsi="Arial"/>
                <w:sz w:val="13"/>
                <w:szCs w:val="13"/>
                <w:color w:val="4D5357"/>
              </w:rPr>
              <w:t>1,543</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   755,823</w:t>
            </w:r>
          </w:p>
        </w:tc>
        <w:tc>
          <w:tcPr>
            <w:tcW w:w="0" w:type="dxa"/>
            <w:vAlign w:val="bottom"/>
          </w:tcPr>
          <w:p>
            <w:pPr>
              <w:spacing w:after="0"/>
              <w:rPr>
                <w:sz w:val="1"/>
                <w:szCs w:val="1"/>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Jason P.</w:t>
            </w:r>
          </w:p>
        </w:tc>
        <w:tc>
          <w:tcPr>
            <w:tcW w:w="1200" w:type="dxa"/>
            <w:vAlign w:val="bottom"/>
          </w:tcPr>
          <w:p>
            <w:pPr>
              <w:jc w:val="right"/>
              <w:ind w:right="259"/>
              <w:spacing w:after="0" w:line="164" w:lineRule="exact"/>
              <w:rPr>
                <w:sz w:val="20"/>
                <w:szCs w:val="20"/>
                <w:color w:val="auto"/>
              </w:rPr>
            </w:pPr>
            <w:r>
              <w:rPr>
                <w:rFonts w:ascii="Arial" w:cs="Arial" w:eastAsia="Arial" w:hAnsi="Arial"/>
                <w:sz w:val="13"/>
                <w:szCs w:val="13"/>
                <w:color w:val="0086CC"/>
              </w:rPr>
              <w:t>2/20/26</w:t>
            </w:r>
            <w:r>
              <w:rPr>
                <w:rFonts w:ascii="Arial" w:cs="Arial" w:eastAsia="Arial" w:hAnsi="Arial"/>
                <w:sz w:val="18"/>
                <w:szCs w:val="18"/>
                <w:color w:val="0086CC"/>
                <w:vertAlign w:val="superscript"/>
              </w:rPr>
              <w:t>1</w:t>
            </w:r>
          </w:p>
        </w:tc>
        <w:tc>
          <w:tcPr>
            <w:tcW w:w="620" w:type="dxa"/>
            <w:vAlign w:val="bottom"/>
          </w:tcPr>
          <w:p>
            <w:pPr>
              <w:ind w:left="500"/>
              <w:spacing w:after="0"/>
              <w:rPr>
                <w:sz w:val="20"/>
                <w:szCs w:val="20"/>
                <w:color w:val="auto"/>
              </w:rPr>
            </w:pPr>
            <w:r>
              <w:rPr>
                <w:rFonts w:ascii="Arial" w:cs="Arial" w:eastAsia="Arial" w:hAnsi="Arial"/>
                <w:sz w:val="10"/>
                <w:szCs w:val="10"/>
                <w:color w:val="4D5357"/>
                <w:w w:val="77"/>
              </w:rPr>
              <w:t>  </w:t>
            </w:r>
          </w:p>
        </w:tc>
        <w:tc>
          <w:tcPr>
            <w:tcW w:w="140" w:type="dxa"/>
            <w:vAlign w:val="bottom"/>
          </w:tcPr>
          <w:p>
            <w:pPr>
              <w:ind w:left="60"/>
              <w:spacing w:after="0"/>
              <w:rPr>
                <w:sz w:val="20"/>
                <w:szCs w:val="20"/>
                <w:color w:val="auto"/>
              </w:rPr>
            </w:pPr>
            <w:r>
              <w:rPr>
                <w:rFonts w:ascii="Arial" w:cs="Arial" w:eastAsia="Arial" w:hAnsi="Arial"/>
                <w:sz w:val="8"/>
                <w:szCs w:val="8"/>
                <w:color w:val="4D5357"/>
                <w:w w:val="74"/>
              </w:rPr>
              <w:t> </w:t>
            </w:r>
          </w:p>
        </w:tc>
        <w:tc>
          <w:tcPr>
            <w:tcW w:w="120" w:type="dxa"/>
            <w:vAlign w:val="bottom"/>
          </w:tcPr>
          <w:p>
            <w:pPr>
              <w:ind w:left="40"/>
              <w:spacing w:after="0"/>
              <w:rPr>
                <w:sz w:val="20"/>
                <w:szCs w:val="20"/>
                <w:color w:val="auto"/>
              </w:rPr>
            </w:pPr>
            <w:r>
              <w:rPr>
                <w:rFonts w:ascii="Arial" w:cs="Arial" w:eastAsia="Arial" w:hAnsi="Arial"/>
                <w:sz w:val="8"/>
                <w:szCs w:val="8"/>
                <w:color w:val="4D5357"/>
                <w:w w:val="74"/>
              </w:rPr>
              <w:t> </w:t>
            </w:r>
          </w:p>
        </w:tc>
        <w:tc>
          <w:tcPr>
            <w:tcW w:w="660" w:type="dxa"/>
            <w:vAlign w:val="bottom"/>
          </w:tcPr>
          <w:p>
            <w:pPr>
              <w:ind w:left="40"/>
              <w:spacing w:after="0"/>
              <w:rPr>
                <w:sz w:val="20"/>
                <w:szCs w:val="20"/>
                <w:color w:val="auto"/>
              </w:rPr>
            </w:pPr>
            <w:r>
              <w:rPr>
                <w:rFonts w:ascii="Arial" w:cs="Arial" w:eastAsia="Arial" w:hAnsi="Arial"/>
                <w:sz w:val="13"/>
                <w:szCs w:val="13"/>
                <w:color w:val="4D5357"/>
              </w:rPr>
              <w:t> </w:t>
            </w:r>
          </w:p>
        </w:tc>
        <w:tc>
          <w:tcPr>
            <w:tcW w:w="700" w:type="dxa"/>
            <w:vAlign w:val="bottom"/>
          </w:tcPr>
          <w:p>
            <w:pPr>
              <w:jc w:val="right"/>
              <w:spacing w:after="0"/>
              <w:rPr>
                <w:sz w:val="20"/>
                <w:szCs w:val="20"/>
                <w:color w:val="auto"/>
              </w:rPr>
            </w:pPr>
            <w:r>
              <w:rPr>
                <w:rFonts w:ascii="Arial" w:cs="Arial" w:eastAsia="Arial" w:hAnsi="Arial"/>
                <w:sz w:val="13"/>
                <w:szCs w:val="13"/>
                <w:color w:val="4D5357"/>
              </w:rPr>
              <w:t>   175,435</w:t>
            </w:r>
          </w:p>
        </w:tc>
        <w:tc>
          <w:tcPr>
            <w:tcW w:w="800" w:type="dxa"/>
            <w:vAlign w:val="bottom"/>
          </w:tcPr>
          <w:p>
            <w:pPr>
              <w:jc w:val="right"/>
              <w:spacing w:after="0"/>
              <w:rPr>
                <w:sz w:val="20"/>
                <w:szCs w:val="20"/>
                <w:color w:val="auto"/>
              </w:rPr>
            </w:pPr>
            <w:r>
              <w:rPr>
                <w:rFonts w:ascii="Arial" w:cs="Arial" w:eastAsia="Arial" w:hAnsi="Arial"/>
                <w:sz w:val="13"/>
                <w:szCs w:val="13"/>
                <w:color w:val="4D5357"/>
              </w:rPr>
              <w:t>438,588</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right"/>
              <w:ind w:right="198"/>
              <w:spacing w:after="0"/>
              <w:rPr>
                <w:sz w:val="20"/>
                <w:szCs w:val="20"/>
                <w:color w:val="auto"/>
              </w:rPr>
            </w:pPr>
            <w:r>
              <w:rPr>
                <w:rFonts w:ascii="Arial" w:cs="Arial" w:eastAsia="Arial" w:hAnsi="Arial"/>
                <w:sz w:val="13"/>
                <w:szCs w:val="13"/>
                <w:color w:val="4D5357"/>
              </w:rPr>
              <w:t>   320</w:t>
            </w:r>
          </w:p>
        </w:tc>
        <w:tc>
          <w:tcPr>
            <w:tcW w:w="860" w:type="dxa"/>
            <w:vAlign w:val="bottom"/>
          </w:tcPr>
          <w:p>
            <w:pPr>
              <w:jc w:val="right"/>
              <w:ind w:right="18"/>
              <w:spacing w:after="0"/>
              <w:rPr>
                <w:sz w:val="20"/>
                <w:szCs w:val="20"/>
                <w:color w:val="auto"/>
              </w:rPr>
            </w:pPr>
            <w:r>
              <w:rPr>
                <w:rFonts w:ascii="Arial" w:cs="Arial" w:eastAsia="Arial" w:hAnsi="Arial"/>
                <w:sz w:val="13"/>
                <w:szCs w:val="13"/>
                <w:color w:val="4D5357"/>
              </w:rPr>
              <w:t>  800</w:t>
            </w:r>
          </w:p>
        </w:tc>
        <w:tc>
          <w:tcPr>
            <w:tcW w:w="1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4D5357"/>
              </w:rPr>
              <w:t>   219,501</w:t>
            </w:r>
          </w:p>
        </w:tc>
        <w:tc>
          <w:tcPr>
            <w:tcW w:w="0" w:type="dxa"/>
            <w:vAlign w:val="bottom"/>
          </w:tcPr>
          <w:p>
            <w:pPr>
              <w:spacing w:after="0"/>
              <w:rPr>
                <w:sz w:val="1"/>
                <w:szCs w:val="1"/>
                <w:color w:val="auto"/>
              </w:rPr>
            </w:pPr>
          </w:p>
        </w:tc>
      </w:tr>
      <w:tr>
        <w:trPr>
          <w:trHeight w:val="202"/>
        </w:trPr>
        <w:tc>
          <w:tcPr>
            <w:tcW w:w="960" w:type="dxa"/>
            <w:vAlign w:val="bottom"/>
          </w:tcPr>
          <w:p>
            <w:pPr>
              <w:ind w:left="60"/>
              <w:spacing w:after="0"/>
              <w:rPr>
                <w:sz w:val="20"/>
                <w:szCs w:val="20"/>
                <w:color w:val="auto"/>
              </w:rPr>
            </w:pPr>
            <w:r>
              <w:rPr>
                <w:rFonts w:ascii="Arial" w:cs="Arial" w:eastAsia="Arial" w:hAnsi="Arial"/>
                <w:sz w:val="13"/>
                <w:szCs w:val="13"/>
                <w:b w:val="1"/>
                <w:bCs w:val="1"/>
                <w:color w:val="4D5357"/>
              </w:rPr>
              <w:t>Flynn</w:t>
            </w:r>
          </w:p>
        </w:tc>
        <w:tc>
          <w:tcPr>
            <w:tcW w:w="1200" w:type="dxa"/>
            <w:vAlign w:val="bottom"/>
          </w:tcPr>
          <w:p>
            <w:pPr>
              <w:jc w:val="right"/>
              <w:ind w:right="259"/>
              <w:spacing w:after="0" w:line="202"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2</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3"/>
                <w:szCs w:val="13"/>
                <w:color w:val="4D5357"/>
              </w:rPr>
              <w:t>   301</w:t>
            </w:r>
          </w:p>
        </w:tc>
        <w:tc>
          <w:tcPr>
            <w:tcW w:w="980" w:type="dxa"/>
            <w:vAlign w:val="bottom"/>
          </w:tcPr>
          <w:p>
            <w:pPr>
              <w:jc w:val="right"/>
              <w:ind w:right="198"/>
              <w:spacing w:after="0"/>
              <w:rPr>
                <w:sz w:val="20"/>
                <w:szCs w:val="20"/>
                <w:color w:val="auto"/>
              </w:rPr>
            </w:pPr>
            <w:r>
              <w:rPr>
                <w:rFonts w:ascii="Arial" w:cs="Arial" w:eastAsia="Arial" w:hAnsi="Arial"/>
                <w:sz w:val="13"/>
                <w:szCs w:val="13"/>
                <w:color w:val="4D5357"/>
              </w:rPr>
              <w:t>   752</w:t>
            </w:r>
          </w:p>
        </w:tc>
        <w:tc>
          <w:tcPr>
            <w:tcW w:w="860" w:type="dxa"/>
            <w:vAlign w:val="bottom"/>
          </w:tcPr>
          <w:p>
            <w:pPr>
              <w:jc w:val="right"/>
              <w:ind w:right="18"/>
              <w:spacing w:after="0"/>
              <w:rPr>
                <w:sz w:val="20"/>
                <w:szCs w:val="20"/>
                <w:color w:val="auto"/>
              </w:rPr>
            </w:pPr>
            <w:r>
              <w:rPr>
                <w:rFonts w:ascii="Arial" w:cs="Arial" w:eastAsia="Arial" w:hAnsi="Arial"/>
                <w:sz w:val="13"/>
                <w:szCs w:val="13"/>
                <w:color w:val="4D5357"/>
              </w:rPr>
              <w:t>   1,805</w:t>
            </w:r>
          </w:p>
        </w:tc>
        <w:tc>
          <w:tcPr>
            <w:tcW w:w="1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4D5357"/>
              </w:rPr>
              <w:t>   378,542</w:t>
            </w:r>
          </w:p>
        </w:tc>
        <w:tc>
          <w:tcPr>
            <w:tcW w:w="0" w:type="dxa"/>
            <w:vAlign w:val="bottom"/>
          </w:tcPr>
          <w:p>
            <w:pPr>
              <w:spacing w:after="0"/>
              <w:rPr>
                <w:sz w:val="1"/>
                <w:szCs w:val="1"/>
                <w:color w:val="auto"/>
              </w:rPr>
            </w:pPr>
          </w:p>
        </w:tc>
      </w:tr>
      <w:tr>
        <w:trPr>
          <w:trHeight w:val="180"/>
        </w:trPr>
        <w:tc>
          <w:tcPr>
            <w:tcW w:w="960" w:type="dxa"/>
            <w:vAlign w:val="bottom"/>
            <w:tcBorders>
              <w:bottom w:val="single" w:sz="8" w:color="4D5357"/>
            </w:tcBorders>
          </w:tcPr>
          <w:p>
            <w:pPr>
              <w:spacing w:after="0"/>
              <w:rPr>
                <w:sz w:val="15"/>
                <w:szCs w:val="15"/>
                <w:color w:val="auto"/>
              </w:rPr>
            </w:pPr>
          </w:p>
        </w:tc>
        <w:tc>
          <w:tcPr>
            <w:tcW w:w="1200" w:type="dxa"/>
            <w:vAlign w:val="bottom"/>
            <w:tcBorders>
              <w:bottom w:val="single" w:sz="8" w:color="4D5357"/>
            </w:tcBorders>
          </w:tcPr>
          <w:p>
            <w:pPr>
              <w:jc w:val="right"/>
              <w:ind w:right="259"/>
              <w:spacing w:after="0" w:line="180"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3</w:t>
            </w:r>
          </w:p>
        </w:tc>
        <w:tc>
          <w:tcPr>
            <w:tcW w:w="620" w:type="dxa"/>
            <w:vAlign w:val="bottom"/>
            <w:tcBorders>
              <w:bottom w:val="single" w:sz="8" w:color="4D5357"/>
            </w:tcBorders>
          </w:tcPr>
          <w:p>
            <w:pPr>
              <w:spacing w:after="0"/>
              <w:rPr>
                <w:sz w:val="15"/>
                <w:szCs w:val="15"/>
                <w:color w:val="auto"/>
              </w:rPr>
            </w:pPr>
          </w:p>
        </w:tc>
        <w:tc>
          <w:tcPr>
            <w:tcW w:w="140" w:type="dxa"/>
            <w:vAlign w:val="bottom"/>
            <w:tcBorders>
              <w:bottom w:val="single" w:sz="8" w:color="4D5357"/>
            </w:tcBorders>
          </w:tcPr>
          <w:p>
            <w:pPr>
              <w:spacing w:after="0"/>
              <w:rPr>
                <w:sz w:val="15"/>
                <w:szCs w:val="15"/>
                <w:color w:val="auto"/>
              </w:rPr>
            </w:pPr>
          </w:p>
        </w:tc>
        <w:tc>
          <w:tcPr>
            <w:tcW w:w="120" w:type="dxa"/>
            <w:vAlign w:val="bottom"/>
            <w:tcBorders>
              <w:bottom w:val="single" w:sz="8" w:color="4D5357"/>
            </w:tcBorders>
          </w:tcPr>
          <w:p>
            <w:pPr>
              <w:spacing w:after="0"/>
              <w:rPr>
                <w:sz w:val="15"/>
                <w:szCs w:val="15"/>
                <w:color w:val="auto"/>
              </w:rPr>
            </w:pPr>
          </w:p>
        </w:tc>
        <w:tc>
          <w:tcPr>
            <w:tcW w:w="660" w:type="dxa"/>
            <w:vAlign w:val="bottom"/>
            <w:tcBorders>
              <w:bottom w:val="single" w:sz="8" w:color="4D5357"/>
            </w:tcBorders>
          </w:tcPr>
          <w:p>
            <w:pPr>
              <w:spacing w:after="0"/>
              <w:rPr>
                <w:sz w:val="15"/>
                <w:szCs w:val="15"/>
                <w:color w:val="auto"/>
              </w:rPr>
            </w:pPr>
          </w:p>
        </w:tc>
        <w:tc>
          <w:tcPr>
            <w:tcW w:w="700" w:type="dxa"/>
            <w:vAlign w:val="bottom"/>
            <w:tcBorders>
              <w:bottom w:val="single" w:sz="8" w:color="4D5357"/>
            </w:tcBorders>
          </w:tcPr>
          <w:p>
            <w:pPr>
              <w:spacing w:after="0"/>
              <w:rPr>
                <w:sz w:val="15"/>
                <w:szCs w:val="15"/>
                <w:color w:val="auto"/>
              </w:rPr>
            </w:pPr>
          </w:p>
        </w:tc>
        <w:tc>
          <w:tcPr>
            <w:tcW w:w="800" w:type="dxa"/>
            <w:vAlign w:val="bottom"/>
            <w:tcBorders>
              <w:bottom w:val="single" w:sz="8" w:color="4D5357"/>
            </w:tcBorders>
          </w:tcPr>
          <w:p>
            <w:pPr>
              <w:spacing w:after="0"/>
              <w:rPr>
                <w:sz w:val="15"/>
                <w:szCs w:val="15"/>
                <w:color w:val="auto"/>
              </w:rPr>
            </w:pPr>
          </w:p>
        </w:tc>
        <w:tc>
          <w:tcPr>
            <w:tcW w:w="200" w:type="dxa"/>
            <w:vAlign w:val="bottom"/>
            <w:tcBorders>
              <w:bottom w:val="single" w:sz="8" w:color="4D5357"/>
            </w:tcBorders>
          </w:tcPr>
          <w:p>
            <w:pPr>
              <w:spacing w:after="0"/>
              <w:rPr>
                <w:sz w:val="15"/>
                <w:szCs w:val="15"/>
                <w:color w:val="auto"/>
              </w:rPr>
            </w:pPr>
          </w:p>
        </w:tc>
        <w:tc>
          <w:tcPr>
            <w:tcW w:w="1320" w:type="dxa"/>
            <w:vAlign w:val="bottom"/>
            <w:tcBorders>
              <w:bottom w:val="single" w:sz="8" w:color="4D5357"/>
            </w:tcBorders>
          </w:tcPr>
          <w:p>
            <w:pPr>
              <w:spacing w:after="0"/>
              <w:rPr>
                <w:sz w:val="15"/>
                <w:szCs w:val="15"/>
                <w:color w:val="auto"/>
              </w:rPr>
            </w:pPr>
          </w:p>
        </w:tc>
        <w:tc>
          <w:tcPr>
            <w:tcW w:w="980" w:type="dxa"/>
            <w:vAlign w:val="bottom"/>
            <w:tcBorders>
              <w:bottom w:val="single" w:sz="8" w:color="4D5357"/>
            </w:tcBorders>
          </w:tcPr>
          <w:p>
            <w:pPr>
              <w:spacing w:after="0"/>
              <w:rPr>
                <w:sz w:val="15"/>
                <w:szCs w:val="15"/>
                <w:color w:val="auto"/>
              </w:rPr>
            </w:pPr>
          </w:p>
        </w:tc>
        <w:tc>
          <w:tcPr>
            <w:tcW w:w="860" w:type="dxa"/>
            <w:vAlign w:val="bottom"/>
            <w:tcBorders>
              <w:bottom w:val="single" w:sz="8" w:color="4D5357"/>
            </w:tcBorders>
          </w:tcPr>
          <w:p>
            <w:pPr>
              <w:spacing w:after="0"/>
              <w:rPr>
                <w:sz w:val="15"/>
                <w:szCs w:val="15"/>
                <w:color w:val="auto"/>
              </w:rPr>
            </w:pPr>
          </w:p>
        </w:tc>
        <w:tc>
          <w:tcPr>
            <w:tcW w:w="1420" w:type="dxa"/>
            <w:vAlign w:val="bottom"/>
            <w:tcBorders>
              <w:bottom w:val="single" w:sz="8" w:color="4D5357"/>
            </w:tcBorders>
          </w:tcPr>
          <w:p>
            <w:pPr>
              <w:jc w:val="right"/>
              <w:ind w:right="422"/>
              <w:spacing w:after="0"/>
              <w:rPr>
                <w:sz w:val="20"/>
                <w:szCs w:val="20"/>
                <w:color w:val="auto"/>
              </w:rPr>
            </w:pPr>
            <w:r>
              <w:rPr>
                <w:rFonts w:ascii="Arial" w:cs="Arial" w:eastAsia="Arial" w:hAnsi="Arial"/>
                <w:sz w:val="13"/>
                <w:szCs w:val="13"/>
                <w:color w:val="4D5357"/>
              </w:rPr>
              <w:t>   616</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   301,741</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78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364" w:space="120"/>
            <w:col w:w="300" w:space="120"/>
            <w:col w:w="8620" w:space="720"/>
            <w:col w:w="780"/>
          </w:cols>
          <w:pgMar w:left="436" w:top="315" w:right="439" w:bottom="1440" w:gutter="0" w:footer="0" w:header="0"/>
          <w:type w:val="continuous"/>
        </w:sectPr>
      </w:pPr>
    </w:p>
    <w:bookmarkStart w:id="85" w:name="page86"/>
    <w:bookmarkEnd w:id="85"/>
    <w:tbl>
      <w:tblPr>
        <w:tblLayout w:type="fixed"/>
        <w:tblInd w:w="4" w:type="dxa"/>
        <w:tblCellMar>
          <w:top w:w="0" w:type="dxa"/>
          <w:left w:w="0" w:type="dxa"/>
          <w:bottom w:w="0" w:type="dxa"/>
          <w:right w:w="0" w:type="dxa"/>
        </w:tblCellMar>
      </w:tblPr>
      <w:tr>
        <w:trPr>
          <w:trHeight w:val="396"/>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shd w:val="clear" w:color="auto" w:fill="4D5357"/>
          </w:tcPr>
          <w:p>
            <w:pPr>
              <w:jc w:val="right"/>
              <w:spacing w:after="0"/>
              <w:rPr>
                <w:sz w:val="20"/>
                <w:szCs w:val="20"/>
                <w:color w:val="auto"/>
              </w:rPr>
            </w:pPr>
            <w:r>
              <w:rPr>
                <w:rFonts w:ascii="Arial" w:cs="Arial" w:eastAsia="Arial" w:hAnsi="Arial"/>
                <w:sz w:val="14"/>
                <w:szCs w:val="14"/>
                <w:b w:val="1"/>
                <w:bCs w:val="1"/>
                <w:color w:val="FFFFFF"/>
              </w:rPr>
              <w:t> </w:t>
            </w:r>
          </w:p>
        </w:tc>
        <w:tc>
          <w:tcPr>
            <w:tcW w:w="1400" w:type="dxa"/>
            <w:vAlign w:val="bottom"/>
            <w:gridSpan w:val="2"/>
            <w:shd w:val="clear" w:color="auto" w:fill="4D5357"/>
          </w:tcPr>
          <w:p>
            <w:pPr>
              <w:jc w:val="right"/>
              <w:ind w:right="306"/>
              <w:spacing w:after="0"/>
              <w:rPr>
                <w:sz w:val="20"/>
                <w:szCs w:val="20"/>
                <w:color w:val="auto"/>
              </w:rPr>
            </w:pPr>
            <w:r>
              <w:rPr>
                <w:rFonts w:ascii="Arial" w:cs="Arial" w:eastAsia="Arial" w:hAnsi="Arial"/>
                <w:sz w:val="14"/>
                <w:szCs w:val="14"/>
                <w:b w:val="1"/>
                <w:bCs w:val="1"/>
                <w:color w:val="FFFFFF"/>
              </w:rPr>
              <w:t xml:space="preserve">   Executive    </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shd w:val="clear" w:color="auto" w:fill="4D5357"/>
          </w:tcPr>
          <w:p>
            <w:pPr>
              <w:jc w:val="right"/>
              <w:ind w:right="13"/>
              <w:spacing w:after="0"/>
              <w:rPr>
                <w:sz w:val="20"/>
                <w:szCs w:val="20"/>
                <w:color w:val="auto"/>
              </w:rPr>
            </w:pPr>
            <w:r>
              <w:rPr>
                <w:rFonts w:ascii="Arial" w:cs="Arial" w:eastAsia="Arial" w:hAnsi="Arial"/>
                <w:sz w:val="14"/>
                <w:szCs w:val="14"/>
                <w:b w:val="1"/>
                <w:bCs w:val="1"/>
                <w:color w:val="FFFFFF"/>
              </w:rPr>
              <w:t xml:space="preserve">    </w:t>
            </w:r>
          </w:p>
        </w:tc>
        <w:tc>
          <w:tcPr>
            <w:tcW w:w="1400" w:type="dxa"/>
            <w:vAlign w:val="bottom"/>
            <w:gridSpan w:val="2"/>
            <w:shd w:val="clear" w:color="auto" w:fill="4D5357"/>
          </w:tcPr>
          <w:p>
            <w:pPr>
              <w:jc w:val="right"/>
              <w:ind w:right="146"/>
              <w:spacing w:after="0"/>
              <w:rPr>
                <w:sz w:val="20"/>
                <w:szCs w:val="20"/>
                <w:color w:val="auto"/>
              </w:rPr>
            </w:pPr>
            <w:r>
              <w:rPr>
                <w:rFonts w:ascii="Arial" w:cs="Arial" w:eastAsia="Arial" w:hAnsi="Arial"/>
                <w:sz w:val="14"/>
                <w:szCs w:val="14"/>
                <w:b w:val="1"/>
                <w:bCs w:val="1"/>
                <w:color w:val="FFFFFF"/>
              </w:rPr>
              <w:t xml:space="preserve">Compensation    </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gridSpan w:val="2"/>
            <w:shd w:val="clear" w:color="auto" w:fill="4D5357"/>
          </w:tcPr>
          <w:p>
            <w:pPr>
              <w:spacing w:after="0"/>
              <w:rPr>
                <w:sz w:val="9"/>
                <w:szCs w:val="9"/>
                <w:color w:val="auto"/>
              </w:rPr>
            </w:pPr>
          </w:p>
        </w:tc>
        <w:tc>
          <w:tcPr>
            <w:tcW w:w="1060" w:type="dxa"/>
            <w:vAlign w:val="bottom"/>
            <w:shd w:val="clear" w:color="auto" w:fill="4D5357"/>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3"/>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EAEAEA"/>
          </w:tcPr>
          <w:p>
            <w:pPr>
              <w:spacing w:after="0"/>
              <w:rPr>
                <w:sz w:val="11"/>
                <w:szCs w:val="11"/>
                <w:color w:val="auto"/>
              </w:rPr>
            </w:pPr>
          </w:p>
        </w:tc>
        <w:tc>
          <w:tcPr>
            <w:tcW w:w="1260" w:type="dxa"/>
            <w:vAlign w:val="bottom"/>
            <w:shd w:val="clear" w:color="auto" w:fill="EAEAEA"/>
          </w:tcPr>
          <w:p>
            <w:pPr>
              <w:spacing w:after="0"/>
              <w:rPr>
                <w:sz w:val="11"/>
                <w:szCs w:val="11"/>
                <w:color w:val="auto"/>
              </w:rPr>
            </w:pPr>
          </w:p>
        </w:tc>
        <w:tc>
          <w:tcPr>
            <w:tcW w:w="1340" w:type="dxa"/>
            <w:vAlign w:val="bottom"/>
            <w:shd w:val="clear" w:color="auto" w:fill="EAEAEA"/>
          </w:tcPr>
          <w:p>
            <w:pPr>
              <w:spacing w:after="0"/>
              <w:rPr>
                <w:sz w:val="11"/>
                <w:szCs w:val="11"/>
                <w:color w:val="auto"/>
              </w:rPr>
            </w:pPr>
          </w:p>
        </w:tc>
        <w:tc>
          <w:tcPr>
            <w:tcW w:w="940" w:type="dxa"/>
            <w:vAlign w:val="bottom"/>
            <w:shd w:val="clear" w:color="auto" w:fill="EAEAEA"/>
          </w:tcPr>
          <w:p>
            <w:pPr>
              <w:ind w:left="140"/>
              <w:spacing w:after="0" w:line="135" w:lineRule="exact"/>
              <w:rPr>
                <w:sz w:val="20"/>
                <w:szCs w:val="20"/>
                <w:color w:val="auto"/>
              </w:rPr>
            </w:pPr>
            <w:r>
              <w:rPr>
                <w:rFonts w:ascii="Arial" w:cs="Arial" w:eastAsia="Arial" w:hAnsi="Arial"/>
                <w:sz w:val="12"/>
                <w:szCs w:val="12"/>
                <w:b w:val="1"/>
                <w:bCs w:val="1"/>
                <w:color w:val="0086CC"/>
              </w:rPr>
              <w:t> </w:t>
            </w:r>
          </w:p>
        </w:tc>
        <w:tc>
          <w:tcPr>
            <w:tcW w:w="740" w:type="dxa"/>
            <w:vAlign w:val="bottom"/>
            <w:shd w:val="clear" w:color="auto" w:fill="EAEAEA"/>
          </w:tcPr>
          <w:p>
            <w:pPr>
              <w:spacing w:after="0"/>
              <w:rPr>
                <w:sz w:val="11"/>
                <w:szCs w:val="11"/>
                <w:color w:val="auto"/>
              </w:rPr>
            </w:pPr>
          </w:p>
        </w:tc>
        <w:tc>
          <w:tcPr>
            <w:tcW w:w="200" w:type="dxa"/>
            <w:vAlign w:val="bottom"/>
            <w:shd w:val="clear" w:color="auto" w:fill="EAEAEA"/>
          </w:tcPr>
          <w:p>
            <w:pPr>
              <w:spacing w:after="0"/>
              <w:rPr>
                <w:sz w:val="11"/>
                <w:szCs w:val="11"/>
                <w:color w:val="auto"/>
              </w:rPr>
            </w:pPr>
          </w:p>
        </w:tc>
        <w:tc>
          <w:tcPr>
            <w:tcW w:w="1340" w:type="dxa"/>
            <w:vAlign w:val="bottom"/>
            <w:shd w:val="clear" w:color="auto" w:fill="EAEAEA"/>
          </w:tcPr>
          <w:p>
            <w:pPr>
              <w:spacing w:after="0"/>
              <w:rPr>
                <w:sz w:val="11"/>
                <w:szCs w:val="11"/>
                <w:color w:val="auto"/>
              </w:rPr>
            </w:pPr>
          </w:p>
        </w:tc>
        <w:tc>
          <w:tcPr>
            <w:tcW w:w="98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1400" w:type="dxa"/>
            <w:vAlign w:val="bottom"/>
            <w:gridSpan w:val="3"/>
            <w:shd w:val="clear" w:color="auto" w:fill="EAEAEA"/>
          </w:tcPr>
          <w:p>
            <w:pPr>
              <w:jc w:val="center"/>
              <w:ind w:left="47"/>
              <w:spacing w:after="0" w:line="135" w:lineRule="exact"/>
              <w:rPr>
                <w:sz w:val="20"/>
                <w:szCs w:val="20"/>
                <w:color w:val="auto"/>
              </w:rPr>
            </w:pPr>
            <w:r>
              <w:rPr>
                <w:rFonts w:ascii="Arial" w:cs="Arial" w:eastAsia="Arial" w:hAnsi="Arial"/>
                <w:sz w:val="12"/>
                <w:szCs w:val="12"/>
                <w:b w:val="1"/>
                <w:bCs w:val="1"/>
                <w:color w:val="0086CC"/>
                <w:w w:val="96"/>
              </w:rPr>
              <w:t>ALL OTHER STOCK</w:t>
            </w:r>
          </w:p>
        </w:tc>
        <w:tc>
          <w:tcPr>
            <w:tcW w:w="1060" w:type="dxa"/>
            <w:vAlign w:val="bottom"/>
            <w:shd w:val="clear" w:color="auto" w:fill="EAEAEA"/>
          </w:tcPr>
          <w:p>
            <w:pPr>
              <w:jc w:val="center"/>
              <w:ind w:left="46"/>
              <w:spacing w:after="0" w:line="135" w:lineRule="exact"/>
              <w:rPr>
                <w:sz w:val="20"/>
                <w:szCs w:val="20"/>
                <w:color w:val="auto"/>
              </w:rPr>
            </w:pPr>
            <w:r>
              <w:rPr>
                <w:rFonts w:ascii="Arial" w:cs="Arial" w:eastAsia="Arial" w:hAnsi="Arial"/>
                <w:sz w:val="12"/>
                <w:szCs w:val="12"/>
                <w:b w:val="1"/>
                <w:bCs w:val="1"/>
                <w:color w:val="0086CC"/>
                <w:w w:val="96"/>
              </w:rPr>
              <w:t>GRANT DATE</w:t>
            </w:r>
          </w:p>
        </w:tc>
        <w:tc>
          <w:tcPr>
            <w:tcW w:w="0" w:type="dxa"/>
            <w:vAlign w:val="bottom"/>
          </w:tcPr>
          <w:p>
            <w:pPr>
              <w:spacing w:after="0"/>
              <w:rPr>
                <w:sz w:val="1"/>
                <w:szCs w:val="1"/>
                <w:color w:val="auto"/>
              </w:rPr>
            </w:pPr>
          </w:p>
        </w:tc>
      </w:tr>
      <w:tr>
        <w:trPr>
          <w:trHeight w:val="135"/>
        </w:trPr>
        <w:tc>
          <w:tcPr>
            <w:tcW w:w="880" w:type="dxa"/>
            <w:vAlign w:val="bottom"/>
            <w:shd w:val="clear" w:color="auto" w:fill="EAEAEA"/>
          </w:tcPr>
          <w:p>
            <w:pPr>
              <w:spacing w:after="0"/>
              <w:rPr>
                <w:sz w:val="11"/>
                <w:szCs w:val="11"/>
                <w:color w:val="auto"/>
              </w:rPr>
            </w:pPr>
          </w:p>
        </w:tc>
        <w:tc>
          <w:tcPr>
            <w:tcW w:w="1260" w:type="dxa"/>
            <w:vAlign w:val="bottom"/>
            <w:shd w:val="clear" w:color="auto" w:fill="EAEAEA"/>
          </w:tcPr>
          <w:p>
            <w:pPr>
              <w:spacing w:after="0"/>
              <w:rPr>
                <w:sz w:val="11"/>
                <w:szCs w:val="11"/>
                <w:color w:val="auto"/>
              </w:rPr>
            </w:pPr>
          </w:p>
        </w:tc>
        <w:tc>
          <w:tcPr>
            <w:tcW w:w="1340" w:type="dxa"/>
            <w:vAlign w:val="bottom"/>
            <w:shd w:val="clear" w:color="auto" w:fill="EAEAEA"/>
          </w:tcPr>
          <w:p>
            <w:pPr>
              <w:spacing w:after="0"/>
              <w:rPr>
                <w:sz w:val="11"/>
                <w:szCs w:val="11"/>
                <w:color w:val="auto"/>
              </w:rPr>
            </w:pPr>
          </w:p>
        </w:tc>
        <w:tc>
          <w:tcPr>
            <w:tcW w:w="940" w:type="dxa"/>
            <w:vAlign w:val="bottom"/>
            <w:shd w:val="clear" w:color="auto" w:fill="EAEAEA"/>
          </w:tcPr>
          <w:p>
            <w:pPr>
              <w:ind w:left="140"/>
              <w:spacing w:after="0" w:line="135" w:lineRule="exact"/>
              <w:rPr>
                <w:sz w:val="20"/>
                <w:szCs w:val="20"/>
                <w:color w:val="auto"/>
              </w:rPr>
            </w:pPr>
            <w:r>
              <w:rPr>
                <w:rFonts w:ascii="Arial" w:cs="Arial" w:eastAsia="Arial" w:hAnsi="Arial"/>
                <w:sz w:val="12"/>
                <w:szCs w:val="12"/>
                <w:b w:val="1"/>
                <w:bCs w:val="1"/>
                <w:color w:val="0086CC"/>
              </w:rPr>
              <w:t> </w:t>
            </w:r>
          </w:p>
        </w:tc>
        <w:tc>
          <w:tcPr>
            <w:tcW w:w="740" w:type="dxa"/>
            <w:vAlign w:val="bottom"/>
            <w:shd w:val="clear" w:color="auto" w:fill="EAEAEA"/>
          </w:tcPr>
          <w:p>
            <w:pPr>
              <w:spacing w:after="0"/>
              <w:rPr>
                <w:sz w:val="11"/>
                <w:szCs w:val="11"/>
                <w:color w:val="auto"/>
              </w:rPr>
            </w:pPr>
          </w:p>
        </w:tc>
        <w:tc>
          <w:tcPr>
            <w:tcW w:w="200" w:type="dxa"/>
            <w:vAlign w:val="bottom"/>
            <w:shd w:val="clear" w:color="auto" w:fill="EAEAEA"/>
          </w:tcPr>
          <w:p>
            <w:pPr>
              <w:spacing w:after="0"/>
              <w:rPr>
                <w:sz w:val="11"/>
                <w:szCs w:val="11"/>
                <w:color w:val="auto"/>
              </w:rPr>
            </w:pPr>
          </w:p>
        </w:tc>
        <w:tc>
          <w:tcPr>
            <w:tcW w:w="1340" w:type="dxa"/>
            <w:vAlign w:val="bottom"/>
            <w:shd w:val="clear" w:color="auto" w:fill="EAEAEA"/>
          </w:tcPr>
          <w:p>
            <w:pPr>
              <w:spacing w:after="0"/>
              <w:rPr>
                <w:sz w:val="11"/>
                <w:szCs w:val="11"/>
                <w:color w:val="auto"/>
              </w:rPr>
            </w:pPr>
          </w:p>
        </w:tc>
        <w:tc>
          <w:tcPr>
            <w:tcW w:w="98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1060" w:type="dxa"/>
            <w:vAlign w:val="bottom"/>
            <w:gridSpan w:val="2"/>
            <w:shd w:val="clear" w:color="auto" w:fill="EAEAEA"/>
          </w:tcPr>
          <w:p>
            <w:pPr>
              <w:jc w:val="center"/>
              <w:ind w:left="387"/>
              <w:spacing w:after="0" w:line="135" w:lineRule="exact"/>
              <w:rPr>
                <w:sz w:val="20"/>
                <w:szCs w:val="20"/>
                <w:color w:val="auto"/>
              </w:rPr>
            </w:pPr>
            <w:r>
              <w:rPr>
                <w:rFonts w:ascii="Arial" w:cs="Arial" w:eastAsia="Arial" w:hAnsi="Arial"/>
                <w:sz w:val="12"/>
                <w:szCs w:val="12"/>
                <w:b w:val="1"/>
                <w:bCs w:val="1"/>
                <w:color w:val="0086CC"/>
                <w:w w:val="93"/>
              </w:rPr>
              <w:t>AWARDS:</w:t>
            </w:r>
          </w:p>
        </w:tc>
        <w:tc>
          <w:tcPr>
            <w:tcW w:w="340" w:type="dxa"/>
            <w:vAlign w:val="bottom"/>
            <w:shd w:val="clear" w:color="auto" w:fill="EAEAEA"/>
          </w:tcPr>
          <w:p>
            <w:pPr>
              <w:spacing w:after="0"/>
              <w:rPr>
                <w:sz w:val="11"/>
                <w:szCs w:val="11"/>
                <w:color w:val="auto"/>
              </w:rPr>
            </w:pPr>
          </w:p>
        </w:tc>
        <w:tc>
          <w:tcPr>
            <w:tcW w:w="1060" w:type="dxa"/>
            <w:vAlign w:val="bottom"/>
            <w:shd w:val="clear" w:color="auto" w:fill="EAEAEA"/>
          </w:tcPr>
          <w:p>
            <w:pPr>
              <w:jc w:val="right"/>
              <w:ind w:right="6"/>
              <w:spacing w:after="0" w:line="135" w:lineRule="exact"/>
              <w:rPr>
                <w:sz w:val="20"/>
                <w:szCs w:val="20"/>
                <w:color w:val="auto"/>
              </w:rPr>
            </w:pPr>
            <w:r>
              <w:rPr>
                <w:rFonts w:ascii="Arial" w:cs="Arial" w:eastAsia="Arial" w:hAnsi="Arial"/>
                <w:sz w:val="12"/>
                <w:szCs w:val="12"/>
                <w:b w:val="1"/>
                <w:bCs w:val="1"/>
                <w:color w:val="0086CC"/>
              </w:rPr>
              <w:t>FAIR VALUE OF</w:t>
            </w:r>
          </w:p>
        </w:tc>
        <w:tc>
          <w:tcPr>
            <w:tcW w:w="0" w:type="dxa"/>
            <w:vAlign w:val="bottom"/>
          </w:tcPr>
          <w:p>
            <w:pPr>
              <w:spacing w:after="0"/>
              <w:rPr>
                <w:sz w:val="1"/>
                <w:szCs w:val="1"/>
                <w:color w:val="auto"/>
              </w:rPr>
            </w:pPr>
          </w:p>
        </w:tc>
      </w:tr>
      <w:tr>
        <w:trPr>
          <w:trHeight w:val="148"/>
        </w:trPr>
        <w:tc>
          <w:tcPr>
            <w:tcW w:w="880" w:type="dxa"/>
            <w:vAlign w:val="bottom"/>
            <w:shd w:val="clear" w:color="auto" w:fill="EAEAEA"/>
          </w:tcPr>
          <w:p>
            <w:pPr>
              <w:spacing w:after="0"/>
              <w:rPr>
                <w:sz w:val="12"/>
                <w:szCs w:val="12"/>
                <w:color w:val="auto"/>
              </w:rPr>
            </w:pPr>
          </w:p>
        </w:tc>
        <w:tc>
          <w:tcPr>
            <w:tcW w:w="1260" w:type="dxa"/>
            <w:vAlign w:val="bottom"/>
            <w:shd w:val="clear" w:color="auto" w:fill="EAEAEA"/>
          </w:tcPr>
          <w:p>
            <w:pPr>
              <w:spacing w:after="0"/>
              <w:rPr>
                <w:sz w:val="12"/>
                <w:szCs w:val="12"/>
                <w:color w:val="auto"/>
              </w:rPr>
            </w:pPr>
          </w:p>
        </w:tc>
        <w:tc>
          <w:tcPr>
            <w:tcW w:w="3220" w:type="dxa"/>
            <w:vAlign w:val="bottom"/>
            <w:gridSpan w:val="4"/>
            <w:shd w:val="clear" w:color="auto" w:fill="EAEAEA"/>
          </w:tcPr>
          <w:p>
            <w:pPr>
              <w:ind w:left="440"/>
              <w:spacing w:after="0"/>
              <w:rPr>
                <w:sz w:val="20"/>
                <w:szCs w:val="20"/>
                <w:color w:val="auto"/>
              </w:rPr>
            </w:pPr>
            <w:r>
              <w:rPr>
                <w:rFonts w:ascii="Arial" w:cs="Arial" w:eastAsia="Arial" w:hAnsi="Arial"/>
                <w:sz w:val="12"/>
                <w:szCs w:val="12"/>
                <w:b w:val="1"/>
                <w:bCs w:val="1"/>
                <w:color w:val="0086CC"/>
              </w:rPr>
              <w:t>ESTIMATED FUTURE PAYOUTS UNDER</w:t>
            </w:r>
          </w:p>
        </w:tc>
        <w:tc>
          <w:tcPr>
            <w:tcW w:w="3200" w:type="dxa"/>
            <w:vAlign w:val="bottom"/>
            <w:gridSpan w:val="3"/>
            <w:shd w:val="clear" w:color="auto" w:fill="EAEAEA"/>
          </w:tcPr>
          <w:p>
            <w:pPr>
              <w:jc w:val="center"/>
              <w:ind w:left="21"/>
              <w:spacing w:after="0"/>
              <w:rPr>
                <w:sz w:val="20"/>
                <w:szCs w:val="20"/>
                <w:color w:val="auto"/>
              </w:rPr>
            </w:pPr>
            <w:r>
              <w:rPr>
                <w:rFonts w:ascii="Arial" w:cs="Arial" w:eastAsia="Arial" w:hAnsi="Arial"/>
                <w:sz w:val="12"/>
                <w:szCs w:val="12"/>
                <w:b w:val="1"/>
                <w:bCs w:val="1"/>
                <w:color w:val="0086CC"/>
                <w:w w:val="96"/>
              </w:rPr>
              <w:t>ESTIMATED FUTURE PAYOUTS UNDER</w:t>
            </w:r>
          </w:p>
        </w:tc>
        <w:tc>
          <w:tcPr>
            <w:tcW w:w="1400" w:type="dxa"/>
            <w:vAlign w:val="bottom"/>
            <w:gridSpan w:val="3"/>
            <w:shd w:val="clear" w:color="auto" w:fill="EAEAEA"/>
          </w:tcPr>
          <w:p>
            <w:pPr>
              <w:jc w:val="center"/>
              <w:ind w:left="47"/>
              <w:spacing w:after="0"/>
              <w:rPr>
                <w:sz w:val="20"/>
                <w:szCs w:val="20"/>
                <w:color w:val="auto"/>
              </w:rPr>
            </w:pPr>
            <w:r>
              <w:rPr>
                <w:rFonts w:ascii="Arial" w:cs="Arial" w:eastAsia="Arial" w:hAnsi="Arial"/>
                <w:sz w:val="12"/>
                <w:szCs w:val="12"/>
                <w:b w:val="1"/>
                <w:bCs w:val="1"/>
                <w:color w:val="0086CC"/>
                <w:w w:val="96"/>
              </w:rPr>
              <w:t>NUMBER OF</w:t>
            </w:r>
          </w:p>
        </w:tc>
        <w:tc>
          <w:tcPr>
            <w:tcW w:w="1060" w:type="dxa"/>
            <w:vAlign w:val="bottom"/>
            <w:shd w:val="clear" w:color="auto" w:fill="EAEAEA"/>
          </w:tcPr>
          <w:p>
            <w:pPr>
              <w:jc w:val="center"/>
              <w:ind w:left="46"/>
              <w:spacing w:after="0"/>
              <w:rPr>
                <w:sz w:val="20"/>
                <w:szCs w:val="20"/>
                <w:color w:val="auto"/>
              </w:rPr>
            </w:pPr>
            <w:r>
              <w:rPr>
                <w:rFonts w:ascii="Arial" w:cs="Arial" w:eastAsia="Arial" w:hAnsi="Arial"/>
                <w:sz w:val="12"/>
                <w:szCs w:val="12"/>
                <w:b w:val="1"/>
                <w:bCs w:val="1"/>
                <w:color w:val="0086CC"/>
                <w:w w:val="95"/>
              </w:rPr>
              <w:t>STOCK AND</w:t>
            </w:r>
          </w:p>
        </w:tc>
        <w:tc>
          <w:tcPr>
            <w:tcW w:w="0" w:type="dxa"/>
            <w:vAlign w:val="bottom"/>
          </w:tcPr>
          <w:p>
            <w:pPr>
              <w:spacing w:after="0"/>
              <w:rPr>
                <w:sz w:val="1"/>
                <w:szCs w:val="1"/>
                <w:color w:val="auto"/>
              </w:rPr>
            </w:pPr>
          </w:p>
        </w:tc>
      </w:tr>
      <w:tr>
        <w:trPr>
          <w:trHeight w:val="189"/>
        </w:trPr>
        <w:tc>
          <w:tcPr>
            <w:tcW w:w="880" w:type="dxa"/>
            <w:vAlign w:val="bottom"/>
            <w:tcBorders>
              <w:bottom w:val="single" w:sz="8" w:color="EAEAEA"/>
            </w:tcBorders>
            <w:shd w:val="clear" w:color="auto" w:fill="EAEAEA"/>
          </w:tcPr>
          <w:p>
            <w:pPr>
              <w:spacing w:after="0"/>
              <w:rPr>
                <w:sz w:val="16"/>
                <w:szCs w:val="16"/>
                <w:color w:val="auto"/>
              </w:rPr>
            </w:pPr>
          </w:p>
        </w:tc>
        <w:tc>
          <w:tcPr>
            <w:tcW w:w="1260" w:type="dxa"/>
            <w:vAlign w:val="bottom"/>
            <w:tcBorders>
              <w:bottom w:val="single" w:sz="8" w:color="EAEAEA"/>
            </w:tcBorders>
            <w:shd w:val="clear" w:color="auto" w:fill="EAEAEA"/>
          </w:tcPr>
          <w:p>
            <w:pPr>
              <w:spacing w:after="0"/>
              <w:rPr>
                <w:sz w:val="16"/>
                <w:szCs w:val="16"/>
                <w:color w:val="auto"/>
              </w:rPr>
            </w:pPr>
          </w:p>
        </w:tc>
        <w:tc>
          <w:tcPr>
            <w:tcW w:w="3220" w:type="dxa"/>
            <w:vAlign w:val="bottom"/>
            <w:tcBorders>
              <w:bottom w:val="single" w:sz="8" w:color="EAEAEA"/>
            </w:tcBorders>
            <w:gridSpan w:val="4"/>
            <w:shd w:val="clear" w:color="auto" w:fill="EAEAEA"/>
          </w:tcPr>
          <w:p>
            <w:pPr>
              <w:ind w:left="440"/>
              <w:spacing w:after="0" w:line="135" w:lineRule="exact"/>
              <w:rPr>
                <w:sz w:val="20"/>
                <w:szCs w:val="20"/>
                <w:color w:val="auto"/>
              </w:rPr>
            </w:pPr>
            <w:r>
              <w:rPr>
                <w:rFonts w:ascii="Arial" w:cs="Arial" w:eastAsia="Arial" w:hAnsi="Arial"/>
                <w:sz w:val="12"/>
                <w:szCs w:val="12"/>
                <w:b w:val="1"/>
                <w:bCs w:val="1"/>
                <w:color w:val="0086CC"/>
              </w:rPr>
              <w:t>NON-EQUITY INCENTIVE PLAN AWARD</w:t>
            </w:r>
          </w:p>
        </w:tc>
        <w:tc>
          <w:tcPr>
            <w:tcW w:w="3200" w:type="dxa"/>
            <w:vAlign w:val="bottom"/>
            <w:tcBorders>
              <w:bottom w:val="single" w:sz="8" w:color="EAEAEA"/>
            </w:tcBorders>
            <w:gridSpan w:val="3"/>
            <w:shd w:val="clear" w:color="auto" w:fill="EAEAEA"/>
          </w:tcPr>
          <w:p>
            <w:pPr>
              <w:jc w:val="center"/>
              <w:ind w:left="1"/>
              <w:spacing w:after="0" w:line="135" w:lineRule="exact"/>
              <w:rPr>
                <w:sz w:val="20"/>
                <w:szCs w:val="20"/>
                <w:color w:val="auto"/>
              </w:rPr>
            </w:pPr>
            <w:r>
              <w:rPr>
                <w:rFonts w:ascii="Arial" w:cs="Arial" w:eastAsia="Arial" w:hAnsi="Arial"/>
                <w:sz w:val="12"/>
                <w:szCs w:val="12"/>
                <w:b w:val="1"/>
                <w:bCs w:val="1"/>
                <w:color w:val="0086CC"/>
                <w:w w:val="96"/>
              </w:rPr>
              <w:t>EQUITY INCENTIVE PLAN AWARDS</w:t>
            </w:r>
          </w:p>
        </w:tc>
        <w:tc>
          <w:tcPr>
            <w:tcW w:w="1400" w:type="dxa"/>
            <w:vAlign w:val="bottom"/>
            <w:tcBorders>
              <w:bottom w:val="single" w:sz="8" w:color="EAEAEA"/>
            </w:tcBorders>
            <w:gridSpan w:val="3"/>
            <w:shd w:val="clear" w:color="auto" w:fill="EAEAEA"/>
          </w:tcPr>
          <w:p>
            <w:pPr>
              <w:jc w:val="center"/>
              <w:ind w:left="67"/>
              <w:spacing w:after="0" w:line="135" w:lineRule="exact"/>
              <w:rPr>
                <w:sz w:val="20"/>
                <w:szCs w:val="20"/>
                <w:color w:val="auto"/>
              </w:rPr>
            </w:pPr>
            <w:r>
              <w:rPr>
                <w:rFonts w:ascii="Arial" w:cs="Arial" w:eastAsia="Arial" w:hAnsi="Arial"/>
                <w:sz w:val="12"/>
                <w:szCs w:val="12"/>
                <w:b w:val="1"/>
                <w:bCs w:val="1"/>
                <w:color w:val="0086CC"/>
                <w:w w:val="97"/>
              </w:rPr>
              <w:t>SHARES OF</w:t>
            </w:r>
          </w:p>
        </w:tc>
        <w:tc>
          <w:tcPr>
            <w:tcW w:w="1060" w:type="dxa"/>
            <w:vAlign w:val="bottom"/>
            <w:tcBorders>
              <w:bottom w:val="single" w:sz="8" w:color="EAEAEA"/>
            </w:tcBorders>
            <w:shd w:val="clear" w:color="auto" w:fill="EAEAEA"/>
          </w:tcPr>
          <w:p>
            <w:pPr>
              <w:jc w:val="center"/>
              <w:ind w:left="46"/>
              <w:spacing w:after="0" w:line="135" w:lineRule="exact"/>
              <w:rPr>
                <w:sz w:val="20"/>
                <w:szCs w:val="20"/>
                <w:color w:val="auto"/>
              </w:rPr>
            </w:pPr>
            <w:r>
              <w:rPr>
                <w:rFonts w:ascii="Arial" w:cs="Arial" w:eastAsia="Arial" w:hAnsi="Arial"/>
                <w:sz w:val="12"/>
                <w:szCs w:val="12"/>
                <w:b w:val="1"/>
                <w:bCs w:val="1"/>
                <w:color w:val="0086CC"/>
                <w:w w:val="95"/>
              </w:rPr>
              <w:t>OPTION</w:t>
            </w:r>
          </w:p>
        </w:tc>
        <w:tc>
          <w:tcPr>
            <w:tcW w:w="0" w:type="dxa"/>
            <w:vAlign w:val="bottom"/>
          </w:tcPr>
          <w:p>
            <w:pPr>
              <w:spacing w:after="0"/>
              <w:rPr>
                <w:sz w:val="1"/>
                <w:szCs w:val="1"/>
                <w:color w:val="auto"/>
              </w:rPr>
            </w:pPr>
          </w:p>
        </w:tc>
      </w:tr>
      <w:tr>
        <w:trPr>
          <w:trHeight w:val="38"/>
        </w:trPr>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40" w:type="dxa"/>
            <w:vAlign w:val="bottom"/>
            <w:tcBorders>
              <w:top w:val="single" w:sz="8" w:color="0086CC"/>
            </w:tcBorders>
            <w:vMerge w:val="restart"/>
          </w:tcPr>
          <w:p>
            <w:pPr>
              <w:jc w:val="center"/>
              <w:ind w:left="141"/>
              <w:spacing w:after="0"/>
              <w:rPr>
                <w:sz w:val="20"/>
                <w:szCs w:val="20"/>
                <w:color w:val="auto"/>
              </w:rPr>
            </w:pPr>
            <w:r>
              <w:rPr>
                <w:rFonts w:ascii="Arial" w:cs="Arial" w:eastAsia="Arial" w:hAnsi="Arial"/>
                <w:sz w:val="12"/>
                <w:szCs w:val="12"/>
                <w:b w:val="1"/>
                <w:bCs w:val="1"/>
                <w:color w:val="0086CC"/>
                <w:w w:val="97"/>
              </w:rPr>
              <w:t>THRESHOLD ($)</w:t>
            </w:r>
          </w:p>
        </w:tc>
        <w:tc>
          <w:tcPr>
            <w:tcW w:w="1680" w:type="dxa"/>
            <w:vAlign w:val="bottom"/>
            <w:tcBorders>
              <w:top w:val="single" w:sz="8" w:color="0086CC"/>
            </w:tcBorders>
            <w:gridSpan w:val="2"/>
            <w:vMerge w:val="restart"/>
          </w:tcPr>
          <w:p>
            <w:pPr>
              <w:ind w:left="200"/>
              <w:spacing w:after="0"/>
              <w:rPr>
                <w:sz w:val="20"/>
                <w:szCs w:val="20"/>
                <w:color w:val="auto"/>
              </w:rPr>
            </w:pPr>
            <w:r>
              <w:rPr>
                <w:rFonts w:ascii="Arial" w:cs="Arial" w:eastAsia="Arial" w:hAnsi="Arial"/>
                <w:sz w:val="12"/>
                <w:szCs w:val="12"/>
                <w:b w:val="1"/>
                <w:bCs w:val="1"/>
                <w:color w:val="0086CC"/>
                <w:w w:val="99"/>
              </w:rPr>
              <w:t>TARGET ($) MAXIMUM ($)</w:t>
            </w:r>
          </w:p>
        </w:tc>
        <w:tc>
          <w:tcPr>
            <w:tcW w:w="200" w:type="dxa"/>
            <w:vAlign w:val="bottom"/>
            <w:vMerge w:val="restart"/>
          </w:tcPr>
          <w:p>
            <w:pPr>
              <w:spacing w:after="0"/>
              <w:rPr>
                <w:sz w:val="3"/>
                <w:szCs w:val="3"/>
                <w:color w:val="auto"/>
              </w:rPr>
            </w:pPr>
          </w:p>
        </w:tc>
        <w:tc>
          <w:tcPr>
            <w:tcW w:w="1340" w:type="dxa"/>
            <w:vAlign w:val="bottom"/>
            <w:tcBorders>
              <w:top w:val="single" w:sz="8" w:color="0086CC"/>
            </w:tcBorders>
            <w:vMerge w:val="restart"/>
          </w:tcPr>
          <w:p>
            <w:pPr>
              <w:jc w:val="center"/>
              <w:spacing w:after="0"/>
              <w:rPr>
                <w:sz w:val="20"/>
                <w:szCs w:val="20"/>
                <w:color w:val="auto"/>
              </w:rPr>
            </w:pPr>
            <w:r>
              <w:rPr>
                <w:rFonts w:ascii="Arial" w:cs="Arial" w:eastAsia="Arial" w:hAnsi="Arial"/>
                <w:sz w:val="12"/>
                <w:szCs w:val="12"/>
                <w:b w:val="1"/>
                <w:bCs w:val="1"/>
                <w:color w:val="0086CC"/>
                <w:w w:val="97"/>
              </w:rPr>
              <w:t>THRESHOLD (#)</w:t>
            </w:r>
          </w:p>
        </w:tc>
        <w:tc>
          <w:tcPr>
            <w:tcW w:w="980" w:type="dxa"/>
            <w:vAlign w:val="bottom"/>
            <w:tcBorders>
              <w:top w:val="single" w:sz="8" w:color="0086CC"/>
            </w:tcBorders>
            <w:vMerge w:val="restart"/>
          </w:tcPr>
          <w:p>
            <w:pPr>
              <w:jc w:val="center"/>
              <w:spacing w:after="0"/>
              <w:rPr>
                <w:sz w:val="20"/>
                <w:szCs w:val="20"/>
                <w:color w:val="auto"/>
              </w:rPr>
            </w:pPr>
            <w:r>
              <w:rPr>
                <w:rFonts w:ascii="Arial" w:cs="Arial" w:eastAsia="Arial" w:hAnsi="Arial"/>
                <w:sz w:val="12"/>
                <w:szCs w:val="12"/>
                <w:b w:val="1"/>
                <w:bCs w:val="1"/>
                <w:color w:val="0086CC"/>
                <w:w w:val="94"/>
              </w:rPr>
              <w:t>TARGET (#)</w:t>
            </w:r>
          </w:p>
        </w:tc>
        <w:tc>
          <w:tcPr>
            <w:tcW w:w="880" w:type="dxa"/>
            <w:vAlign w:val="bottom"/>
            <w:tcBorders>
              <w:top w:val="single" w:sz="8" w:color="0086CC"/>
            </w:tcBorders>
            <w:vMerge w:val="restart"/>
          </w:tcPr>
          <w:p>
            <w:pPr>
              <w:jc w:val="center"/>
              <w:ind w:left="60"/>
              <w:spacing w:after="0"/>
              <w:rPr>
                <w:sz w:val="20"/>
                <w:szCs w:val="20"/>
                <w:color w:val="auto"/>
              </w:rPr>
            </w:pPr>
            <w:r>
              <w:rPr>
                <w:rFonts w:ascii="Arial" w:cs="Arial" w:eastAsia="Arial" w:hAnsi="Arial"/>
                <w:sz w:val="12"/>
                <w:szCs w:val="12"/>
                <w:b w:val="1"/>
                <w:bCs w:val="1"/>
                <w:color w:val="0086CC"/>
                <w:w w:val="99"/>
              </w:rPr>
              <w:t>MAXIMUM (#)</w:t>
            </w:r>
          </w:p>
        </w:tc>
        <w:tc>
          <w:tcPr>
            <w:tcW w:w="1060" w:type="dxa"/>
            <w:vAlign w:val="bottom"/>
            <w:tcBorders>
              <w:top w:val="single" w:sz="8" w:color="EAEAEA"/>
            </w:tcBorders>
            <w:gridSpan w:val="2"/>
            <w:shd w:val="clear" w:color="auto" w:fill="EAEAEA"/>
          </w:tcPr>
          <w:p>
            <w:pPr>
              <w:jc w:val="center"/>
              <w:ind w:left="387"/>
              <w:spacing w:after="0" w:line="38" w:lineRule="exact"/>
              <w:rPr>
                <w:sz w:val="20"/>
                <w:szCs w:val="20"/>
                <w:color w:val="auto"/>
              </w:rPr>
            </w:pPr>
            <w:r>
              <w:rPr>
                <w:rFonts w:ascii="Arial" w:cs="Arial" w:eastAsia="Arial" w:hAnsi="Arial"/>
                <w:sz w:val="4"/>
                <w:szCs w:val="4"/>
                <w:b w:val="1"/>
                <w:bCs w:val="1"/>
                <w:color w:val="0086CC"/>
              </w:rPr>
              <w:t>STOCK OR</w:t>
            </w:r>
          </w:p>
        </w:tc>
        <w:tc>
          <w:tcPr>
            <w:tcW w:w="340" w:type="dxa"/>
            <w:vAlign w:val="bottom"/>
            <w:tcBorders>
              <w:top w:val="single" w:sz="8" w:color="EAEAEA"/>
            </w:tcBorders>
            <w:shd w:val="clear" w:color="auto" w:fill="EAEAEA"/>
          </w:tcPr>
          <w:p>
            <w:pPr>
              <w:spacing w:after="0"/>
              <w:rPr>
                <w:sz w:val="3"/>
                <w:szCs w:val="3"/>
                <w:color w:val="auto"/>
              </w:rPr>
            </w:pPr>
          </w:p>
        </w:tc>
        <w:tc>
          <w:tcPr>
            <w:tcW w:w="1060" w:type="dxa"/>
            <w:vAlign w:val="bottom"/>
            <w:tcBorders>
              <w:top w:val="single" w:sz="8" w:color="EAEAEA"/>
            </w:tcBorders>
            <w:shd w:val="clear" w:color="auto" w:fill="EAEAEA"/>
          </w:tcPr>
          <w:p>
            <w:pPr>
              <w:jc w:val="center"/>
              <w:ind w:left="46"/>
              <w:spacing w:after="0" w:line="38" w:lineRule="exact"/>
              <w:rPr>
                <w:sz w:val="20"/>
                <w:szCs w:val="20"/>
                <w:color w:val="auto"/>
              </w:rPr>
            </w:pPr>
            <w:r>
              <w:rPr>
                <w:rFonts w:ascii="Arial" w:cs="Arial" w:eastAsia="Arial" w:hAnsi="Arial"/>
                <w:sz w:val="3"/>
                <w:szCs w:val="3"/>
                <w:b w:val="1"/>
                <w:bCs w:val="1"/>
                <w:color w:val="0086CC"/>
              </w:rPr>
              <w:t>AWARDS</w:t>
            </w:r>
            <w:r>
              <w:rPr>
                <w:rFonts w:ascii="Arial" w:cs="Arial" w:eastAsia="Arial" w:hAnsi="Arial"/>
                <w:sz w:val="4"/>
                <w:szCs w:val="4"/>
                <w:b w:val="1"/>
                <w:bCs w:val="1"/>
                <w:color w:val="0086CC"/>
                <w:vertAlign w:val="superscript"/>
              </w:rPr>
              <w:t>4</w:t>
            </w:r>
          </w:p>
        </w:tc>
        <w:tc>
          <w:tcPr>
            <w:tcW w:w="0" w:type="dxa"/>
            <w:vAlign w:val="bottom"/>
          </w:tcPr>
          <w:p>
            <w:pPr>
              <w:spacing w:after="0" w:line="20" w:lineRule="exact"/>
              <w:rPr>
                <w:sz w:val="1"/>
                <w:szCs w:val="1"/>
                <w:color w:val="auto"/>
              </w:rPr>
            </w:pPr>
          </w:p>
        </w:tc>
      </w:tr>
      <w:tr>
        <w:trPr>
          <w:trHeight w:val="135"/>
        </w:trPr>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0086CC"/>
              </w:rPr>
              <w:t>NAME</w:t>
            </w:r>
          </w:p>
        </w:tc>
        <w:tc>
          <w:tcPr>
            <w:tcW w:w="1260" w:type="dxa"/>
            <w:vAlign w:val="bottom"/>
          </w:tcPr>
          <w:p>
            <w:pPr>
              <w:jc w:val="right"/>
              <w:ind w:right="239"/>
              <w:spacing w:after="0" w:line="135" w:lineRule="exact"/>
              <w:rPr>
                <w:sz w:val="20"/>
                <w:szCs w:val="20"/>
                <w:color w:val="auto"/>
              </w:rPr>
            </w:pPr>
            <w:r>
              <w:rPr>
                <w:rFonts w:ascii="Arial" w:cs="Arial" w:eastAsia="Arial" w:hAnsi="Arial"/>
                <w:sz w:val="12"/>
                <w:szCs w:val="12"/>
                <w:b w:val="1"/>
                <w:bCs w:val="1"/>
                <w:color w:val="0086CC"/>
              </w:rPr>
              <w:t>GRANT DATE</w:t>
            </w:r>
          </w:p>
        </w:tc>
        <w:tc>
          <w:tcPr>
            <w:tcW w:w="134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60" w:type="dxa"/>
            <w:vAlign w:val="bottom"/>
            <w:gridSpan w:val="2"/>
            <w:shd w:val="clear" w:color="auto" w:fill="EAEAEA"/>
          </w:tcPr>
          <w:p>
            <w:pPr>
              <w:jc w:val="center"/>
              <w:ind w:left="387"/>
              <w:spacing w:after="0" w:line="135" w:lineRule="exact"/>
              <w:rPr>
                <w:sz w:val="20"/>
                <w:szCs w:val="20"/>
                <w:color w:val="auto"/>
              </w:rPr>
            </w:pPr>
            <w:r>
              <w:rPr>
                <w:rFonts w:ascii="Arial" w:cs="Arial" w:eastAsia="Arial" w:hAnsi="Arial"/>
                <w:sz w:val="12"/>
                <w:szCs w:val="12"/>
                <w:b w:val="1"/>
                <w:bCs w:val="1"/>
                <w:color w:val="0086CC"/>
                <w:w w:val="99"/>
              </w:rPr>
              <w:t>UNITS (#)</w:t>
            </w:r>
          </w:p>
        </w:tc>
        <w:tc>
          <w:tcPr>
            <w:tcW w:w="340" w:type="dxa"/>
            <w:vAlign w:val="bottom"/>
            <w:shd w:val="clear" w:color="auto" w:fill="EAEAEA"/>
          </w:tcPr>
          <w:p>
            <w:pPr>
              <w:spacing w:after="0"/>
              <w:rPr>
                <w:sz w:val="11"/>
                <w:szCs w:val="11"/>
                <w:color w:val="auto"/>
              </w:rPr>
            </w:pPr>
          </w:p>
        </w:tc>
        <w:tc>
          <w:tcPr>
            <w:tcW w:w="1060" w:type="dxa"/>
            <w:vAlign w:val="bottom"/>
            <w:shd w:val="clear" w:color="auto" w:fill="EAEAEA"/>
          </w:tcPr>
          <w:p>
            <w:pPr>
              <w:jc w:val="center"/>
              <w:ind w:left="46"/>
              <w:spacing w:after="0" w:line="135" w:lineRule="exact"/>
              <w:rPr>
                <w:sz w:val="20"/>
                <w:szCs w:val="20"/>
                <w:color w:val="auto"/>
              </w:rPr>
            </w:pPr>
            <w:r>
              <w:rPr>
                <w:rFonts w:ascii="Arial" w:cs="Arial" w:eastAsia="Arial" w:hAnsi="Arial"/>
                <w:sz w:val="12"/>
                <w:szCs w:val="12"/>
                <w:b w:val="1"/>
                <w:bCs w:val="1"/>
                <w:color w:val="0086CC"/>
              </w:rPr>
              <w:t>($)</w:t>
            </w:r>
          </w:p>
        </w:tc>
        <w:tc>
          <w:tcPr>
            <w:tcW w:w="0" w:type="dxa"/>
            <w:vAlign w:val="bottom"/>
          </w:tcPr>
          <w:p>
            <w:pPr>
              <w:spacing w:after="0"/>
              <w:rPr>
                <w:sz w:val="1"/>
                <w:szCs w:val="1"/>
                <w:color w:val="auto"/>
              </w:rPr>
            </w:pPr>
          </w:p>
        </w:tc>
      </w:tr>
      <w:tr>
        <w:trPr>
          <w:trHeight w:val="179"/>
        </w:trPr>
        <w:tc>
          <w:tcPr>
            <w:tcW w:w="880" w:type="dxa"/>
            <w:vAlign w:val="bottom"/>
            <w:tcBorders>
              <w:bottom w:val="single" w:sz="8" w:color="0086CC"/>
            </w:tcBorders>
          </w:tcPr>
          <w:p>
            <w:pPr>
              <w:ind w:left="60"/>
              <w:spacing w:after="0"/>
              <w:rPr>
                <w:sz w:val="20"/>
                <w:szCs w:val="20"/>
                <w:color w:val="auto"/>
              </w:rPr>
            </w:pPr>
            <w:r>
              <w:rPr>
                <w:rFonts w:ascii="Arial" w:cs="Arial" w:eastAsia="Arial" w:hAnsi="Arial"/>
                <w:sz w:val="12"/>
                <w:szCs w:val="12"/>
                <w:b w:val="1"/>
                <w:bCs w:val="1"/>
                <w:color w:val="0086CC"/>
              </w:rPr>
              <w:t>(A)</w:t>
            </w:r>
          </w:p>
        </w:tc>
        <w:tc>
          <w:tcPr>
            <w:tcW w:w="1260" w:type="dxa"/>
            <w:vAlign w:val="bottom"/>
            <w:tcBorders>
              <w:bottom w:val="single" w:sz="8" w:color="0086CC"/>
            </w:tcBorders>
          </w:tcPr>
          <w:p>
            <w:pPr>
              <w:jc w:val="right"/>
              <w:ind w:right="539"/>
              <w:spacing w:after="0"/>
              <w:rPr>
                <w:sz w:val="20"/>
                <w:szCs w:val="20"/>
                <w:color w:val="auto"/>
              </w:rPr>
            </w:pPr>
            <w:r>
              <w:rPr>
                <w:rFonts w:ascii="Arial" w:cs="Arial" w:eastAsia="Arial" w:hAnsi="Arial"/>
                <w:sz w:val="12"/>
                <w:szCs w:val="12"/>
                <w:b w:val="1"/>
                <w:bCs w:val="1"/>
                <w:color w:val="0086CC"/>
              </w:rPr>
              <w:t>(B)</w:t>
            </w:r>
          </w:p>
        </w:tc>
        <w:tc>
          <w:tcPr>
            <w:tcW w:w="1340" w:type="dxa"/>
            <w:vAlign w:val="bottom"/>
            <w:tcBorders>
              <w:bottom w:val="single" w:sz="8" w:color="0086CC"/>
            </w:tcBorders>
          </w:tcPr>
          <w:p>
            <w:pPr>
              <w:jc w:val="center"/>
              <w:ind w:left="121"/>
              <w:spacing w:after="0"/>
              <w:rPr>
                <w:sz w:val="20"/>
                <w:szCs w:val="20"/>
                <w:color w:val="auto"/>
              </w:rPr>
            </w:pPr>
            <w:r>
              <w:rPr>
                <w:rFonts w:ascii="Arial" w:cs="Arial" w:eastAsia="Arial" w:hAnsi="Arial"/>
                <w:sz w:val="12"/>
                <w:szCs w:val="12"/>
                <w:b w:val="1"/>
                <w:bCs w:val="1"/>
                <w:color w:val="0086CC"/>
                <w:w w:val="95"/>
              </w:rPr>
              <w:t>(C)</w:t>
            </w:r>
          </w:p>
        </w:tc>
        <w:tc>
          <w:tcPr>
            <w:tcW w:w="940" w:type="dxa"/>
            <w:vAlign w:val="bottom"/>
            <w:tcBorders>
              <w:bottom w:val="single" w:sz="8" w:color="0086CC"/>
            </w:tcBorders>
          </w:tcPr>
          <w:p>
            <w:pPr>
              <w:jc w:val="center"/>
              <w:ind w:left="41"/>
              <w:spacing w:after="0"/>
              <w:rPr>
                <w:sz w:val="20"/>
                <w:szCs w:val="20"/>
                <w:color w:val="auto"/>
              </w:rPr>
            </w:pPr>
            <w:r>
              <w:rPr>
                <w:rFonts w:ascii="Arial" w:cs="Arial" w:eastAsia="Arial" w:hAnsi="Arial"/>
                <w:sz w:val="12"/>
                <w:szCs w:val="12"/>
                <w:b w:val="1"/>
                <w:bCs w:val="1"/>
                <w:color w:val="0086CC"/>
                <w:w w:val="95"/>
              </w:rPr>
              <w:t>(D)</w:t>
            </w:r>
          </w:p>
        </w:tc>
        <w:tc>
          <w:tcPr>
            <w:tcW w:w="940" w:type="dxa"/>
            <w:vAlign w:val="bottom"/>
            <w:tcBorders>
              <w:bottom w:val="single" w:sz="8" w:color="0086CC"/>
            </w:tcBorders>
            <w:gridSpan w:val="2"/>
          </w:tcPr>
          <w:p>
            <w:pPr>
              <w:ind w:left="280"/>
              <w:spacing w:after="0"/>
              <w:rPr>
                <w:sz w:val="20"/>
                <w:szCs w:val="20"/>
                <w:color w:val="auto"/>
              </w:rPr>
            </w:pPr>
            <w:r>
              <w:rPr>
                <w:rFonts w:ascii="Arial" w:cs="Arial" w:eastAsia="Arial" w:hAnsi="Arial"/>
                <w:sz w:val="12"/>
                <w:szCs w:val="12"/>
                <w:b w:val="1"/>
                <w:bCs w:val="1"/>
                <w:color w:val="0086CC"/>
              </w:rPr>
              <w:t>(E)</w:t>
            </w:r>
          </w:p>
        </w:tc>
        <w:tc>
          <w:tcPr>
            <w:tcW w:w="134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rPr>
              <w:t>(F)</w:t>
            </w:r>
          </w:p>
        </w:tc>
        <w:tc>
          <w:tcPr>
            <w:tcW w:w="98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2"/>
              </w:rPr>
              <w:t>(G)</w:t>
            </w:r>
          </w:p>
        </w:tc>
        <w:tc>
          <w:tcPr>
            <w:tcW w:w="880" w:type="dxa"/>
            <w:vAlign w:val="bottom"/>
            <w:tcBorders>
              <w:bottom w:val="single" w:sz="8" w:color="0086CC"/>
            </w:tcBorders>
          </w:tcPr>
          <w:p>
            <w:pPr>
              <w:jc w:val="center"/>
              <w:ind w:left="60"/>
              <w:spacing w:after="0"/>
              <w:rPr>
                <w:sz w:val="20"/>
                <w:szCs w:val="20"/>
                <w:color w:val="auto"/>
              </w:rPr>
            </w:pPr>
            <w:r>
              <w:rPr>
                <w:rFonts w:ascii="Arial" w:cs="Arial" w:eastAsia="Arial" w:hAnsi="Arial"/>
                <w:sz w:val="12"/>
                <w:szCs w:val="12"/>
                <w:b w:val="1"/>
                <w:bCs w:val="1"/>
                <w:color w:val="0086CC"/>
                <w:w w:val="95"/>
              </w:rPr>
              <w:t>(H)</w:t>
            </w:r>
          </w:p>
        </w:tc>
        <w:tc>
          <w:tcPr>
            <w:tcW w:w="580" w:type="dxa"/>
            <w:vAlign w:val="bottom"/>
            <w:tcBorders>
              <w:bottom w:val="single" w:sz="8" w:color="0086CC"/>
            </w:tcBorders>
            <w:shd w:val="clear" w:color="auto" w:fill="EAEAEA"/>
          </w:tcPr>
          <w:p>
            <w:pPr>
              <w:spacing w:after="0"/>
              <w:rPr>
                <w:sz w:val="15"/>
                <w:szCs w:val="15"/>
                <w:color w:val="auto"/>
              </w:rPr>
            </w:pPr>
          </w:p>
        </w:tc>
        <w:tc>
          <w:tcPr>
            <w:tcW w:w="480" w:type="dxa"/>
            <w:vAlign w:val="bottom"/>
            <w:tcBorders>
              <w:bottom w:val="single" w:sz="8" w:color="0086CC"/>
            </w:tcBorders>
            <w:shd w:val="clear" w:color="auto" w:fill="EAEAEA"/>
          </w:tcPr>
          <w:p>
            <w:pPr>
              <w:jc w:val="center"/>
              <w:ind w:right="73"/>
              <w:spacing w:after="0"/>
              <w:rPr>
                <w:sz w:val="20"/>
                <w:szCs w:val="20"/>
                <w:color w:val="auto"/>
              </w:rPr>
            </w:pPr>
            <w:r>
              <w:rPr>
                <w:rFonts w:ascii="Arial" w:cs="Arial" w:eastAsia="Arial" w:hAnsi="Arial"/>
                <w:sz w:val="12"/>
                <w:szCs w:val="12"/>
                <w:b w:val="1"/>
                <w:bCs w:val="1"/>
                <w:color w:val="0086CC"/>
                <w:w w:val="87"/>
              </w:rPr>
              <w:t>(I)</w:t>
            </w:r>
          </w:p>
        </w:tc>
        <w:tc>
          <w:tcPr>
            <w:tcW w:w="340" w:type="dxa"/>
            <w:vAlign w:val="bottom"/>
            <w:tcBorders>
              <w:bottom w:val="single" w:sz="8" w:color="0086CC"/>
            </w:tcBorders>
            <w:shd w:val="clear" w:color="auto" w:fill="EAEAEA"/>
          </w:tcPr>
          <w:p>
            <w:pPr>
              <w:spacing w:after="0"/>
              <w:rPr>
                <w:sz w:val="15"/>
                <w:szCs w:val="15"/>
                <w:color w:val="auto"/>
              </w:rPr>
            </w:pPr>
          </w:p>
        </w:tc>
        <w:tc>
          <w:tcPr>
            <w:tcW w:w="1060" w:type="dxa"/>
            <w:vAlign w:val="bottom"/>
            <w:tcBorders>
              <w:bottom w:val="single" w:sz="8" w:color="0086CC"/>
            </w:tcBorders>
            <w:shd w:val="clear" w:color="auto" w:fill="EAEAEA"/>
          </w:tcPr>
          <w:p>
            <w:pPr>
              <w:jc w:val="center"/>
              <w:ind w:left="46"/>
              <w:spacing w:after="0"/>
              <w:rPr>
                <w:sz w:val="20"/>
                <w:szCs w:val="20"/>
                <w:color w:val="auto"/>
              </w:rPr>
            </w:pPr>
            <w:r>
              <w:rPr>
                <w:rFonts w:ascii="Arial" w:cs="Arial" w:eastAsia="Arial" w:hAnsi="Arial"/>
                <w:sz w:val="12"/>
                <w:szCs w:val="12"/>
                <w:b w:val="1"/>
                <w:bCs w:val="1"/>
                <w:color w:val="0086CC"/>
              </w:rPr>
              <w:t>(J)</w:t>
            </w:r>
          </w:p>
        </w:tc>
        <w:tc>
          <w:tcPr>
            <w:tcW w:w="0" w:type="dxa"/>
            <w:vAlign w:val="bottom"/>
          </w:tcPr>
          <w:p>
            <w:pPr>
              <w:spacing w:after="0"/>
              <w:rPr>
                <w:sz w:val="1"/>
                <w:szCs w:val="1"/>
                <w:color w:val="auto"/>
              </w:rPr>
            </w:pPr>
          </w:p>
        </w:tc>
      </w:tr>
      <w:tr>
        <w:trPr>
          <w:trHeight w:val="171"/>
        </w:trPr>
        <w:tc>
          <w:tcPr>
            <w:tcW w:w="880" w:type="dxa"/>
            <w:vAlign w:val="bottom"/>
          </w:tcPr>
          <w:p>
            <w:pPr>
              <w:ind w:left="60"/>
              <w:spacing w:after="0"/>
              <w:rPr>
                <w:sz w:val="20"/>
                <w:szCs w:val="20"/>
                <w:color w:val="auto"/>
              </w:rPr>
            </w:pPr>
            <w:r>
              <w:rPr>
                <w:rFonts w:ascii="Arial" w:cs="Arial" w:eastAsia="Arial" w:hAnsi="Arial"/>
                <w:sz w:val="13"/>
                <w:szCs w:val="13"/>
                <w:b w:val="1"/>
                <w:bCs w:val="1"/>
                <w:color w:val="4D5357"/>
              </w:rPr>
              <w:t>Bradley D.</w:t>
            </w:r>
          </w:p>
        </w:tc>
        <w:tc>
          <w:tcPr>
            <w:tcW w:w="1260" w:type="dxa"/>
            <w:vAlign w:val="bottom"/>
          </w:tcPr>
          <w:p>
            <w:pPr>
              <w:jc w:val="right"/>
              <w:ind w:right="259"/>
              <w:spacing w:after="0" w:line="170" w:lineRule="exact"/>
              <w:rPr>
                <w:sz w:val="20"/>
                <w:szCs w:val="20"/>
                <w:color w:val="auto"/>
              </w:rPr>
            </w:pPr>
            <w:r>
              <w:rPr>
                <w:rFonts w:ascii="Arial" w:cs="Arial" w:eastAsia="Arial" w:hAnsi="Arial"/>
                <w:sz w:val="13"/>
                <w:szCs w:val="13"/>
                <w:color w:val="0086CC"/>
              </w:rPr>
              <w:t>2/20/2026</w:t>
            </w:r>
            <w:r>
              <w:rPr>
                <w:rFonts w:ascii="Arial" w:cs="Arial" w:eastAsia="Arial" w:hAnsi="Arial"/>
                <w:sz w:val="18"/>
                <w:szCs w:val="18"/>
                <w:color w:val="0086CC"/>
                <w:vertAlign w:val="superscript"/>
              </w:rPr>
              <w:t>1</w:t>
            </w:r>
          </w:p>
        </w:tc>
        <w:tc>
          <w:tcPr>
            <w:tcW w:w="1340" w:type="dxa"/>
            <w:vAlign w:val="bottom"/>
          </w:tcPr>
          <w:p>
            <w:pPr>
              <w:ind w:left="480"/>
              <w:spacing w:after="0"/>
              <w:rPr>
                <w:sz w:val="20"/>
                <w:szCs w:val="20"/>
                <w:color w:val="auto"/>
              </w:rPr>
            </w:pPr>
            <w:r>
              <w:rPr>
                <w:rFonts w:ascii="Arial" w:cs="Arial" w:eastAsia="Arial" w:hAnsi="Arial"/>
                <w:sz w:val="13"/>
                <w:szCs w:val="13"/>
                <w:color w:val="4D5357"/>
              </w:rPr>
              <w:t xml:space="preserve">           </w:t>
            </w:r>
          </w:p>
        </w:tc>
        <w:tc>
          <w:tcPr>
            <w:tcW w:w="940" w:type="dxa"/>
            <w:vAlign w:val="bottom"/>
          </w:tcPr>
          <w:p>
            <w:pPr>
              <w:jc w:val="center"/>
              <w:ind w:left="41"/>
              <w:spacing w:after="0"/>
              <w:rPr>
                <w:sz w:val="20"/>
                <w:szCs w:val="20"/>
                <w:color w:val="auto"/>
              </w:rPr>
            </w:pPr>
            <w:r>
              <w:rPr>
                <w:rFonts w:ascii="Arial" w:cs="Arial" w:eastAsia="Arial" w:hAnsi="Arial"/>
                <w:sz w:val="13"/>
                <w:szCs w:val="13"/>
                <w:color w:val="4D5357"/>
                <w:w w:val="93"/>
              </w:rPr>
              <w:t>    522,000</w:t>
            </w:r>
          </w:p>
        </w:tc>
        <w:tc>
          <w:tcPr>
            <w:tcW w:w="740" w:type="dxa"/>
            <w:vAlign w:val="bottom"/>
          </w:tcPr>
          <w:p>
            <w:pPr>
              <w:jc w:val="right"/>
              <w:spacing w:after="0"/>
              <w:rPr>
                <w:sz w:val="20"/>
                <w:szCs w:val="20"/>
                <w:color w:val="auto"/>
              </w:rPr>
            </w:pPr>
            <w:r>
              <w:rPr>
                <w:rFonts w:ascii="Arial" w:cs="Arial" w:eastAsia="Arial" w:hAnsi="Arial"/>
                <w:sz w:val="13"/>
                <w:szCs w:val="13"/>
                <w:color w:val="4D5357"/>
              </w:rPr>
              <w:t>1,305,000</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60"/>
              <w:spacing w:after="0"/>
              <w:rPr>
                <w:sz w:val="20"/>
                <w:szCs w:val="20"/>
                <w:color w:val="auto"/>
              </w:rPr>
            </w:pPr>
            <w:r>
              <w:rPr>
                <w:rFonts w:ascii="Arial" w:cs="Arial" w:eastAsia="Arial" w:hAnsi="Arial"/>
                <w:sz w:val="13"/>
                <w:szCs w:val="13"/>
                <w:b w:val="1"/>
                <w:bCs w:val="1"/>
                <w:color w:val="4D5357"/>
              </w:rPr>
              <w:t>Kohn</w:t>
            </w:r>
          </w:p>
        </w:tc>
        <w:tc>
          <w:tcPr>
            <w:tcW w:w="1260" w:type="dxa"/>
            <w:vAlign w:val="bottom"/>
          </w:tcPr>
          <w:p>
            <w:pPr>
              <w:jc w:val="right"/>
              <w:ind w:right="259"/>
              <w:spacing w:after="0" w:line="202"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2</w:t>
            </w: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4D5357"/>
                <w:w w:val="92"/>
              </w:rPr>
              <w:t>    480</w:t>
            </w:r>
          </w:p>
        </w:tc>
        <w:tc>
          <w:tcPr>
            <w:tcW w:w="980" w:type="dxa"/>
            <w:vAlign w:val="bottom"/>
          </w:tcPr>
          <w:p>
            <w:pPr>
              <w:jc w:val="right"/>
              <w:ind w:right="220"/>
              <w:spacing w:after="0"/>
              <w:rPr>
                <w:sz w:val="20"/>
                <w:szCs w:val="20"/>
                <w:color w:val="auto"/>
              </w:rPr>
            </w:pPr>
            <w:r>
              <w:rPr>
                <w:rFonts w:ascii="Arial" w:cs="Arial" w:eastAsia="Arial" w:hAnsi="Arial"/>
                <w:sz w:val="13"/>
                <w:szCs w:val="13"/>
                <w:color w:val="4D5357"/>
              </w:rPr>
              <w:t>1,198</w:t>
            </w:r>
          </w:p>
        </w:tc>
        <w:tc>
          <w:tcPr>
            <w:tcW w:w="880" w:type="dxa"/>
            <w:vAlign w:val="bottom"/>
          </w:tcPr>
          <w:p>
            <w:pPr>
              <w:ind w:left="360"/>
              <w:spacing w:after="0"/>
              <w:rPr>
                <w:sz w:val="20"/>
                <w:szCs w:val="20"/>
                <w:color w:val="auto"/>
              </w:rPr>
            </w:pPr>
            <w:r>
              <w:rPr>
                <w:rFonts w:ascii="Arial" w:cs="Arial" w:eastAsia="Arial" w:hAnsi="Arial"/>
                <w:sz w:val="13"/>
                <w:szCs w:val="13"/>
                <w:color w:val="4D5357"/>
              </w:rPr>
              <w:t>   2,876</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26"/>
              <w:spacing w:after="0"/>
              <w:rPr>
                <w:sz w:val="20"/>
                <w:szCs w:val="20"/>
                <w:color w:val="auto"/>
              </w:rPr>
            </w:pPr>
            <w:r>
              <w:rPr>
                <w:rFonts w:ascii="Arial" w:cs="Arial" w:eastAsia="Arial" w:hAnsi="Arial"/>
                <w:sz w:val="13"/>
                <w:szCs w:val="13"/>
                <w:color w:val="4D5357"/>
              </w:rPr>
              <w:t>    603,049</w:t>
            </w:r>
          </w:p>
        </w:tc>
        <w:tc>
          <w:tcPr>
            <w:tcW w:w="0" w:type="dxa"/>
            <w:vAlign w:val="bottom"/>
          </w:tcPr>
          <w:p>
            <w:pPr>
              <w:spacing w:after="0"/>
              <w:rPr>
                <w:sz w:val="1"/>
                <w:szCs w:val="1"/>
                <w:color w:val="auto"/>
              </w:rPr>
            </w:pPr>
          </w:p>
        </w:tc>
      </w:tr>
      <w:tr>
        <w:trPr>
          <w:trHeight w:val="180"/>
        </w:trPr>
        <w:tc>
          <w:tcPr>
            <w:tcW w:w="880" w:type="dxa"/>
            <w:vAlign w:val="bottom"/>
            <w:tcBorders>
              <w:bottom w:val="single" w:sz="8" w:color="4D5357"/>
            </w:tcBorders>
          </w:tcPr>
          <w:p>
            <w:pPr>
              <w:spacing w:after="0"/>
              <w:rPr>
                <w:sz w:val="15"/>
                <w:szCs w:val="15"/>
                <w:color w:val="auto"/>
              </w:rPr>
            </w:pPr>
          </w:p>
        </w:tc>
        <w:tc>
          <w:tcPr>
            <w:tcW w:w="1260" w:type="dxa"/>
            <w:vAlign w:val="bottom"/>
            <w:tcBorders>
              <w:bottom w:val="single" w:sz="8" w:color="4D5357"/>
            </w:tcBorders>
          </w:tcPr>
          <w:p>
            <w:pPr>
              <w:jc w:val="right"/>
              <w:ind w:right="259"/>
              <w:spacing w:after="0" w:line="180" w:lineRule="exact"/>
              <w:rPr>
                <w:sz w:val="20"/>
                <w:szCs w:val="20"/>
                <w:color w:val="auto"/>
              </w:rPr>
            </w:pPr>
            <w:r>
              <w:rPr>
                <w:rFonts w:ascii="Arial" w:cs="Arial" w:eastAsia="Arial" w:hAnsi="Arial"/>
                <w:sz w:val="13"/>
                <w:szCs w:val="13"/>
                <w:color w:val="4D5357"/>
              </w:rPr>
              <w:t>02/21/25</w:t>
            </w:r>
            <w:r>
              <w:rPr>
                <w:rFonts w:ascii="Arial" w:cs="Arial" w:eastAsia="Arial" w:hAnsi="Arial"/>
                <w:sz w:val="18"/>
                <w:szCs w:val="18"/>
                <w:color w:val="4D5357"/>
                <w:vertAlign w:val="superscript"/>
              </w:rPr>
              <w:t>3</w:t>
            </w:r>
          </w:p>
        </w:tc>
        <w:tc>
          <w:tcPr>
            <w:tcW w:w="1340" w:type="dxa"/>
            <w:vAlign w:val="bottom"/>
            <w:tcBorders>
              <w:bottom w:val="single" w:sz="8" w:color="4D5357"/>
            </w:tcBorders>
          </w:tcPr>
          <w:p>
            <w:pPr>
              <w:spacing w:after="0"/>
              <w:rPr>
                <w:sz w:val="15"/>
                <w:szCs w:val="15"/>
                <w:color w:val="auto"/>
              </w:rPr>
            </w:pPr>
          </w:p>
        </w:tc>
        <w:tc>
          <w:tcPr>
            <w:tcW w:w="940" w:type="dxa"/>
            <w:vAlign w:val="bottom"/>
            <w:tcBorders>
              <w:bottom w:val="single" w:sz="8" w:color="4D5357"/>
            </w:tcBorders>
          </w:tcPr>
          <w:p>
            <w:pPr>
              <w:spacing w:after="0"/>
              <w:rPr>
                <w:sz w:val="15"/>
                <w:szCs w:val="15"/>
                <w:color w:val="auto"/>
              </w:rPr>
            </w:pPr>
          </w:p>
        </w:tc>
        <w:tc>
          <w:tcPr>
            <w:tcW w:w="740" w:type="dxa"/>
            <w:vAlign w:val="bottom"/>
            <w:tcBorders>
              <w:bottom w:val="single" w:sz="8" w:color="4D5357"/>
            </w:tcBorders>
          </w:tcPr>
          <w:p>
            <w:pPr>
              <w:spacing w:after="0"/>
              <w:rPr>
                <w:sz w:val="15"/>
                <w:szCs w:val="15"/>
                <w:color w:val="auto"/>
              </w:rPr>
            </w:pPr>
          </w:p>
        </w:tc>
        <w:tc>
          <w:tcPr>
            <w:tcW w:w="200" w:type="dxa"/>
            <w:vAlign w:val="bottom"/>
            <w:tcBorders>
              <w:bottom w:val="single" w:sz="8" w:color="4D5357"/>
            </w:tcBorders>
          </w:tcPr>
          <w:p>
            <w:pPr>
              <w:spacing w:after="0"/>
              <w:rPr>
                <w:sz w:val="15"/>
                <w:szCs w:val="15"/>
                <w:color w:val="auto"/>
              </w:rPr>
            </w:pPr>
          </w:p>
        </w:tc>
        <w:tc>
          <w:tcPr>
            <w:tcW w:w="1340" w:type="dxa"/>
            <w:vAlign w:val="bottom"/>
            <w:tcBorders>
              <w:bottom w:val="single" w:sz="8" w:color="4D5357"/>
            </w:tcBorders>
          </w:tcPr>
          <w:p>
            <w:pPr>
              <w:spacing w:after="0"/>
              <w:rPr>
                <w:sz w:val="15"/>
                <w:szCs w:val="15"/>
                <w:color w:val="auto"/>
              </w:rPr>
            </w:pPr>
          </w:p>
        </w:tc>
        <w:tc>
          <w:tcPr>
            <w:tcW w:w="980" w:type="dxa"/>
            <w:vAlign w:val="bottom"/>
            <w:tcBorders>
              <w:bottom w:val="single" w:sz="8" w:color="4D5357"/>
            </w:tcBorders>
          </w:tcPr>
          <w:p>
            <w:pPr>
              <w:spacing w:after="0"/>
              <w:rPr>
                <w:sz w:val="15"/>
                <w:szCs w:val="15"/>
                <w:color w:val="auto"/>
              </w:rPr>
            </w:pPr>
          </w:p>
        </w:tc>
        <w:tc>
          <w:tcPr>
            <w:tcW w:w="880" w:type="dxa"/>
            <w:vAlign w:val="bottom"/>
            <w:tcBorders>
              <w:bottom w:val="single" w:sz="8" w:color="4D5357"/>
            </w:tcBorders>
          </w:tcPr>
          <w:p>
            <w:pPr>
              <w:spacing w:after="0"/>
              <w:rPr>
                <w:sz w:val="15"/>
                <w:szCs w:val="15"/>
                <w:color w:val="auto"/>
              </w:rPr>
            </w:pPr>
          </w:p>
        </w:tc>
        <w:tc>
          <w:tcPr>
            <w:tcW w:w="1060" w:type="dxa"/>
            <w:vAlign w:val="bottom"/>
            <w:tcBorders>
              <w:bottom w:val="single" w:sz="8" w:color="4D5357"/>
            </w:tcBorders>
            <w:gridSpan w:val="2"/>
          </w:tcPr>
          <w:p>
            <w:pPr>
              <w:jc w:val="center"/>
              <w:ind w:left="387"/>
              <w:spacing w:after="0"/>
              <w:rPr>
                <w:sz w:val="20"/>
                <w:szCs w:val="20"/>
                <w:color w:val="auto"/>
              </w:rPr>
            </w:pPr>
            <w:r>
              <w:rPr>
                <w:rFonts w:ascii="Arial" w:cs="Arial" w:eastAsia="Arial" w:hAnsi="Arial"/>
                <w:sz w:val="13"/>
                <w:szCs w:val="13"/>
                <w:color w:val="4D5357"/>
                <w:w w:val="87"/>
              </w:rPr>
              <w:t>    981</w:t>
            </w:r>
          </w:p>
        </w:tc>
        <w:tc>
          <w:tcPr>
            <w:tcW w:w="340" w:type="dxa"/>
            <w:vAlign w:val="bottom"/>
            <w:tcBorders>
              <w:bottom w:val="single" w:sz="8" w:color="4D5357"/>
            </w:tcBorders>
          </w:tcPr>
          <w:p>
            <w:pPr>
              <w:spacing w:after="0"/>
              <w:rPr>
                <w:sz w:val="15"/>
                <w:szCs w:val="15"/>
                <w:color w:val="auto"/>
              </w:rPr>
            </w:pPr>
          </w:p>
        </w:tc>
        <w:tc>
          <w:tcPr>
            <w:tcW w:w="1060" w:type="dxa"/>
            <w:vAlign w:val="bottom"/>
            <w:tcBorders>
              <w:bottom w:val="single" w:sz="8" w:color="4D5357"/>
            </w:tcBorders>
          </w:tcPr>
          <w:p>
            <w:pPr>
              <w:jc w:val="right"/>
              <w:ind w:right="26"/>
              <w:spacing w:after="0"/>
              <w:rPr>
                <w:sz w:val="20"/>
                <w:szCs w:val="20"/>
                <w:color w:val="auto"/>
              </w:rPr>
            </w:pPr>
            <w:r>
              <w:rPr>
                <w:rFonts w:ascii="Arial" w:cs="Arial" w:eastAsia="Arial" w:hAnsi="Arial"/>
                <w:sz w:val="13"/>
                <w:szCs w:val="13"/>
                <w:color w:val="4D5357"/>
              </w:rPr>
              <w:t>    480,533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-993775</wp:posOffset>
            </wp:positionV>
            <wp:extent cx="6995160" cy="6254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178" w:lineRule="exact"/>
        <w:rPr>
          <w:sz w:val="20"/>
          <w:szCs w:val="20"/>
          <w:color w:val="auto"/>
        </w:rPr>
      </w:pPr>
    </w:p>
    <w:p>
      <w:pPr>
        <w:ind w:left="224" w:right="20" w:hanging="224"/>
        <w:spacing w:after="0" w:line="222" w:lineRule="auto"/>
        <w:tabs>
          <w:tab w:leader="none" w:pos="224" w:val="left"/>
        </w:tabs>
        <w:numPr>
          <w:ilvl w:val="0"/>
          <w:numId w:val="111"/>
        </w:numPr>
        <w:rPr>
          <w:rFonts w:ascii="Arial" w:cs="Arial" w:eastAsia="Arial" w:hAnsi="Arial"/>
          <w:sz w:val="13"/>
          <w:szCs w:val="13"/>
          <w:color w:val="333333"/>
        </w:rPr>
      </w:pPr>
      <w:r>
        <w:rPr>
          <w:rFonts w:ascii="Arial" w:cs="Arial" w:eastAsia="Arial" w:hAnsi="Arial"/>
          <w:sz w:val="13"/>
          <w:szCs w:val="13"/>
          <w:color w:val="333333"/>
        </w:rPr>
        <w:t>The amounts shown in this row reflect the annual bonus that could have been earned in 2025, payable in 2026, pursuant to the Executive Cash Incentive Plan. For each named executive officer, column (C) reflects no award would be earned if the threshold level is not achieved, provided that the minimum amount for the payout will be 50% of target if the Company successfully pays an unreduced dividend in the year and records positive Net Earnings Attributable to Martin Marietta and the minimum amount for the payout will be 100% of target if the criteria for the 50% minimum payout level are met and the Company’s one-year operating margin ranks in the top three of six direct publicly traded peers. The amounts shown in columns (D) and (E) reflect the portion of the annual bonus that would have been paid in cash if, respectively, target and maximum performance was achieved for the year (i.e., after reduction for the total portion that would be deferred pursuant to the Incentive Stock Plan pursuant to voluntary deferrals). The amounts shown in columns (G) and (H) reflect the portion of the annual bonus that would have been deferred pursuant to the Incentive Stock Plan if, respectively, target and maximum performance was achieved for the year, inclusive of the 20% discount. Participants in the Incentive Stock Plan for 2025 were approved on May 18, 2025. These awards are discussed under the heading “Annual Incentive Feature: Incentive Stock Plan” on page 66. The actual amounts paid are reflected in the Summary Compensation Table on page 77.</w:t>
      </w:r>
    </w:p>
    <w:p>
      <w:pPr>
        <w:spacing w:after="0" w:line="38" w:lineRule="exact"/>
        <w:rPr>
          <w:sz w:val="20"/>
          <w:szCs w:val="20"/>
          <w:color w:val="auto"/>
        </w:rPr>
      </w:pPr>
    </w:p>
    <w:p>
      <w:pPr>
        <w:ind w:left="224" w:right="320" w:hanging="224"/>
        <w:spacing w:after="0" w:line="243" w:lineRule="auto"/>
        <w:tabs>
          <w:tab w:leader="none" w:pos="224" w:val="left"/>
        </w:tabs>
        <w:numPr>
          <w:ilvl w:val="0"/>
          <w:numId w:val="112"/>
        </w:numPr>
        <w:rPr>
          <w:rFonts w:ascii="Arial" w:cs="Arial" w:eastAsia="Arial" w:hAnsi="Arial"/>
          <w:sz w:val="13"/>
          <w:szCs w:val="13"/>
          <w:color w:val="333333"/>
        </w:rPr>
      </w:pPr>
      <w:r>
        <w:rPr>
          <w:rFonts w:ascii="Arial" w:cs="Arial" w:eastAsia="Arial" w:hAnsi="Arial"/>
          <w:sz w:val="13"/>
          <w:szCs w:val="13"/>
          <w:color w:val="333333"/>
        </w:rPr>
        <w:t>The amounts shown in columns (F), (G) and (H) reflect the threshold, target and maximum, respectively, levels of PSUs payable if the performance measurements are satisfied in the period 2025-2027. These awards are discussed under the heading “2025 Long-Term Incentive Compensation” on pages 66-70.</w:t>
      </w:r>
    </w:p>
    <w:p>
      <w:pPr>
        <w:spacing w:after="0" w:line="35" w:lineRule="exact"/>
        <w:rPr>
          <w:sz w:val="20"/>
          <w:szCs w:val="20"/>
          <w:color w:val="auto"/>
        </w:rPr>
      </w:pPr>
    </w:p>
    <w:p>
      <w:pPr>
        <w:ind w:left="224" w:right="280" w:hanging="224"/>
        <w:spacing w:after="0" w:line="283" w:lineRule="auto"/>
        <w:tabs>
          <w:tab w:leader="none" w:pos="224" w:val="left"/>
        </w:tabs>
        <w:numPr>
          <w:ilvl w:val="0"/>
          <w:numId w:val="113"/>
        </w:numPr>
        <w:rPr>
          <w:rFonts w:ascii="Arial" w:cs="Arial" w:eastAsia="Arial" w:hAnsi="Arial"/>
          <w:sz w:val="12"/>
          <w:szCs w:val="12"/>
          <w:color w:val="333333"/>
        </w:rPr>
      </w:pPr>
      <w:r>
        <w:rPr>
          <w:rFonts w:ascii="Arial" w:cs="Arial" w:eastAsia="Arial" w:hAnsi="Arial"/>
          <w:sz w:val="12"/>
          <w:szCs w:val="12"/>
          <w:color w:val="333333"/>
        </w:rPr>
        <w:t>The amounts shown in column (I) reflect the number of RSUs granted in 2025 to each of the named executive officers pursuant to the Stock-Based Award Plan. These awards are discussed under the heading “2025 Long-Term Incentive Compensation” on pages 66-70. These awards are also included in column (E) of the Summary Compensation Table on page 77.</w:t>
      </w:r>
    </w:p>
    <w:p>
      <w:pPr>
        <w:spacing w:after="0" w:line="12" w:lineRule="exact"/>
        <w:rPr>
          <w:sz w:val="20"/>
          <w:szCs w:val="20"/>
          <w:color w:val="auto"/>
        </w:rPr>
      </w:pPr>
    </w:p>
    <w:p>
      <w:pPr>
        <w:ind w:left="224" w:right="220" w:hanging="224"/>
        <w:spacing w:after="0" w:line="243" w:lineRule="auto"/>
        <w:tabs>
          <w:tab w:leader="none" w:pos="224" w:val="left"/>
        </w:tabs>
        <w:numPr>
          <w:ilvl w:val="0"/>
          <w:numId w:val="114"/>
        </w:numPr>
        <w:rPr>
          <w:rFonts w:ascii="Arial" w:cs="Arial" w:eastAsia="Arial" w:hAnsi="Arial"/>
          <w:sz w:val="13"/>
          <w:szCs w:val="13"/>
          <w:color w:val="333333"/>
        </w:rPr>
      </w:pPr>
      <w:r>
        <w:rPr>
          <w:rFonts w:ascii="Arial" w:cs="Arial" w:eastAsia="Arial" w:hAnsi="Arial"/>
          <w:sz w:val="13"/>
          <w:szCs w:val="13"/>
          <w:color w:val="333333"/>
        </w:rPr>
        <w:t>The amounts shown in column (J) reflect the grant date fair value of each equity award computed in accordance with FASB ASC Topic 718. No options to purchase shares of Martin Marietta’s common stock were granted in 2025.</w:t>
      </w:r>
    </w:p>
    <w:p>
      <w:pPr>
        <w:spacing w:after="0" w:line="35" w:lineRule="exact"/>
        <w:rPr>
          <w:sz w:val="20"/>
          <w:szCs w:val="20"/>
          <w:color w:val="auto"/>
        </w:rPr>
      </w:pPr>
    </w:p>
    <w:p>
      <w:pPr>
        <w:ind w:left="224" w:hanging="224"/>
        <w:spacing w:after="0"/>
        <w:tabs>
          <w:tab w:leader="none" w:pos="224" w:val="left"/>
        </w:tabs>
        <w:numPr>
          <w:ilvl w:val="0"/>
          <w:numId w:val="115"/>
        </w:numPr>
        <w:rPr>
          <w:rFonts w:ascii="Arial" w:cs="Arial" w:eastAsia="Arial" w:hAnsi="Arial"/>
          <w:sz w:val="13"/>
          <w:szCs w:val="13"/>
          <w:color w:val="333333"/>
        </w:rPr>
      </w:pPr>
      <w:r>
        <w:rPr>
          <w:rFonts w:ascii="Arial" w:cs="Arial" w:eastAsia="Arial" w:hAnsi="Arial"/>
          <w:sz w:val="13"/>
          <w:szCs w:val="13"/>
          <w:color w:val="333333"/>
        </w:rPr>
        <w:t>The awards of PSUs and RSUs to Mr. Nickolas reported in the table were forfeited upon his departure in April 2025.</w:t>
      </w:r>
    </w:p>
    <w:p>
      <w:pPr>
        <w:spacing w:after="0" w:line="205" w:lineRule="exact"/>
        <w:rPr>
          <w:sz w:val="20"/>
          <w:szCs w:val="20"/>
          <w:color w:val="auto"/>
        </w:rPr>
      </w:pPr>
    </w:p>
    <w:p>
      <w:pPr>
        <w:ind w:left="4" w:right="40"/>
        <w:spacing w:after="0" w:line="252" w:lineRule="auto"/>
        <w:rPr>
          <w:sz w:val="20"/>
          <w:szCs w:val="20"/>
          <w:color w:val="auto"/>
        </w:rPr>
      </w:pPr>
      <w:r>
        <w:rPr>
          <w:rFonts w:ascii="Arial" w:cs="Arial" w:eastAsia="Arial" w:hAnsi="Arial"/>
          <w:sz w:val="16"/>
          <w:szCs w:val="16"/>
          <w:color w:val="333333"/>
        </w:rPr>
        <w:t>Stock-based incentive awards have been a significant component of Martin Marietta’s management compensation. In 1998, the Board of Directors adopted and Martin Marietta’s shareholders approved the Stock-Based Award Plan. In 2016, the Board of Directors and the shareholders approved amendments to the plan increasing the number of shares of Martin Marietta’s common stock available for equity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 In addition, the amendments provided that dividend equivalents that would have been paid in cash during the vesting period will be paid only if and when an award vests. We are asking approval from our shareholders to amend and restate the Stock-Based Award Plan in this proxy statement (See Proposal 4 for more details).</w:t>
      </w:r>
    </w:p>
    <w:p>
      <w:pPr>
        <w:spacing w:after="0" w:line="268"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333333"/>
        </w:rPr>
        <w:t>As amended, the Stock-Based Award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Since 2016, Martin Marietta’s long-term compensation program has consisted of a mix of RSUs and PSUs for senior level employees and other select employees.</w:t>
      </w:r>
    </w:p>
    <w:p>
      <w:pPr>
        <w:spacing w:after="0" w:line="70" w:lineRule="exact"/>
        <w:rPr>
          <w:sz w:val="20"/>
          <w:szCs w:val="20"/>
          <w:color w:val="auto"/>
        </w:rPr>
      </w:pPr>
    </w:p>
    <w:p>
      <w:pPr>
        <w:ind w:left="4" w:right="100"/>
        <w:spacing w:after="0" w:line="286" w:lineRule="auto"/>
        <w:rPr>
          <w:sz w:val="20"/>
          <w:szCs w:val="20"/>
          <w:color w:val="auto"/>
        </w:rPr>
      </w:pPr>
      <w:r>
        <w:rPr>
          <w:rFonts w:ascii="Arial" w:cs="Arial" w:eastAsia="Arial" w:hAnsi="Arial"/>
          <w:sz w:val="16"/>
          <w:szCs w:val="16"/>
          <w:color w:val="333333"/>
        </w:rPr>
        <w:t>Vesting of the PSU awards granted in 2025 is based on the achievement by Martin Marietta of performance measures described under “2025 Long-Term Incentive Compensation” on pages 66-70.</w:t>
      </w:r>
    </w:p>
    <w:p>
      <w:pPr>
        <w:spacing w:after="0" w:line="48" w:lineRule="exact"/>
        <w:rPr>
          <w:sz w:val="20"/>
          <w:szCs w:val="20"/>
          <w:color w:val="auto"/>
        </w:rPr>
      </w:pPr>
    </w:p>
    <w:p>
      <w:pPr>
        <w:jc w:val="both"/>
        <w:ind w:left="4" w:right="40"/>
        <w:spacing w:after="0" w:line="259" w:lineRule="auto"/>
        <w:rPr>
          <w:sz w:val="20"/>
          <w:szCs w:val="20"/>
          <w:color w:val="auto"/>
        </w:rPr>
      </w:pPr>
      <w:r>
        <w:rPr>
          <w:rFonts w:ascii="Arial" w:cs="Arial" w:eastAsia="Arial" w:hAnsi="Arial"/>
          <w:sz w:val="16"/>
          <w:szCs w:val="16"/>
          <w:color w:val="333333"/>
        </w:rPr>
        <w:t>A maximum of 5,800,000 shares of Martin Marietta’s common stock were authorized under the plan for grants to key employees. If shareholders approve the amended and restated Stock-Based Award Plan at the 2026 Annual Meeting of Shareholders, a total of 1,393,309 shares will be authorized under the Stock-Based Award Plan for grants to key employees. Each award under the plan is evidenced by an award agreement setting forth the number and type of stock-based incentives subject to the award and such other terms and conditions applicable to the award as determined by the Committee.</w:t>
      </w:r>
    </w:p>
    <w:p>
      <w:pPr>
        <w:spacing w:after="0" w:line="35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79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315" w:right="439" w:bottom="1440" w:gutter="0" w:footer="0" w:header="0"/>
          <w:type w:val="continuous"/>
        </w:sectPr>
      </w:pPr>
    </w:p>
    <w:bookmarkStart w:id="86" w:name="page87"/>
    <w:bookmarkEnd w:id="86"/>
    <w:tbl>
      <w:tblPr>
        <w:tblLayout w:type="fixed"/>
        <w:tblInd w:w="4" w:type="dxa"/>
        <w:tblCellMar>
          <w:top w:w="0" w:type="dxa"/>
          <w:left w:w="0" w:type="dxa"/>
          <w:bottom w:w="0" w:type="dxa"/>
          <w:right w:w="0" w:type="dxa"/>
        </w:tblCellMar>
      </w:tblPr>
      <w:tr>
        <w:trPr>
          <w:trHeight w:val="355"/>
        </w:trPr>
        <w:tc>
          <w:tcPr>
            <w:tcW w:w="320" w:type="dxa"/>
            <w:vAlign w:val="bottom"/>
            <w:shd w:val="clear" w:color="auto" w:fill="4D5357"/>
          </w:tcPr>
          <w:p>
            <w:pPr>
              <w:ind w:left="240"/>
              <w:spacing w:after="0"/>
              <w:rPr>
                <w:sz w:val="20"/>
                <w:szCs w:val="20"/>
                <w:color w:val="auto"/>
              </w:rPr>
            </w:pPr>
            <w:r>
              <w:rPr>
                <w:rFonts w:ascii="Arial" w:cs="Arial" w:eastAsia="Arial" w:hAnsi="Arial"/>
                <w:sz w:val="8"/>
                <w:szCs w:val="8"/>
                <w:b w:val="1"/>
                <w:bCs w:val="1"/>
                <w:color w:val="FFFFFF"/>
                <w:w w:val="74"/>
              </w:rPr>
              <w:t> </w:t>
            </w:r>
          </w:p>
        </w:tc>
        <w:tc>
          <w:tcPr>
            <w:tcW w:w="14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   Executive    </w:t>
            </w:r>
          </w:p>
        </w:tc>
      </w:tr>
      <w:tr>
        <w:trPr>
          <w:trHeight w:val="196"/>
        </w:trPr>
        <w:tc>
          <w:tcPr>
            <w:tcW w:w="32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Compensation    </w:t>
            </w:r>
          </w:p>
        </w:tc>
      </w:tr>
      <w:tr>
        <w:trPr>
          <w:trHeight w:val="191"/>
        </w:trPr>
        <w:tc>
          <w:tcPr>
            <w:tcW w:w="320" w:type="dxa"/>
            <w:vAlign w:val="bottom"/>
            <w:shd w:val="clear" w:color="auto" w:fill="4D5357"/>
          </w:tcPr>
          <w:p>
            <w:pPr>
              <w:spacing w:after="0"/>
              <w:rPr>
                <w:sz w:val="16"/>
                <w:szCs w:val="16"/>
                <w:color w:val="auto"/>
              </w:rPr>
            </w:pPr>
          </w:p>
        </w:tc>
        <w:tc>
          <w:tcPr>
            <w:tcW w:w="1420" w:type="dxa"/>
            <w:vAlign w:val="bottom"/>
            <w:shd w:val="clear" w:color="auto" w:fill="4D5357"/>
          </w:tcPr>
          <w:p>
            <w:pPr>
              <w:spacing w:after="0"/>
              <w:rPr>
                <w:sz w:val="16"/>
                <w:szCs w:val="16"/>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spacing w:after="0"/>
        <w:rPr>
          <w:sz w:val="20"/>
          <w:szCs w:val="20"/>
          <w:color w:val="auto"/>
        </w:rPr>
      </w:pPr>
      <w:r>
        <w:rPr>
          <w:rFonts w:ascii="Arial" w:cs="Arial" w:eastAsia="Arial" w:hAnsi="Arial"/>
          <w:sz w:val="27"/>
          <w:szCs w:val="27"/>
          <w:b w:val="1"/>
          <w:bCs w:val="1"/>
          <w:color w:val="0086CC"/>
        </w:rPr>
        <w:t>Outstanding Equity Awards at Fiscal Year-End</w:t>
      </w:r>
    </w:p>
    <w:p>
      <w:pPr>
        <w:spacing w:after="0" w:line="123" w:lineRule="exact"/>
        <w:rPr>
          <w:sz w:val="20"/>
          <w:szCs w:val="20"/>
          <w:color w:val="auto"/>
        </w:rPr>
      </w:pPr>
    </w:p>
    <w:p>
      <w:pPr>
        <w:ind w:left="4" w:right="160"/>
        <w:spacing w:after="0" w:line="266" w:lineRule="auto"/>
        <w:rPr>
          <w:sz w:val="20"/>
          <w:szCs w:val="20"/>
          <w:color w:val="auto"/>
        </w:rPr>
      </w:pPr>
      <w:r>
        <w:rPr>
          <w:rFonts w:ascii="Arial" w:cs="Arial" w:eastAsia="Arial" w:hAnsi="Arial"/>
          <w:sz w:val="16"/>
          <w:szCs w:val="16"/>
          <w:color w:val="333333"/>
        </w:rPr>
        <w:t>The table below shows for each of the named executive officers (other than Mr. Nickolas whose awards were forfeited upon his departure in April 2025), information with respect to the stock unit awards (columns (G) and (H)) that have not vested and equity incentive plan awards (columns (i) and (j)) outstanding on December 31, 2025. There are no unexercised stock options for the NEOs.</w:t>
      </w:r>
    </w:p>
    <w:p>
      <w:pPr>
        <w:spacing w:after="0" w:line="9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980" w:type="dxa"/>
            <w:vAlign w:val="bottom"/>
            <w:tcBorders>
              <w:bottom w:val="single" w:sz="8" w:color="0086CC"/>
            </w:tcBorders>
          </w:tcPr>
          <w:p>
            <w:pPr>
              <w:spacing w:after="0"/>
              <w:rPr>
                <w:sz w:val="14"/>
                <w:szCs w:val="14"/>
                <w:color w:val="auto"/>
              </w:rPr>
            </w:pPr>
          </w:p>
        </w:tc>
        <w:tc>
          <w:tcPr>
            <w:tcW w:w="1040" w:type="dxa"/>
            <w:vAlign w:val="bottom"/>
            <w:tcBorders>
              <w:bottom w:val="single" w:sz="8" w:color="0086CC"/>
            </w:tcBorders>
          </w:tcPr>
          <w:p>
            <w:pPr>
              <w:spacing w:after="0"/>
              <w:rPr>
                <w:sz w:val="14"/>
                <w:szCs w:val="14"/>
                <w:color w:val="auto"/>
              </w:rPr>
            </w:pPr>
          </w:p>
        </w:tc>
        <w:tc>
          <w:tcPr>
            <w:tcW w:w="1780" w:type="dxa"/>
            <w:vAlign w:val="bottom"/>
            <w:tcBorders>
              <w:bottom w:val="single" w:sz="8" w:color="0086CC"/>
            </w:tcBorders>
            <w:gridSpan w:val="2"/>
          </w:tcPr>
          <w:p>
            <w:pPr>
              <w:ind w:left="340"/>
              <w:spacing w:after="0"/>
              <w:rPr>
                <w:sz w:val="20"/>
                <w:szCs w:val="20"/>
                <w:color w:val="auto"/>
              </w:rPr>
            </w:pPr>
            <w:r>
              <w:rPr>
                <w:rFonts w:ascii="Arial" w:cs="Arial" w:eastAsia="Arial" w:hAnsi="Arial"/>
                <w:sz w:val="12"/>
                <w:szCs w:val="12"/>
                <w:b w:val="1"/>
                <w:bCs w:val="1"/>
                <w:color w:val="0086CC"/>
              </w:rPr>
              <w:t>OPTION AWARDS</w:t>
            </w:r>
          </w:p>
        </w:tc>
        <w:tc>
          <w:tcPr>
            <w:tcW w:w="980" w:type="dxa"/>
            <w:vAlign w:val="bottom"/>
            <w:tcBorders>
              <w:bottom w:val="single" w:sz="8" w:color="0086CC"/>
            </w:tcBorders>
          </w:tcPr>
          <w:p>
            <w:pPr>
              <w:spacing w:after="0"/>
              <w:rPr>
                <w:sz w:val="14"/>
                <w:szCs w:val="14"/>
                <w:color w:val="auto"/>
              </w:rPr>
            </w:pPr>
          </w:p>
        </w:tc>
        <w:tc>
          <w:tcPr>
            <w:tcW w:w="1540" w:type="dxa"/>
            <w:vAlign w:val="bottom"/>
            <w:tcBorders>
              <w:bottom w:val="single" w:sz="8" w:color="0086CC"/>
            </w:tcBorders>
          </w:tcPr>
          <w:p>
            <w:pPr>
              <w:spacing w:after="0"/>
              <w:rPr>
                <w:sz w:val="14"/>
                <w:szCs w:val="14"/>
                <w:color w:val="auto"/>
              </w:rPr>
            </w:pPr>
          </w:p>
        </w:tc>
        <w:tc>
          <w:tcPr>
            <w:tcW w:w="3300" w:type="dxa"/>
            <w:vAlign w:val="bottom"/>
            <w:tcBorders>
              <w:bottom w:val="single" w:sz="8" w:color="0086CC"/>
            </w:tcBorders>
            <w:gridSpan w:val="2"/>
          </w:tcPr>
          <w:p>
            <w:pPr>
              <w:jc w:val="right"/>
              <w:ind w:right="1203"/>
              <w:spacing w:after="0"/>
              <w:rPr>
                <w:sz w:val="20"/>
                <w:szCs w:val="20"/>
                <w:color w:val="auto"/>
              </w:rPr>
            </w:pPr>
            <w:r>
              <w:rPr>
                <w:rFonts w:ascii="Arial" w:cs="Arial" w:eastAsia="Arial" w:hAnsi="Arial"/>
                <w:sz w:val="12"/>
                <w:szCs w:val="12"/>
                <w:b w:val="1"/>
                <w:bCs w:val="1"/>
                <w:color w:val="0086CC"/>
              </w:rPr>
              <w:t>STOCK AWARDS</w:t>
            </w:r>
          </w:p>
        </w:tc>
        <w:tc>
          <w:tcPr>
            <w:tcW w:w="1400" w:type="dxa"/>
            <w:vAlign w:val="bottom"/>
            <w:tcBorders>
              <w:bottom w:val="single" w:sz="8" w:color="0086CC"/>
            </w:tcBorders>
          </w:tcPr>
          <w:p>
            <w:pPr>
              <w:spacing w:after="0"/>
              <w:rPr>
                <w:sz w:val="14"/>
                <w:szCs w:val="14"/>
                <w:color w:val="auto"/>
              </w:rPr>
            </w:pPr>
          </w:p>
        </w:tc>
      </w:tr>
      <w:tr>
        <w:trPr>
          <w:trHeight w:val="125"/>
        </w:trPr>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jc w:val="center"/>
              <w:ind w:left="102"/>
              <w:spacing w:after="0" w:line="125" w:lineRule="exact"/>
              <w:rPr>
                <w:sz w:val="20"/>
                <w:szCs w:val="20"/>
                <w:color w:val="auto"/>
              </w:rPr>
            </w:pPr>
            <w:r>
              <w:rPr>
                <w:rFonts w:ascii="Arial" w:cs="Arial" w:eastAsia="Arial" w:hAnsi="Arial"/>
                <w:sz w:val="12"/>
                <w:szCs w:val="12"/>
                <w:b w:val="1"/>
                <w:bCs w:val="1"/>
                <w:color w:val="0086CC"/>
                <w:w w:val="96"/>
              </w:rPr>
              <w:t>EQUITY INCENTIVE</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0" w:type="dxa"/>
            <w:vAlign w:val="bottom"/>
          </w:tcPr>
          <w:p>
            <w:pPr>
              <w:jc w:val="center"/>
              <w:ind w:left="83"/>
              <w:spacing w:after="0" w:line="135" w:lineRule="exact"/>
              <w:rPr>
                <w:sz w:val="20"/>
                <w:szCs w:val="20"/>
                <w:color w:val="auto"/>
              </w:rPr>
            </w:pPr>
            <w:r>
              <w:rPr>
                <w:rFonts w:ascii="Arial" w:cs="Arial" w:eastAsia="Arial" w:hAnsi="Arial"/>
                <w:sz w:val="12"/>
                <w:szCs w:val="12"/>
                <w:b w:val="1"/>
                <w:bCs w:val="1"/>
                <w:color w:val="0086CC"/>
                <w:w w:val="98"/>
              </w:rPr>
              <w:t>EQUITY INCENTIVE</w:t>
            </w:r>
          </w:p>
        </w:tc>
        <w:tc>
          <w:tcPr>
            <w:tcW w:w="1400" w:type="dxa"/>
            <w:vAlign w:val="bottom"/>
          </w:tcPr>
          <w:p>
            <w:pPr>
              <w:jc w:val="center"/>
              <w:ind w:left="82"/>
              <w:spacing w:after="0" w:line="135" w:lineRule="exact"/>
              <w:rPr>
                <w:sz w:val="20"/>
                <w:szCs w:val="20"/>
                <w:color w:val="auto"/>
              </w:rPr>
            </w:pPr>
            <w:r>
              <w:rPr>
                <w:rFonts w:ascii="Arial" w:cs="Arial" w:eastAsia="Arial" w:hAnsi="Arial"/>
                <w:sz w:val="12"/>
                <w:szCs w:val="12"/>
                <w:b w:val="1"/>
                <w:bCs w:val="1"/>
                <w:color w:val="0086CC"/>
                <w:w w:val="95"/>
              </w:rPr>
              <w:t>PLAN AWARDS:</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0" w:type="dxa"/>
            <w:vAlign w:val="bottom"/>
          </w:tcPr>
          <w:p>
            <w:pPr>
              <w:jc w:val="center"/>
              <w:ind w:left="83"/>
              <w:spacing w:after="0" w:line="135" w:lineRule="exact"/>
              <w:rPr>
                <w:sz w:val="20"/>
                <w:szCs w:val="20"/>
                <w:color w:val="auto"/>
              </w:rPr>
            </w:pPr>
            <w:r>
              <w:rPr>
                <w:rFonts w:ascii="Arial" w:cs="Arial" w:eastAsia="Arial" w:hAnsi="Arial"/>
                <w:sz w:val="12"/>
                <w:szCs w:val="12"/>
                <w:b w:val="1"/>
                <w:bCs w:val="1"/>
                <w:color w:val="0086CC"/>
                <w:w w:val="95"/>
              </w:rPr>
              <w:t>PLAN AWARDS:</w:t>
            </w:r>
          </w:p>
        </w:tc>
        <w:tc>
          <w:tcPr>
            <w:tcW w:w="1400" w:type="dxa"/>
            <w:vAlign w:val="bottom"/>
          </w:tcPr>
          <w:p>
            <w:pPr>
              <w:jc w:val="center"/>
              <w:ind w:left="102"/>
              <w:spacing w:after="0" w:line="135" w:lineRule="exact"/>
              <w:rPr>
                <w:sz w:val="20"/>
                <w:szCs w:val="20"/>
                <w:color w:val="auto"/>
              </w:rPr>
            </w:pPr>
            <w:r>
              <w:rPr>
                <w:rFonts w:ascii="Arial" w:cs="Arial" w:eastAsia="Arial" w:hAnsi="Arial"/>
                <w:sz w:val="12"/>
                <w:szCs w:val="12"/>
                <w:b w:val="1"/>
                <w:bCs w:val="1"/>
                <w:color w:val="0086CC"/>
                <w:w w:val="95"/>
              </w:rPr>
              <w:t>MARKET PAYOUT</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0" w:type="dxa"/>
            <w:vAlign w:val="bottom"/>
          </w:tcPr>
          <w:p>
            <w:pPr>
              <w:jc w:val="center"/>
              <w:ind w:left="83"/>
              <w:spacing w:after="0" w:line="135" w:lineRule="exact"/>
              <w:rPr>
                <w:sz w:val="20"/>
                <w:szCs w:val="20"/>
                <w:color w:val="auto"/>
              </w:rPr>
            </w:pPr>
            <w:r>
              <w:rPr>
                <w:rFonts w:ascii="Arial" w:cs="Arial" w:eastAsia="Arial" w:hAnsi="Arial"/>
                <w:sz w:val="12"/>
                <w:szCs w:val="12"/>
                <w:b w:val="1"/>
                <w:bCs w:val="1"/>
                <w:color w:val="0086CC"/>
                <w:w w:val="96"/>
              </w:rPr>
              <w:t>NUMBER OF</w:t>
            </w:r>
          </w:p>
        </w:tc>
        <w:tc>
          <w:tcPr>
            <w:tcW w:w="1400" w:type="dxa"/>
            <w:vAlign w:val="bottom"/>
          </w:tcPr>
          <w:p>
            <w:pPr>
              <w:jc w:val="center"/>
              <w:ind w:left="102"/>
              <w:spacing w:after="0" w:line="135" w:lineRule="exact"/>
              <w:rPr>
                <w:sz w:val="20"/>
                <w:szCs w:val="20"/>
                <w:color w:val="auto"/>
              </w:rPr>
            </w:pPr>
            <w:r>
              <w:rPr>
                <w:rFonts w:ascii="Arial" w:cs="Arial" w:eastAsia="Arial" w:hAnsi="Arial"/>
                <w:sz w:val="12"/>
                <w:szCs w:val="12"/>
                <w:b w:val="1"/>
                <w:bCs w:val="1"/>
                <w:color w:val="0086CC"/>
                <w:w w:val="96"/>
              </w:rPr>
              <w:t>VALUE OR</w:t>
            </w:r>
          </w:p>
        </w:tc>
      </w:tr>
      <w:tr>
        <w:trPr>
          <w:trHeight w:val="135"/>
        </w:trPr>
        <w:tc>
          <w:tcPr>
            <w:tcW w:w="9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NUMBER OF</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9"/>
              </w:rPr>
              <w:t>NUMBER OF</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center"/>
              <w:ind w:right="64"/>
              <w:spacing w:after="0" w:line="135" w:lineRule="exact"/>
              <w:rPr>
                <w:sz w:val="20"/>
                <w:szCs w:val="20"/>
                <w:color w:val="auto"/>
              </w:rPr>
            </w:pPr>
            <w:r>
              <w:rPr>
                <w:rFonts w:ascii="Arial" w:cs="Arial" w:eastAsia="Arial" w:hAnsi="Arial"/>
                <w:sz w:val="12"/>
                <w:szCs w:val="12"/>
                <w:b w:val="1"/>
                <w:bCs w:val="1"/>
                <w:color w:val="0086CC"/>
                <w:w w:val="96"/>
              </w:rPr>
              <w:t>NUMBER OF</w:t>
            </w:r>
          </w:p>
        </w:tc>
        <w:tc>
          <w:tcPr>
            <w:tcW w:w="17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MARKET VALUE OF</w:t>
            </w:r>
          </w:p>
        </w:tc>
        <w:tc>
          <w:tcPr>
            <w:tcW w:w="1600" w:type="dxa"/>
            <w:vAlign w:val="bottom"/>
          </w:tcPr>
          <w:p>
            <w:pPr>
              <w:jc w:val="center"/>
              <w:ind w:left="83"/>
              <w:spacing w:after="0" w:line="135" w:lineRule="exact"/>
              <w:rPr>
                <w:sz w:val="20"/>
                <w:szCs w:val="20"/>
                <w:color w:val="auto"/>
              </w:rPr>
            </w:pPr>
            <w:r>
              <w:rPr>
                <w:rFonts w:ascii="Arial" w:cs="Arial" w:eastAsia="Arial" w:hAnsi="Arial"/>
                <w:sz w:val="12"/>
                <w:szCs w:val="12"/>
                <w:b w:val="1"/>
                <w:bCs w:val="1"/>
                <w:color w:val="0086CC"/>
                <w:w w:val="96"/>
              </w:rPr>
              <w:t>UNEARNED</w:t>
            </w:r>
          </w:p>
        </w:tc>
        <w:tc>
          <w:tcPr>
            <w:tcW w:w="1400" w:type="dxa"/>
            <w:vAlign w:val="bottom"/>
          </w:tcPr>
          <w:p>
            <w:pPr>
              <w:jc w:val="center"/>
              <w:ind w:left="82"/>
              <w:spacing w:after="0" w:line="135" w:lineRule="exact"/>
              <w:rPr>
                <w:sz w:val="20"/>
                <w:szCs w:val="20"/>
                <w:color w:val="auto"/>
              </w:rPr>
            </w:pPr>
            <w:r>
              <w:rPr>
                <w:rFonts w:ascii="Arial" w:cs="Arial" w:eastAsia="Arial" w:hAnsi="Arial"/>
                <w:sz w:val="12"/>
                <w:szCs w:val="12"/>
                <w:b w:val="1"/>
                <w:bCs w:val="1"/>
                <w:color w:val="0086CC"/>
                <w:w w:val="96"/>
              </w:rPr>
              <w:t>UNEARNED</w:t>
            </w:r>
          </w:p>
        </w:tc>
      </w:tr>
      <w:tr>
        <w:trPr>
          <w:trHeight w:val="135"/>
        </w:trPr>
        <w:tc>
          <w:tcPr>
            <w:tcW w:w="9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SECURITIES</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SECURITIES</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center"/>
              <w:ind w:right="84"/>
              <w:spacing w:after="0" w:line="135" w:lineRule="exact"/>
              <w:rPr>
                <w:sz w:val="20"/>
                <w:szCs w:val="20"/>
                <w:color w:val="auto"/>
              </w:rPr>
            </w:pPr>
            <w:r>
              <w:rPr>
                <w:rFonts w:ascii="Arial" w:cs="Arial" w:eastAsia="Arial" w:hAnsi="Arial"/>
                <w:sz w:val="12"/>
                <w:szCs w:val="12"/>
                <w:b w:val="1"/>
                <w:bCs w:val="1"/>
                <w:color w:val="0086CC"/>
                <w:w w:val="97"/>
              </w:rPr>
              <w:t>SHARES OR UNITS</w:t>
            </w:r>
          </w:p>
        </w:tc>
        <w:tc>
          <w:tcPr>
            <w:tcW w:w="17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SHARES OR UNITS</w:t>
            </w:r>
          </w:p>
        </w:tc>
        <w:tc>
          <w:tcPr>
            <w:tcW w:w="1600" w:type="dxa"/>
            <w:vAlign w:val="bottom"/>
          </w:tcPr>
          <w:p>
            <w:pPr>
              <w:jc w:val="center"/>
              <w:ind w:left="83"/>
              <w:spacing w:after="0" w:line="135" w:lineRule="exact"/>
              <w:rPr>
                <w:sz w:val="20"/>
                <w:szCs w:val="20"/>
                <w:color w:val="auto"/>
              </w:rPr>
            </w:pPr>
            <w:r>
              <w:rPr>
                <w:rFonts w:ascii="Arial" w:cs="Arial" w:eastAsia="Arial" w:hAnsi="Arial"/>
                <w:sz w:val="12"/>
                <w:szCs w:val="12"/>
                <w:b w:val="1"/>
                <w:bCs w:val="1"/>
                <w:color w:val="0086CC"/>
                <w:w w:val="96"/>
              </w:rPr>
              <w:t>SHARES, UNITS OR</w:t>
            </w:r>
          </w:p>
        </w:tc>
        <w:tc>
          <w:tcPr>
            <w:tcW w:w="140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0086CC"/>
              </w:rPr>
              <w:t>SHARES, UNITS OR</w:t>
            </w:r>
          </w:p>
        </w:tc>
      </w:tr>
      <w:tr>
        <w:trPr>
          <w:trHeight w:val="135"/>
        </w:trPr>
        <w:tc>
          <w:tcPr>
            <w:tcW w:w="9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UNDERLYING</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UNDERLYING</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9"/>
              </w:rPr>
              <w:t>OPTION</w:t>
            </w:r>
          </w:p>
        </w:tc>
        <w:tc>
          <w:tcPr>
            <w:tcW w:w="980" w:type="dxa"/>
            <w:vAlign w:val="bottom"/>
          </w:tcPr>
          <w:p>
            <w:pPr>
              <w:spacing w:after="0"/>
              <w:rPr>
                <w:sz w:val="11"/>
                <w:szCs w:val="11"/>
                <w:color w:val="auto"/>
              </w:rPr>
            </w:pPr>
          </w:p>
        </w:tc>
        <w:tc>
          <w:tcPr>
            <w:tcW w:w="1540" w:type="dxa"/>
            <w:vAlign w:val="bottom"/>
          </w:tcPr>
          <w:p>
            <w:pPr>
              <w:jc w:val="center"/>
              <w:ind w:right="64"/>
              <w:spacing w:after="0" w:line="135" w:lineRule="exact"/>
              <w:rPr>
                <w:sz w:val="20"/>
                <w:szCs w:val="20"/>
                <w:color w:val="auto"/>
              </w:rPr>
            </w:pPr>
            <w:r>
              <w:rPr>
                <w:rFonts w:ascii="Arial" w:cs="Arial" w:eastAsia="Arial" w:hAnsi="Arial"/>
                <w:sz w:val="12"/>
                <w:szCs w:val="12"/>
                <w:b w:val="1"/>
                <w:bCs w:val="1"/>
                <w:color w:val="0086CC"/>
                <w:w w:val="96"/>
              </w:rPr>
              <w:t>OF STOCK THAT</w:t>
            </w:r>
          </w:p>
        </w:tc>
        <w:tc>
          <w:tcPr>
            <w:tcW w:w="17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OF STOCK THAT</w:t>
            </w:r>
          </w:p>
        </w:tc>
        <w:tc>
          <w:tcPr>
            <w:tcW w:w="1600" w:type="dxa"/>
            <w:vAlign w:val="bottom"/>
          </w:tcPr>
          <w:p>
            <w:pPr>
              <w:jc w:val="center"/>
              <w:ind w:left="103"/>
              <w:spacing w:after="0" w:line="135" w:lineRule="exact"/>
              <w:rPr>
                <w:sz w:val="20"/>
                <w:szCs w:val="20"/>
                <w:color w:val="auto"/>
              </w:rPr>
            </w:pPr>
            <w:r>
              <w:rPr>
                <w:rFonts w:ascii="Arial" w:cs="Arial" w:eastAsia="Arial" w:hAnsi="Arial"/>
                <w:sz w:val="12"/>
                <w:szCs w:val="12"/>
                <w:b w:val="1"/>
                <w:bCs w:val="1"/>
                <w:color w:val="0086CC"/>
                <w:w w:val="96"/>
              </w:rPr>
              <w:t>OTHER RIGHTS</w:t>
            </w:r>
          </w:p>
        </w:tc>
        <w:tc>
          <w:tcPr>
            <w:tcW w:w="1400" w:type="dxa"/>
            <w:vAlign w:val="bottom"/>
          </w:tcPr>
          <w:p>
            <w:pPr>
              <w:jc w:val="center"/>
              <w:ind w:left="102"/>
              <w:spacing w:after="0" w:line="135" w:lineRule="exact"/>
              <w:rPr>
                <w:sz w:val="20"/>
                <w:szCs w:val="20"/>
                <w:color w:val="auto"/>
              </w:rPr>
            </w:pPr>
            <w:r>
              <w:rPr>
                <w:rFonts w:ascii="Arial" w:cs="Arial" w:eastAsia="Arial" w:hAnsi="Arial"/>
                <w:sz w:val="12"/>
                <w:szCs w:val="12"/>
                <w:b w:val="1"/>
                <w:bCs w:val="1"/>
                <w:color w:val="0086CC"/>
                <w:w w:val="96"/>
              </w:rPr>
              <w:t>OTHER RIGHTS</w:t>
            </w:r>
          </w:p>
        </w:tc>
      </w:tr>
      <w:tr>
        <w:trPr>
          <w:trHeight w:val="135"/>
        </w:trPr>
        <w:tc>
          <w:tcPr>
            <w:tcW w:w="9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9"/>
              </w:rPr>
              <w:t>UNEXERCISED</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UNEXERCISED</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EXERCISE</w:t>
            </w:r>
          </w:p>
        </w:tc>
        <w:tc>
          <w:tcPr>
            <w:tcW w:w="98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0086CC"/>
                <w:w w:val="99"/>
              </w:rPr>
              <w:t>OPTION</w:t>
            </w:r>
          </w:p>
        </w:tc>
        <w:tc>
          <w:tcPr>
            <w:tcW w:w="1540" w:type="dxa"/>
            <w:vAlign w:val="bottom"/>
          </w:tcPr>
          <w:p>
            <w:pPr>
              <w:jc w:val="center"/>
              <w:ind w:right="84"/>
              <w:spacing w:after="0" w:line="135" w:lineRule="exact"/>
              <w:rPr>
                <w:sz w:val="20"/>
                <w:szCs w:val="20"/>
                <w:color w:val="auto"/>
              </w:rPr>
            </w:pPr>
            <w:r>
              <w:rPr>
                <w:rFonts w:ascii="Arial" w:cs="Arial" w:eastAsia="Arial" w:hAnsi="Arial"/>
                <w:sz w:val="12"/>
                <w:szCs w:val="12"/>
                <w:b w:val="1"/>
                <w:bCs w:val="1"/>
                <w:color w:val="0086CC"/>
                <w:w w:val="96"/>
              </w:rPr>
              <w:t>HAVE NOT</w:t>
            </w:r>
          </w:p>
        </w:tc>
        <w:tc>
          <w:tcPr>
            <w:tcW w:w="17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HAVE NOT</w:t>
            </w:r>
          </w:p>
        </w:tc>
        <w:tc>
          <w:tcPr>
            <w:tcW w:w="1600" w:type="dxa"/>
            <w:vAlign w:val="bottom"/>
          </w:tcPr>
          <w:p>
            <w:pPr>
              <w:jc w:val="center"/>
              <w:ind w:left="83"/>
              <w:spacing w:after="0" w:line="135" w:lineRule="exact"/>
              <w:rPr>
                <w:sz w:val="20"/>
                <w:szCs w:val="20"/>
                <w:color w:val="auto"/>
              </w:rPr>
            </w:pPr>
            <w:r>
              <w:rPr>
                <w:rFonts w:ascii="Arial" w:cs="Arial" w:eastAsia="Arial" w:hAnsi="Arial"/>
                <w:sz w:val="12"/>
                <w:szCs w:val="12"/>
                <w:b w:val="1"/>
                <w:bCs w:val="1"/>
                <w:color w:val="0086CC"/>
                <w:w w:val="96"/>
              </w:rPr>
              <w:t>THAT HAVE NOT</w:t>
            </w:r>
          </w:p>
        </w:tc>
        <w:tc>
          <w:tcPr>
            <w:tcW w:w="1400" w:type="dxa"/>
            <w:vAlign w:val="bottom"/>
          </w:tcPr>
          <w:p>
            <w:pPr>
              <w:jc w:val="center"/>
              <w:ind w:left="102"/>
              <w:spacing w:after="0" w:line="135" w:lineRule="exact"/>
              <w:rPr>
                <w:sz w:val="20"/>
                <w:szCs w:val="20"/>
                <w:color w:val="auto"/>
              </w:rPr>
            </w:pPr>
            <w:r>
              <w:rPr>
                <w:rFonts w:ascii="Arial" w:cs="Arial" w:eastAsia="Arial" w:hAnsi="Arial"/>
                <w:sz w:val="12"/>
                <w:szCs w:val="12"/>
                <w:b w:val="1"/>
                <w:bCs w:val="1"/>
                <w:color w:val="0086CC"/>
                <w:w w:val="94"/>
              </w:rPr>
              <w:t>THAT HAVE NOT</w:t>
            </w:r>
          </w:p>
        </w:tc>
      </w:tr>
      <w:tr>
        <w:trPr>
          <w:trHeight w:val="135"/>
        </w:trPr>
        <w:tc>
          <w:tcPr>
            <w:tcW w:w="9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9"/>
              </w:rPr>
              <w:t>OPTIONS</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OPTIONS</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8"/>
              </w:rPr>
              <w:t>PRICE</w:t>
            </w:r>
          </w:p>
        </w:tc>
        <w:tc>
          <w:tcPr>
            <w:tcW w:w="98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0086CC"/>
                <w:w w:val="95"/>
              </w:rPr>
              <w:t>EXPIRATION</w:t>
            </w:r>
          </w:p>
        </w:tc>
        <w:tc>
          <w:tcPr>
            <w:tcW w:w="1540" w:type="dxa"/>
            <w:vAlign w:val="bottom"/>
          </w:tcPr>
          <w:p>
            <w:pPr>
              <w:jc w:val="center"/>
              <w:ind w:right="64"/>
              <w:spacing w:after="0" w:line="135" w:lineRule="exact"/>
              <w:rPr>
                <w:sz w:val="20"/>
                <w:szCs w:val="20"/>
                <w:color w:val="auto"/>
              </w:rPr>
            </w:pPr>
            <w:r>
              <w:rPr>
                <w:rFonts w:ascii="Arial" w:cs="Arial" w:eastAsia="Arial" w:hAnsi="Arial"/>
                <w:sz w:val="12"/>
                <w:szCs w:val="12"/>
                <w:b w:val="1"/>
                <w:bCs w:val="1"/>
                <w:color w:val="0086CC"/>
                <w:w w:val="95"/>
              </w:rPr>
              <w:t>VESTED</w:t>
            </w:r>
          </w:p>
        </w:tc>
        <w:tc>
          <w:tcPr>
            <w:tcW w:w="1700" w:type="dxa"/>
            <w:vAlign w:val="bottom"/>
          </w:tcPr>
          <w:p>
            <w:pPr>
              <w:jc w:val="center"/>
              <w:spacing w:after="0" w:line="135" w:lineRule="exact"/>
              <w:rPr>
                <w:sz w:val="20"/>
                <w:szCs w:val="20"/>
                <w:color w:val="auto"/>
              </w:rPr>
            </w:pPr>
            <w:r>
              <w:rPr>
                <w:rFonts w:ascii="Arial" w:cs="Arial" w:eastAsia="Arial" w:hAnsi="Arial"/>
                <w:sz w:val="11"/>
                <w:szCs w:val="11"/>
                <w:b w:val="1"/>
                <w:bCs w:val="1"/>
                <w:color w:val="0086CC"/>
              </w:rPr>
              <w:t>VESTED</w:t>
            </w:r>
            <w:r>
              <w:rPr>
                <w:rFonts w:ascii="Arial" w:cs="Arial" w:eastAsia="Arial" w:hAnsi="Arial"/>
                <w:sz w:val="15"/>
                <w:szCs w:val="15"/>
                <w:b w:val="1"/>
                <w:bCs w:val="1"/>
                <w:color w:val="0086CC"/>
                <w:vertAlign w:val="superscript"/>
              </w:rPr>
              <w:t>1</w:t>
            </w:r>
          </w:p>
        </w:tc>
        <w:tc>
          <w:tcPr>
            <w:tcW w:w="1600" w:type="dxa"/>
            <w:vAlign w:val="bottom"/>
          </w:tcPr>
          <w:p>
            <w:pPr>
              <w:jc w:val="center"/>
              <w:ind w:left="83"/>
              <w:spacing w:after="0" w:line="135" w:lineRule="exact"/>
              <w:rPr>
                <w:sz w:val="20"/>
                <w:szCs w:val="20"/>
                <w:color w:val="auto"/>
              </w:rPr>
            </w:pPr>
            <w:r>
              <w:rPr>
                <w:rFonts w:ascii="Arial" w:cs="Arial" w:eastAsia="Arial" w:hAnsi="Arial"/>
                <w:sz w:val="12"/>
                <w:szCs w:val="12"/>
                <w:b w:val="1"/>
                <w:bCs w:val="1"/>
                <w:color w:val="0086CC"/>
                <w:w w:val="95"/>
              </w:rPr>
              <w:t>VESTED</w:t>
            </w:r>
          </w:p>
        </w:tc>
        <w:tc>
          <w:tcPr>
            <w:tcW w:w="1400" w:type="dxa"/>
            <w:vAlign w:val="bottom"/>
          </w:tcPr>
          <w:p>
            <w:pPr>
              <w:jc w:val="center"/>
              <w:ind w:left="102"/>
              <w:spacing w:after="0" w:line="135" w:lineRule="exact"/>
              <w:rPr>
                <w:sz w:val="20"/>
                <w:szCs w:val="20"/>
                <w:color w:val="auto"/>
              </w:rPr>
            </w:pPr>
            <w:r>
              <w:rPr>
                <w:rFonts w:ascii="Arial" w:cs="Arial" w:eastAsia="Arial" w:hAnsi="Arial"/>
                <w:sz w:val="11"/>
                <w:szCs w:val="11"/>
                <w:b w:val="1"/>
                <w:bCs w:val="1"/>
                <w:color w:val="0086CC"/>
              </w:rPr>
              <w:t>VESTED</w:t>
            </w:r>
            <w:r>
              <w:rPr>
                <w:rFonts w:ascii="Arial" w:cs="Arial" w:eastAsia="Arial" w:hAnsi="Arial"/>
                <w:sz w:val="15"/>
                <w:szCs w:val="15"/>
                <w:b w:val="1"/>
                <w:bCs w:val="1"/>
                <w:color w:val="0086CC"/>
                <w:vertAlign w:val="superscript"/>
              </w:rPr>
              <w:t>1</w:t>
            </w:r>
          </w:p>
        </w:tc>
      </w:tr>
      <w:tr>
        <w:trPr>
          <w:trHeight w:val="160"/>
        </w:trPr>
        <w:tc>
          <w:tcPr>
            <w:tcW w:w="980" w:type="dxa"/>
            <w:vAlign w:val="bottom"/>
          </w:tcPr>
          <w:p>
            <w:pPr>
              <w:ind w:left="60"/>
              <w:spacing w:after="0"/>
              <w:rPr>
                <w:sz w:val="20"/>
                <w:szCs w:val="20"/>
                <w:color w:val="auto"/>
              </w:rPr>
            </w:pPr>
            <w:r>
              <w:rPr>
                <w:rFonts w:ascii="Arial" w:cs="Arial" w:eastAsia="Arial" w:hAnsi="Arial"/>
                <w:sz w:val="12"/>
                <w:szCs w:val="12"/>
                <w:b w:val="1"/>
                <w:bCs w:val="1"/>
                <w:color w:val="0086CC"/>
              </w:rPr>
              <w:t>NAME</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0086CC"/>
                <w:w w:val="95"/>
              </w:rPr>
              <w:t>(#)</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0086CC"/>
              </w:rPr>
              <w:t>(#)</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0086CC"/>
                <w:w w:val="95"/>
              </w:rPr>
              <w:t>($)</w:t>
            </w:r>
          </w:p>
        </w:tc>
        <w:tc>
          <w:tcPr>
            <w:tcW w:w="980" w:type="dxa"/>
            <w:vAlign w:val="bottom"/>
          </w:tcPr>
          <w:p>
            <w:pPr>
              <w:jc w:val="center"/>
              <w:ind w:right="22"/>
              <w:spacing w:after="0"/>
              <w:rPr>
                <w:sz w:val="20"/>
                <w:szCs w:val="20"/>
                <w:color w:val="auto"/>
              </w:rPr>
            </w:pPr>
            <w:r>
              <w:rPr>
                <w:rFonts w:ascii="Arial" w:cs="Arial" w:eastAsia="Arial" w:hAnsi="Arial"/>
                <w:sz w:val="12"/>
                <w:szCs w:val="12"/>
                <w:b w:val="1"/>
                <w:bCs w:val="1"/>
                <w:color w:val="0086CC"/>
                <w:w w:val="91"/>
              </w:rPr>
              <w:t>DATE</w:t>
            </w:r>
          </w:p>
        </w:tc>
        <w:tc>
          <w:tcPr>
            <w:tcW w:w="1540" w:type="dxa"/>
            <w:vAlign w:val="bottom"/>
          </w:tcPr>
          <w:p>
            <w:pPr>
              <w:jc w:val="center"/>
              <w:ind w:right="64"/>
              <w:spacing w:after="0"/>
              <w:rPr>
                <w:sz w:val="20"/>
                <w:szCs w:val="20"/>
                <w:color w:val="auto"/>
              </w:rPr>
            </w:pPr>
            <w:r>
              <w:rPr>
                <w:rFonts w:ascii="Arial" w:cs="Arial" w:eastAsia="Arial" w:hAnsi="Arial"/>
                <w:sz w:val="12"/>
                <w:szCs w:val="12"/>
                <w:b w:val="1"/>
                <w:bCs w:val="1"/>
                <w:color w:val="0086CC"/>
                <w:w w:val="95"/>
              </w:rPr>
              <w:t>(#)</w:t>
            </w:r>
          </w:p>
        </w:tc>
        <w:tc>
          <w:tcPr>
            <w:tcW w:w="1700" w:type="dxa"/>
            <w:vAlign w:val="bottom"/>
          </w:tcPr>
          <w:p>
            <w:pPr>
              <w:jc w:val="center"/>
              <w:spacing w:after="0"/>
              <w:rPr>
                <w:sz w:val="20"/>
                <w:szCs w:val="20"/>
                <w:color w:val="auto"/>
              </w:rPr>
            </w:pPr>
            <w:r>
              <w:rPr>
                <w:rFonts w:ascii="Arial" w:cs="Arial" w:eastAsia="Arial" w:hAnsi="Arial"/>
                <w:sz w:val="12"/>
                <w:szCs w:val="12"/>
                <w:b w:val="1"/>
                <w:bCs w:val="1"/>
                <w:color w:val="0086CC"/>
                <w:w w:val="95"/>
              </w:rPr>
              <w:t>($)</w:t>
            </w:r>
          </w:p>
        </w:tc>
        <w:tc>
          <w:tcPr>
            <w:tcW w:w="1600" w:type="dxa"/>
            <w:vAlign w:val="bottom"/>
          </w:tcPr>
          <w:p>
            <w:pPr>
              <w:jc w:val="center"/>
              <w:ind w:left="83"/>
              <w:spacing w:after="0"/>
              <w:rPr>
                <w:sz w:val="20"/>
                <w:szCs w:val="20"/>
                <w:color w:val="auto"/>
              </w:rPr>
            </w:pPr>
            <w:r>
              <w:rPr>
                <w:rFonts w:ascii="Arial" w:cs="Arial" w:eastAsia="Arial" w:hAnsi="Arial"/>
                <w:sz w:val="12"/>
                <w:szCs w:val="12"/>
                <w:b w:val="1"/>
                <w:bCs w:val="1"/>
                <w:color w:val="0086CC"/>
                <w:w w:val="95"/>
              </w:rPr>
              <w:t>(#)</w:t>
            </w:r>
          </w:p>
        </w:tc>
        <w:tc>
          <w:tcPr>
            <w:tcW w:w="1400" w:type="dxa"/>
            <w:vAlign w:val="bottom"/>
          </w:tcPr>
          <w:p>
            <w:pPr>
              <w:jc w:val="center"/>
              <w:ind w:left="82"/>
              <w:spacing w:after="0"/>
              <w:rPr>
                <w:sz w:val="20"/>
                <w:szCs w:val="20"/>
                <w:color w:val="auto"/>
              </w:rPr>
            </w:pPr>
            <w:r>
              <w:rPr>
                <w:rFonts w:ascii="Arial" w:cs="Arial" w:eastAsia="Arial" w:hAnsi="Arial"/>
                <w:sz w:val="12"/>
                <w:szCs w:val="12"/>
                <w:b w:val="1"/>
                <w:bCs w:val="1"/>
                <w:color w:val="0086CC"/>
                <w:w w:val="95"/>
              </w:rPr>
              <w:t>($)</w:t>
            </w:r>
          </w:p>
        </w:tc>
      </w:tr>
      <w:tr>
        <w:trPr>
          <w:trHeight w:val="168"/>
        </w:trPr>
        <w:tc>
          <w:tcPr>
            <w:tcW w:w="980" w:type="dxa"/>
            <w:vAlign w:val="bottom"/>
            <w:tcBorders>
              <w:bottom w:val="single" w:sz="8" w:color="0086CC"/>
            </w:tcBorders>
          </w:tcPr>
          <w:p>
            <w:pPr>
              <w:ind w:left="60"/>
              <w:spacing w:after="0"/>
              <w:rPr>
                <w:sz w:val="20"/>
                <w:szCs w:val="20"/>
                <w:color w:val="auto"/>
              </w:rPr>
            </w:pPr>
            <w:r>
              <w:rPr>
                <w:rFonts w:ascii="Arial" w:cs="Arial" w:eastAsia="Arial" w:hAnsi="Arial"/>
                <w:sz w:val="12"/>
                <w:szCs w:val="12"/>
                <w:b w:val="1"/>
                <w:bCs w:val="1"/>
                <w:color w:val="0086CC"/>
              </w:rPr>
              <w:t>(A)</w:t>
            </w:r>
          </w:p>
        </w:tc>
        <w:tc>
          <w:tcPr>
            <w:tcW w:w="104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(B)</w:t>
            </w:r>
          </w:p>
        </w:tc>
        <w:tc>
          <w:tcPr>
            <w:tcW w:w="100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(C)</w:t>
            </w:r>
          </w:p>
        </w:tc>
        <w:tc>
          <w:tcPr>
            <w:tcW w:w="78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87"/>
              </w:rPr>
              <w:t>(E)</w:t>
            </w:r>
          </w:p>
        </w:tc>
        <w:tc>
          <w:tcPr>
            <w:tcW w:w="980" w:type="dxa"/>
            <w:vAlign w:val="bottom"/>
            <w:tcBorders>
              <w:bottom w:val="single" w:sz="8" w:color="0086CC"/>
            </w:tcBorders>
          </w:tcPr>
          <w:p>
            <w:pPr>
              <w:jc w:val="center"/>
              <w:ind w:right="22"/>
              <w:spacing w:after="0"/>
              <w:rPr>
                <w:sz w:val="20"/>
                <w:szCs w:val="20"/>
                <w:color w:val="auto"/>
              </w:rPr>
            </w:pPr>
            <w:r>
              <w:rPr>
                <w:rFonts w:ascii="Arial" w:cs="Arial" w:eastAsia="Arial" w:hAnsi="Arial"/>
                <w:sz w:val="12"/>
                <w:szCs w:val="12"/>
                <w:b w:val="1"/>
                <w:bCs w:val="1"/>
                <w:color w:val="0086CC"/>
                <w:w w:val="91"/>
              </w:rPr>
              <w:t>(F)</w:t>
            </w:r>
          </w:p>
        </w:tc>
        <w:tc>
          <w:tcPr>
            <w:tcW w:w="1540" w:type="dxa"/>
            <w:vAlign w:val="bottom"/>
            <w:tcBorders>
              <w:bottom w:val="single" w:sz="8" w:color="0086CC"/>
            </w:tcBorders>
          </w:tcPr>
          <w:p>
            <w:pPr>
              <w:jc w:val="center"/>
              <w:ind w:right="84"/>
              <w:spacing w:after="0"/>
              <w:rPr>
                <w:sz w:val="20"/>
                <w:szCs w:val="20"/>
                <w:color w:val="auto"/>
              </w:rPr>
            </w:pPr>
            <w:r>
              <w:rPr>
                <w:rFonts w:ascii="Arial" w:cs="Arial" w:eastAsia="Arial" w:hAnsi="Arial"/>
                <w:sz w:val="12"/>
                <w:szCs w:val="12"/>
                <w:b w:val="1"/>
                <w:bCs w:val="1"/>
                <w:color w:val="0086CC"/>
                <w:w w:val="92"/>
              </w:rPr>
              <w:t>(G)</w:t>
            </w:r>
          </w:p>
        </w:tc>
        <w:tc>
          <w:tcPr>
            <w:tcW w:w="170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(H)</w:t>
            </w:r>
          </w:p>
        </w:tc>
        <w:tc>
          <w:tcPr>
            <w:tcW w:w="1600" w:type="dxa"/>
            <w:vAlign w:val="bottom"/>
            <w:tcBorders>
              <w:bottom w:val="single" w:sz="8" w:color="0086CC"/>
            </w:tcBorders>
          </w:tcPr>
          <w:p>
            <w:pPr>
              <w:jc w:val="center"/>
              <w:ind w:left="83"/>
              <w:spacing w:after="0"/>
              <w:rPr>
                <w:sz w:val="20"/>
                <w:szCs w:val="20"/>
                <w:color w:val="auto"/>
              </w:rPr>
            </w:pPr>
            <w:r>
              <w:rPr>
                <w:rFonts w:ascii="Arial" w:cs="Arial" w:eastAsia="Arial" w:hAnsi="Arial"/>
                <w:sz w:val="12"/>
                <w:szCs w:val="12"/>
                <w:b w:val="1"/>
                <w:bCs w:val="1"/>
                <w:color w:val="0086CC"/>
                <w:w w:val="87"/>
              </w:rPr>
              <w:t>(I)</w:t>
            </w:r>
          </w:p>
        </w:tc>
        <w:tc>
          <w:tcPr>
            <w:tcW w:w="1400" w:type="dxa"/>
            <w:vAlign w:val="bottom"/>
            <w:tcBorders>
              <w:bottom w:val="single" w:sz="8" w:color="0086CC"/>
            </w:tcBorders>
          </w:tcPr>
          <w:p>
            <w:pPr>
              <w:jc w:val="center"/>
              <w:ind w:left="82"/>
              <w:spacing w:after="0"/>
              <w:rPr>
                <w:sz w:val="20"/>
                <w:szCs w:val="20"/>
                <w:color w:val="auto"/>
              </w:rPr>
            </w:pPr>
            <w:r>
              <w:rPr>
                <w:rFonts w:ascii="Arial" w:cs="Arial" w:eastAsia="Arial" w:hAnsi="Arial"/>
                <w:sz w:val="12"/>
                <w:szCs w:val="12"/>
                <w:b w:val="1"/>
                <w:bCs w:val="1"/>
                <w:color w:val="0086CC"/>
                <w:w w:val="95"/>
              </w:rPr>
              <w:t>(J)</w:t>
            </w:r>
          </w:p>
        </w:tc>
      </w:tr>
      <w:tr>
        <w:trPr>
          <w:trHeight w:val="181"/>
        </w:trPr>
        <w:tc>
          <w:tcPr>
            <w:tcW w:w="980" w:type="dxa"/>
            <w:vAlign w:val="bottom"/>
          </w:tcPr>
          <w:p>
            <w:pPr>
              <w:ind w:left="60"/>
              <w:spacing w:after="0"/>
              <w:rPr>
                <w:sz w:val="20"/>
                <w:szCs w:val="20"/>
                <w:color w:val="auto"/>
              </w:rPr>
            </w:pPr>
            <w:r>
              <w:rPr>
                <w:rFonts w:ascii="Arial" w:cs="Arial" w:eastAsia="Arial" w:hAnsi="Arial"/>
                <w:sz w:val="12"/>
                <w:szCs w:val="12"/>
                <w:b w:val="1"/>
                <w:bCs w:val="1"/>
                <w:color w:val="4D5357"/>
              </w:rPr>
              <w:t>C. Howard Nye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64"/>
              <w:spacing w:after="0" w:line="180" w:lineRule="exact"/>
              <w:rPr>
                <w:sz w:val="20"/>
                <w:szCs w:val="20"/>
                <w:color w:val="auto"/>
              </w:rPr>
            </w:pPr>
            <w:r>
              <w:rPr>
                <w:rFonts w:ascii="Arial" w:cs="Arial" w:eastAsia="Arial" w:hAnsi="Arial"/>
                <w:sz w:val="12"/>
                <w:szCs w:val="12"/>
                <w:color w:val="4D5357"/>
              </w:rPr>
              <w:t>2,810</w:t>
            </w:r>
            <w:r>
              <w:rPr>
                <w:rFonts w:ascii="Arial" w:cs="Arial" w:eastAsia="Arial" w:hAnsi="Arial"/>
                <w:sz w:val="17"/>
                <w:szCs w:val="17"/>
                <w:color w:val="4D5357"/>
                <w:vertAlign w:val="superscript"/>
              </w:rPr>
              <w:t>2</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1,749,675</w:t>
            </w:r>
          </w:p>
        </w:tc>
        <w:tc>
          <w:tcPr>
            <w:tcW w:w="1600" w:type="dxa"/>
            <w:vAlign w:val="bottom"/>
          </w:tcPr>
          <w:p>
            <w:pPr>
              <w:jc w:val="right"/>
              <w:ind w:right="423"/>
              <w:spacing w:after="0" w:line="180" w:lineRule="exact"/>
              <w:rPr>
                <w:sz w:val="20"/>
                <w:szCs w:val="20"/>
                <w:color w:val="auto"/>
              </w:rPr>
            </w:pPr>
            <w:r>
              <w:rPr>
                <w:rFonts w:ascii="Arial" w:cs="Arial" w:eastAsia="Arial" w:hAnsi="Arial"/>
                <w:sz w:val="12"/>
                <w:szCs w:val="12"/>
                <w:color w:val="4D5357"/>
              </w:rPr>
              <w:t>10,305</w:t>
            </w:r>
            <w:r>
              <w:rPr>
                <w:rFonts w:ascii="Arial" w:cs="Arial" w:eastAsia="Arial" w:hAnsi="Arial"/>
                <w:sz w:val="17"/>
                <w:szCs w:val="17"/>
                <w:color w:val="4D5357"/>
                <w:vertAlign w:val="superscript"/>
              </w:rPr>
              <w:t>7</w:t>
            </w:r>
          </w:p>
        </w:tc>
        <w:tc>
          <w:tcPr>
            <w:tcW w:w="1400" w:type="dxa"/>
            <w:vAlign w:val="bottom"/>
          </w:tcPr>
          <w:p>
            <w:pPr>
              <w:jc w:val="right"/>
              <w:ind w:right="142"/>
              <w:spacing w:after="0"/>
              <w:rPr>
                <w:sz w:val="20"/>
                <w:szCs w:val="20"/>
                <w:color w:val="auto"/>
              </w:rPr>
            </w:pPr>
            <w:r>
              <w:rPr>
                <w:rFonts w:ascii="Arial" w:cs="Arial" w:eastAsia="Arial" w:hAnsi="Arial"/>
                <w:sz w:val="12"/>
                <w:szCs w:val="12"/>
                <w:color w:val="4D5357"/>
              </w:rPr>
              <w:t>6,416,511</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64"/>
              <w:spacing w:after="0" w:line="135" w:lineRule="exact"/>
              <w:rPr>
                <w:sz w:val="20"/>
                <w:szCs w:val="20"/>
                <w:color w:val="auto"/>
              </w:rPr>
            </w:pPr>
            <w:r>
              <w:rPr>
                <w:rFonts w:ascii="Arial" w:cs="Arial" w:eastAsia="Arial" w:hAnsi="Arial"/>
                <w:sz w:val="11"/>
                <w:szCs w:val="11"/>
                <w:color w:val="4D5357"/>
              </w:rPr>
              <w:t>4,422</w:t>
            </w:r>
            <w:r>
              <w:rPr>
                <w:rFonts w:ascii="Arial" w:cs="Arial" w:eastAsia="Arial" w:hAnsi="Arial"/>
                <w:sz w:val="15"/>
                <w:szCs w:val="15"/>
                <w:color w:val="4D5357"/>
                <w:vertAlign w:val="superscript"/>
              </w:rPr>
              <w:t>3</w:t>
            </w:r>
          </w:p>
        </w:tc>
        <w:tc>
          <w:tcPr>
            <w:tcW w:w="1700" w:type="dxa"/>
            <w:vAlign w:val="bottom"/>
          </w:tcPr>
          <w:p>
            <w:pPr>
              <w:jc w:val="right"/>
              <w:ind w:right="522"/>
              <w:spacing w:after="0" w:line="135" w:lineRule="exact"/>
              <w:rPr>
                <w:sz w:val="20"/>
                <w:szCs w:val="20"/>
                <w:color w:val="auto"/>
              </w:rPr>
            </w:pPr>
            <w:r>
              <w:rPr>
                <w:rFonts w:ascii="Arial" w:cs="Arial" w:eastAsia="Arial" w:hAnsi="Arial"/>
                <w:sz w:val="12"/>
                <w:szCs w:val="12"/>
                <w:color w:val="4D5357"/>
              </w:rPr>
              <w:t>2,753,403</w:t>
            </w:r>
          </w:p>
        </w:tc>
        <w:tc>
          <w:tcPr>
            <w:tcW w:w="1600" w:type="dxa"/>
            <w:vAlign w:val="bottom"/>
          </w:tcPr>
          <w:p>
            <w:pPr>
              <w:jc w:val="right"/>
              <w:ind w:right="423"/>
              <w:spacing w:after="0" w:line="135" w:lineRule="exact"/>
              <w:rPr>
                <w:sz w:val="20"/>
                <w:szCs w:val="20"/>
                <w:color w:val="auto"/>
              </w:rPr>
            </w:pPr>
            <w:r>
              <w:rPr>
                <w:rFonts w:ascii="Arial" w:cs="Arial" w:eastAsia="Arial" w:hAnsi="Arial"/>
                <w:sz w:val="11"/>
                <w:szCs w:val="11"/>
                <w:color w:val="4D5357"/>
              </w:rPr>
              <w:t>8,106</w:t>
            </w:r>
            <w:r>
              <w:rPr>
                <w:rFonts w:ascii="Arial" w:cs="Arial" w:eastAsia="Arial" w:hAnsi="Arial"/>
                <w:sz w:val="15"/>
                <w:szCs w:val="15"/>
                <w:color w:val="4D5357"/>
                <w:vertAlign w:val="superscript"/>
              </w:rPr>
              <w:t>8</w:t>
            </w:r>
          </w:p>
        </w:tc>
        <w:tc>
          <w:tcPr>
            <w:tcW w:w="1400" w:type="dxa"/>
            <w:vAlign w:val="bottom"/>
          </w:tcPr>
          <w:p>
            <w:pPr>
              <w:jc w:val="right"/>
              <w:ind w:right="142"/>
              <w:spacing w:after="0" w:line="135" w:lineRule="exact"/>
              <w:rPr>
                <w:sz w:val="20"/>
                <w:szCs w:val="20"/>
                <w:color w:val="auto"/>
              </w:rPr>
            </w:pPr>
            <w:r>
              <w:rPr>
                <w:rFonts w:ascii="Arial" w:cs="Arial" w:eastAsia="Arial" w:hAnsi="Arial"/>
                <w:sz w:val="12"/>
                <w:szCs w:val="12"/>
                <w:color w:val="4D5357"/>
              </w:rPr>
              <w:t>5,047,282</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64"/>
              <w:spacing w:after="0" w:line="135" w:lineRule="exact"/>
              <w:rPr>
                <w:sz w:val="20"/>
                <w:szCs w:val="20"/>
                <w:color w:val="auto"/>
              </w:rPr>
            </w:pPr>
            <w:r>
              <w:rPr>
                <w:rFonts w:ascii="Arial" w:cs="Arial" w:eastAsia="Arial" w:hAnsi="Arial"/>
                <w:sz w:val="11"/>
                <w:szCs w:val="11"/>
                <w:color w:val="4D5357"/>
              </w:rPr>
              <w:t>7,134</w:t>
            </w:r>
            <w:r>
              <w:rPr>
                <w:rFonts w:ascii="Arial" w:cs="Arial" w:eastAsia="Arial" w:hAnsi="Arial"/>
                <w:sz w:val="15"/>
                <w:szCs w:val="15"/>
                <w:color w:val="4D5357"/>
                <w:vertAlign w:val="superscript"/>
              </w:rPr>
              <w:t>4</w:t>
            </w:r>
          </w:p>
        </w:tc>
        <w:tc>
          <w:tcPr>
            <w:tcW w:w="1700" w:type="dxa"/>
            <w:vAlign w:val="bottom"/>
          </w:tcPr>
          <w:p>
            <w:pPr>
              <w:jc w:val="right"/>
              <w:ind w:right="522"/>
              <w:spacing w:after="0" w:line="135" w:lineRule="exact"/>
              <w:rPr>
                <w:sz w:val="20"/>
                <w:szCs w:val="20"/>
                <w:color w:val="auto"/>
              </w:rPr>
            </w:pPr>
            <w:r>
              <w:rPr>
                <w:rFonts w:ascii="Arial" w:cs="Arial" w:eastAsia="Arial" w:hAnsi="Arial"/>
                <w:sz w:val="12"/>
                <w:szCs w:val="12"/>
                <w:color w:val="4D5357"/>
              </w:rPr>
              <w:t>4,442,056</w:t>
            </w:r>
          </w:p>
        </w:tc>
        <w:tc>
          <w:tcPr>
            <w:tcW w:w="1600" w:type="dxa"/>
            <w:vAlign w:val="bottom"/>
          </w:tcPr>
          <w:p>
            <w:pPr>
              <w:jc w:val="right"/>
              <w:ind w:right="423"/>
              <w:spacing w:after="0" w:line="135" w:lineRule="exact"/>
              <w:rPr>
                <w:sz w:val="20"/>
                <w:szCs w:val="20"/>
                <w:color w:val="auto"/>
              </w:rPr>
            </w:pPr>
            <w:r>
              <w:rPr>
                <w:rFonts w:ascii="Arial" w:cs="Arial" w:eastAsia="Arial" w:hAnsi="Arial"/>
                <w:sz w:val="11"/>
                <w:szCs w:val="11"/>
                <w:color w:val="4D5357"/>
              </w:rPr>
              <w:t>9,083</w:t>
            </w:r>
            <w:r>
              <w:rPr>
                <w:rFonts w:ascii="Arial" w:cs="Arial" w:eastAsia="Arial" w:hAnsi="Arial"/>
                <w:sz w:val="15"/>
                <w:szCs w:val="15"/>
                <w:color w:val="4D5357"/>
                <w:vertAlign w:val="superscript"/>
              </w:rPr>
              <w:t>9</w:t>
            </w:r>
          </w:p>
        </w:tc>
        <w:tc>
          <w:tcPr>
            <w:tcW w:w="1400" w:type="dxa"/>
            <w:vAlign w:val="bottom"/>
          </w:tcPr>
          <w:p>
            <w:pPr>
              <w:jc w:val="right"/>
              <w:ind w:right="142"/>
              <w:spacing w:after="0" w:line="135" w:lineRule="exact"/>
              <w:rPr>
                <w:sz w:val="20"/>
                <w:szCs w:val="20"/>
                <w:color w:val="auto"/>
              </w:rPr>
            </w:pPr>
            <w:r>
              <w:rPr>
                <w:rFonts w:ascii="Arial" w:cs="Arial" w:eastAsia="Arial" w:hAnsi="Arial"/>
                <w:sz w:val="12"/>
                <w:szCs w:val="12"/>
                <w:color w:val="4D5357"/>
              </w:rPr>
              <w:t>5,655,621</w:t>
            </w:r>
          </w:p>
        </w:tc>
      </w:tr>
      <w:tr>
        <w:trPr>
          <w:trHeight w:val="176"/>
        </w:trPr>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64"/>
              <w:spacing w:after="0" w:line="176" w:lineRule="exact"/>
              <w:rPr>
                <w:sz w:val="20"/>
                <w:szCs w:val="20"/>
                <w:color w:val="auto"/>
              </w:rPr>
            </w:pPr>
            <w:r>
              <w:rPr>
                <w:rFonts w:ascii="Arial" w:cs="Arial" w:eastAsia="Arial" w:hAnsi="Arial"/>
                <w:sz w:val="12"/>
                <w:szCs w:val="12"/>
                <w:color w:val="4D5357"/>
              </w:rPr>
              <w:t>3,373</w:t>
            </w:r>
            <w:r>
              <w:rPr>
                <w:rFonts w:ascii="Arial" w:cs="Arial" w:eastAsia="Arial" w:hAnsi="Arial"/>
                <w:sz w:val="17"/>
                <w:szCs w:val="17"/>
                <w:color w:val="4D5357"/>
                <w:vertAlign w:val="superscript"/>
              </w:rPr>
              <w:t>5</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2,100,232</w:t>
            </w:r>
          </w:p>
        </w:tc>
        <w:tc>
          <w:tcPr>
            <w:tcW w:w="1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43"/>
        </w:trPr>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564"/>
              <w:spacing w:after="0" w:line="143" w:lineRule="exact"/>
              <w:rPr>
                <w:sz w:val="20"/>
                <w:szCs w:val="20"/>
                <w:color w:val="auto"/>
              </w:rPr>
            </w:pPr>
            <w:r>
              <w:rPr>
                <w:rFonts w:ascii="Arial" w:cs="Arial" w:eastAsia="Arial" w:hAnsi="Arial"/>
                <w:sz w:val="11"/>
                <w:szCs w:val="11"/>
                <w:color w:val="4D5357"/>
              </w:rPr>
              <w:t>2,125</w:t>
            </w:r>
            <w:r>
              <w:rPr>
                <w:rFonts w:ascii="Arial" w:cs="Arial" w:eastAsia="Arial" w:hAnsi="Arial"/>
                <w:sz w:val="16"/>
                <w:szCs w:val="16"/>
                <w:color w:val="4D5357"/>
                <w:vertAlign w:val="superscript"/>
              </w:rPr>
              <w:t>6</w:t>
            </w:r>
          </w:p>
        </w:tc>
        <w:tc>
          <w:tcPr>
            <w:tcW w:w="170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color w:val="4D5357"/>
              </w:rPr>
              <w:t>1,323,153</w:t>
            </w:r>
          </w:p>
        </w:tc>
        <w:tc>
          <w:tcPr>
            <w:tcW w:w="1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173"/>
        </w:trPr>
        <w:tc>
          <w:tcPr>
            <w:tcW w:w="980" w:type="dxa"/>
            <w:vAlign w:val="bottom"/>
          </w:tcPr>
          <w:p>
            <w:pPr>
              <w:ind w:left="60"/>
              <w:spacing w:after="0"/>
              <w:rPr>
                <w:sz w:val="20"/>
                <w:szCs w:val="20"/>
                <w:color w:val="auto"/>
              </w:rPr>
            </w:pPr>
            <w:r>
              <w:rPr>
                <w:rFonts w:ascii="Arial" w:cs="Arial" w:eastAsia="Arial" w:hAnsi="Arial"/>
                <w:sz w:val="12"/>
                <w:szCs w:val="12"/>
                <w:b w:val="1"/>
                <w:bCs w:val="1"/>
                <w:color w:val="4D5357"/>
              </w:rPr>
              <w:t>Michael J.</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64"/>
              <w:spacing w:after="0" w:line="173" w:lineRule="exact"/>
              <w:rPr>
                <w:sz w:val="20"/>
                <w:szCs w:val="20"/>
                <w:color w:val="auto"/>
              </w:rPr>
            </w:pPr>
            <w:r>
              <w:rPr>
                <w:rFonts w:ascii="Arial" w:cs="Arial" w:eastAsia="Arial" w:hAnsi="Arial"/>
                <w:sz w:val="12"/>
                <w:szCs w:val="12"/>
                <w:color w:val="4D5357"/>
              </w:rPr>
              <w:t>216</w:t>
            </w:r>
            <w:r>
              <w:rPr>
                <w:rFonts w:ascii="Arial" w:cs="Arial" w:eastAsia="Arial" w:hAnsi="Arial"/>
                <w:sz w:val="17"/>
                <w:szCs w:val="17"/>
                <w:color w:val="4D5357"/>
                <w:vertAlign w:val="superscript"/>
              </w:rPr>
              <w:t>2</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134,495</w:t>
            </w:r>
          </w:p>
        </w:tc>
        <w:tc>
          <w:tcPr>
            <w:tcW w:w="1600" w:type="dxa"/>
            <w:vAlign w:val="bottom"/>
          </w:tcPr>
          <w:p>
            <w:pPr>
              <w:jc w:val="right"/>
              <w:ind w:right="423"/>
              <w:spacing w:after="0" w:line="173" w:lineRule="exact"/>
              <w:rPr>
                <w:sz w:val="20"/>
                <w:szCs w:val="20"/>
                <w:color w:val="auto"/>
              </w:rPr>
            </w:pPr>
            <w:r>
              <w:rPr>
                <w:rFonts w:ascii="Arial" w:cs="Arial" w:eastAsia="Arial" w:hAnsi="Arial"/>
                <w:sz w:val="12"/>
                <w:szCs w:val="12"/>
                <w:color w:val="4D5357"/>
              </w:rPr>
              <w:t>794</w:t>
            </w:r>
            <w:r>
              <w:rPr>
                <w:rFonts w:ascii="Arial" w:cs="Arial" w:eastAsia="Arial" w:hAnsi="Arial"/>
                <w:sz w:val="17"/>
                <w:szCs w:val="17"/>
                <w:color w:val="4D5357"/>
                <w:vertAlign w:val="superscript"/>
              </w:rPr>
              <w:t>7</w:t>
            </w:r>
          </w:p>
        </w:tc>
        <w:tc>
          <w:tcPr>
            <w:tcW w:w="1400" w:type="dxa"/>
            <w:vAlign w:val="bottom"/>
          </w:tcPr>
          <w:p>
            <w:pPr>
              <w:jc w:val="right"/>
              <w:ind w:right="142"/>
              <w:spacing w:after="0"/>
              <w:rPr>
                <w:sz w:val="20"/>
                <w:szCs w:val="20"/>
                <w:color w:val="auto"/>
              </w:rPr>
            </w:pPr>
            <w:r>
              <w:rPr>
                <w:rFonts w:ascii="Arial" w:cs="Arial" w:eastAsia="Arial" w:hAnsi="Arial"/>
                <w:sz w:val="12"/>
                <w:szCs w:val="12"/>
                <w:color w:val="4D5357"/>
              </w:rPr>
              <w:t>494,392</w:t>
            </w:r>
          </w:p>
        </w:tc>
      </w:tr>
      <w:tr>
        <w:trPr>
          <w:trHeight w:val="137"/>
        </w:trPr>
        <w:tc>
          <w:tcPr>
            <w:tcW w:w="980" w:type="dxa"/>
            <w:vAlign w:val="bottom"/>
          </w:tcPr>
          <w:p>
            <w:pPr>
              <w:ind w:left="60"/>
              <w:spacing w:after="0"/>
              <w:rPr>
                <w:sz w:val="20"/>
                <w:szCs w:val="20"/>
                <w:color w:val="auto"/>
              </w:rPr>
            </w:pPr>
            <w:r>
              <w:rPr>
                <w:rFonts w:ascii="Arial" w:cs="Arial" w:eastAsia="Arial" w:hAnsi="Arial"/>
                <w:sz w:val="12"/>
                <w:szCs w:val="12"/>
                <w:b w:val="1"/>
                <w:bCs w:val="1"/>
                <w:color w:val="4D5357"/>
              </w:rPr>
              <w:t>Petro</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64"/>
              <w:spacing w:after="0" w:line="137" w:lineRule="exact"/>
              <w:rPr>
                <w:sz w:val="20"/>
                <w:szCs w:val="20"/>
                <w:color w:val="auto"/>
              </w:rPr>
            </w:pPr>
            <w:r>
              <w:rPr>
                <w:rFonts w:ascii="Arial" w:cs="Arial" w:eastAsia="Arial" w:hAnsi="Arial"/>
                <w:sz w:val="11"/>
                <w:szCs w:val="11"/>
                <w:color w:val="4D5357"/>
              </w:rPr>
              <w:t>476</w:t>
            </w:r>
            <w:r>
              <w:rPr>
                <w:rFonts w:ascii="Arial" w:cs="Arial" w:eastAsia="Arial" w:hAnsi="Arial"/>
                <w:sz w:val="15"/>
                <w:szCs w:val="15"/>
                <w:color w:val="4D5357"/>
                <w:vertAlign w:val="superscript"/>
              </w:rPr>
              <w:t>3</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296,386</w:t>
            </w:r>
          </w:p>
        </w:tc>
        <w:tc>
          <w:tcPr>
            <w:tcW w:w="1600" w:type="dxa"/>
            <w:vAlign w:val="bottom"/>
          </w:tcPr>
          <w:p>
            <w:pPr>
              <w:jc w:val="right"/>
              <w:ind w:right="423"/>
              <w:spacing w:after="0" w:line="137" w:lineRule="exact"/>
              <w:rPr>
                <w:sz w:val="20"/>
                <w:szCs w:val="20"/>
                <w:color w:val="auto"/>
              </w:rPr>
            </w:pPr>
            <w:r>
              <w:rPr>
                <w:rFonts w:ascii="Arial" w:cs="Arial" w:eastAsia="Arial" w:hAnsi="Arial"/>
                <w:sz w:val="11"/>
                <w:szCs w:val="11"/>
                <w:color w:val="4D5357"/>
              </w:rPr>
              <w:t>873</w:t>
            </w:r>
            <w:r>
              <w:rPr>
                <w:rFonts w:ascii="Arial" w:cs="Arial" w:eastAsia="Arial" w:hAnsi="Arial"/>
                <w:sz w:val="15"/>
                <w:szCs w:val="15"/>
                <w:color w:val="4D5357"/>
                <w:vertAlign w:val="superscript"/>
              </w:rPr>
              <w:t>8</w:t>
            </w:r>
          </w:p>
        </w:tc>
        <w:tc>
          <w:tcPr>
            <w:tcW w:w="1400" w:type="dxa"/>
            <w:vAlign w:val="bottom"/>
          </w:tcPr>
          <w:p>
            <w:pPr>
              <w:jc w:val="right"/>
              <w:ind w:right="142"/>
              <w:spacing w:after="0"/>
              <w:rPr>
                <w:sz w:val="20"/>
                <w:szCs w:val="20"/>
                <w:color w:val="auto"/>
              </w:rPr>
            </w:pPr>
            <w:r>
              <w:rPr>
                <w:rFonts w:ascii="Arial" w:cs="Arial" w:eastAsia="Arial" w:hAnsi="Arial"/>
                <w:sz w:val="12"/>
                <w:szCs w:val="12"/>
                <w:color w:val="4D5357"/>
              </w:rPr>
              <w:t>543,582</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64"/>
              <w:spacing w:after="0" w:line="135" w:lineRule="exact"/>
              <w:rPr>
                <w:sz w:val="20"/>
                <w:szCs w:val="20"/>
                <w:color w:val="auto"/>
              </w:rPr>
            </w:pPr>
            <w:r>
              <w:rPr>
                <w:rFonts w:ascii="Arial" w:cs="Arial" w:eastAsia="Arial" w:hAnsi="Arial"/>
                <w:sz w:val="11"/>
                <w:szCs w:val="11"/>
                <w:color w:val="4D5357"/>
              </w:rPr>
              <w:t>733</w:t>
            </w:r>
            <w:r>
              <w:rPr>
                <w:rFonts w:ascii="Arial" w:cs="Arial" w:eastAsia="Arial" w:hAnsi="Arial"/>
                <w:sz w:val="15"/>
                <w:szCs w:val="15"/>
                <w:color w:val="4D5357"/>
                <w:vertAlign w:val="superscript"/>
              </w:rPr>
              <w:t>4</w:t>
            </w:r>
          </w:p>
        </w:tc>
        <w:tc>
          <w:tcPr>
            <w:tcW w:w="1700" w:type="dxa"/>
            <w:vAlign w:val="bottom"/>
          </w:tcPr>
          <w:p>
            <w:pPr>
              <w:jc w:val="right"/>
              <w:ind w:right="522"/>
              <w:spacing w:after="0" w:line="135" w:lineRule="exact"/>
              <w:rPr>
                <w:sz w:val="20"/>
                <w:szCs w:val="20"/>
                <w:color w:val="auto"/>
              </w:rPr>
            </w:pPr>
            <w:r>
              <w:rPr>
                <w:rFonts w:ascii="Arial" w:cs="Arial" w:eastAsia="Arial" w:hAnsi="Arial"/>
                <w:sz w:val="12"/>
                <w:szCs w:val="12"/>
                <w:color w:val="4D5357"/>
              </w:rPr>
              <w:t>456,410</w:t>
            </w:r>
          </w:p>
        </w:tc>
        <w:tc>
          <w:tcPr>
            <w:tcW w:w="1600" w:type="dxa"/>
            <w:vAlign w:val="bottom"/>
          </w:tcPr>
          <w:p>
            <w:pPr>
              <w:jc w:val="right"/>
              <w:ind w:right="423"/>
              <w:spacing w:after="0" w:line="135" w:lineRule="exact"/>
              <w:rPr>
                <w:sz w:val="20"/>
                <w:szCs w:val="20"/>
                <w:color w:val="auto"/>
              </w:rPr>
            </w:pPr>
            <w:r>
              <w:rPr>
                <w:rFonts w:ascii="Arial" w:cs="Arial" w:eastAsia="Arial" w:hAnsi="Arial"/>
                <w:sz w:val="11"/>
                <w:szCs w:val="11"/>
                <w:color w:val="4D5357"/>
              </w:rPr>
              <w:t>896</w:t>
            </w:r>
            <w:r>
              <w:rPr>
                <w:rFonts w:ascii="Arial" w:cs="Arial" w:eastAsia="Arial" w:hAnsi="Arial"/>
                <w:sz w:val="15"/>
                <w:szCs w:val="15"/>
                <w:color w:val="4D5357"/>
                <w:vertAlign w:val="superscript"/>
              </w:rPr>
              <w:t>9</w:t>
            </w:r>
          </w:p>
        </w:tc>
        <w:tc>
          <w:tcPr>
            <w:tcW w:w="1400" w:type="dxa"/>
            <w:vAlign w:val="bottom"/>
          </w:tcPr>
          <w:p>
            <w:pPr>
              <w:jc w:val="right"/>
              <w:ind w:right="142"/>
              <w:spacing w:after="0" w:line="135" w:lineRule="exact"/>
              <w:rPr>
                <w:sz w:val="20"/>
                <w:szCs w:val="20"/>
                <w:color w:val="auto"/>
              </w:rPr>
            </w:pPr>
            <w:r>
              <w:rPr>
                <w:rFonts w:ascii="Arial" w:cs="Arial" w:eastAsia="Arial" w:hAnsi="Arial"/>
                <w:sz w:val="12"/>
                <w:szCs w:val="12"/>
                <w:color w:val="4D5357"/>
              </w:rPr>
              <w:t>557,903</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04"/>
              <w:spacing w:after="0" w:line="135" w:lineRule="exact"/>
              <w:rPr>
                <w:sz w:val="20"/>
                <w:szCs w:val="20"/>
                <w:color w:val="auto"/>
              </w:rPr>
            </w:pPr>
            <w:r>
              <w:rPr>
                <w:rFonts w:ascii="Arial" w:cs="Arial" w:eastAsia="Arial" w:hAnsi="Arial"/>
                <w:sz w:val="11"/>
                <w:szCs w:val="11"/>
                <w:color w:val="4D5357"/>
              </w:rPr>
              <w:t>846</w:t>
            </w:r>
            <w:r>
              <w:rPr>
                <w:rFonts w:ascii="Arial" w:cs="Arial" w:eastAsia="Arial" w:hAnsi="Arial"/>
                <w:sz w:val="15"/>
                <w:szCs w:val="15"/>
                <w:color w:val="4D5357"/>
                <w:vertAlign w:val="superscript"/>
              </w:rPr>
              <w:t>10</w:t>
            </w:r>
          </w:p>
        </w:tc>
        <w:tc>
          <w:tcPr>
            <w:tcW w:w="1700" w:type="dxa"/>
            <w:vAlign w:val="bottom"/>
          </w:tcPr>
          <w:p>
            <w:pPr>
              <w:jc w:val="right"/>
              <w:ind w:right="522"/>
              <w:spacing w:after="0" w:line="135" w:lineRule="exact"/>
              <w:rPr>
                <w:sz w:val="20"/>
                <w:szCs w:val="20"/>
                <w:color w:val="auto"/>
              </w:rPr>
            </w:pPr>
            <w:r>
              <w:rPr>
                <w:rFonts w:ascii="Arial" w:cs="Arial" w:eastAsia="Arial" w:hAnsi="Arial"/>
                <w:sz w:val="12"/>
                <w:szCs w:val="12"/>
                <w:color w:val="4D5357"/>
              </w:rPr>
              <w:t>526,770</w:t>
            </w:r>
          </w:p>
        </w:tc>
        <w:tc>
          <w:tcPr>
            <w:tcW w:w="16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76"/>
        </w:trPr>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24"/>
              <w:spacing w:after="0" w:line="176" w:lineRule="exact"/>
              <w:rPr>
                <w:sz w:val="20"/>
                <w:szCs w:val="20"/>
                <w:color w:val="auto"/>
              </w:rPr>
            </w:pPr>
            <w:r>
              <w:rPr>
                <w:rFonts w:ascii="Arial" w:cs="Arial" w:eastAsia="Arial" w:hAnsi="Arial"/>
                <w:sz w:val="12"/>
                <w:szCs w:val="12"/>
                <w:color w:val="4D5357"/>
              </w:rPr>
              <w:t>1,605</w:t>
            </w:r>
            <w:r>
              <w:rPr>
                <w:rFonts w:ascii="Arial" w:cs="Arial" w:eastAsia="Arial" w:hAnsi="Arial"/>
                <w:sz w:val="17"/>
                <w:szCs w:val="17"/>
                <w:color w:val="4D5357"/>
                <w:vertAlign w:val="superscript"/>
              </w:rPr>
              <w:t>11</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999,369</w:t>
            </w:r>
          </w:p>
        </w:tc>
        <w:tc>
          <w:tcPr>
            <w:tcW w:w="1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43"/>
        </w:trPr>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504"/>
              <w:spacing w:after="0" w:line="143" w:lineRule="exact"/>
              <w:rPr>
                <w:sz w:val="20"/>
                <w:szCs w:val="20"/>
                <w:color w:val="auto"/>
              </w:rPr>
            </w:pPr>
            <w:r>
              <w:rPr>
                <w:rFonts w:ascii="Arial" w:cs="Arial" w:eastAsia="Arial" w:hAnsi="Arial"/>
                <w:sz w:val="11"/>
                <w:szCs w:val="11"/>
                <w:color w:val="4D5357"/>
              </w:rPr>
              <w:t>1,822</w:t>
            </w:r>
            <w:r>
              <w:rPr>
                <w:rFonts w:ascii="Arial" w:cs="Arial" w:eastAsia="Arial" w:hAnsi="Arial"/>
                <w:sz w:val="16"/>
                <w:szCs w:val="16"/>
                <w:color w:val="4D5357"/>
                <w:vertAlign w:val="superscript"/>
              </w:rPr>
              <w:t>12</w:t>
            </w:r>
          </w:p>
        </w:tc>
        <w:tc>
          <w:tcPr>
            <w:tcW w:w="170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color w:val="4D5357"/>
              </w:rPr>
              <w:t>1,134,487</w:t>
            </w:r>
          </w:p>
        </w:tc>
        <w:tc>
          <w:tcPr>
            <w:tcW w:w="1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173"/>
        </w:trPr>
        <w:tc>
          <w:tcPr>
            <w:tcW w:w="980" w:type="dxa"/>
            <w:vAlign w:val="bottom"/>
          </w:tcPr>
          <w:p>
            <w:pPr>
              <w:ind w:left="60"/>
              <w:spacing w:after="0"/>
              <w:rPr>
                <w:sz w:val="20"/>
                <w:szCs w:val="20"/>
                <w:color w:val="auto"/>
              </w:rPr>
            </w:pPr>
            <w:r>
              <w:rPr>
                <w:rFonts w:ascii="Arial" w:cs="Arial" w:eastAsia="Arial" w:hAnsi="Arial"/>
                <w:sz w:val="12"/>
                <w:szCs w:val="12"/>
                <w:b w:val="1"/>
                <w:bCs w:val="1"/>
                <w:color w:val="4D5357"/>
              </w:rPr>
              <w:t>Robert J.</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64"/>
              <w:spacing w:after="0" w:line="173" w:lineRule="exact"/>
              <w:rPr>
                <w:sz w:val="20"/>
                <w:szCs w:val="20"/>
                <w:color w:val="auto"/>
              </w:rPr>
            </w:pPr>
            <w:r>
              <w:rPr>
                <w:rFonts w:ascii="Arial" w:cs="Arial" w:eastAsia="Arial" w:hAnsi="Arial"/>
                <w:sz w:val="12"/>
                <w:szCs w:val="12"/>
                <w:color w:val="4D5357"/>
              </w:rPr>
              <w:t>235</w:t>
            </w:r>
            <w:r>
              <w:rPr>
                <w:rFonts w:ascii="Arial" w:cs="Arial" w:eastAsia="Arial" w:hAnsi="Arial"/>
                <w:sz w:val="17"/>
                <w:szCs w:val="17"/>
                <w:color w:val="4D5357"/>
                <w:vertAlign w:val="superscript"/>
              </w:rPr>
              <w:t>2</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146,325</w:t>
            </w:r>
          </w:p>
        </w:tc>
        <w:tc>
          <w:tcPr>
            <w:tcW w:w="1600" w:type="dxa"/>
            <w:vAlign w:val="bottom"/>
          </w:tcPr>
          <w:p>
            <w:pPr>
              <w:jc w:val="right"/>
              <w:ind w:right="423"/>
              <w:spacing w:after="0" w:line="173" w:lineRule="exact"/>
              <w:rPr>
                <w:sz w:val="20"/>
                <w:szCs w:val="20"/>
                <w:color w:val="auto"/>
              </w:rPr>
            </w:pPr>
            <w:r>
              <w:rPr>
                <w:rFonts w:ascii="Arial" w:cs="Arial" w:eastAsia="Arial" w:hAnsi="Arial"/>
                <w:sz w:val="12"/>
                <w:szCs w:val="12"/>
                <w:color w:val="4D5357"/>
              </w:rPr>
              <w:t>861</w:t>
            </w:r>
            <w:r>
              <w:rPr>
                <w:rFonts w:ascii="Arial" w:cs="Arial" w:eastAsia="Arial" w:hAnsi="Arial"/>
                <w:sz w:val="17"/>
                <w:szCs w:val="17"/>
                <w:color w:val="4D5357"/>
                <w:vertAlign w:val="superscript"/>
              </w:rPr>
              <w:t>7</w:t>
            </w:r>
          </w:p>
        </w:tc>
        <w:tc>
          <w:tcPr>
            <w:tcW w:w="1400" w:type="dxa"/>
            <w:vAlign w:val="bottom"/>
          </w:tcPr>
          <w:p>
            <w:pPr>
              <w:jc w:val="right"/>
              <w:ind w:right="142"/>
              <w:spacing w:after="0"/>
              <w:rPr>
                <w:sz w:val="20"/>
                <w:szCs w:val="20"/>
                <w:color w:val="auto"/>
              </w:rPr>
            </w:pPr>
            <w:r>
              <w:rPr>
                <w:rFonts w:ascii="Arial" w:cs="Arial" w:eastAsia="Arial" w:hAnsi="Arial"/>
                <w:sz w:val="12"/>
                <w:szCs w:val="12"/>
                <w:color w:val="4D5357"/>
              </w:rPr>
              <w:t>536,110</w:t>
            </w:r>
          </w:p>
        </w:tc>
      </w:tr>
      <w:tr>
        <w:trPr>
          <w:trHeight w:val="137"/>
        </w:trPr>
        <w:tc>
          <w:tcPr>
            <w:tcW w:w="980" w:type="dxa"/>
            <w:vAlign w:val="bottom"/>
          </w:tcPr>
          <w:p>
            <w:pPr>
              <w:ind w:left="60"/>
              <w:spacing w:after="0"/>
              <w:rPr>
                <w:sz w:val="20"/>
                <w:szCs w:val="20"/>
                <w:color w:val="auto"/>
              </w:rPr>
            </w:pPr>
            <w:r>
              <w:rPr>
                <w:rFonts w:ascii="Arial" w:cs="Arial" w:eastAsia="Arial" w:hAnsi="Arial"/>
                <w:sz w:val="12"/>
                <w:szCs w:val="12"/>
                <w:b w:val="1"/>
                <w:bCs w:val="1"/>
                <w:color w:val="4D5357"/>
              </w:rPr>
              <w:t>Cardin</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64"/>
              <w:spacing w:after="0" w:line="137" w:lineRule="exact"/>
              <w:rPr>
                <w:sz w:val="20"/>
                <w:szCs w:val="20"/>
                <w:color w:val="auto"/>
              </w:rPr>
            </w:pPr>
            <w:r>
              <w:rPr>
                <w:rFonts w:ascii="Arial" w:cs="Arial" w:eastAsia="Arial" w:hAnsi="Arial"/>
                <w:sz w:val="11"/>
                <w:szCs w:val="11"/>
                <w:color w:val="4D5357"/>
              </w:rPr>
              <w:t>516</w:t>
            </w:r>
            <w:r>
              <w:rPr>
                <w:rFonts w:ascii="Arial" w:cs="Arial" w:eastAsia="Arial" w:hAnsi="Arial"/>
                <w:sz w:val="15"/>
                <w:szCs w:val="15"/>
                <w:color w:val="4D5357"/>
                <w:vertAlign w:val="superscript"/>
              </w:rPr>
              <w:t>3</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321,293</w:t>
            </w:r>
          </w:p>
        </w:tc>
        <w:tc>
          <w:tcPr>
            <w:tcW w:w="1600" w:type="dxa"/>
            <w:vAlign w:val="bottom"/>
          </w:tcPr>
          <w:p>
            <w:pPr>
              <w:jc w:val="right"/>
              <w:ind w:right="423"/>
              <w:spacing w:after="0" w:line="137" w:lineRule="exact"/>
              <w:rPr>
                <w:sz w:val="20"/>
                <w:szCs w:val="20"/>
                <w:color w:val="auto"/>
              </w:rPr>
            </w:pPr>
            <w:r>
              <w:rPr>
                <w:rFonts w:ascii="Arial" w:cs="Arial" w:eastAsia="Arial" w:hAnsi="Arial"/>
                <w:sz w:val="11"/>
                <w:szCs w:val="11"/>
                <w:color w:val="4D5357"/>
              </w:rPr>
              <w:t>946</w:t>
            </w:r>
            <w:r>
              <w:rPr>
                <w:rFonts w:ascii="Arial" w:cs="Arial" w:eastAsia="Arial" w:hAnsi="Arial"/>
                <w:sz w:val="15"/>
                <w:szCs w:val="15"/>
                <w:color w:val="4D5357"/>
                <w:vertAlign w:val="superscript"/>
              </w:rPr>
              <w:t>8</w:t>
            </w:r>
          </w:p>
        </w:tc>
        <w:tc>
          <w:tcPr>
            <w:tcW w:w="1400" w:type="dxa"/>
            <w:vAlign w:val="bottom"/>
          </w:tcPr>
          <w:p>
            <w:pPr>
              <w:jc w:val="right"/>
              <w:ind w:right="142"/>
              <w:spacing w:after="0"/>
              <w:rPr>
                <w:sz w:val="20"/>
                <w:szCs w:val="20"/>
                <w:color w:val="auto"/>
              </w:rPr>
            </w:pPr>
            <w:r>
              <w:rPr>
                <w:rFonts w:ascii="Arial" w:cs="Arial" w:eastAsia="Arial" w:hAnsi="Arial"/>
                <w:sz w:val="12"/>
                <w:szCs w:val="12"/>
                <w:color w:val="4D5357"/>
              </w:rPr>
              <w:t>589,036</w:t>
            </w:r>
          </w:p>
        </w:tc>
      </w:tr>
      <w:tr>
        <w:trPr>
          <w:trHeight w:val="175"/>
        </w:trPr>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64"/>
              <w:spacing w:after="0" w:line="176" w:lineRule="exact"/>
              <w:rPr>
                <w:sz w:val="20"/>
                <w:szCs w:val="20"/>
                <w:color w:val="auto"/>
              </w:rPr>
            </w:pPr>
            <w:r>
              <w:rPr>
                <w:rFonts w:ascii="Arial" w:cs="Arial" w:eastAsia="Arial" w:hAnsi="Arial"/>
                <w:sz w:val="12"/>
                <w:szCs w:val="12"/>
                <w:color w:val="4D5357"/>
              </w:rPr>
              <w:t>763</w:t>
            </w:r>
            <w:r>
              <w:rPr>
                <w:rFonts w:ascii="Arial" w:cs="Arial" w:eastAsia="Arial" w:hAnsi="Arial"/>
                <w:sz w:val="17"/>
                <w:szCs w:val="17"/>
                <w:color w:val="4D5357"/>
                <w:vertAlign w:val="superscript"/>
              </w:rPr>
              <w:t>4</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475,090</w:t>
            </w:r>
          </w:p>
        </w:tc>
        <w:tc>
          <w:tcPr>
            <w:tcW w:w="1600" w:type="dxa"/>
            <w:vAlign w:val="bottom"/>
          </w:tcPr>
          <w:p>
            <w:pPr>
              <w:jc w:val="right"/>
              <w:ind w:right="423"/>
              <w:spacing w:after="0" w:line="176" w:lineRule="exact"/>
              <w:rPr>
                <w:sz w:val="20"/>
                <w:szCs w:val="20"/>
                <w:color w:val="auto"/>
              </w:rPr>
            </w:pPr>
            <w:r>
              <w:rPr>
                <w:rFonts w:ascii="Arial" w:cs="Arial" w:eastAsia="Arial" w:hAnsi="Arial"/>
                <w:sz w:val="12"/>
                <w:szCs w:val="12"/>
                <w:color w:val="4D5357"/>
              </w:rPr>
              <w:t>972</w:t>
            </w:r>
            <w:r>
              <w:rPr>
                <w:rFonts w:ascii="Arial" w:cs="Arial" w:eastAsia="Arial" w:hAnsi="Arial"/>
                <w:sz w:val="17"/>
                <w:szCs w:val="17"/>
                <w:color w:val="4D5357"/>
                <w:vertAlign w:val="superscript"/>
              </w:rPr>
              <w:t>9</w:t>
            </w:r>
          </w:p>
        </w:tc>
        <w:tc>
          <w:tcPr>
            <w:tcW w:w="1400" w:type="dxa"/>
            <w:vAlign w:val="bottom"/>
          </w:tcPr>
          <w:p>
            <w:pPr>
              <w:jc w:val="right"/>
              <w:ind w:right="142"/>
              <w:spacing w:after="0"/>
              <w:rPr>
                <w:sz w:val="20"/>
                <w:szCs w:val="20"/>
                <w:color w:val="auto"/>
              </w:rPr>
            </w:pPr>
            <w:r>
              <w:rPr>
                <w:rFonts w:ascii="Arial" w:cs="Arial" w:eastAsia="Arial" w:hAnsi="Arial"/>
                <w:sz w:val="12"/>
                <w:szCs w:val="12"/>
                <w:color w:val="4D5357"/>
              </w:rPr>
              <w:t>605,226</w:t>
            </w:r>
          </w:p>
        </w:tc>
      </w:tr>
      <w:tr>
        <w:trPr>
          <w:trHeight w:val="143"/>
        </w:trPr>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504"/>
              <w:spacing w:after="0" w:line="143" w:lineRule="exact"/>
              <w:rPr>
                <w:sz w:val="20"/>
                <w:szCs w:val="20"/>
                <w:color w:val="auto"/>
              </w:rPr>
            </w:pPr>
            <w:r>
              <w:rPr>
                <w:rFonts w:ascii="Arial" w:cs="Arial" w:eastAsia="Arial" w:hAnsi="Arial"/>
                <w:sz w:val="11"/>
                <w:szCs w:val="11"/>
                <w:color w:val="4D5357"/>
              </w:rPr>
              <w:t>2,869</w:t>
            </w:r>
            <w:r>
              <w:rPr>
                <w:rFonts w:ascii="Arial" w:cs="Arial" w:eastAsia="Arial" w:hAnsi="Arial"/>
                <w:sz w:val="16"/>
                <w:szCs w:val="16"/>
                <w:color w:val="4D5357"/>
                <w:vertAlign w:val="superscript"/>
              </w:rPr>
              <w:t>14</w:t>
            </w:r>
          </w:p>
        </w:tc>
        <w:tc>
          <w:tcPr>
            <w:tcW w:w="170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color w:val="4D5357"/>
              </w:rPr>
              <w:t>1,786,412</w:t>
            </w:r>
          </w:p>
        </w:tc>
        <w:tc>
          <w:tcPr>
            <w:tcW w:w="1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173"/>
        </w:trPr>
        <w:tc>
          <w:tcPr>
            <w:tcW w:w="980" w:type="dxa"/>
            <w:vAlign w:val="bottom"/>
          </w:tcPr>
          <w:p>
            <w:pPr>
              <w:ind w:left="60"/>
              <w:spacing w:after="0"/>
              <w:rPr>
                <w:sz w:val="20"/>
                <w:szCs w:val="20"/>
                <w:color w:val="auto"/>
              </w:rPr>
            </w:pPr>
            <w:r>
              <w:rPr>
                <w:rFonts w:ascii="Arial" w:cs="Arial" w:eastAsia="Arial" w:hAnsi="Arial"/>
                <w:sz w:val="12"/>
                <w:szCs w:val="12"/>
                <w:b w:val="1"/>
                <w:bCs w:val="1"/>
                <w:color w:val="4D5357"/>
              </w:rPr>
              <w:t>Donald A.</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45"/>
        </w:trPr>
        <w:tc>
          <w:tcPr>
            <w:tcW w:w="9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4D5357"/>
              </w:rPr>
              <w:t>McCunniff</w:t>
            </w:r>
          </w:p>
        </w:tc>
        <w:tc>
          <w:tcPr>
            <w:tcW w:w="10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564"/>
              <w:spacing w:after="0" w:line="145" w:lineRule="exact"/>
              <w:rPr>
                <w:sz w:val="20"/>
                <w:szCs w:val="20"/>
                <w:color w:val="auto"/>
              </w:rPr>
            </w:pPr>
            <w:r>
              <w:rPr>
                <w:rFonts w:ascii="Arial" w:cs="Arial" w:eastAsia="Arial" w:hAnsi="Arial"/>
                <w:sz w:val="11"/>
                <w:szCs w:val="11"/>
                <w:color w:val="4D5357"/>
              </w:rPr>
              <w:t>1,493</w:t>
            </w:r>
            <w:r>
              <w:rPr>
                <w:rFonts w:ascii="Arial" w:cs="Arial" w:eastAsia="Arial" w:hAnsi="Arial"/>
                <w:sz w:val="16"/>
                <w:szCs w:val="16"/>
                <w:color w:val="4D5357"/>
                <w:vertAlign w:val="superscript"/>
              </w:rPr>
              <w:t>4</w:t>
            </w:r>
          </w:p>
        </w:tc>
        <w:tc>
          <w:tcPr>
            <w:tcW w:w="170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color w:val="4D5357"/>
              </w:rPr>
              <w:t>929,631</w:t>
            </w:r>
          </w:p>
        </w:tc>
        <w:tc>
          <w:tcPr>
            <w:tcW w:w="1600" w:type="dxa"/>
            <w:vAlign w:val="bottom"/>
            <w:tcBorders>
              <w:bottom w:val="single" w:sz="8" w:color="auto"/>
            </w:tcBorders>
          </w:tcPr>
          <w:p>
            <w:pPr>
              <w:jc w:val="right"/>
              <w:ind w:right="423"/>
              <w:spacing w:after="0" w:line="145" w:lineRule="exact"/>
              <w:rPr>
                <w:sz w:val="20"/>
                <w:szCs w:val="20"/>
                <w:color w:val="auto"/>
              </w:rPr>
            </w:pPr>
            <w:r>
              <w:rPr>
                <w:rFonts w:ascii="Arial" w:cs="Arial" w:eastAsia="Arial" w:hAnsi="Arial"/>
                <w:sz w:val="11"/>
                <w:szCs w:val="11"/>
                <w:color w:val="4D5357"/>
              </w:rPr>
              <w:t>1,885</w:t>
            </w:r>
            <w:r>
              <w:rPr>
                <w:rFonts w:ascii="Arial" w:cs="Arial" w:eastAsia="Arial" w:hAnsi="Arial"/>
                <w:sz w:val="16"/>
                <w:szCs w:val="16"/>
                <w:color w:val="4D5357"/>
                <w:vertAlign w:val="superscript"/>
              </w:rPr>
              <w:t>9</w:t>
            </w:r>
          </w:p>
        </w:tc>
        <w:tc>
          <w:tcPr>
            <w:tcW w:w="14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4D5357"/>
              </w:rPr>
              <w:t>1,173,714</w:t>
            </w:r>
          </w:p>
        </w:tc>
      </w:tr>
      <w:tr>
        <w:trPr>
          <w:trHeight w:val="175"/>
        </w:trPr>
        <w:tc>
          <w:tcPr>
            <w:tcW w:w="980" w:type="dxa"/>
            <w:vAlign w:val="bottom"/>
          </w:tcPr>
          <w:p>
            <w:pPr>
              <w:ind w:left="60"/>
              <w:spacing w:after="0"/>
              <w:rPr>
                <w:sz w:val="20"/>
                <w:szCs w:val="20"/>
                <w:color w:val="auto"/>
              </w:rPr>
            </w:pPr>
            <w:r>
              <w:rPr>
                <w:rFonts w:ascii="Arial" w:cs="Arial" w:eastAsia="Arial" w:hAnsi="Arial"/>
                <w:sz w:val="12"/>
                <w:szCs w:val="12"/>
                <w:b w:val="1"/>
                <w:bCs w:val="1"/>
                <w:color w:val="4D5357"/>
              </w:rPr>
              <w:t>Jason P. Flynn</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64"/>
              <w:spacing w:after="0" w:line="175" w:lineRule="exact"/>
              <w:rPr>
                <w:sz w:val="20"/>
                <w:szCs w:val="20"/>
                <w:color w:val="auto"/>
              </w:rPr>
            </w:pPr>
            <w:r>
              <w:rPr>
                <w:rFonts w:ascii="Arial" w:cs="Arial" w:eastAsia="Arial" w:hAnsi="Arial"/>
                <w:sz w:val="12"/>
                <w:szCs w:val="12"/>
                <w:color w:val="4D5357"/>
              </w:rPr>
              <w:t>67</w:t>
            </w:r>
            <w:r>
              <w:rPr>
                <w:rFonts w:ascii="Arial" w:cs="Arial" w:eastAsia="Arial" w:hAnsi="Arial"/>
                <w:sz w:val="17"/>
                <w:szCs w:val="17"/>
                <w:color w:val="4D5357"/>
                <w:vertAlign w:val="superscript"/>
              </w:rPr>
              <w:t>2</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41,718</w:t>
            </w:r>
          </w:p>
        </w:tc>
        <w:tc>
          <w:tcPr>
            <w:tcW w:w="1600" w:type="dxa"/>
            <w:vAlign w:val="bottom"/>
          </w:tcPr>
          <w:p>
            <w:pPr>
              <w:jc w:val="right"/>
              <w:ind w:right="423"/>
              <w:spacing w:after="0" w:line="175" w:lineRule="exact"/>
              <w:rPr>
                <w:sz w:val="20"/>
                <w:szCs w:val="20"/>
                <w:color w:val="auto"/>
              </w:rPr>
            </w:pPr>
            <w:r>
              <w:rPr>
                <w:rFonts w:ascii="Arial" w:cs="Arial" w:eastAsia="Arial" w:hAnsi="Arial"/>
                <w:sz w:val="12"/>
                <w:szCs w:val="12"/>
                <w:color w:val="4D5357"/>
              </w:rPr>
              <w:t>102</w:t>
            </w:r>
            <w:r>
              <w:rPr>
                <w:rFonts w:ascii="Arial" w:cs="Arial" w:eastAsia="Arial" w:hAnsi="Arial"/>
                <w:sz w:val="17"/>
                <w:szCs w:val="17"/>
                <w:color w:val="4D5357"/>
                <w:vertAlign w:val="superscript"/>
              </w:rPr>
              <w:t>7</w:t>
            </w:r>
          </w:p>
        </w:tc>
        <w:tc>
          <w:tcPr>
            <w:tcW w:w="1400" w:type="dxa"/>
            <w:vAlign w:val="bottom"/>
          </w:tcPr>
          <w:p>
            <w:pPr>
              <w:jc w:val="right"/>
              <w:ind w:right="142"/>
              <w:spacing w:after="0"/>
              <w:rPr>
                <w:sz w:val="20"/>
                <w:szCs w:val="20"/>
                <w:color w:val="auto"/>
              </w:rPr>
            </w:pPr>
            <w:r>
              <w:rPr>
                <w:rFonts w:ascii="Arial" w:cs="Arial" w:eastAsia="Arial" w:hAnsi="Arial"/>
                <w:sz w:val="12"/>
                <w:szCs w:val="12"/>
                <w:color w:val="4D5357"/>
              </w:rPr>
              <w:t>63,511</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64"/>
              <w:spacing w:after="0" w:line="135" w:lineRule="exact"/>
              <w:rPr>
                <w:sz w:val="20"/>
                <w:szCs w:val="20"/>
                <w:color w:val="auto"/>
              </w:rPr>
            </w:pPr>
            <w:r>
              <w:rPr>
                <w:rFonts w:ascii="Arial" w:cs="Arial" w:eastAsia="Arial" w:hAnsi="Arial"/>
                <w:sz w:val="11"/>
                <w:szCs w:val="11"/>
                <w:color w:val="4D5357"/>
              </w:rPr>
              <w:t>400</w:t>
            </w:r>
            <w:r>
              <w:rPr>
                <w:rFonts w:ascii="Arial" w:cs="Arial" w:eastAsia="Arial" w:hAnsi="Arial"/>
                <w:sz w:val="15"/>
                <w:szCs w:val="15"/>
                <w:color w:val="4D5357"/>
                <w:vertAlign w:val="superscript"/>
              </w:rPr>
              <w:t>3</w:t>
            </w:r>
          </w:p>
        </w:tc>
        <w:tc>
          <w:tcPr>
            <w:tcW w:w="1700" w:type="dxa"/>
            <w:vAlign w:val="bottom"/>
          </w:tcPr>
          <w:p>
            <w:pPr>
              <w:jc w:val="right"/>
              <w:ind w:right="522"/>
              <w:spacing w:after="0" w:line="135" w:lineRule="exact"/>
              <w:rPr>
                <w:sz w:val="20"/>
                <w:szCs w:val="20"/>
                <w:color w:val="auto"/>
              </w:rPr>
            </w:pPr>
            <w:r>
              <w:rPr>
                <w:rFonts w:ascii="Arial" w:cs="Arial" w:eastAsia="Arial" w:hAnsi="Arial"/>
                <w:sz w:val="12"/>
                <w:szCs w:val="12"/>
                <w:color w:val="4D5357"/>
              </w:rPr>
              <w:t>249,064</w:t>
            </w:r>
          </w:p>
        </w:tc>
        <w:tc>
          <w:tcPr>
            <w:tcW w:w="1600" w:type="dxa"/>
            <w:vAlign w:val="bottom"/>
          </w:tcPr>
          <w:p>
            <w:pPr>
              <w:jc w:val="right"/>
              <w:ind w:right="423"/>
              <w:spacing w:after="0" w:line="135" w:lineRule="exact"/>
              <w:rPr>
                <w:sz w:val="20"/>
                <w:szCs w:val="20"/>
                <w:color w:val="auto"/>
              </w:rPr>
            </w:pPr>
            <w:r>
              <w:rPr>
                <w:rFonts w:ascii="Arial" w:cs="Arial" w:eastAsia="Arial" w:hAnsi="Arial"/>
                <w:sz w:val="11"/>
                <w:szCs w:val="11"/>
                <w:color w:val="4D5357"/>
              </w:rPr>
              <w:t>733</w:t>
            </w:r>
            <w:r>
              <w:rPr>
                <w:rFonts w:ascii="Arial" w:cs="Arial" w:eastAsia="Arial" w:hAnsi="Arial"/>
                <w:sz w:val="15"/>
                <w:szCs w:val="15"/>
                <w:color w:val="4D5357"/>
                <w:vertAlign w:val="superscript"/>
              </w:rPr>
              <w:t>8</w:t>
            </w:r>
          </w:p>
        </w:tc>
        <w:tc>
          <w:tcPr>
            <w:tcW w:w="1400" w:type="dxa"/>
            <w:vAlign w:val="bottom"/>
          </w:tcPr>
          <w:p>
            <w:pPr>
              <w:jc w:val="right"/>
              <w:ind w:right="142"/>
              <w:spacing w:after="0" w:line="135" w:lineRule="exact"/>
              <w:rPr>
                <w:sz w:val="20"/>
                <w:szCs w:val="20"/>
                <w:color w:val="auto"/>
              </w:rPr>
            </w:pPr>
            <w:r>
              <w:rPr>
                <w:rFonts w:ascii="Arial" w:cs="Arial" w:eastAsia="Arial" w:hAnsi="Arial"/>
                <w:sz w:val="12"/>
                <w:szCs w:val="12"/>
                <w:color w:val="4D5357"/>
              </w:rPr>
              <w:t>456,410</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64"/>
              <w:spacing w:after="0" w:line="135" w:lineRule="exact"/>
              <w:rPr>
                <w:sz w:val="20"/>
                <w:szCs w:val="20"/>
                <w:color w:val="auto"/>
              </w:rPr>
            </w:pPr>
            <w:r>
              <w:rPr>
                <w:rFonts w:ascii="Arial" w:cs="Arial" w:eastAsia="Arial" w:hAnsi="Arial"/>
                <w:sz w:val="11"/>
                <w:szCs w:val="11"/>
                <w:color w:val="4D5357"/>
              </w:rPr>
              <w:t>616</w:t>
            </w:r>
            <w:r>
              <w:rPr>
                <w:rFonts w:ascii="Arial" w:cs="Arial" w:eastAsia="Arial" w:hAnsi="Arial"/>
                <w:sz w:val="15"/>
                <w:szCs w:val="15"/>
                <w:color w:val="4D5357"/>
                <w:vertAlign w:val="superscript"/>
              </w:rPr>
              <w:t>4</w:t>
            </w:r>
          </w:p>
        </w:tc>
        <w:tc>
          <w:tcPr>
            <w:tcW w:w="1700" w:type="dxa"/>
            <w:vAlign w:val="bottom"/>
          </w:tcPr>
          <w:p>
            <w:pPr>
              <w:jc w:val="right"/>
              <w:ind w:right="522"/>
              <w:spacing w:after="0" w:line="135" w:lineRule="exact"/>
              <w:rPr>
                <w:sz w:val="20"/>
                <w:szCs w:val="20"/>
                <w:color w:val="auto"/>
              </w:rPr>
            </w:pPr>
            <w:r>
              <w:rPr>
                <w:rFonts w:ascii="Arial" w:cs="Arial" w:eastAsia="Arial" w:hAnsi="Arial"/>
                <w:sz w:val="12"/>
                <w:szCs w:val="12"/>
                <w:color w:val="4D5357"/>
              </w:rPr>
              <w:t>383,559</w:t>
            </w:r>
          </w:p>
        </w:tc>
        <w:tc>
          <w:tcPr>
            <w:tcW w:w="1600" w:type="dxa"/>
            <w:vAlign w:val="bottom"/>
          </w:tcPr>
          <w:p>
            <w:pPr>
              <w:jc w:val="right"/>
              <w:ind w:right="423"/>
              <w:spacing w:after="0" w:line="135" w:lineRule="exact"/>
              <w:rPr>
                <w:sz w:val="20"/>
                <w:szCs w:val="20"/>
                <w:color w:val="auto"/>
              </w:rPr>
            </w:pPr>
            <w:r>
              <w:rPr>
                <w:rFonts w:ascii="Arial" w:cs="Arial" w:eastAsia="Arial" w:hAnsi="Arial"/>
                <w:sz w:val="11"/>
                <w:szCs w:val="11"/>
                <w:color w:val="4D5357"/>
              </w:rPr>
              <w:t>752</w:t>
            </w:r>
            <w:r>
              <w:rPr>
                <w:rFonts w:ascii="Arial" w:cs="Arial" w:eastAsia="Arial" w:hAnsi="Arial"/>
                <w:sz w:val="15"/>
                <w:szCs w:val="15"/>
                <w:color w:val="4D5357"/>
                <w:vertAlign w:val="superscript"/>
              </w:rPr>
              <w:t>9</w:t>
            </w:r>
          </w:p>
        </w:tc>
        <w:tc>
          <w:tcPr>
            <w:tcW w:w="1400" w:type="dxa"/>
            <w:vAlign w:val="bottom"/>
          </w:tcPr>
          <w:p>
            <w:pPr>
              <w:jc w:val="right"/>
              <w:ind w:right="142"/>
              <w:spacing w:after="0" w:line="135" w:lineRule="exact"/>
              <w:rPr>
                <w:sz w:val="20"/>
                <w:szCs w:val="20"/>
                <w:color w:val="auto"/>
              </w:rPr>
            </w:pPr>
            <w:r>
              <w:rPr>
                <w:rFonts w:ascii="Arial" w:cs="Arial" w:eastAsia="Arial" w:hAnsi="Arial"/>
                <w:sz w:val="12"/>
                <w:szCs w:val="12"/>
                <w:color w:val="4D5357"/>
              </w:rPr>
              <w:t>468,240</w:t>
            </w:r>
          </w:p>
        </w:tc>
      </w:tr>
      <w:tr>
        <w:trPr>
          <w:trHeight w:val="135"/>
        </w:trPr>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jc w:val="right"/>
              <w:ind w:right="504"/>
              <w:spacing w:after="0" w:line="135" w:lineRule="exact"/>
              <w:rPr>
                <w:sz w:val="20"/>
                <w:szCs w:val="20"/>
                <w:color w:val="auto"/>
              </w:rPr>
            </w:pPr>
            <w:r>
              <w:rPr>
                <w:rFonts w:ascii="Arial" w:cs="Arial" w:eastAsia="Arial" w:hAnsi="Arial"/>
                <w:sz w:val="11"/>
                <w:szCs w:val="11"/>
                <w:color w:val="4D5357"/>
              </w:rPr>
              <w:t>1,409</w:t>
            </w:r>
            <w:r>
              <w:rPr>
                <w:rFonts w:ascii="Arial" w:cs="Arial" w:eastAsia="Arial" w:hAnsi="Arial"/>
                <w:sz w:val="15"/>
                <w:szCs w:val="15"/>
                <w:color w:val="4D5357"/>
                <w:vertAlign w:val="superscript"/>
              </w:rPr>
              <w:t>13</w:t>
            </w:r>
          </w:p>
        </w:tc>
        <w:tc>
          <w:tcPr>
            <w:tcW w:w="1700" w:type="dxa"/>
            <w:vAlign w:val="bottom"/>
          </w:tcPr>
          <w:p>
            <w:pPr>
              <w:jc w:val="right"/>
              <w:ind w:right="522"/>
              <w:spacing w:after="0" w:line="135" w:lineRule="exact"/>
              <w:rPr>
                <w:sz w:val="20"/>
                <w:szCs w:val="20"/>
                <w:color w:val="auto"/>
              </w:rPr>
            </w:pPr>
            <w:r>
              <w:rPr>
                <w:rFonts w:ascii="Arial" w:cs="Arial" w:eastAsia="Arial" w:hAnsi="Arial"/>
                <w:sz w:val="12"/>
                <w:szCs w:val="12"/>
                <w:color w:val="4D5357"/>
              </w:rPr>
              <w:t>877,328</w:t>
            </w:r>
          </w:p>
        </w:tc>
        <w:tc>
          <w:tcPr>
            <w:tcW w:w="16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75"/>
        </w:trPr>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64"/>
              <w:spacing w:after="0" w:line="176" w:lineRule="exact"/>
              <w:rPr>
                <w:sz w:val="20"/>
                <w:szCs w:val="20"/>
                <w:color w:val="auto"/>
              </w:rPr>
            </w:pPr>
            <w:r>
              <w:rPr>
                <w:rFonts w:ascii="Arial" w:cs="Arial" w:eastAsia="Arial" w:hAnsi="Arial"/>
                <w:sz w:val="12"/>
                <w:szCs w:val="12"/>
                <w:color w:val="4D5357"/>
              </w:rPr>
              <w:t>698</w:t>
            </w:r>
            <w:r>
              <w:rPr>
                <w:rFonts w:ascii="Arial" w:cs="Arial" w:eastAsia="Arial" w:hAnsi="Arial"/>
                <w:sz w:val="17"/>
                <w:szCs w:val="17"/>
                <w:color w:val="4D5357"/>
                <w:vertAlign w:val="superscript"/>
              </w:rPr>
              <w:t>5</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434,617</w:t>
            </w:r>
          </w:p>
        </w:tc>
        <w:tc>
          <w:tcPr>
            <w:tcW w:w="1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43"/>
        </w:trPr>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564"/>
              <w:spacing w:after="0" w:line="143" w:lineRule="exact"/>
              <w:rPr>
                <w:sz w:val="20"/>
                <w:szCs w:val="20"/>
                <w:color w:val="auto"/>
              </w:rPr>
            </w:pPr>
            <w:r>
              <w:rPr>
                <w:rFonts w:ascii="Arial" w:cs="Arial" w:eastAsia="Arial" w:hAnsi="Arial"/>
                <w:sz w:val="11"/>
                <w:szCs w:val="11"/>
                <w:color w:val="4D5357"/>
              </w:rPr>
              <w:t>537</w:t>
            </w:r>
            <w:r>
              <w:rPr>
                <w:rFonts w:ascii="Arial" w:cs="Arial" w:eastAsia="Arial" w:hAnsi="Arial"/>
                <w:sz w:val="16"/>
                <w:szCs w:val="16"/>
                <w:color w:val="4D5357"/>
                <w:vertAlign w:val="superscript"/>
              </w:rPr>
              <w:t>6</w:t>
            </w:r>
          </w:p>
        </w:tc>
        <w:tc>
          <w:tcPr>
            <w:tcW w:w="170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color w:val="4D5357"/>
              </w:rPr>
              <w:t>334,368</w:t>
            </w:r>
          </w:p>
        </w:tc>
        <w:tc>
          <w:tcPr>
            <w:tcW w:w="16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173"/>
        </w:trPr>
        <w:tc>
          <w:tcPr>
            <w:tcW w:w="980" w:type="dxa"/>
            <w:vAlign w:val="bottom"/>
          </w:tcPr>
          <w:p>
            <w:pPr>
              <w:ind w:left="60"/>
              <w:spacing w:after="0"/>
              <w:rPr>
                <w:sz w:val="20"/>
                <w:szCs w:val="20"/>
                <w:color w:val="auto"/>
              </w:rPr>
            </w:pPr>
            <w:r>
              <w:rPr>
                <w:rFonts w:ascii="Arial" w:cs="Arial" w:eastAsia="Arial" w:hAnsi="Arial"/>
                <w:sz w:val="12"/>
                <w:szCs w:val="12"/>
                <w:b w:val="1"/>
                <w:bCs w:val="1"/>
                <w:color w:val="4D5357"/>
              </w:rPr>
              <w:t>Bradley 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jc w:val="right"/>
              <w:ind w:right="564"/>
              <w:spacing w:after="0" w:line="173" w:lineRule="exact"/>
              <w:rPr>
                <w:sz w:val="20"/>
                <w:szCs w:val="20"/>
                <w:color w:val="auto"/>
              </w:rPr>
            </w:pPr>
            <w:r>
              <w:rPr>
                <w:rFonts w:ascii="Arial" w:cs="Arial" w:eastAsia="Arial" w:hAnsi="Arial"/>
                <w:sz w:val="12"/>
                <w:szCs w:val="12"/>
                <w:color w:val="4D5357"/>
              </w:rPr>
              <w:t>981</w:t>
            </w:r>
            <w:r>
              <w:rPr>
                <w:rFonts w:ascii="Arial" w:cs="Arial" w:eastAsia="Arial" w:hAnsi="Arial"/>
                <w:sz w:val="17"/>
                <w:szCs w:val="17"/>
                <w:color w:val="4D5357"/>
                <w:vertAlign w:val="superscript"/>
              </w:rPr>
              <w:t>4</w:t>
            </w:r>
          </w:p>
        </w:tc>
        <w:tc>
          <w:tcPr>
            <w:tcW w:w="1700" w:type="dxa"/>
            <w:vAlign w:val="bottom"/>
          </w:tcPr>
          <w:p>
            <w:pPr>
              <w:jc w:val="right"/>
              <w:ind w:right="522"/>
              <w:spacing w:after="0"/>
              <w:rPr>
                <w:sz w:val="20"/>
                <w:szCs w:val="20"/>
                <w:color w:val="auto"/>
              </w:rPr>
            </w:pPr>
            <w:r>
              <w:rPr>
                <w:rFonts w:ascii="Arial" w:cs="Arial" w:eastAsia="Arial" w:hAnsi="Arial"/>
                <w:sz w:val="12"/>
                <w:szCs w:val="12"/>
                <w:color w:val="4D5357"/>
              </w:rPr>
              <w:t>610,829</w:t>
            </w:r>
          </w:p>
        </w:tc>
        <w:tc>
          <w:tcPr>
            <w:tcW w:w="1600" w:type="dxa"/>
            <w:vAlign w:val="bottom"/>
          </w:tcPr>
          <w:p>
            <w:pPr>
              <w:jc w:val="right"/>
              <w:ind w:right="423"/>
              <w:spacing w:after="0" w:line="173" w:lineRule="exact"/>
              <w:rPr>
                <w:sz w:val="20"/>
                <w:szCs w:val="20"/>
                <w:color w:val="auto"/>
              </w:rPr>
            </w:pPr>
            <w:r>
              <w:rPr>
                <w:rFonts w:ascii="Arial" w:cs="Arial" w:eastAsia="Arial" w:hAnsi="Arial"/>
                <w:sz w:val="12"/>
                <w:szCs w:val="12"/>
                <w:color w:val="4D5357"/>
              </w:rPr>
              <w:t>1,198</w:t>
            </w:r>
            <w:r>
              <w:rPr>
                <w:rFonts w:ascii="Arial" w:cs="Arial" w:eastAsia="Arial" w:hAnsi="Arial"/>
                <w:sz w:val="17"/>
                <w:szCs w:val="17"/>
                <w:color w:val="4D5357"/>
                <w:vertAlign w:val="superscript"/>
              </w:rPr>
              <w:t>9</w:t>
            </w:r>
          </w:p>
        </w:tc>
        <w:tc>
          <w:tcPr>
            <w:tcW w:w="1400" w:type="dxa"/>
            <w:vAlign w:val="bottom"/>
          </w:tcPr>
          <w:p>
            <w:pPr>
              <w:jc w:val="right"/>
              <w:ind w:right="142"/>
              <w:spacing w:after="0"/>
              <w:rPr>
                <w:sz w:val="20"/>
                <w:szCs w:val="20"/>
                <w:color w:val="auto"/>
              </w:rPr>
            </w:pPr>
            <w:r>
              <w:rPr>
                <w:rFonts w:ascii="Arial" w:cs="Arial" w:eastAsia="Arial" w:hAnsi="Arial"/>
                <w:sz w:val="12"/>
                <w:szCs w:val="12"/>
                <w:color w:val="4D5357"/>
              </w:rPr>
              <w:t>745,947</w:t>
            </w:r>
          </w:p>
        </w:tc>
      </w:tr>
      <w:tr>
        <w:trPr>
          <w:trHeight w:val="185"/>
        </w:trPr>
        <w:tc>
          <w:tcPr>
            <w:tcW w:w="9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4D5357"/>
              </w:rPr>
              <w:t>Kohn</w:t>
            </w:r>
          </w:p>
        </w:tc>
        <w:tc>
          <w:tcPr>
            <w:tcW w:w="1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04"/>
              <w:spacing w:after="0" w:line="185" w:lineRule="exact"/>
              <w:rPr>
                <w:sz w:val="20"/>
                <w:szCs w:val="20"/>
                <w:color w:val="auto"/>
              </w:rPr>
            </w:pPr>
            <w:r>
              <w:rPr>
                <w:rFonts w:ascii="Arial" w:cs="Arial" w:eastAsia="Arial" w:hAnsi="Arial"/>
                <w:sz w:val="12"/>
                <w:szCs w:val="12"/>
                <w:color w:val="4D5357"/>
              </w:rPr>
              <w:t>2,644</w:t>
            </w:r>
            <w:r>
              <w:rPr>
                <w:rFonts w:ascii="Arial" w:cs="Arial" w:eastAsia="Arial" w:hAnsi="Arial"/>
                <w:sz w:val="17"/>
                <w:szCs w:val="17"/>
                <w:color w:val="4D5357"/>
                <w:vertAlign w:val="superscript"/>
              </w:rPr>
              <w:t>15</w:t>
            </w:r>
          </w:p>
        </w:tc>
        <w:tc>
          <w:tcPr>
            <w:tcW w:w="170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color w:val="4D5357"/>
              </w:rPr>
              <w:t>1,646,313</w:t>
            </w:r>
          </w:p>
        </w:tc>
        <w:tc>
          <w:tcPr>
            <w:tcW w:w="16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bl>
    <w:p>
      <w:pPr>
        <w:spacing w:after="0" w:line="104" w:lineRule="exact"/>
        <w:rPr>
          <w:sz w:val="20"/>
          <w:szCs w:val="20"/>
          <w:color w:val="auto"/>
        </w:rPr>
      </w:pPr>
    </w:p>
    <w:p>
      <w:pPr>
        <w:ind w:left="224" w:hanging="224"/>
        <w:spacing w:after="0"/>
        <w:tabs>
          <w:tab w:leader="none" w:pos="224" w:val="left"/>
        </w:tabs>
        <w:numPr>
          <w:ilvl w:val="0"/>
          <w:numId w:val="116"/>
        </w:numPr>
        <w:rPr>
          <w:rFonts w:ascii="Arial" w:cs="Arial" w:eastAsia="Arial" w:hAnsi="Arial"/>
          <w:sz w:val="13"/>
          <w:szCs w:val="13"/>
          <w:color w:val="333333"/>
        </w:rPr>
      </w:pPr>
      <w:r>
        <w:rPr>
          <w:rFonts w:ascii="Arial" w:cs="Arial" w:eastAsia="Arial" w:hAnsi="Arial"/>
          <w:sz w:val="13"/>
          <w:szCs w:val="13"/>
          <w:color w:val="333333"/>
        </w:rPr>
        <w:t>Based on the closing price of $622.66 of our common stock as of December 31, 2025.</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2  RSU restrictions lapsed on February 24, 2026.</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3  RSU restrictions lapse on February 23, 2027.</w:t>
      </w:r>
    </w:p>
    <w:p>
      <w:pPr>
        <w:spacing w:after="0" w:line="53" w:lineRule="exact"/>
        <w:rPr>
          <w:rFonts w:ascii="Arial" w:cs="Arial" w:eastAsia="Arial" w:hAnsi="Arial"/>
          <w:sz w:val="13"/>
          <w:szCs w:val="13"/>
          <w:color w:val="333333"/>
        </w:rPr>
      </w:pPr>
    </w:p>
    <w:p>
      <w:pPr>
        <w:ind w:left="4" w:right="6860"/>
        <w:spacing w:after="0" w:line="352" w:lineRule="auto"/>
        <w:rPr>
          <w:rFonts w:ascii="Arial" w:cs="Arial" w:eastAsia="Arial" w:hAnsi="Arial"/>
          <w:sz w:val="13"/>
          <w:szCs w:val="13"/>
          <w:color w:val="333333"/>
        </w:rPr>
      </w:pPr>
      <w:r>
        <w:rPr>
          <w:rFonts w:ascii="Arial" w:cs="Arial" w:eastAsia="Arial" w:hAnsi="Arial"/>
          <w:sz w:val="12"/>
          <w:szCs w:val="12"/>
          <w:color w:val="333333"/>
        </w:rPr>
        <w:t>4 RSU fully vest subject to continued employment on February 21, 2028. 5 Incentive Stock Plan units restrictions lapse on December 1, 2026.</w:t>
      </w:r>
    </w:p>
    <w:p>
      <w:pPr>
        <w:ind w:left="4"/>
        <w:spacing w:after="0"/>
        <w:rPr>
          <w:rFonts w:ascii="Arial" w:cs="Arial" w:eastAsia="Arial" w:hAnsi="Arial"/>
          <w:sz w:val="13"/>
          <w:szCs w:val="13"/>
          <w:color w:val="333333"/>
        </w:rPr>
      </w:pPr>
      <w:r>
        <w:rPr>
          <w:rFonts w:ascii="Arial" w:cs="Arial" w:eastAsia="Arial" w:hAnsi="Arial"/>
          <w:sz w:val="13"/>
          <w:szCs w:val="13"/>
          <w:color w:val="333333"/>
        </w:rPr>
        <w:t>6  Incentive Stock Plan units restrictions lapse on December 1, 2027.</w:t>
      </w:r>
    </w:p>
    <w:p>
      <w:pPr>
        <w:spacing w:after="0" w:line="53" w:lineRule="exact"/>
        <w:rPr>
          <w:sz w:val="20"/>
          <w:szCs w:val="20"/>
          <w:color w:val="auto"/>
        </w:rPr>
      </w:pPr>
    </w:p>
    <w:p>
      <w:pPr>
        <w:jc w:val="both"/>
        <w:ind w:left="224" w:right="320" w:hanging="224"/>
        <w:spacing w:after="0" w:line="283" w:lineRule="auto"/>
        <w:tabs>
          <w:tab w:leader="none" w:pos="224" w:val="left"/>
        </w:tabs>
        <w:numPr>
          <w:ilvl w:val="0"/>
          <w:numId w:val="117"/>
        </w:numPr>
        <w:rPr>
          <w:rFonts w:ascii="Arial" w:cs="Arial" w:eastAsia="Arial" w:hAnsi="Arial"/>
          <w:sz w:val="12"/>
          <w:szCs w:val="12"/>
          <w:color w:val="333333"/>
        </w:rPr>
      </w:pPr>
      <w:r>
        <w:rPr>
          <w:rFonts w:ascii="Arial" w:cs="Arial" w:eastAsia="Arial" w:hAnsi="Arial"/>
          <w:sz w:val="12"/>
          <w:szCs w:val="12"/>
          <w:color w:val="333333"/>
        </w:rPr>
        <w:t>The amount for these outstanding awards of PSUs are presented at the target performance levels. The awards generally vested at December 31, 2025. Actual payouts were certified by the Management Development and Compensation Committee on February 17, 2026 in the following number of shares: Mr. Nye, 22,365; Mr. Petro, 1,724; Mr. Cardin, 1,869; and Mr. Flynn, 222.</w:t>
      </w:r>
    </w:p>
    <w:p>
      <w:pPr>
        <w:spacing w:after="0" w:line="12" w:lineRule="exact"/>
        <w:rPr>
          <w:sz w:val="20"/>
          <w:szCs w:val="20"/>
          <w:color w:val="auto"/>
        </w:rPr>
      </w:pPr>
    </w:p>
    <w:p>
      <w:pPr>
        <w:ind w:left="224" w:hanging="224"/>
        <w:spacing w:after="0"/>
        <w:tabs>
          <w:tab w:leader="none" w:pos="224" w:val="left"/>
        </w:tabs>
        <w:numPr>
          <w:ilvl w:val="0"/>
          <w:numId w:val="118"/>
        </w:numPr>
        <w:rPr>
          <w:rFonts w:ascii="Arial" w:cs="Arial" w:eastAsia="Arial" w:hAnsi="Arial"/>
          <w:sz w:val="13"/>
          <w:szCs w:val="13"/>
          <w:color w:val="333333"/>
        </w:rPr>
      </w:pPr>
      <w:r>
        <w:rPr>
          <w:rFonts w:ascii="Arial" w:cs="Arial" w:eastAsia="Arial" w:hAnsi="Arial"/>
          <w:sz w:val="13"/>
          <w:szCs w:val="13"/>
          <w:color w:val="333333"/>
        </w:rPr>
        <w:t>The amount for these outstanding awards of PSUs are presented at the target performance levels. The awards generally vest at December 31, 2026.</w:t>
      </w:r>
    </w:p>
    <w:p>
      <w:pPr>
        <w:spacing w:after="0" w:line="53" w:lineRule="exact"/>
        <w:rPr>
          <w:rFonts w:ascii="Arial" w:cs="Arial" w:eastAsia="Arial" w:hAnsi="Arial"/>
          <w:sz w:val="13"/>
          <w:szCs w:val="13"/>
          <w:color w:val="333333"/>
        </w:rPr>
      </w:pPr>
    </w:p>
    <w:p>
      <w:pPr>
        <w:ind w:left="4" w:right="2520"/>
        <w:spacing w:after="0" w:line="325" w:lineRule="auto"/>
        <w:rPr>
          <w:rFonts w:ascii="Arial" w:cs="Arial" w:eastAsia="Arial" w:hAnsi="Arial"/>
          <w:sz w:val="13"/>
          <w:szCs w:val="13"/>
          <w:color w:val="333333"/>
        </w:rPr>
      </w:pPr>
      <w:r>
        <w:rPr>
          <w:rFonts w:ascii="Arial" w:cs="Arial" w:eastAsia="Arial" w:hAnsi="Arial"/>
          <w:sz w:val="13"/>
          <w:szCs w:val="13"/>
          <w:color w:val="333333"/>
        </w:rPr>
        <w:t>9 The amount for these outstanding awards of PSUs are presented at the target performance levels. The awards generally vest at December 31, 2027. 10 RSUs fully vest subject to continued employment on August 2, 2026.</w:t>
      </w:r>
    </w:p>
    <w:p>
      <w:pPr>
        <w:ind w:left="4"/>
        <w:spacing w:after="0"/>
        <w:rPr>
          <w:rFonts w:ascii="Arial" w:cs="Arial" w:eastAsia="Arial" w:hAnsi="Arial"/>
          <w:sz w:val="13"/>
          <w:szCs w:val="13"/>
          <w:color w:val="333333"/>
        </w:rPr>
      </w:pPr>
      <w:r>
        <w:rPr>
          <w:rFonts w:ascii="Arial" w:cs="Arial" w:eastAsia="Arial" w:hAnsi="Arial"/>
          <w:sz w:val="13"/>
          <w:szCs w:val="13"/>
          <w:color w:val="333333"/>
        </w:rPr>
        <w:t>11 RSUs fully vest subject to continued employment on January 5, 2027.</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12 RSUs fully vest subject to continued employment on July 8, 2030.</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13 RSUs fully vest subject to continued employment on May 12, 2027.</w:t>
      </w:r>
    </w:p>
    <w:p>
      <w:pPr>
        <w:spacing w:after="0" w:line="53" w:lineRule="exact"/>
        <w:rPr>
          <w:rFonts w:ascii="Arial" w:cs="Arial" w:eastAsia="Arial" w:hAnsi="Arial"/>
          <w:sz w:val="13"/>
          <w:szCs w:val="13"/>
          <w:color w:val="333333"/>
        </w:rPr>
      </w:pPr>
    </w:p>
    <w:p>
      <w:pPr>
        <w:ind w:left="4" w:right="4340"/>
        <w:spacing w:after="0" w:line="351" w:lineRule="auto"/>
        <w:rPr>
          <w:rFonts w:ascii="Arial" w:cs="Arial" w:eastAsia="Arial" w:hAnsi="Arial"/>
          <w:sz w:val="13"/>
          <w:szCs w:val="13"/>
          <w:color w:val="333333"/>
        </w:rPr>
      </w:pPr>
      <w:r>
        <w:rPr>
          <w:rFonts w:ascii="Arial" w:cs="Arial" w:eastAsia="Arial" w:hAnsi="Arial"/>
          <w:sz w:val="13"/>
          <w:szCs w:val="13"/>
          <w:color w:val="333333"/>
        </w:rPr>
        <w:t>14 RSUs vest 50% on December 31, 2026 and 50% on June 30, 2027 subject to continued employment on such dates. 15 RSUs fully vest subject to continued employment on December 23, 2028.</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80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4" w:space="120"/>
            <w:col w:w="8620" w:space="720"/>
            <w:col w:w="780"/>
          </w:cols>
          <w:pgMar w:left="436" w:top="315" w:right="439" w:bottom="1440" w:gutter="0" w:footer="0" w:header="0"/>
          <w:type w:val="continuous"/>
        </w:sectPr>
      </w:pPr>
    </w:p>
    <w:bookmarkStart w:id="87" w:name="page88"/>
    <w:bookmarkEnd w:id="87"/>
    <w:tbl>
      <w:tblPr>
        <w:tblLayout w:type="fixed"/>
        <w:tblInd w:w="9144" w:type="dxa"/>
        <w:tblCellMar>
          <w:top w:w="0" w:type="dxa"/>
          <w:left w:w="0" w:type="dxa"/>
          <w:bottom w:w="0" w:type="dxa"/>
          <w:right w:w="0" w:type="dxa"/>
        </w:tblCellMar>
      </w:tblPr>
      <w:tr>
        <w:trPr>
          <w:trHeight w:val="396"/>
        </w:trPr>
        <w:tc>
          <w:tcPr>
            <w:tcW w:w="460" w:type="dxa"/>
            <w:vAlign w:val="bottom"/>
            <w:shd w:val="clear" w:color="auto" w:fill="4D5357"/>
          </w:tcPr>
          <w:p>
            <w:pPr>
              <w:ind w:left="380"/>
              <w:spacing w:after="0"/>
              <w:rPr>
                <w:sz w:val="20"/>
                <w:szCs w:val="20"/>
                <w:color w:val="auto"/>
              </w:rPr>
            </w:pPr>
            <w:r>
              <w:rPr>
                <w:rFonts w:ascii="Arial" w:cs="Arial" w:eastAsia="Arial" w:hAnsi="Arial"/>
                <w:sz w:val="8"/>
                <w:szCs w:val="8"/>
                <w:b w:val="1"/>
                <w:bCs w:val="1"/>
                <w:color w:val="FFFFFF"/>
                <w:w w:val="74"/>
              </w:rPr>
              <w:t> </w:t>
            </w:r>
          </w:p>
        </w:tc>
        <w:tc>
          <w:tcPr>
            <w:tcW w:w="14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   Executive    </w:t>
            </w:r>
          </w:p>
        </w:tc>
      </w:tr>
      <w:tr>
        <w:trPr>
          <w:trHeight w:val="196"/>
        </w:trPr>
        <w:tc>
          <w:tcPr>
            <w:tcW w:w="460" w:type="dxa"/>
            <w:vAlign w:val="bottom"/>
            <w:shd w:val="clear" w:color="auto" w:fill="4D5357"/>
          </w:tcPr>
          <w:p>
            <w:pPr>
              <w:ind w:left="200"/>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Compensation    </w:t>
            </w:r>
          </w:p>
        </w:tc>
      </w:tr>
      <w:tr>
        <w:trPr>
          <w:trHeight w:val="110"/>
        </w:trPr>
        <w:tc>
          <w:tcPr>
            <w:tcW w:w="460" w:type="dxa"/>
            <w:vAlign w:val="bottom"/>
            <w:shd w:val="clear" w:color="auto" w:fill="4D5357"/>
          </w:tcPr>
          <w:p>
            <w:pPr>
              <w:spacing w:after="0"/>
              <w:rPr>
                <w:sz w:val="9"/>
                <w:szCs w:val="9"/>
                <w:color w:val="auto"/>
              </w:rPr>
            </w:pPr>
          </w:p>
        </w:tc>
        <w:tc>
          <w:tcPr>
            <w:tcW w:w="1420" w:type="dxa"/>
            <w:vAlign w:val="bottom"/>
            <w:shd w:val="clear" w:color="auto" w:fill="4D5357"/>
          </w:tcPr>
          <w:p>
            <w:pPr>
              <w:spacing w:after="0"/>
              <w:rPr>
                <w:sz w:val="9"/>
                <w:szCs w:val="9"/>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spacing w:after="0"/>
        <w:rPr>
          <w:sz w:val="20"/>
          <w:szCs w:val="20"/>
          <w:color w:val="auto"/>
        </w:rPr>
      </w:pPr>
      <w:r>
        <w:rPr>
          <w:rFonts w:ascii="Arial" w:cs="Arial" w:eastAsia="Arial" w:hAnsi="Arial"/>
          <w:sz w:val="27"/>
          <w:szCs w:val="27"/>
          <w:b w:val="1"/>
          <w:bCs w:val="1"/>
          <w:color w:val="0086CC"/>
        </w:rPr>
        <w:t>Option Exercises and Stock Vested</w:t>
      </w:r>
    </w:p>
    <w:p>
      <w:pPr>
        <w:spacing w:after="0" w:line="123" w:lineRule="exact"/>
        <w:rPr>
          <w:sz w:val="20"/>
          <w:szCs w:val="20"/>
          <w:color w:val="auto"/>
        </w:rPr>
      </w:pPr>
    </w:p>
    <w:p>
      <w:pPr>
        <w:jc w:val="both"/>
        <w:ind w:left="4" w:right="200"/>
        <w:spacing w:after="0" w:line="266" w:lineRule="auto"/>
        <w:rPr>
          <w:sz w:val="20"/>
          <w:szCs w:val="20"/>
          <w:color w:val="auto"/>
        </w:rPr>
      </w:pPr>
      <w:r>
        <w:rPr>
          <w:rFonts w:ascii="Arial" w:cs="Arial" w:eastAsia="Arial" w:hAnsi="Arial"/>
          <w:sz w:val="16"/>
          <w:szCs w:val="16"/>
          <w:color w:val="333333"/>
        </w:rPr>
        <w:t>The table below shows on an aggregated basis for each of the named executive officers information on the vesting of stock, including RSUs, PSUs and Incentive Stock Plan units, during the last completed fiscal year. None of the NEOs holds any outstanding stock options or stock appreciation rights for Martin Marietta’s common stock or other similar instruments.</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23"/>
          <w:szCs w:val="23"/>
          <w:b w:val="1"/>
          <w:bCs w:val="1"/>
          <w:color w:val="333333"/>
        </w:rPr>
        <w:t>Option Exercises and Stock Vested Table</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4000" w:type="dxa"/>
            <w:vAlign w:val="bottom"/>
            <w:tcBorders>
              <w:bottom w:val="single" w:sz="8" w:color="0086CC"/>
            </w:tcBorders>
          </w:tcPr>
          <w:p>
            <w:pPr>
              <w:spacing w:after="0"/>
              <w:rPr>
                <w:sz w:val="19"/>
                <w:szCs w:val="19"/>
                <w:color w:val="auto"/>
              </w:rPr>
            </w:pPr>
          </w:p>
        </w:tc>
        <w:tc>
          <w:tcPr>
            <w:tcW w:w="4560" w:type="dxa"/>
            <w:vAlign w:val="bottom"/>
            <w:tcBorders>
              <w:bottom w:val="single" w:sz="8" w:color="0086CC"/>
            </w:tcBorders>
            <w:gridSpan w:val="2"/>
          </w:tcPr>
          <w:p>
            <w:pPr>
              <w:jc w:val="right"/>
              <w:ind w:right="379"/>
              <w:spacing w:after="0"/>
              <w:rPr>
                <w:sz w:val="20"/>
                <w:szCs w:val="20"/>
                <w:color w:val="auto"/>
              </w:rPr>
            </w:pPr>
            <w:r>
              <w:rPr>
                <w:rFonts w:ascii="Arial" w:cs="Arial" w:eastAsia="Arial" w:hAnsi="Arial"/>
                <w:sz w:val="16"/>
                <w:szCs w:val="16"/>
                <w:b w:val="1"/>
                <w:bCs w:val="1"/>
                <w:color w:val="0086CC"/>
              </w:rPr>
              <w:t>OPTION AWARDS</w:t>
            </w:r>
          </w:p>
        </w:tc>
        <w:tc>
          <w:tcPr>
            <w:tcW w:w="2460" w:type="dxa"/>
            <w:vAlign w:val="bottom"/>
            <w:tcBorders>
              <w:bottom w:val="single" w:sz="8" w:color="0086CC"/>
            </w:tcBorders>
            <w:gridSpan w:val="2"/>
          </w:tcPr>
          <w:p>
            <w:pPr>
              <w:jc w:val="right"/>
              <w:ind w:right="419"/>
              <w:spacing w:after="0"/>
              <w:rPr>
                <w:sz w:val="20"/>
                <w:szCs w:val="20"/>
                <w:color w:val="auto"/>
              </w:rPr>
            </w:pPr>
            <w:r>
              <w:rPr>
                <w:rFonts w:ascii="Arial" w:cs="Arial" w:eastAsia="Arial" w:hAnsi="Arial"/>
                <w:sz w:val="16"/>
                <w:szCs w:val="16"/>
                <w:b w:val="1"/>
                <w:bCs w:val="1"/>
                <w:color w:val="0086CC"/>
              </w:rPr>
              <w:t>STOCK AWARDS</w:t>
            </w:r>
          </w:p>
        </w:tc>
      </w:tr>
      <w:tr>
        <w:trPr>
          <w:trHeight w:val="172"/>
        </w:trPr>
        <w:tc>
          <w:tcPr>
            <w:tcW w:w="4000" w:type="dxa"/>
            <w:vAlign w:val="bottom"/>
          </w:tcPr>
          <w:p>
            <w:pPr>
              <w:spacing w:after="0"/>
              <w:rPr>
                <w:sz w:val="14"/>
                <w:szCs w:val="14"/>
                <w:color w:val="auto"/>
              </w:rPr>
            </w:pPr>
          </w:p>
        </w:tc>
        <w:tc>
          <w:tcPr>
            <w:tcW w:w="3500" w:type="dxa"/>
            <w:vAlign w:val="bottom"/>
          </w:tcPr>
          <w:p>
            <w:pPr>
              <w:jc w:val="center"/>
              <w:ind w:left="2159"/>
              <w:spacing w:after="0" w:line="172" w:lineRule="exact"/>
              <w:rPr>
                <w:sz w:val="20"/>
                <w:szCs w:val="20"/>
                <w:color w:val="auto"/>
              </w:rPr>
            </w:pPr>
            <w:r>
              <w:rPr>
                <w:rFonts w:ascii="Arial" w:cs="Arial" w:eastAsia="Arial" w:hAnsi="Arial"/>
                <w:sz w:val="16"/>
                <w:szCs w:val="16"/>
                <w:b w:val="1"/>
                <w:bCs w:val="1"/>
                <w:color w:val="0086CC"/>
              </w:rPr>
              <w:t>NUMBER OF</w:t>
            </w:r>
          </w:p>
        </w:tc>
        <w:tc>
          <w:tcPr>
            <w:tcW w:w="1060" w:type="dxa"/>
            <w:vAlign w:val="bottom"/>
          </w:tcPr>
          <w:p>
            <w:pPr>
              <w:jc w:val="center"/>
              <w:spacing w:after="0" w:line="172" w:lineRule="exact"/>
              <w:rPr>
                <w:sz w:val="20"/>
                <w:szCs w:val="20"/>
                <w:color w:val="auto"/>
              </w:rPr>
            </w:pPr>
            <w:r>
              <w:rPr>
                <w:rFonts w:ascii="Arial" w:cs="Arial" w:eastAsia="Arial" w:hAnsi="Arial"/>
                <w:sz w:val="16"/>
                <w:szCs w:val="16"/>
                <w:b w:val="1"/>
                <w:bCs w:val="1"/>
                <w:color w:val="0086CC"/>
                <w:w w:val="99"/>
              </w:rPr>
              <w:t>VALUE</w:t>
            </w:r>
          </w:p>
        </w:tc>
        <w:tc>
          <w:tcPr>
            <w:tcW w:w="1240" w:type="dxa"/>
            <w:vAlign w:val="bottom"/>
          </w:tcPr>
          <w:p>
            <w:pPr>
              <w:jc w:val="center"/>
              <w:spacing w:after="0" w:line="172" w:lineRule="exact"/>
              <w:rPr>
                <w:sz w:val="20"/>
                <w:szCs w:val="20"/>
                <w:color w:val="auto"/>
              </w:rPr>
            </w:pPr>
            <w:r>
              <w:rPr>
                <w:rFonts w:ascii="Arial" w:cs="Arial" w:eastAsia="Arial" w:hAnsi="Arial"/>
                <w:sz w:val="16"/>
                <w:szCs w:val="16"/>
                <w:b w:val="1"/>
                <w:bCs w:val="1"/>
                <w:color w:val="0086CC"/>
              </w:rPr>
              <w:t>NUMBER OF</w:t>
            </w:r>
          </w:p>
        </w:tc>
        <w:tc>
          <w:tcPr>
            <w:tcW w:w="1220" w:type="dxa"/>
            <w:vAlign w:val="bottom"/>
          </w:tcPr>
          <w:p>
            <w:pPr>
              <w:spacing w:after="0"/>
              <w:rPr>
                <w:sz w:val="14"/>
                <w:szCs w:val="14"/>
                <w:color w:val="auto"/>
              </w:rPr>
            </w:pPr>
          </w:p>
        </w:tc>
      </w:tr>
      <w:tr>
        <w:trPr>
          <w:trHeight w:val="189"/>
        </w:trPr>
        <w:tc>
          <w:tcPr>
            <w:tcW w:w="4000" w:type="dxa"/>
            <w:vAlign w:val="bottom"/>
          </w:tcPr>
          <w:p>
            <w:pPr>
              <w:spacing w:after="0"/>
              <w:rPr>
                <w:sz w:val="16"/>
                <w:szCs w:val="16"/>
                <w:color w:val="auto"/>
              </w:rPr>
            </w:pPr>
          </w:p>
        </w:tc>
        <w:tc>
          <w:tcPr>
            <w:tcW w:w="3500" w:type="dxa"/>
            <w:vAlign w:val="bottom"/>
          </w:tcPr>
          <w:p>
            <w:pPr>
              <w:jc w:val="center"/>
              <w:ind w:left="2179"/>
              <w:spacing w:after="0"/>
              <w:rPr>
                <w:sz w:val="20"/>
                <w:szCs w:val="20"/>
                <w:color w:val="auto"/>
              </w:rPr>
            </w:pPr>
            <w:r>
              <w:rPr>
                <w:rFonts w:ascii="Arial" w:cs="Arial" w:eastAsia="Arial" w:hAnsi="Arial"/>
                <w:sz w:val="16"/>
                <w:szCs w:val="16"/>
                <w:b w:val="1"/>
                <w:bCs w:val="1"/>
                <w:color w:val="0086CC"/>
              </w:rPr>
              <w:t>SHARES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0086CC"/>
                <w:w w:val="99"/>
              </w:rPr>
              <w:t>REALIZED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086CC"/>
              </w:rPr>
              <w:t>SHARES</w:t>
            </w: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0086CC"/>
              </w:rPr>
              <w:t>VALUE</w:t>
            </w:r>
          </w:p>
        </w:tc>
      </w:tr>
      <w:tr>
        <w:trPr>
          <w:trHeight w:val="189"/>
        </w:trPr>
        <w:tc>
          <w:tcPr>
            <w:tcW w:w="4000" w:type="dxa"/>
            <w:vAlign w:val="bottom"/>
          </w:tcPr>
          <w:p>
            <w:pPr>
              <w:spacing w:after="0"/>
              <w:rPr>
                <w:sz w:val="16"/>
                <w:szCs w:val="16"/>
                <w:color w:val="auto"/>
              </w:rPr>
            </w:pPr>
          </w:p>
        </w:tc>
        <w:tc>
          <w:tcPr>
            <w:tcW w:w="3500" w:type="dxa"/>
            <w:vAlign w:val="bottom"/>
          </w:tcPr>
          <w:p>
            <w:pPr>
              <w:jc w:val="center"/>
              <w:ind w:left="2159"/>
              <w:spacing w:after="0"/>
              <w:rPr>
                <w:sz w:val="20"/>
                <w:szCs w:val="20"/>
                <w:color w:val="auto"/>
              </w:rPr>
            </w:pPr>
            <w:r>
              <w:rPr>
                <w:rFonts w:ascii="Arial" w:cs="Arial" w:eastAsia="Arial" w:hAnsi="Arial"/>
                <w:sz w:val="16"/>
                <w:szCs w:val="16"/>
                <w:b w:val="1"/>
                <w:bCs w:val="1"/>
                <w:color w:val="0086CC"/>
              </w:rPr>
              <w:t>ACQUIRED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0086CC"/>
                <w:w w:val="99"/>
              </w:rPr>
              <w:t>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086CC"/>
              </w:rPr>
              <w:t>ACQUIRED</w:t>
            </w: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0086CC"/>
              </w:rPr>
              <w:t>REALIZED</w:t>
            </w:r>
          </w:p>
        </w:tc>
      </w:tr>
      <w:tr>
        <w:trPr>
          <w:trHeight w:val="189"/>
        </w:trPr>
        <w:tc>
          <w:tcPr>
            <w:tcW w:w="4000" w:type="dxa"/>
            <w:vAlign w:val="bottom"/>
          </w:tcPr>
          <w:p>
            <w:pPr>
              <w:spacing w:after="0"/>
              <w:rPr>
                <w:sz w:val="16"/>
                <w:szCs w:val="16"/>
                <w:color w:val="auto"/>
              </w:rPr>
            </w:pPr>
          </w:p>
        </w:tc>
        <w:tc>
          <w:tcPr>
            <w:tcW w:w="3500" w:type="dxa"/>
            <w:vAlign w:val="bottom"/>
          </w:tcPr>
          <w:p>
            <w:pPr>
              <w:jc w:val="center"/>
              <w:ind w:left="2159"/>
              <w:spacing w:after="0"/>
              <w:rPr>
                <w:sz w:val="20"/>
                <w:szCs w:val="20"/>
                <w:color w:val="auto"/>
              </w:rPr>
            </w:pPr>
            <w:r>
              <w:rPr>
                <w:rFonts w:ascii="Arial" w:cs="Arial" w:eastAsia="Arial" w:hAnsi="Arial"/>
                <w:sz w:val="16"/>
                <w:szCs w:val="16"/>
                <w:b w:val="1"/>
                <w:bCs w:val="1"/>
                <w:color w:val="0086CC"/>
              </w:rPr>
              <w:t>ON EXERCISE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0086CC"/>
              </w:rPr>
              <w:t>EXERCISE</w:t>
            </w:r>
          </w:p>
        </w:tc>
        <w:tc>
          <w:tcPr>
            <w:tcW w:w="2460" w:type="dxa"/>
            <w:vAlign w:val="bottom"/>
            <w:gridSpan w:val="2"/>
          </w:tcPr>
          <w:p>
            <w:pPr>
              <w:jc w:val="right"/>
              <w:ind w:right="59"/>
              <w:spacing w:after="0" w:line="189" w:lineRule="exact"/>
              <w:rPr>
                <w:sz w:val="20"/>
                <w:szCs w:val="20"/>
                <w:color w:val="auto"/>
              </w:rPr>
            </w:pPr>
            <w:r>
              <w:rPr>
                <w:rFonts w:ascii="Arial" w:cs="Arial" w:eastAsia="Arial" w:hAnsi="Arial"/>
                <w:sz w:val="14"/>
                <w:szCs w:val="14"/>
                <w:b w:val="1"/>
                <w:bCs w:val="1"/>
                <w:color w:val="0086CC"/>
              </w:rPr>
              <w:t>ON VESTING ON VESTING</w:t>
            </w:r>
            <w:r>
              <w:rPr>
                <w:rFonts w:ascii="Arial" w:cs="Arial" w:eastAsia="Arial" w:hAnsi="Arial"/>
                <w:sz w:val="21"/>
                <w:szCs w:val="21"/>
                <w:b w:val="1"/>
                <w:bCs w:val="1"/>
                <w:color w:val="0086CC"/>
                <w:vertAlign w:val="superscript"/>
              </w:rPr>
              <w:t>1</w:t>
            </w:r>
            <w:r>
              <w:rPr>
                <w:rFonts w:ascii="Arial" w:cs="Arial" w:eastAsia="Arial" w:hAnsi="Arial"/>
                <w:sz w:val="14"/>
                <w:szCs w:val="14"/>
                <w:b w:val="1"/>
                <w:bCs w:val="1"/>
                <w:color w:val="0086CC"/>
              </w:rPr>
              <w:t xml:space="preserve"> </w:t>
            </w:r>
          </w:p>
        </w:tc>
      </w:tr>
      <w:tr>
        <w:trPr>
          <w:trHeight w:val="223"/>
        </w:trPr>
        <w:tc>
          <w:tcPr>
            <w:tcW w:w="4000" w:type="dxa"/>
            <w:vAlign w:val="bottom"/>
          </w:tcPr>
          <w:p>
            <w:pPr>
              <w:ind w:left="60"/>
              <w:spacing w:after="0"/>
              <w:rPr>
                <w:sz w:val="20"/>
                <w:szCs w:val="20"/>
                <w:color w:val="auto"/>
              </w:rPr>
            </w:pPr>
            <w:r>
              <w:rPr>
                <w:rFonts w:ascii="Arial" w:cs="Arial" w:eastAsia="Arial" w:hAnsi="Arial"/>
                <w:sz w:val="16"/>
                <w:szCs w:val="16"/>
                <w:b w:val="1"/>
                <w:bCs w:val="1"/>
                <w:color w:val="0086CC"/>
              </w:rPr>
              <w:t>NAME</w:t>
            </w:r>
          </w:p>
        </w:tc>
        <w:tc>
          <w:tcPr>
            <w:tcW w:w="3500" w:type="dxa"/>
            <w:vAlign w:val="bottom"/>
          </w:tcPr>
          <w:p>
            <w:pPr>
              <w:jc w:val="center"/>
              <w:ind w:left="2179"/>
              <w:spacing w:after="0"/>
              <w:rPr>
                <w:sz w:val="20"/>
                <w:szCs w:val="20"/>
                <w:color w:val="auto"/>
              </w:rPr>
            </w:pPr>
            <w:r>
              <w:rPr>
                <w:rFonts w:ascii="Arial" w:cs="Arial" w:eastAsia="Arial" w:hAnsi="Arial"/>
                <w:sz w:val="16"/>
                <w:szCs w:val="16"/>
                <w:b w:val="1"/>
                <w:bCs w:val="1"/>
                <w:color w:val="0086CC"/>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0086CC"/>
              </w:rPr>
              <w: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086CC"/>
              </w:rPr>
              <w:t>(#)</w:t>
            </w: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0086CC"/>
              </w:rPr>
              <w:t>($)</w:t>
            </w:r>
          </w:p>
        </w:tc>
      </w:tr>
      <w:tr>
        <w:trPr>
          <w:trHeight w:val="233"/>
        </w:trPr>
        <w:tc>
          <w:tcPr>
            <w:tcW w:w="40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(A)</w:t>
            </w:r>
          </w:p>
        </w:tc>
        <w:tc>
          <w:tcPr>
            <w:tcW w:w="3500" w:type="dxa"/>
            <w:vAlign w:val="bottom"/>
            <w:tcBorders>
              <w:bottom w:val="single" w:sz="8" w:color="0086CC"/>
            </w:tcBorders>
          </w:tcPr>
          <w:p>
            <w:pPr>
              <w:jc w:val="center"/>
              <w:ind w:left="2159"/>
              <w:spacing w:after="0"/>
              <w:rPr>
                <w:sz w:val="20"/>
                <w:szCs w:val="20"/>
                <w:color w:val="auto"/>
              </w:rPr>
            </w:pPr>
            <w:r>
              <w:rPr>
                <w:rFonts w:ascii="Arial" w:cs="Arial" w:eastAsia="Arial" w:hAnsi="Arial"/>
                <w:sz w:val="16"/>
                <w:szCs w:val="16"/>
                <w:b w:val="1"/>
                <w:bCs w:val="1"/>
                <w:color w:val="0086CC"/>
                <w:w w:val="98"/>
              </w:rPr>
              <w:t>(B)</w:t>
            </w:r>
          </w:p>
        </w:tc>
        <w:tc>
          <w:tcPr>
            <w:tcW w:w="106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rPr>
              <w:t>(C)</w:t>
            </w:r>
          </w:p>
        </w:tc>
        <w:tc>
          <w:tcPr>
            <w:tcW w:w="124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w w:val="98"/>
              </w:rPr>
              <w:t>(D)</w:t>
            </w:r>
          </w:p>
        </w:tc>
        <w:tc>
          <w:tcPr>
            <w:tcW w:w="1220" w:type="dxa"/>
            <w:vAlign w:val="bottom"/>
            <w:tcBorders>
              <w:bottom w:val="single" w:sz="8" w:color="0086CC"/>
            </w:tcBorders>
          </w:tcPr>
          <w:p>
            <w:pPr>
              <w:jc w:val="right"/>
              <w:ind w:right="439"/>
              <w:spacing w:after="0"/>
              <w:rPr>
                <w:sz w:val="20"/>
                <w:szCs w:val="20"/>
                <w:color w:val="auto"/>
              </w:rPr>
            </w:pPr>
            <w:r>
              <w:rPr>
                <w:rFonts w:ascii="Arial" w:cs="Arial" w:eastAsia="Arial" w:hAnsi="Arial"/>
                <w:sz w:val="16"/>
                <w:szCs w:val="16"/>
                <w:b w:val="1"/>
                <w:bCs w:val="1"/>
                <w:color w:val="0086CC"/>
              </w:rPr>
              <w:t>(E)</w:t>
            </w:r>
          </w:p>
        </w:tc>
      </w:tr>
      <w:tr>
        <w:trPr>
          <w:trHeight w:val="263"/>
        </w:trPr>
        <w:tc>
          <w:tcPr>
            <w:tcW w:w="40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 Howard Nye</w:t>
            </w:r>
          </w:p>
        </w:tc>
        <w:tc>
          <w:tcPr>
            <w:tcW w:w="3500" w:type="dxa"/>
            <w:vAlign w:val="bottom"/>
            <w:tcBorders>
              <w:bottom w:val="single" w:sz="8" w:color="4D5357"/>
            </w:tcBorders>
          </w:tcPr>
          <w:p>
            <w:pPr>
              <w:spacing w:after="0"/>
              <w:rPr>
                <w:sz w:val="22"/>
                <w:szCs w:val="22"/>
                <w:color w:val="auto"/>
              </w:rPr>
            </w:pPr>
          </w:p>
        </w:tc>
        <w:tc>
          <w:tcPr>
            <w:tcW w:w="1060" w:type="dxa"/>
            <w:vAlign w:val="bottom"/>
            <w:tcBorders>
              <w:bottom w:val="single" w:sz="8" w:color="4D5357"/>
            </w:tcBorders>
          </w:tcPr>
          <w:p>
            <w:pPr>
              <w:spacing w:after="0"/>
              <w:rPr>
                <w:sz w:val="22"/>
                <w:szCs w:val="22"/>
                <w:color w:val="auto"/>
              </w:rPr>
            </w:pPr>
          </w:p>
        </w:tc>
        <w:tc>
          <w:tcPr>
            <w:tcW w:w="1240" w:type="dxa"/>
            <w:vAlign w:val="bottom"/>
            <w:tcBorders>
              <w:bottom w:val="single" w:sz="8" w:color="4D5357"/>
            </w:tcBorders>
          </w:tcPr>
          <w:p>
            <w:pPr>
              <w:jc w:val="right"/>
              <w:ind w:right="200"/>
              <w:spacing w:after="0"/>
              <w:rPr>
                <w:sz w:val="20"/>
                <w:szCs w:val="20"/>
                <w:color w:val="auto"/>
              </w:rPr>
            </w:pPr>
            <w:r>
              <w:rPr>
                <w:rFonts w:ascii="Arial" w:cs="Arial" w:eastAsia="Arial" w:hAnsi="Arial"/>
                <w:sz w:val="16"/>
                <w:szCs w:val="16"/>
                <w:color w:val="4D5357"/>
              </w:rPr>
              <w:t>30,173</w:t>
            </w:r>
          </w:p>
        </w:tc>
        <w:tc>
          <w:tcPr>
            <w:tcW w:w="122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18,989,710</w:t>
            </w:r>
          </w:p>
        </w:tc>
      </w:tr>
      <w:tr>
        <w:trPr>
          <w:trHeight w:val="264"/>
        </w:trPr>
        <w:tc>
          <w:tcPr>
            <w:tcW w:w="40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Michael J. Petro</w:t>
            </w:r>
          </w:p>
        </w:tc>
        <w:tc>
          <w:tcPr>
            <w:tcW w:w="3500" w:type="dxa"/>
            <w:vAlign w:val="bottom"/>
            <w:tcBorders>
              <w:bottom w:val="single" w:sz="8" w:color="4D5357"/>
            </w:tcBorders>
          </w:tcPr>
          <w:p>
            <w:pPr>
              <w:spacing w:after="0"/>
              <w:rPr>
                <w:sz w:val="22"/>
                <w:szCs w:val="22"/>
                <w:color w:val="auto"/>
              </w:rPr>
            </w:pPr>
          </w:p>
        </w:tc>
        <w:tc>
          <w:tcPr>
            <w:tcW w:w="1060" w:type="dxa"/>
            <w:vAlign w:val="bottom"/>
            <w:tcBorders>
              <w:bottom w:val="single" w:sz="8" w:color="4D5357"/>
            </w:tcBorders>
          </w:tcPr>
          <w:p>
            <w:pPr>
              <w:spacing w:after="0"/>
              <w:rPr>
                <w:sz w:val="22"/>
                <w:szCs w:val="22"/>
                <w:color w:val="auto"/>
              </w:rPr>
            </w:pPr>
          </w:p>
        </w:tc>
        <w:tc>
          <w:tcPr>
            <w:tcW w:w="1240" w:type="dxa"/>
            <w:vAlign w:val="bottom"/>
            <w:tcBorders>
              <w:bottom w:val="single" w:sz="8" w:color="4D5357"/>
            </w:tcBorders>
          </w:tcPr>
          <w:p>
            <w:pPr>
              <w:jc w:val="right"/>
              <w:ind w:right="200"/>
              <w:spacing w:after="0"/>
              <w:rPr>
                <w:sz w:val="20"/>
                <w:szCs w:val="20"/>
                <w:color w:val="auto"/>
              </w:rPr>
            </w:pPr>
            <w:r>
              <w:rPr>
                <w:rFonts w:ascii="Arial" w:cs="Arial" w:eastAsia="Arial" w:hAnsi="Arial"/>
                <w:sz w:val="16"/>
                <w:szCs w:val="16"/>
                <w:color w:val="4D5357"/>
              </w:rPr>
              <w:t>2,466</w:t>
            </w:r>
          </w:p>
        </w:tc>
        <w:tc>
          <w:tcPr>
            <w:tcW w:w="122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1,525,594</w:t>
            </w:r>
          </w:p>
        </w:tc>
      </w:tr>
      <w:tr>
        <w:trPr>
          <w:trHeight w:val="263"/>
        </w:trPr>
        <w:tc>
          <w:tcPr>
            <w:tcW w:w="40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Robert J. Cardin</w:t>
            </w:r>
          </w:p>
        </w:tc>
        <w:tc>
          <w:tcPr>
            <w:tcW w:w="3500" w:type="dxa"/>
            <w:vAlign w:val="bottom"/>
            <w:tcBorders>
              <w:bottom w:val="single" w:sz="8" w:color="4D5357"/>
            </w:tcBorders>
          </w:tcPr>
          <w:p>
            <w:pPr>
              <w:spacing w:after="0"/>
              <w:rPr>
                <w:sz w:val="22"/>
                <w:szCs w:val="22"/>
                <w:color w:val="auto"/>
              </w:rPr>
            </w:pPr>
          </w:p>
        </w:tc>
        <w:tc>
          <w:tcPr>
            <w:tcW w:w="1060" w:type="dxa"/>
            <w:vAlign w:val="bottom"/>
            <w:tcBorders>
              <w:bottom w:val="single" w:sz="8" w:color="4D5357"/>
            </w:tcBorders>
          </w:tcPr>
          <w:p>
            <w:pPr>
              <w:spacing w:after="0"/>
              <w:rPr>
                <w:sz w:val="22"/>
                <w:szCs w:val="22"/>
                <w:color w:val="auto"/>
              </w:rPr>
            </w:pPr>
          </w:p>
        </w:tc>
        <w:tc>
          <w:tcPr>
            <w:tcW w:w="1240" w:type="dxa"/>
            <w:vAlign w:val="bottom"/>
            <w:tcBorders>
              <w:bottom w:val="single" w:sz="8" w:color="4D5357"/>
            </w:tcBorders>
          </w:tcPr>
          <w:p>
            <w:pPr>
              <w:jc w:val="right"/>
              <w:ind w:right="200"/>
              <w:spacing w:after="0"/>
              <w:rPr>
                <w:sz w:val="20"/>
                <w:szCs w:val="20"/>
                <w:color w:val="auto"/>
              </w:rPr>
            </w:pPr>
            <w:r>
              <w:rPr>
                <w:rFonts w:ascii="Arial" w:cs="Arial" w:eastAsia="Arial" w:hAnsi="Arial"/>
                <w:sz w:val="16"/>
                <w:szCs w:val="16"/>
                <w:color w:val="4D5357"/>
              </w:rPr>
              <w:t>2,647</w:t>
            </w:r>
          </w:p>
        </w:tc>
        <w:tc>
          <w:tcPr>
            <w:tcW w:w="122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1,642,873</w:t>
            </w:r>
          </w:p>
        </w:tc>
      </w:tr>
      <w:tr>
        <w:trPr>
          <w:trHeight w:val="263"/>
        </w:trPr>
        <w:tc>
          <w:tcPr>
            <w:tcW w:w="40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James A. J. Nickolas</w:t>
            </w:r>
          </w:p>
        </w:tc>
        <w:tc>
          <w:tcPr>
            <w:tcW w:w="3500" w:type="dxa"/>
            <w:vAlign w:val="bottom"/>
            <w:tcBorders>
              <w:bottom w:val="single" w:sz="8" w:color="4D5357"/>
            </w:tcBorders>
          </w:tcPr>
          <w:p>
            <w:pPr>
              <w:spacing w:after="0"/>
              <w:rPr>
                <w:sz w:val="22"/>
                <w:szCs w:val="22"/>
                <w:color w:val="auto"/>
              </w:rPr>
            </w:pPr>
          </w:p>
        </w:tc>
        <w:tc>
          <w:tcPr>
            <w:tcW w:w="1060" w:type="dxa"/>
            <w:vAlign w:val="bottom"/>
            <w:tcBorders>
              <w:bottom w:val="single" w:sz="8" w:color="4D5357"/>
            </w:tcBorders>
          </w:tcPr>
          <w:p>
            <w:pPr>
              <w:spacing w:after="0"/>
              <w:rPr>
                <w:sz w:val="22"/>
                <w:szCs w:val="22"/>
                <w:color w:val="auto"/>
              </w:rPr>
            </w:pPr>
          </w:p>
        </w:tc>
        <w:tc>
          <w:tcPr>
            <w:tcW w:w="1240" w:type="dxa"/>
            <w:vAlign w:val="bottom"/>
            <w:tcBorders>
              <w:bottom w:val="single" w:sz="8" w:color="4D5357"/>
            </w:tcBorders>
          </w:tcPr>
          <w:p>
            <w:pPr>
              <w:jc w:val="right"/>
              <w:ind w:right="200"/>
              <w:spacing w:after="0"/>
              <w:rPr>
                <w:sz w:val="20"/>
                <w:szCs w:val="20"/>
                <w:color w:val="auto"/>
              </w:rPr>
            </w:pPr>
            <w:r>
              <w:rPr>
                <w:rFonts w:ascii="Arial" w:cs="Arial" w:eastAsia="Arial" w:hAnsi="Arial"/>
                <w:sz w:val="16"/>
                <w:szCs w:val="16"/>
                <w:color w:val="4D5357"/>
              </w:rPr>
              <w:t>1,530</w:t>
            </w:r>
          </w:p>
        </w:tc>
        <w:tc>
          <w:tcPr>
            <w:tcW w:w="122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772,441</w:t>
            </w:r>
          </w:p>
        </w:tc>
      </w:tr>
      <w:tr>
        <w:trPr>
          <w:trHeight w:val="263"/>
        </w:trPr>
        <w:tc>
          <w:tcPr>
            <w:tcW w:w="40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A. McCunniff</w:t>
            </w:r>
          </w:p>
        </w:tc>
        <w:tc>
          <w:tcPr>
            <w:tcW w:w="3500" w:type="dxa"/>
            <w:vAlign w:val="bottom"/>
            <w:tcBorders>
              <w:bottom w:val="single" w:sz="8" w:color="4D5357"/>
            </w:tcBorders>
          </w:tcPr>
          <w:p>
            <w:pPr>
              <w:jc w:val="right"/>
              <w:ind w:right="159"/>
              <w:spacing w:after="0"/>
              <w:rPr>
                <w:sz w:val="20"/>
                <w:szCs w:val="20"/>
                <w:color w:val="auto"/>
              </w:rPr>
            </w:pPr>
            <w:r>
              <w:rPr>
                <w:rFonts w:ascii="Arial" w:cs="Arial" w:eastAsia="Arial" w:hAnsi="Arial"/>
                <w:sz w:val="16"/>
                <w:szCs w:val="16"/>
                <w:color w:val="4D5357"/>
              </w:rPr>
              <w:t>1,332</w:t>
            </w:r>
          </w:p>
        </w:tc>
        <w:tc>
          <w:tcPr>
            <w:tcW w:w="1060" w:type="dxa"/>
            <w:vAlign w:val="bottom"/>
            <w:tcBorders>
              <w:bottom w:val="single" w:sz="8" w:color="4D5357"/>
            </w:tcBorders>
          </w:tcPr>
          <w:p>
            <w:pPr>
              <w:jc w:val="right"/>
              <w:ind w:right="159"/>
              <w:spacing w:after="0"/>
              <w:rPr>
                <w:sz w:val="20"/>
                <w:szCs w:val="20"/>
                <w:color w:val="auto"/>
              </w:rPr>
            </w:pPr>
            <w:r>
              <w:rPr>
                <w:rFonts w:ascii="Arial" w:cs="Arial" w:eastAsia="Arial" w:hAnsi="Arial"/>
                <w:sz w:val="16"/>
                <w:szCs w:val="16"/>
                <w:color w:val="4D5357"/>
              </w:rPr>
              <w:t>409,377</w:t>
            </w:r>
          </w:p>
        </w:tc>
        <w:tc>
          <w:tcPr>
            <w:tcW w:w="1240" w:type="dxa"/>
            <w:vAlign w:val="bottom"/>
            <w:tcBorders>
              <w:bottom w:val="single" w:sz="8" w:color="4D5357"/>
            </w:tcBorders>
          </w:tcPr>
          <w:p>
            <w:pPr>
              <w:jc w:val="right"/>
              <w:ind w:right="200"/>
              <w:spacing w:after="0"/>
              <w:rPr>
                <w:sz w:val="20"/>
                <w:szCs w:val="20"/>
                <w:color w:val="auto"/>
              </w:rPr>
            </w:pPr>
            <w:r>
              <w:rPr>
                <w:rFonts w:ascii="Arial" w:cs="Arial" w:eastAsia="Arial" w:hAnsi="Arial"/>
                <w:sz w:val="16"/>
                <w:szCs w:val="16"/>
                <w:color w:val="4D5357"/>
              </w:rPr>
              <w:t>50</w:t>
            </w:r>
          </w:p>
        </w:tc>
        <w:tc>
          <w:tcPr>
            <w:tcW w:w="122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31,475</w:t>
            </w:r>
          </w:p>
        </w:tc>
      </w:tr>
      <w:tr>
        <w:trPr>
          <w:trHeight w:val="263"/>
        </w:trPr>
        <w:tc>
          <w:tcPr>
            <w:tcW w:w="40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Jason P. Flynn</w:t>
            </w:r>
          </w:p>
        </w:tc>
        <w:tc>
          <w:tcPr>
            <w:tcW w:w="3500" w:type="dxa"/>
            <w:vAlign w:val="bottom"/>
            <w:tcBorders>
              <w:bottom w:val="single" w:sz="8" w:color="4D5357"/>
            </w:tcBorders>
          </w:tcPr>
          <w:p>
            <w:pPr>
              <w:spacing w:after="0"/>
              <w:rPr>
                <w:sz w:val="22"/>
                <w:szCs w:val="22"/>
                <w:color w:val="auto"/>
              </w:rPr>
            </w:pPr>
          </w:p>
        </w:tc>
        <w:tc>
          <w:tcPr>
            <w:tcW w:w="1060" w:type="dxa"/>
            <w:vAlign w:val="bottom"/>
            <w:tcBorders>
              <w:bottom w:val="single" w:sz="8" w:color="4D5357"/>
            </w:tcBorders>
          </w:tcPr>
          <w:p>
            <w:pPr>
              <w:spacing w:after="0"/>
              <w:rPr>
                <w:sz w:val="22"/>
                <w:szCs w:val="22"/>
                <w:color w:val="auto"/>
              </w:rPr>
            </w:pPr>
          </w:p>
        </w:tc>
        <w:tc>
          <w:tcPr>
            <w:tcW w:w="1240" w:type="dxa"/>
            <w:vAlign w:val="bottom"/>
            <w:tcBorders>
              <w:bottom w:val="single" w:sz="8" w:color="4D5357"/>
            </w:tcBorders>
          </w:tcPr>
          <w:p>
            <w:pPr>
              <w:jc w:val="right"/>
              <w:ind w:right="200"/>
              <w:spacing w:after="0"/>
              <w:rPr>
                <w:sz w:val="20"/>
                <w:szCs w:val="20"/>
                <w:color w:val="auto"/>
              </w:rPr>
            </w:pPr>
            <w:r>
              <w:rPr>
                <w:rFonts w:ascii="Arial" w:cs="Arial" w:eastAsia="Arial" w:hAnsi="Arial"/>
                <w:sz w:val="16"/>
                <w:szCs w:val="16"/>
                <w:color w:val="4D5357"/>
              </w:rPr>
              <w:t>836</w:t>
            </w:r>
          </w:p>
        </w:tc>
        <w:tc>
          <w:tcPr>
            <w:tcW w:w="122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487,625</w:t>
            </w:r>
          </w:p>
        </w:tc>
      </w:tr>
      <w:tr>
        <w:trPr>
          <w:trHeight w:val="263"/>
        </w:trPr>
        <w:tc>
          <w:tcPr>
            <w:tcW w:w="40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Bradley D. Kohn</w:t>
            </w:r>
          </w:p>
        </w:tc>
        <w:tc>
          <w:tcPr>
            <w:tcW w:w="3500" w:type="dxa"/>
            <w:vAlign w:val="bottom"/>
            <w:tcBorders>
              <w:bottom w:val="single" w:sz="8" w:color="4D5357"/>
            </w:tcBorders>
          </w:tcPr>
          <w:p>
            <w:pPr>
              <w:spacing w:after="0"/>
              <w:rPr>
                <w:sz w:val="22"/>
                <w:szCs w:val="22"/>
                <w:color w:val="auto"/>
              </w:rPr>
            </w:pPr>
          </w:p>
        </w:tc>
        <w:tc>
          <w:tcPr>
            <w:tcW w:w="1060" w:type="dxa"/>
            <w:vAlign w:val="bottom"/>
            <w:tcBorders>
              <w:bottom w:val="single" w:sz="8" w:color="4D5357"/>
            </w:tcBorders>
          </w:tcPr>
          <w:p>
            <w:pPr>
              <w:spacing w:after="0"/>
              <w:rPr>
                <w:sz w:val="22"/>
                <w:szCs w:val="22"/>
                <w:color w:val="auto"/>
              </w:rPr>
            </w:pPr>
          </w:p>
        </w:tc>
        <w:tc>
          <w:tcPr>
            <w:tcW w:w="1240" w:type="dxa"/>
            <w:vAlign w:val="bottom"/>
            <w:tcBorders>
              <w:bottom w:val="single" w:sz="8" w:color="4D5357"/>
            </w:tcBorders>
          </w:tcPr>
          <w:p>
            <w:pPr>
              <w:jc w:val="right"/>
              <w:ind w:right="200"/>
              <w:spacing w:after="0"/>
              <w:rPr>
                <w:sz w:val="20"/>
                <w:szCs w:val="20"/>
                <w:color w:val="auto"/>
              </w:rPr>
            </w:pPr>
            <w:r>
              <w:rPr>
                <w:rFonts w:ascii="Arial" w:cs="Arial" w:eastAsia="Arial" w:hAnsi="Arial"/>
                <w:sz w:val="16"/>
                <w:szCs w:val="16"/>
                <w:color w:val="4D5357"/>
              </w:rPr>
              <w:t>—</w:t>
            </w:r>
          </w:p>
        </w:tc>
        <w:tc>
          <w:tcPr>
            <w:tcW w:w="122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w:t>
            </w:r>
          </w:p>
        </w:tc>
      </w:tr>
    </w:tbl>
    <w:p>
      <w:pPr>
        <w:spacing w:after="0" w:line="104" w:lineRule="exact"/>
        <w:rPr>
          <w:sz w:val="20"/>
          <w:szCs w:val="20"/>
          <w:color w:val="auto"/>
        </w:rPr>
      </w:pPr>
    </w:p>
    <w:p>
      <w:pPr>
        <w:ind w:left="224" w:hanging="224"/>
        <w:spacing w:after="0"/>
        <w:tabs>
          <w:tab w:leader="none" w:pos="224" w:val="left"/>
        </w:tabs>
        <w:numPr>
          <w:ilvl w:val="0"/>
          <w:numId w:val="119"/>
        </w:numPr>
        <w:rPr>
          <w:rFonts w:ascii="Arial" w:cs="Arial" w:eastAsia="Arial" w:hAnsi="Arial"/>
          <w:sz w:val="13"/>
          <w:szCs w:val="13"/>
          <w:color w:val="333333"/>
        </w:rPr>
      </w:pPr>
      <w:r>
        <w:rPr>
          <w:rFonts w:ascii="Arial" w:cs="Arial" w:eastAsia="Arial" w:hAnsi="Arial"/>
          <w:sz w:val="13"/>
          <w:szCs w:val="13"/>
          <w:color w:val="333333"/>
        </w:rPr>
        <w:t>The amounts in column (e) include the value of RSUs and PSUs at the time of vesting and the appreciation of units received under the Incentive Stock Plan.</w:t>
      </w:r>
    </w:p>
    <w:p>
      <w:pPr>
        <w:spacing w:after="0" w:line="82"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Retirement and Other Benefits</w:t>
      </w:r>
    </w:p>
    <w:p>
      <w:pPr>
        <w:spacing w:after="0" w:line="123" w:lineRule="exact"/>
        <w:rPr>
          <w:sz w:val="20"/>
          <w:szCs w:val="20"/>
          <w:color w:val="auto"/>
        </w:rPr>
      </w:pPr>
    </w:p>
    <w:p>
      <w:pPr>
        <w:ind w:left="4" w:right="180"/>
        <w:spacing w:after="0" w:line="254" w:lineRule="auto"/>
        <w:rPr>
          <w:sz w:val="20"/>
          <w:szCs w:val="20"/>
          <w:color w:val="auto"/>
        </w:rPr>
      </w:pPr>
      <w:r>
        <w:rPr>
          <w:rFonts w:ascii="Arial" w:cs="Arial" w:eastAsia="Arial" w:hAnsi="Arial"/>
          <w:sz w:val="16"/>
          <w:szCs w:val="16"/>
          <w:color w:val="333333"/>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w:t>
      </w:r>
    </w:p>
    <w:p>
      <w:pPr>
        <w:spacing w:after="0" w:line="74" w:lineRule="exact"/>
        <w:rPr>
          <w:sz w:val="20"/>
          <w:szCs w:val="20"/>
          <w:color w:val="auto"/>
        </w:rPr>
      </w:pPr>
    </w:p>
    <w:p>
      <w:pPr>
        <w:ind w:left="4" w:right="180"/>
        <w:spacing w:after="0" w:line="256" w:lineRule="auto"/>
        <w:rPr>
          <w:sz w:val="20"/>
          <w:szCs w:val="20"/>
          <w:color w:val="auto"/>
        </w:rPr>
      </w:pPr>
      <w:r>
        <w:rPr>
          <w:rFonts w:ascii="Arial" w:cs="Arial" w:eastAsia="Arial" w:hAnsi="Arial"/>
          <w:sz w:val="16"/>
          <w:szCs w:val="16"/>
          <w:b w:val="1"/>
          <w:bCs w:val="1"/>
          <w:color w:val="333333"/>
        </w:rPr>
        <w:t xml:space="preserve">Pension Plan. </w:t>
      </w:r>
      <w:r>
        <w:rPr>
          <w:rFonts w:ascii="Arial" w:cs="Arial" w:eastAsia="Arial" w:hAnsi="Arial"/>
          <w:sz w:val="16"/>
          <w:szCs w:val="16"/>
          <w:color w:val="333333"/>
        </w:rPr>
        <w:t>We have a tax qualified defined benefit pension plan (Pension Plan) under which eligible full-time salaried employees of Martin Marietta</w:t>
      </w:r>
      <w:r>
        <w:rPr>
          <w:rFonts w:ascii="Arial" w:cs="Arial" w:eastAsia="Arial" w:hAnsi="Arial"/>
          <w:sz w:val="16"/>
          <w:szCs w:val="16"/>
          <w:b w:val="1"/>
          <w:bCs w:val="1"/>
          <w:color w:val="333333"/>
        </w:rPr>
        <w:t xml:space="preserve"> </w:t>
      </w:r>
      <w:r>
        <w:rPr>
          <w:rFonts w:ascii="Arial" w:cs="Arial" w:eastAsia="Arial" w:hAnsi="Arial"/>
          <w:sz w:val="16"/>
          <w:szCs w:val="16"/>
          <w:color w:val="333333"/>
        </w:rPr>
        <w:t>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(B) and (C) below:</w:t>
      </w:r>
    </w:p>
    <w:p>
      <w:pPr>
        <w:spacing w:after="0" w:line="85" w:lineRule="exact"/>
        <w:rPr>
          <w:sz w:val="20"/>
          <w:szCs w:val="20"/>
          <w:color w:val="auto"/>
        </w:rPr>
      </w:pPr>
    </w:p>
    <w:p>
      <w:pPr>
        <w:ind w:left="424" w:right="300" w:hanging="424"/>
        <w:spacing w:after="0" w:line="286" w:lineRule="auto"/>
        <w:tabs>
          <w:tab w:leader="none" w:pos="424" w:val="left"/>
        </w:tabs>
        <w:numPr>
          <w:ilvl w:val="0"/>
          <w:numId w:val="120"/>
        </w:numPr>
        <w:rPr>
          <w:rFonts w:ascii="Arial" w:cs="Arial" w:eastAsia="Arial" w:hAnsi="Arial"/>
          <w:sz w:val="16"/>
          <w:szCs w:val="16"/>
          <w:color w:val="333333"/>
        </w:rPr>
      </w:pPr>
      <w:r>
        <w:rPr>
          <w:rFonts w:ascii="Arial" w:cs="Arial" w:eastAsia="Arial" w:hAnsi="Arial"/>
          <w:sz w:val="16"/>
          <w:szCs w:val="16"/>
          <w:color w:val="333333"/>
        </w:rPr>
        <w:t>1.165% of the participant’s final average eligible pay up to social security covered compensation, multiplied by the participant’s credited years of service up to 35 years;</w:t>
      </w:r>
    </w:p>
    <w:p>
      <w:pPr>
        <w:spacing w:after="0" w:line="61" w:lineRule="exact"/>
        <w:rPr>
          <w:rFonts w:ascii="Arial" w:cs="Arial" w:eastAsia="Arial" w:hAnsi="Arial"/>
          <w:sz w:val="16"/>
          <w:szCs w:val="16"/>
          <w:color w:val="333333"/>
        </w:rPr>
      </w:pPr>
    </w:p>
    <w:p>
      <w:pPr>
        <w:ind w:left="424" w:right="80" w:hanging="424"/>
        <w:spacing w:after="0" w:line="286" w:lineRule="auto"/>
        <w:tabs>
          <w:tab w:leader="none" w:pos="424" w:val="left"/>
        </w:tabs>
        <w:numPr>
          <w:ilvl w:val="0"/>
          <w:numId w:val="120"/>
        </w:numPr>
        <w:rPr>
          <w:rFonts w:ascii="Arial" w:cs="Arial" w:eastAsia="Arial" w:hAnsi="Arial"/>
          <w:sz w:val="16"/>
          <w:szCs w:val="16"/>
          <w:color w:val="333333"/>
        </w:rPr>
      </w:pPr>
      <w:r>
        <w:rPr>
          <w:rFonts w:ascii="Arial" w:cs="Arial" w:eastAsia="Arial" w:hAnsi="Arial"/>
          <w:sz w:val="16"/>
          <w:szCs w:val="16"/>
          <w:color w:val="333333"/>
        </w:rPr>
        <w:t>1.50% of the participant’s final average eligible pay in excess of social security covered compensation, multiplied by the participant’s credited years of service up to 35 years; and</w:t>
      </w:r>
    </w:p>
    <w:p>
      <w:pPr>
        <w:spacing w:after="0" w:line="61" w:lineRule="exact"/>
        <w:rPr>
          <w:rFonts w:ascii="Arial" w:cs="Arial" w:eastAsia="Arial" w:hAnsi="Arial"/>
          <w:sz w:val="16"/>
          <w:szCs w:val="16"/>
          <w:color w:val="333333"/>
        </w:rPr>
      </w:pPr>
    </w:p>
    <w:p>
      <w:pPr>
        <w:ind w:left="424" w:hanging="424"/>
        <w:spacing w:after="0"/>
        <w:tabs>
          <w:tab w:leader="none" w:pos="424" w:val="left"/>
        </w:tabs>
        <w:numPr>
          <w:ilvl w:val="0"/>
          <w:numId w:val="120"/>
        </w:numPr>
        <w:rPr>
          <w:rFonts w:ascii="Arial" w:cs="Arial" w:eastAsia="Arial" w:hAnsi="Arial"/>
          <w:sz w:val="16"/>
          <w:szCs w:val="16"/>
          <w:color w:val="333333"/>
        </w:rPr>
      </w:pPr>
      <w:r>
        <w:rPr>
          <w:rFonts w:ascii="Arial" w:cs="Arial" w:eastAsia="Arial" w:hAnsi="Arial"/>
          <w:sz w:val="16"/>
          <w:szCs w:val="16"/>
          <w:color w:val="333333"/>
        </w:rPr>
        <w:t>1.50% of the participant’s final average eligible pay multiplied by the participant’s credited years of service in excess of 35 years.</w:t>
      </w:r>
    </w:p>
    <w:p>
      <w:pPr>
        <w:spacing w:after="0" w:line="113"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b w:val="1"/>
          <w:bCs w:val="1"/>
          <w:color w:val="333333"/>
        </w:rPr>
        <w:t xml:space="preserve">Supplemental Excess Retirement Plan (SERP). </w:t>
      </w:r>
      <w:r>
        <w:rPr>
          <w:rFonts w:ascii="Arial" w:cs="Arial" w:eastAsia="Arial" w:hAnsi="Arial"/>
          <w:sz w:val="16"/>
          <w:szCs w:val="16"/>
          <w:color w:val="333333"/>
        </w:rPr>
        <w:t>We also have a non-qualified restoration plan that covers any employee in the Pension Plan, including</w:t>
      </w:r>
      <w:r>
        <w:rPr>
          <w:rFonts w:ascii="Arial" w:cs="Arial" w:eastAsia="Arial" w:hAnsi="Arial"/>
          <w:sz w:val="16"/>
          <w:szCs w:val="16"/>
          <w:b w:val="1"/>
          <w:bCs w:val="1"/>
          <w:color w:val="333333"/>
        </w:rPr>
        <w:t xml:space="preserve"> </w:t>
      </w:r>
      <w:r>
        <w:rPr>
          <w:rFonts w:ascii="Arial" w:cs="Arial" w:eastAsia="Arial" w:hAnsi="Arial"/>
          <w:sz w:val="16"/>
          <w:szCs w:val="16"/>
          <w:color w:val="333333"/>
        </w:rPr>
        <w:t>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70" w:lineRule="exact"/>
        <w:rPr>
          <w:sz w:val="20"/>
          <w:szCs w:val="20"/>
          <w:color w:val="auto"/>
        </w:rPr>
      </w:pPr>
    </w:p>
    <w:p>
      <w:pPr>
        <w:ind w:left="4" w:right="360"/>
        <w:spacing w:after="0" w:line="266" w:lineRule="auto"/>
        <w:rPr>
          <w:sz w:val="20"/>
          <w:szCs w:val="20"/>
          <w:color w:val="auto"/>
        </w:rPr>
      </w:pPr>
      <w:r>
        <w:rPr>
          <w:rFonts w:ascii="Arial" w:cs="Arial" w:eastAsia="Arial" w:hAnsi="Arial"/>
          <w:sz w:val="16"/>
          <w:szCs w:val="16"/>
          <w:b w:val="1"/>
          <w:bCs w:val="1"/>
          <w:color w:val="333333"/>
        </w:rPr>
        <w:t xml:space="preserve">Savings and Investment Plan. </w:t>
      </w:r>
      <w:r>
        <w:rPr>
          <w:rFonts w:ascii="Arial" w:cs="Arial" w:eastAsia="Arial" w:hAnsi="Arial"/>
          <w:sz w:val="16"/>
          <w:szCs w:val="16"/>
          <w:color w:val="333333"/>
        </w:rPr>
        <w:t>The Savings and Investment Plan is a tax-qualified defined contribution retirement savings plan pursuant to which all</w:t>
      </w:r>
      <w:r>
        <w:rPr>
          <w:rFonts w:ascii="Arial" w:cs="Arial" w:eastAsia="Arial" w:hAnsi="Arial"/>
          <w:sz w:val="16"/>
          <w:szCs w:val="16"/>
          <w:b w:val="1"/>
          <w:bCs w:val="1"/>
          <w:color w:val="333333"/>
        </w:rPr>
        <w:t xml:space="preserve"> </w:t>
      </w:r>
      <w:r>
        <w:rPr>
          <w:rFonts w:ascii="Arial" w:cs="Arial" w:eastAsia="Arial" w:hAnsi="Arial"/>
          <w:sz w:val="16"/>
          <w:szCs w:val="16"/>
          <w:color w:val="333333"/>
        </w:rPr>
        <w:t>employees in the United States, including the named executive officers, are eligible to contribute up to 25% of pay on a before-tax basis or the limit prescribed by the Internal Revenue Service on a ROTH individual retirement account on an after-tax basis and</w:t>
      </w:r>
    </w:p>
    <w:p>
      <w:pPr>
        <w:spacing w:after="0" w:line="360"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81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315" w:right="4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355"/>
        </w:trPr>
        <w:tc>
          <w:tcPr>
            <w:tcW w:w="320" w:type="dxa"/>
            <w:vAlign w:val="bottom"/>
            <w:shd w:val="clear" w:color="auto" w:fill="4D5357"/>
          </w:tcPr>
          <w:p>
            <w:pPr>
              <w:ind w:left="240"/>
              <w:spacing w:after="0"/>
              <w:rPr>
                <w:sz w:val="20"/>
                <w:szCs w:val="20"/>
                <w:color w:val="auto"/>
              </w:rPr>
            </w:pPr>
            <w:r>
              <w:rPr>
                <w:rFonts w:ascii="Arial" w:cs="Arial" w:eastAsia="Arial" w:hAnsi="Arial"/>
                <w:sz w:val="8"/>
                <w:szCs w:val="8"/>
                <w:b w:val="1"/>
                <w:bCs w:val="1"/>
                <w:color w:val="FFFFFF"/>
                <w:w w:val="74"/>
              </w:rPr>
              <w:t> </w:t>
            </w:r>
          </w:p>
        </w:tc>
        <w:tc>
          <w:tcPr>
            <w:tcW w:w="14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   Executive    </w:t>
            </w:r>
          </w:p>
        </w:tc>
      </w:tr>
      <w:tr>
        <w:trPr>
          <w:trHeight w:val="196"/>
        </w:trPr>
        <w:tc>
          <w:tcPr>
            <w:tcW w:w="32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Compensation    </w:t>
            </w:r>
          </w:p>
        </w:tc>
      </w:tr>
      <w:tr>
        <w:trPr>
          <w:trHeight w:val="191"/>
        </w:trPr>
        <w:tc>
          <w:tcPr>
            <w:tcW w:w="320" w:type="dxa"/>
            <w:vAlign w:val="bottom"/>
            <w:shd w:val="clear" w:color="auto" w:fill="4D5357"/>
          </w:tcPr>
          <w:p>
            <w:pPr>
              <w:spacing w:after="0"/>
              <w:rPr>
                <w:sz w:val="16"/>
                <w:szCs w:val="16"/>
                <w:color w:val="auto"/>
              </w:rPr>
            </w:pPr>
          </w:p>
        </w:tc>
        <w:tc>
          <w:tcPr>
            <w:tcW w:w="1420" w:type="dxa"/>
            <w:vAlign w:val="bottom"/>
            <w:shd w:val="clear" w:color="auto" w:fill="4D5357"/>
          </w:tcPr>
          <w:p>
            <w:pPr>
              <w:spacing w:after="0"/>
              <w:rPr>
                <w:sz w:val="16"/>
                <w:szCs w:val="16"/>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6"/>
          <w:szCs w:val="16"/>
          <w:color w:val="333333"/>
        </w:rPr>
        <w:t>up to an additional 17% of pay on an after-tax basis not to exceed a total of 25% of pay. We match 100% of the first 1% of pay and 50% of the next 5% of pay that is contributed by employees to the Savings and Investment Plan up to Internal Revenue Service limitations. We also make a true-up discretionary matching contribution in the following fiscal year for participants employed on the last working day of the plan year of the Savings and Investment Plan. All contributions as well as any matching contributions are fully vested upon contribution.</w:t>
      </w:r>
    </w:p>
    <w:p>
      <w:pPr>
        <w:spacing w:after="0" w:line="7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b w:val="1"/>
          <w:bCs w:val="1"/>
          <w:color w:val="333333"/>
        </w:rPr>
        <w:t xml:space="preserve">Nonqualified Deferred Cash Compensation Plan. </w:t>
      </w:r>
      <w:r>
        <w:rPr>
          <w:rFonts w:ascii="Arial" w:cs="Arial" w:eastAsia="Arial" w:hAnsi="Arial"/>
          <w:sz w:val="16"/>
          <w:szCs w:val="16"/>
          <w:color w:val="333333"/>
        </w:rPr>
        <w:t>Martin Marietta allows the named executive officers and certain other employees who are eligible to</w:t>
      </w:r>
      <w:r>
        <w:rPr>
          <w:rFonts w:ascii="Arial" w:cs="Arial" w:eastAsia="Arial" w:hAnsi="Arial"/>
          <w:sz w:val="16"/>
          <w:szCs w:val="16"/>
          <w:b w:val="1"/>
          <w:bCs w:val="1"/>
          <w:color w:val="333333"/>
        </w:rPr>
        <w:t xml:space="preserve"> </w:t>
      </w:r>
      <w:r>
        <w:rPr>
          <w:rFonts w:ascii="Arial" w:cs="Arial" w:eastAsia="Arial" w:hAnsi="Arial"/>
          <w:sz w:val="16"/>
          <w:szCs w:val="16"/>
          <w:color w:val="333333"/>
        </w:rPr>
        <w:t>participate in the Incentive Stock Plan (generally, vice president level or higher) to defer up to 80% of their salary and/or up to 100% of their annual cash incentive award that exceeds the Internal Revenue Code limit. Martin Marietta does not match participant deferrals and does not guarantee a stated rate of return. Deferrals under the Deferred Cash Compensation Plan are credited with earnings or debited for losses based on the results of the notional investment option or options selected by the participants, which are generally the same as the investment options available under the Savings and Investment Plan. Under the Deferred Cash Compensation Plan, deferrals are not actually invested in these funds, but instead are credited with earnings or debited for losses based on the funds’ investment returns. Because the rate of return is based on actual investment measures in our Savings and Investment Plan, no above-market earnings are credited, recorded, or paid. The Deferred Cash Compensation Plan is unfunded. This means that Martin Marietta does not set aside funds for the plan in a trust or otherwise. Participants have only the rights of general unsecured creditors and may lose their balances in the event of the Company’s bankruptcy. Account balances are 100% vested at all times. An irrevocable distribution election is required before making any deferrals into the Deferred Cash Compensation Plan. Generally, a participant may elect to begin receiving a distribution of his or her account balance immediately upon separation from service or in annual installments over 2 to 10 years, which, for separation before retirement, death, disability or change of control as defined in the plan, is following a six-month waiting period after separation occurs. None of the named executive officers participated in the Deferred Cash Contribution Plan in 2025.</w:t>
      </w:r>
    </w:p>
    <w:p>
      <w:pPr>
        <w:spacing w:after="0" w:line="8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333333"/>
        </w:rPr>
        <w:t xml:space="preserve">Medical Insurance. </w:t>
      </w:r>
      <w:r>
        <w:rPr>
          <w:rFonts w:ascii="Arial" w:cs="Arial" w:eastAsia="Arial" w:hAnsi="Arial"/>
          <w:sz w:val="16"/>
          <w:szCs w:val="16"/>
          <w:color w:val="333333"/>
        </w:rPr>
        <w:t>Martin Marietta provides an opportunity to all of its salaried employees in the United States and the employees’ immediate family</w:t>
      </w:r>
      <w:r>
        <w:rPr>
          <w:rFonts w:ascii="Arial" w:cs="Arial" w:eastAsia="Arial" w:hAnsi="Arial"/>
          <w:sz w:val="16"/>
          <w:szCs w:val="16"/>
          <w:b w:val="1"/>
          <w:bCs w:val="1"/>
          <w:color w:val="333333"/>
        </w:rPr>
        <w:t xml:space="preserve"> </w:t>
      </w:r>
      <w:r>
        <w:rPr>
          <w:rFonts w:ascii="Arial" w:cs="Arial" w:eastAsia="Arial" w:hAnsi="Arial"/>
          <w:sz w:val="16"/>
          <w:szCs w:val="16"/>
          <w:color w:val="333333"/>
        </w:rPr>
        <w:t>members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333333"/>
        </w:rPr>
        <w:t xml:space="preserve">Life and Disability Insurance. </w:t>
      </w:r>
      <w:r>
        <w:rPr>
          <w:rFonts w:ascii="Arial" w:cs="Arial" w:eastAsia="Arial" w:hAnsi="Arial"/>
          <w:sz w:val="16"/>
          <w:szCs w:val="16"/>
          <w:color w:val="333333"/>
        </w:rPr>
        <w:t>Martin Marietta provides to all of its salaried employees in the United States, including the named executive officers, long-term disability and life insurance that provides up to 1.5 times base salary at no cost to the employee. All of our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333333"/>
        </w:rPr>
        <w:t xml:space="preserve">Housing Allowance and Relocation Costs. </w:t>
      </w:r>
      <w:r>
        <w:rPr>
          <w:rFonts w:ascii="Arial" w:cs="Arial" w:eastAsia="Arial" w:hAnsi="Arial"/>
          <w:sz w:val="16"/>
          <w:szCs w:val="16"/>
          <w:color w:val="333333"/>
        </w:rPr>
        <w:t>Martin Marietta provides relocation benefits, including a housing allowance, to certain employees upon their</w:t>
      </w:r>
      <w:r>
        <w:rPr>
          <w:rFonts w:ascii="Arial" w:cs="Arial" w:eastAsia="Arial" w:hAnsi="Arial"/>
          <w:sz w:val="16"/>
          <w:szCs w:val="16"/>
          <w:b w:val="1"/>
          <w:bCs w:val="1"/>
          <w:color w:val="333333"/>
        </w:rPr>
        <w:t xml:space="preserve"> </w:t>
      </w:r>
      <w:r>
        <w:rPr>
          <w:rFonts w:ascii="Arial" w:cs="Arial" w:eastAsia="Arial" w:hAnsi="Arial"/>
          <w:sz w:val="16"/>
          <w:szCs w:val="16"/>
          <w:color w:val="333333"/>
        </w:rPr>
        <w:t>employment with Martin Marietta or in conjunction with a job relocation or promotion.</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82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315" w:right="439" w:bottom="1440" w:gutter="0" w:footer="0" w:header="0"/>
          <w:type w:val="continuous"/>
        </w:sectPr>
      </w:pPr>
    </w:p>
    <w:bookmarkStart w:id="89" w:name="page90"/>
    <w:bookmarkEnd w:id="89"/>
    <w:tbl>
      <w:tblPr>
        <w:tblLayout w:type="fixed"/>
        <w:tblInd w:w="9144" w:type="dxa"/>
        <w:tblCellMar>
          <w:top w:w="0" w:type="dxa"/>
          <w:left w:w="0" w:type="dxa"/>
          <w:bottom w:w="0" w:type="dxa"/>
          <w:right w:w="0" w:type="dxa"/>
        </w:tblCellMar>
      </w:tblPr>
      <w:tr>
        <w:trPr>
          <w:trHeight w:val="396"/>
        </w:trPr>
        <w:tc>
          <w:tcPr>
            <w:tcW w:w="460" w:type="dxa"/>
            <w:vAlign w:val="bottom"/>
            <w:shd w:val="clear" w:color="auto" w:fill="4D5357"/>
          </w:tcPr>
          <w:p>
            <w:pPr>
              <w:ind w:left="380"/>
              <w:spacing w:after="0"/>
              <w:rPr>
                <w:sz w:val="20"/>
                <w:szCs w:val="20"/>
                <w:color w:val="auto"/>
              </w:rPr>
            </w:pPr>
            <w:r>
              <w:rPr>
                <w:rFonts w:ascii="Arial" w:cs="Arial" w:eastAsia="Arial" w:hAnsi="Arial"/>
                <w:sz w:val="8"/>
                <w:szCs w:val="8"/>
                <w:b w:val="1"/>
                <w:bCs w:val="1"/>
                <w:color w:val="FFFFFF"/>
                <w:w w:val="74"/>
              </w:rPr>
              <w:t> </w:t>
            </w:r>
          </w:p>
        </w:tc>
        <w:tc>
          <w:tcPr>
            <w:tcW w:w="14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   Executive    </w:t>
            </w:r>
          </w:p>
        </w:tc>
      </w:tr>
      <w:tr>
        <w:trPr>
          <w:trHeight w:val="196"/>
        </w:trPr>
        <w:tc>
          <w:tcPr>
            <w:tcW w:w="460" w:type="dxa"/>
            <w:vAlign w:val="bottom"/>
            <w:shd w:val="clear" w:color="auto" w:fill="4D5357"/>
          </w:tcPr>
          <w:p>
            <w:pPr>
              <w:ind w:left="200"/>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Compensation    </w:t>
            </w:r>
          </w:p>
        </w:tc>
      </w:tr>
      <w:tr>
        <w:trPr>
          <w:trHeight w:val="232"/>
        </w:trPr>
        <w:tc>
          <w:tcPr>
            <w:tcW w:w="460" w:type="dxa"/>
            <w:vAlign w:val="bottom"/>
            <w:shd w:val="clear" w:color="auto" w:fill="4D5357"/>
          </w:tcPr>
          <w:p>
            <w:pPr>
              <w:spacing w:after="0"/>
              <w:rPr>
                <w:sz w:val="20"/>
                <w:szCs w:val="20"/>
                <w:color w:val="auto"/>
              </w:rPr>
            </w:pPr>
          </w:p>
        </w:tc>
        <w:tc>
          <w:tcPr>
            <w:tcW w:w="1420" w:type="dxa"/>
            <w:vAlign w:val="bottom"/>
            <w:shd w:val="clear" w:color="auto" w:fill="4D5357"/>
          </w:tcPr>
          <w:p>
            <w:pPr>
              <w:spacing w:after="0"/>
              <w:rPr>
                <w:sz w:val="20"/>
                <w:szCs w:val="20"/>
                <w:color w:val="auto"/>
              </w:rPr>
            </w:pPr>
          </w:p>
        </w:tc>
      </w:tr>
    </w:tbl>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spacing w:after="0"/>
        <w:rPr>
          <w:sz w:val="20"/>
          <w:szCs w:val="20"/>
          <w:color w:val="auto"/>
        </w:rPr>
      </w:pPr>
      <w:r>
        <w:rPr>
          <w:rFonts w:ascii="Arial" w:cs="Arial" w:eastAsia="Arial" w:hAnsi="Arial"/>
          <w:sz w:val="27"/>
          <w:szCs w:val="27"/>
          <w:b w:val="1"/>
          <w:bCs w:val="1"/>
          <w:color w:val="0086CC"/>
        </w:rPr>
        <w:t>Pension Benefits</w:t>
      </w:r>
    </w:p>
    <w:p>
      <w:pPr>
        <w:spacing w:after="0" w:line="231" w:lineRule="exact"/>
        <w:rPr>
          <w:sz w:val="20"/>
          <w:szCs w:val="20"/>
          <w:color w:val="auto"/>
        </w:rPr>
      </w:pPr>
    </w:p>
    <w:p>
      <w:pPr>
        <w:ind w:left="4" w:right="140"/>
        <w:spacing w:after="0" w:line="266" w:lineRule="auto"/>
        <w:rPr>
          <w:sz w:val="20"/>
          <w:szCs w:val="20"/>
          <w:color w:val="auto"/>
        </w:rPr>
      </w:pPr>
      <w:r>
        <w:rPr>
          <w:rFonts w:ascii="Arial" w:cs="Arial" w:eastAsia="Arial" w:hAnsi="Arial"/>
          <w:sz w:val="16"/>
          <w:szCs w:val="16"/>
          <w:color w:val="333333"/>
        </w:rPr>
        <w:t>The table below shows the present value of accumulated benefits payable to each of the named executive officers, including the number of years of service credited to each such named executive officer, under our Pension Plan and SERP, determined using interest rate and mortality rate assumptions consistent with those used in Martin Marietta’s financial statements.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Pension Benefits Table</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80" w:type="dxa"/>
            <w:vAlign w:val="bottom"/>
          </w:tcPr>
          <w:p>
            <w:pPr>
              <w:jc w:val="center"/>
              <w:ind w:right="119"/>
              <w:spacing w:after="0"/>
              <w:rPr>
                <w:sz w:val="20"/>
                <w:szCs w:val="20"/>
                <w:color w:val="auto"/>
              </w:rPr>
            </w:pPr>
            <w:r>
              <w:rPr>
                <w:rFonts w:ascii="Arial" w:cs="Arial" w:eastAsia="Arial" w:hAnsi="Arial"/>
                <w:sz w:val="16"/>
                <w:szCs w:val="16"/>
                <w:b w:val="1"/>
                <w:bCs w:val="1"/>
                <w:color w:val="0086CC"/>
              </w:rPr>
              <w:t>NUMBER OF</w:t>
            </w:r>
          </w:p>
        </w:tc>
        <w:tc>
          <w:tcPr>
            <w:tcW w:w="2620" w:type="dxa"/>
            <w:vAlign w:val="bottom"/>
          </w:tcPr>
          <w:p>
            <w:pPr>
              <w:jc w:val="center"/>
              <w:ind w:left="39"/>
              <w:spacing w:after="0"/>
              <w:rPr>
                <w:sz w:val="20"/>
                <w:szCs w:val="20"/>
                <w:color w:val="auto"/>
              </w:rPr>
            </w:pPr>
            <w:r>
              <w:rPr>
                <w:rFonts w:ascii="Arial" w:cs="Arial" w:eastAsia="Arial" w:hAnsi="Arial"/>
                <w:sz w:val="16"/>
                <w:szCs w:val="16"/>
                <w:b w:val="1"/>
                <w:bCs w:val="1"/>
                <w:color w:val="0086CC"/>
              </w:rPr>
              <w:t>PRESENT VALUE OF</w:t>
            </w:r>
          </w:p>
        </w:tc>
        <w:tc>
          <w:tcPr>
            <w:tcW w:w="1720" w:type="dxa"/>
            <w:vAlign w:val="bottom"/>
          </w:tcPr>
          <w:p>
            <w:pPr>
              <w:jc w:val="center"/>
              <w:ind w:left="199"/>
              <w:spacing w:after="0"/>
              <w:rPr>
                <w:sz w:val="20"/>
                <w:szCs w:val="20"/>
                <w:color w:val="auto"/>
              </w:rPr>
            </w:pPr>
            <w:r>
              <w:rPr>
                <w:rFonts w:ascii="Arial" w:cs="Arial" w:eastAsia="Arial" w:hAnsi="Arial"/>
                <w:sz w:val="16"/>
                <w:szCs w:val="16"/>
                <w:b w:val="1"/>
                <w:bCs w:val="1"/>
                <w:color w:val="0086CC"/>
                <w:w w:val="98"/>
              </w:rPr>
              <w:t>PAYMENTS</w:t>
            </w:r>
          </w:p>
        </w:tc>
      </w:tr>
      <w:tr>
        <w:trPr>
          <w:trHeight w:val="189"/>
        </w:trPr>
        <w:tc>
          <w:tcPr>
            <w:tcW w:w="2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80" w:type="dxa"/>
            <w:vAlign w:val="bottom"/>
          </w:tcPr>
          <w:p>
            <w:pPr>
              <w:jc w:val="center"/>
              <w:ind w:right="119"/>
              <w:spacing w:after="0"/>
              <w:rPr>
                <w:sz w:val="20"/>
                <w:szCs w:val="20"/>
                <w:color w:val="auto"/>
              </w:rPr>
            </w:pPr>
            <w:r>
              <w:rPr>
                <w:rFonts w:ascii="Arial" w:cs="Arial" w:eastAsia="Arial" w:hAnsi="Arial"/>
                <w:sz w:val="16"/>
                <w:szCs w:val="16"/>
                <w:b w:val="1"/>
                <w:bCs w:val="1"/>
                <w:color w:val="0086CC"/>
              </w:rPr>
              <w:t>YEARS CREDITED</w:t>
            </w:r>
          </w:p>
        </w:tc>
        <w:tc>
          <w:tcPr>
            <w:tcW w:w="2620" w:type="dxa"/>
            <w:vAlign w:val="bottom"/>
          </w:tcPr>
          <w:p>
            <w:pPr>
              <w:jc w:val="center"/>
              <w:ind w:left="39"/>
              <w:spacing w:after="0"/>
              <w:rPr>
                <w:sz w:val="20"/>
                <w:szCs w:val="20"/>
                <w:color w:val="auto"/>
              </w:rPr>
            </w:pPr>
            <w:r>
              <w:rPr>
                <w:rFonts w:ascii="Arial" w:cs="Arial" w:eastAsia="Arial" w:hAnsi="Arial"/>
                <w:sz w:val="16"/>
                <w:szCs w:val="16"/>
                <w:b w:val="1"/>
                <w:bCs w:val="1"/>
                <w:color w:val="0086CC"/>
              </w:rPr>
              <w:t>ACCUMULATED</w:t>
            </w:r>
          </w:p>
        </w:tc>
        <w:tc>
          <w:tcPr>
            <w:tcW w:w="1720" w:type="dxa"/>
            <w:vAlign w:val="bottom"/>
          </w:tcPr>
          <w:p>
            <w:pPr>
              <w:jc w:val="center"/>
              <w:ind w:left="199"/>
              <w:spacing w:after="0"/>
              <w:rPr>
                <w:sz w:val="20"/>
                <w:szCs w:val="20"/>
                <w:color w:val="auto"/>
              </w:rPr>
            </w:pPr>
            <w:r>
              <w:rPr>
                <w:rFonts w:ascii="Arial" w:cs="Arial" w:eastAsia="Arial" w:hAnsi="Arial"/>
                <w:sz w:val="16"/>
                <w:szCs w:val="16"/>
                <w:b w:val="1"/>
                <w:bCs w:val="1"/>
                <w:color w:val="0086CC"/>
              </w:rPr>
              <w:t>DURING LAST</w:t>
            </w:r>
          </w:p>
        </w:tc>
      </w:tr>
      <w:tr>
        <w:trPr>
          <w:trHeight w:val="189"/>
        </w:trPr>
        <w:tc>
          <w:tcPr>
            <w:tcW w:w="2360" w:type="dxa"/>
            <w:vAlign w:val="bottom"/>
          </w:tcPr>
          <w:p>
            <w:pPr>
              <w:spacing w:after="0"/>
              <w:rPr>
                <w:sz w:val="16"/>
                <w:szCs w:val="16"/>
                <w:color w:val="auto"/>
              </w:rPr>
            </w:pPr>
          </w:p>
        </w:tc>
        <w:tc>
          <w:tcPr>
            <w:tcW w:w="1940" w:type="dxa"/>
            <w:vAlign w:val="bottom"/>
          </w:tcPr>
          <w:p>
            <w:pPr>
              <w:jc w:val="center"/>
              <w:ind w:left="59"/>
              <w:spacing w:after="0"/>
              <w:rPr>
                <w:sz w:val="20"/>
                <w:szCs w:val="20"/>
                <w:color w:val="auto"/>
              </w:rPr>
            </w:pPr>
            <w:r>
              <w:rPr>
                <w:rFonts w:ascii="Arial" w:cs="Arial" w:eastAsia="Arial" w:hAnsi="Arial"/>
                <w:sz w:val="16"/>
                <w:szCs w:val="16"/>
                <w:b w:val="1"/>
                <w:bCs w:val="1"/>
                <w:color w:val="0086CC"/>
              </w:rPr>
              <w:t>PLAN</w:t>
            </w:r>
          </w:p>
        </w:tc>
        <w:tc>
          <w:tcPr>
            <w:tcW w:w="2380" w:type="dxa"/>
            <w:vAlign w:val="bottom"/>
          </w:tcPr>
          <w:p>
            <w:pPr>
              <w:jc w:val="center"/>
              <w:ind w:right="119"/>
              <w:spacing w:after="0"/>
              <w:rPr>
                <w:sz w:val="20"/>
                <w:szCs w:val="20"/>
                <w:color w:val="auto"/>
              </w:rPr>
            </w:pPr>
            <w:r>
              <w:rPr>
                <w:rFonts w:ascii="Arial" w:cs="Arial" w:eastAsia="Arial" w:hAnsi="Arial"/>
                <w:sz w:val="16"/>
                <w:szCs w:val="16"/>
                <w:b w:val="1"/>
                <w:bCs w:val="1"/>
                <w:color w:val="0086CC"/>
                <w:w w:val="99"/>
              </w:rPr>
              <w:t>SERVICE</w:t>
            </w:r>
          </w:p>
        </w:tc>
        <w:tc>
          <w:tcPr>
            <w:tcW w:w="2620" w:type="dxa"/>
            <w:vAlign w:val="bottom"/>
          </w:tcPr>
          <w:p>
            <w:pPr>
              <w:jc w:val="center"/>
              <w:ind w:left="39"/>
              <w:spacing w:after="0"/>
              <w:rPr>
                <w:sz w:val="20"/>
                <w:szCs w:val="20"/>
                <w:color w:val="auto"/>
              </w:rPr>
            </w:pPr>
            <w:r>
              <w:rPr>
                <w:rFonts w:ascii="Arial" w:cs="Arial" w:eastAsia="Arial" w:hAnsi="Arial"/>
                <w:sz w:val="16"/>
                <w:szCs w:val="16"/>
                <w:b w:val="1"/>
                <w:bCs w:val="1"/>
                <w:color w:val="0086CC"/>
              </w:rPr>
              <w:t>BENEFIT</w:t>
            </w:r>
          </w:p>
        </w:tc>
        <w:tc>
          <w:tcPr>
            <w:tcW w:w="1720" w:type="dxa"/>
            <w:vAlign w:val="bottom"/>
          </w:tcPr>
          <w:p>
            <w:pPr>
              <w:jc w:val="center"/>
              <w:ind w:left="199"/>
              <w:spacing w:after="0"/>
              <w:rPr>
                <w:sz w:val="20"/>
                <w:szCs w:val="20"/>
                <w:color w:val="auto"/>
              </w:rPr>
            </w:pPr>
            <w:r>
              <w:rPr>
                <w:rFonts w:ascii="Arial" w:cs="Arial" w:eastAsia="Arial" w:hAnsi="Arial"/>
                <w:sz w:val="16"/>
                <w:szCs w:val="16"/>
                <w:b w:val="1"/>
                <w:bCs w:val="1"/>
                <w:color w:val="0086CC"/>
              </w:rPr>
              <w:t>FISCAL YEAR</w:t>
            </w:r>
          </w:p>
        </w:tc>
      </w:tr>
      <w:tr>
        <w:trPr>
          <w:trHeight w:val="216"/>
        </w:trPr>
        <w:tc>
          <w:tcPr>
            <w:tcW w:w="2360" w:type="dxa"/>
            <w:vAlign w:val="bottom"/>
          </w:tcPr>
          <w:p>
            <w:pPr>
              <w:ind w:left="60"/>
              <w:spacing w:after="0"/>
              <w:rPr>
                <w:sz w:val="20"/>
                <w:szCs w:val="20"/>
                <w:color w:val="auto"/>
              </w:rPr>
            </w:pPr>
            <w:r>
              <w:rPr>
                <w:rFonts w:ascii="Arial" w:cs="Arial" w:eastAsia="Arial" w:hAnsi="Arial"/>
                <w:sz w:val="16"/>
                <w:szCs w:val="16"/>
                <w:b w:val="1"/>
                <w:bCs w:val="1"/>
                <w:color w:val="0086CC"/>
              </w:rPr>
              <w:t>NAME</w:t>
            </w:r>
          </w:p>
        </w:tc>
        <w:tc>
          <w:tcPr>
            <w:tcW w:w="1940" w:type="dxa"/>
            <w:vAlign w:val="bottom"/>
          </w:tcPr>
          <w:p>
            <w:pPr>
              <w:jc w:val="center"/>
              <w:ind w:left="59"/>
              <w:spacing w:after="0"/>
              <w:rPr>
                <w:sz w:val="20"/>
                <w:szCs w:val="20"/>
                <w:color w:val="auto"/>
              </w:rPr>
            </w:pPr>
            <w:r>
              <w:rPr>
                <w:rFonts w:ascii="Arial" w:cs="Arial" w:eastAsia="Arial" w:hAnsi="Arial"/>
                <w:sz w:val="16"/>
                <w:szCs w:val="16"/>
                <w:b w:val="1"/>
                <w:bCs w:val="1"/>
                <w:color w:val="0086CC"/>
              </w:rPr>
              <w:t>NAME</w:t>
            </w:r>
          </w:p>
        </w:tc>
        <w:tc>
          <w:tcPr>
            <w:tcW w:w="2380" w:type="dxa"/>
            <w:vAlign w:val="bottom"/>
          </w:tcPr>
          <w:p>
            <w:pPr>
              <w:jc w:val="center"/>
              <w:ind w:right="119"/>
              <w:spacing w:after="0"/>
              <w:rPr>
                <w:sz w:val="20"/>
                <w:szCs w:val="20"/>
                <w:color w:val="auto"/>
              </w:rPr>
            </w:pPr>
            <w:r>
              <w:rPr>
                <w:rFonts w:ascii="Arial" w:cs="Arial" w:eastAsia="Arial" w:hAnsi="Arial"/>
                <w:sz w:val="16"/>
                <w:szCs w:val="16"/>
                <w:b w:val="1"/>
                <w:bCs w:val="1"/>
                <w:color w:val="0086CC"/>
                <w:w w:val="91"/>
              </w:rPr>
              <w:t>(#)</w:t>
            </w:r>
          </w:p>
        </w:tc>
        <w:tc>
          <w:tcPr>
            <w:tcW w:w="2620" w:type="dxa"/>
            <w:vAlign w:val="bottom"/>
          </w:tcPr>
          <w:p>
            <w:pPr>
              <w:jc w:val="center"/>
              <w:ind w:left="39"/>
              <w:spacing w:after="0" w:line="216" w:lineRule="exact"/>
              <w:rPr>
                <w:sz w:val="20"/>
                <w:szCs w:val="20"/>
                <w:color w:val="auto"/>
              </w:rPr>
            </w:pPr>
            <w:r>
              <w:rPr>
                <w:rFonts w:ascii="Arial" w:cs="Arial" w:eastAsia="Arial" w:hAnsi="Arial"/>
                <w:sz w:val="16"/>
                <w:szCs w:val="16"/>
                <w:b w:val="1"/>
                <w:bCs w:val="1"/>
                <w:color w:val="0086CC"/>
                <w:w w:val="91"/>
              </w:rPr>
              <w:t>($)</w:t>
            </w:r>
            <w:r>
              <w:rPr>
                <w:rFonts w:ascii="Arial" w:cs="Arial" w:eastAsia="Arial" w:hAnsi="Arial"/>
                <w:sz w:val="24"/>
                <w:szCs w:val="24"/>
                <w:b w:val="1"/>
                <w:bCs w:val="1"/>
                <w:color w:val="0086CC"/>
                <w:w w:val="91"/>
                <w:vertAlign w:val="superscript"/>
              </w:rPr>
              <w:t>1</w:t>
            </w:r>
          </w:p>
        </w:tc>
        <w:tc>
          <w:tcPr>
            <w:tcW w:w="1720" w:type="dxa"/>
            <w:vAlign w:val="bottom"/>
          </w:tcPr>
          <w:p>
            <w:pPr>
              <w:ind w:left="980"/>
              <w:spacing w:after="0"/>
              <w:rPr>
                <w:sz w:val="20"/>
                <w:szCs w:val="20"/>
                <w:color w:val="auto"/>
              </w:rPr>
            </w:pPr>
            <w:r>
              <w:rPr>
                <w:rFonts w:ascii="Arial" w:cs="Arial" w:eastAsia="Arial" w:hAnsi="Arial"/>
                <w:sz w:val="16"/>
                <w:szCs w:val="16"/>
                <w:b w:val="1"/>
                <w:bCs w:val="1"/>
                <w:color w:val="0086CC"/>
              </w:rPr>
              <w:t>($)</w:t>
            </w:r>
          </w:p>
        </w:tc>
      </w:tr>
      <w:tr>
        <w:trPr>
          <w:trHeight w:val="226"/>
        </w:trPr>
        <w:tc>
          <w:tcPr>
            <w:tcW w:w="236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(A)</w:t>
            </w:r>
          </w:p>
        </w:tc>
        <w:tc>
          <w:tcPr>
            <w:tcW w:w="1940" w:type="dxa"/>
            <w:vAlign w:val="bottom"/>
            <w:tcBorders>
              <w:bottom w:val="single" w:sz="8" w:color="0086CC"/>
            </w:tcBorders>
          </w:tcPr>
          <w:p>
            <w:pPr>
              <w:jc w:val="center"/>
              <w:ind w:left="79"/>
              <w:spacing w:after="0"/>
              <w:rPr>
                <w:sz w:val="20"/>
                <w:szCs w:val="20"/>
                <w:color w:val="auto"/>
              </w:rPr>
            </w:pPr>
            <w:r>
              <w:rPr>
                <w:rFonts w:ascii="Arial" w:cs="Arial" w:eastAsia="Arial" w:hAnsi="Arial"/>
                <w:sz w:val="16"/>
                <w:szCs w:val="16"/>
                <w:b w:val="1"/>
                <w:bCs w:val="1"/>
                <w:color w:val="0086CC"/>
                <w:w w:val="98"/>
              </w:rPr>
              <w:t>(B)</w:t>
            </w:r>
          </w:p>
        </w:tc>
        <w:tc>
          <w:tcPr>
            <w:tcW w:w="2380" w:type="dxa"/>
            <w:vAlign w:val="bottom"/>
            <w:tcBorders>
              <w:bottom w:val="single" w:sz="8" w:color="0086CC"/>
            </w:tcBorders>
          </w:tcPr>
          <w:p>
            <w:pPr>
              <w:jc w:val="center"/>
              <w:ind w:right="119"/>
              <w:spacing w:after="0"/>
              <w:rPr>
                <w:sz w:val="20"/>
                <w:szCs w:val="20"/>
                <w:color w:val="auto"/>
              </w:rPr>
            </w:pPr>
            <w:r>
              <w:rPr>
                <w:rFonts w:ascii="Arial" w:cs="Arial" w:eastAsia="Arial" w:hAnsi="Arial"/>
                <w:sz w:val="16"/>
                <w:szCs w:val="16"/>
                <w:b w:val="1"/>
                <w:bCs w:val="1"/>
                <w:color w:val="0086CC"/>
                <w:w w:val="98"/>
              </w:rPr>
              <w:t>(C)</w:t>
            </w:r>
          </w:p>
        </w:tc>
        <w:tc>
          <w:tcPr>
            <w:tcW w:w="2620" w:type="dxa"/>
            <w:vAlign w:val="bottom"/>
            <w:tcBorders>
              <w:bottom w:val="single" w:sz="8" w:color="0086CC"/>
            </w:tcBorders>
          </w:tcPr>
          <w:p>
            <w:pPr>
              <w:jc w:val="center"/>
              <w:ind w:left="39"/>
              <w:spacing w:after="0"/>
              <w:rPr>
                <w:sz w:val="20"/>
                <w:szCs w:val="20"/>
                <w:color w:val="auto"/>
              </w:rPr>
            </w:pPr>
            <w:r>
              <w:rPr>
                <w:rFonts w:ascii="Arial" w:cs="Arial" w:eastAsia="Arial" w:hAnsi="Arial"/>
                <w:sz w:val="16"/>
                <w:szCs w:val="16"/>
                <w:b w:val="1"/>
                <w:bCs w:val="1"/>
                <w:color w:val="0086CC"/>
                <w:w w:val="98"/>
              </w:rPr>
              <w:t>(D)</w:t>
            </w:r>
          </w:p>
        </w:tc>
        <w:tc>
          <w:tcPr>
            <w:tcW w:w="1720" w:type="dxa"/>
            <w:vAlign w:val="bottom"/>
            <w:tcBorders>
              <w:bottom w:val="single" w:sz="8" w:color="0086CC"/>
            </w:tcBorders>
          </w:tcPr>
          <w:p>
            <w:pPr>
              <w:ind w:left="960"/>
              <w:spacing w:after="0"/>
              <w:rPr>
                <w:sz w:val="20"/>
                <w:szCs w:val="20"/>
                <w:color w:val="auto"/>
              </w:rPr>
            </w:pPr>
            <w:r>
              <w:rPr>
                <w:rFonts w:ascii="Arial" w:cs="Arial" w:eastAsia="Arial" w:hAnsi="Arial"/>
                <w:sz w:val="16"/>
                <w:szCs w:val="16"/>
                <w:b w:val="1"/>
                <w:bCs w:val="1"/>
                <w:color w:val="0086CC"/>
              </w:rPr>
              <w:t>(E)</w:t>
            </w:r>
          </w:p>
        </w:tc>
      </w:tr>
      <w:tr>
        <w:trPr>
          <w:trHeight w:val="252"/>
        </w:trPr>
        <w:tc>
          <w:tcPr>
            <w:tcW w:w="2360" w:type="dxa"/>
            <w:vAlign w:val="bottom"/>
          </w:tcPr>
          <w:p>
            <w:pPr>
              <w:ind w:left="60"/>
              <w:spacing w:after="0"/>
              <w:rPr>
                <w:sz w:val="20"/>
                <w:szCs w:val="20"/>
                <w:color w:val="auto"/>
              </w:rPr>
            </w:pPr>
            <w:r>
              <w:rPr>
                <w:rFonts w:ascii="Arial" w:cs="Arial" w:eastAsia="Arial" w:hAnsi="Arial"/>
                <w:sz w:val="16"/>
                <w:szCs w:val="16"/>
                <w:b w:val="1"/>
                <w:bCs w:val="1"/>
                <w:color w:val="4D5357"/>
              </w:rPr>
              <w:t>C. Howard Nye</w:t>
            </w:r>
          </w:p>
        </w:tc>
        <w:tc>
          <w:tcPr>
            <w:tcW w:w="1940" w:type="dxa"/>
            <w:vAlign w:val="bottom"/>
          </w:tcPr>
          <w:p>
            <w:pPr>
              <w:ind w:left="620"/>
              <w:spacing w:after="0"/>
              <w:rPr>
                <w:sz w:val="20"/>
                <w:szCs w:val="20"/>
                <w:color w:val="auto"/>
              </w:rPr>
            </w:pPr>
            <w:r>
              <w:rPr>
                <w:rFonts w:ascii="Arial" w:cs="Arial" w:eastAsia="Arial" w:hAnsi="Arial"/>
                <w:sz w:val="16"/>
                <w:szCs w:val="16"/>
                <w:color w:val="4D5357"/>
              </w:rPr>
              <w:t>Pension Plan</w:t>
            </w:r>
          </w:p>
        </w:tc>
        <w:tc>
          <w:tcPr>
            <w:tcW w:w="2380" w:type="dxa"/>
            <w:vAlign w:val="bottom"/>
          </w:tcPr>
          <w:p>
            <w:pPr>
              <w:jc w:val="right"/>
              <w:ind w:right="939"/>
              <w:spacing w:after="0"/>
              <w:rPr>
                <w:sz w:val="20"/>
                <w:szCs w:val="20"/>
                <w:color w:val="auto"/>
              </w:rPr>
            </w:pPr>
            <w:r>
              <w:rPr>
                <w:rFonts w:ascii="Arial" w:cs="Arial" w:eastAsia="Arial" w:hAnsi="Arial"/>
                <w:sz w:val="16"/>
                <w:szCs w:val="16"/>
                <w:color w:val="4D5357"/>
              </w:rPr>
              <w:t>19.417</w:t>
            </w:r>
          </w:p>
        </w:tc>
        <w:tc>
          <w:tcPr>
            <w:tcW w:w="2620" w:type="dxa"/>
            <w:vAlign w:val="bottom"/>
          </w:tcPr>
          <w:p>
            <w:pPr>
              <w:jc w:val="right"/>
              <w:ind w:right="739"/>
              <w:spacing w:after="0"/>
              <w:rPr>
                <w:sz w:val="20"/>
                <w:szCs w:val="20"/>
                <w:color w:val="auto"/>
              </w:rPr>
            </w:pPr>
            <w:r>
              <w:rPr>
                <w:rFonts w:ascii="Arial" w:cs="Arial" w:eastAsia="Arial" w:hAnsi="Arial"/>
                <w:sz w:val="16"/>
                <w:szCs w:val="16"/>
                <w:color w:val="4D5357"/>
              </w:rPr>
              <w:t>1,040,163</w:t>
            </w:r>
          </w:p>
        </w:tc>
        <w:tc>
          <w:tcPr>
            <w:tcW w:w="1720" w:type="dxa"/>
            <w:vAlign w:val="bottom"/>
          </w:tcPr>
          <w:p>
            <w:pPr>
              <w:spacing w:after="0"/>
              <w:rPr>
                <w:sz w:val="21"/>
                <w:szCs w:val="21"/>
                <w:color w:val="auto"/>
              </w:rPr>
            </w:pPr>
          </w:p>
        </w:tc>
      </w:tr>
      <w:tr>
        <w:trPr>
          <w:trHeight w:val="218"/>
        </w:trPr>
        <w:tc>
          <w:tcPr>
            <w:tcW w:w="2360" w:type="dxa"/>
            <w:vAlign w:val="bottom"/>
            <w:tcBorders>
              <w:bottom w:val="single" w:sz="8" w:color="4D5357"/>
            </w:tcBorders>
          </w:tcPr>
          <w:p>
            <w:pPr>
              <w:spacing w:after="0"/>
              <w:rPr>
                <w:sz w:val="18"/>
                <w:szCs w:val="18"/>
                <w:color w:val="auto"/>
              </w:rPr>
            </w:pPr>
          </w:p>
        </w:tc>
        <w:tc>
          <w:tcPr>
            <w:tcW w:w="1940" w:type="dxa"/>
            <w:vAlign w:val="bottom"/>
            <w:tcBorders>
              <w:bottom w:val="single" w:sz="8" w:color="4D5357"/>
            </w:tcBorders>
          </w:tcPr>
          <w:p>
            <w:pPr>
              <w:ind w:left="620"/>
              <w:spacing w:after="0"/>
              <w:rPr>
                <w:sz w:val="20"/>
                <w:szCs w:val="20"/>
                <w:color w:val="auto"/>
              </w:rPr>
            </w:pPr>
            <w:r>
              <w:rPr>
                <w:rFonts w:ascii="Arial" w:cs="Arial" w:eastAsia="Arial" w:hAnsi="Arial"/>
                <w:sz w:val="16"/>
                <w:szCs w:val="16"/>
                <w:color w:val="4D5357"/>
              </w:rPr>
              <w:t>SERP</w:t>
            </w:r>
          </w:p>
        </w:tc>
        <w:tc>
          <w:tcPr>
            <w:tcW w:w="238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19.417</w:t>
            </w:r>
          </w:p>
        </w:tc>
        <w:tc>
          <w:tcPr>
            <w:tcW w:w="2620" w:type="dxa"/>
            <w:vAlign w:val="bottom"/>
            <w:tcBorders>
              <w:bottom w:val="single" w:sz="8" w:color="4D5357"/>
            </w:tcBorders>
          </w:tcPr>
          <w:p>
            <w:pPr>
              <w:jc w:val="right"/>
              <w:ind w:right="739"/>
              <w:spacing w:after="0"/>
              <w:rPr>
                <w:sz w:val="20"/>
                <w:szCs w:val="20"/>
                <w:color w:val="auto"/>
              </w:rPr>
            </w:pPr>
            <w:r>
              <w:rPr>
                <w:rFonts w:ascii="Arial" w:cs="Arial" w:eastAsia="Arial" w:hAnsi="Arial"/>
                <w:sz w:val="16"/>
                <w:szCs w:val="16"/>
                <w:color w:val="4D5357"/>
              </w:rPr>
              <w:t>26,034,077</w:t>
            </w:r>
          </w:p>
        </w:tc>
        <w:tc>
          <w:tcPr>
            <w:tcW w:w="1720" w:type="dxa"/>
            <w:vAlign w:val="bottom"/>
            <w:tcBorders>
              <w:bottom w:val="single" w:sz="8" w:color="4D5357"/>
            </w:tcBorders>
          </w:tcPr>
          <w:p>
            <w:pPr>
              <w:spacing w:after="0"/>
              <w:rPr>
                <w:sz w:val="18"/>
                <w:szCs w:val="18"/>
                <w:color w:val="auto"/>
              </w:rPr>
            </w:pPr>
          </w:p>
        </w:tc>
      </w:tr>
      <w:tr>
        <w:trPr>
          <w:trHeight w:val="248"/>
        </w:trPr>
        <w:tc>
          <w:tcPr>
            <w:tcW w:w="2360" w:type="dxa"/>
            <w:vAlign w:val="bottom"/>
          </w:tcPr>
          <w:p>
            <w:pPr>
              <w:ind w:left="60"/>
              <w:spacing w:after="0"/>
              <w:rPr>
                <w:sz w:val="20"/>
                <w:szCs w:val="20"/>
                <w:color w:val="auto"/>
              </w:rPr>
            </w:pPr>
            <w:r>
              <w:rPr>
                <w:rFonts w:ascii="Arial" w:cs="Arial" w:eastAsia="Arial" w:hAnsi="Arial"/>
                <w:sz w:val="16"/>
                <w:szCs w:val="16"/>
                <w:b w:val="1"/>
                <w:bCs w:val="1"/>
                <w:color w:val="4D5357"/>
              </w:rPr>
              <w:t>Michael J. Petro</w:t>
            </w:r>
          </w:p>
        </w:tc>
        <w:tc>
          <w:tcPr>
            <w:tcW w:w="1940" w:type="dxa"/>
            <w:vAlign w:val="bottom"/>
          </w:tcPr>
          <w:p>
            <w:pPr>
              <w:ind w:left="620"/>
              <w:spacing w:after="0"/>
              <w:rPr>
                <w:sz w:val="20"/>
                <w:szCs w:val="20"/>
                <w:color w:val="auto"/>
              </w:rPr>
            </w:pPr>
            <w:r>
              <w:rPr>
                <w:rFonts w:ascii="Arial" w:cs="Arial" w:eastAsia="Arial" w:hAnsi="Arial"/>
                <w:sz w:val="16"/>
                <w:szCs w:val="16"/>
                <w:color w:val="4D5357"/>
              </w:rPr>
              <w:t>Pension Plan</w:t>
            </w:r>
          </w:p>
        </w:tc>
        <w:tc>
          <w:tcPr>
            <w:tcW w:w="2380" w:type="dxa"/>
            <w:vAlign w:val="bottom"/>
          </w:tcPr>
          <w:p>
            <w:pPr>
              <w:jc w:val="right"/>
              <w:ind w:right="939"/>
              <w:spacing w:after="0"/>
              <w:rPr>
                <w:sz w:val="20"/>
                <w:szCs w:val="20"/>
                <w:color w:val="auto"/>
              </w:rPr>
            </w:pPr>
            <w:r>
              <w:rPr>
                <w:rFonts w:ascii="Arial" w:cs="Arial" w:eastAsia="Arial" w:hAnsi="Arial"/>
                <w:sz w:val="16"/>
                <w:szCs w:val="16"/>
                <w:color w:val="4D5357"/>
              </w:rPr>
              <w:t>10.167</w:t>
            </w:r>
          </w:p>
        </w:tc>
        <w:tc>
          <w:tcPr>
            <w:tcW w:w="2620" w:type="dxa"/>
            <w:vAlign w:val="bottom"/>
          </w:tcPr>
          <w:p>
            <w:pPr>
              <w:jc w:val="right"/>
              <w:ind w:right="739"/>
              <w:spacing w:after="0"/>
              <w:rPr>
                <w:sz w:val="20"/>
                <w:szCs w:val="20"/>
                <w:color w:val="auto"/>
              </w:rPr>
            </w:pPr>
            <w:r>
              <w:rPr>
                <w:rFonts w:ascii="Arial" w:cs="Arial" w:eastAsia="Arial" w:hAnsi="Arial"/>
                <w:sz w:val="16"/>
                <w:szCs w:val="16"/>
                <w:color w:val="4D5357"/>
              </w:rPr>
              <w:t>168,767</w:t>
            </w:r>
          </w:p>
        </w:tc>
        <w:tc>
          <w:tcPr>
            <w:tcW w:w="1720" w:type="dxa"/>
            <w:vAlign w:val="bottom"/>
          </w:tcPr>
          <w:p>
            <w:pPr>
              <w:spacing w:after="0"/>
              <w:rPr>
                <w:sz w:val="21"/>
                <w:szCs w:val="21"/>
                <w:color w:val="auto"/>
              </w:rPr>
            </w:pPr>
          </w:p>
        </w:tc>
      </w:tr>
      <w:tr>
        <w:trPr>
          <w:trHeight w:val="218"/>
        </w:trPr>
        <w:tc>
          <w:tcPr>
            <w:tcW w:w="2360" w:type="dxa"/>
            <w:vAlign w:val="bottom"/>
            <w:tcBorders>
              <w:bottom w:val="single" w:sz="8" w:color="4D5357"/>
            </w:tcBorders>
          </w:tcPr>
          <w:p>
            <w:pPr>
              <w:spacing w:after="0"/>
              <w:rPr>
                <w:sz w:val="18"/>
                <w:szCs w:val="18"/>
                <w:color w:val="auto"/>
              </w:rPr>
            </w:pPr>
          </w:p>
        </w:tc>
        <w:tc>
          <w:tcPr>
            <w:tcW w:w="1940" w:type="dxa"/>
            <w:vAlign w:val="bottom"/>
            <w:tcBorders>
              <w:bottom w:val="single" w:sz="8" w:color="4D5357"/>
            </w:tcBorders>
          </w:tcPr>
          <w:p>
            <w:pPr>
              <w:ind w:left="620"/>
              <w:spacing w:after="0"/>
              <w:rPr>
                <w:sz w:val="20"/>
                <w:szCs w:val="20"/>
                <w:color w:val="auto"/>
              </w:rPr>
            </w:pPr>
            <w:r>
              <w:rPr>
                <w:rFonts w:ascii="Arial" w:cs="Arial" w:eastAsia="Arial" w:hAnsi="Arial"/>
                <w:sz w:val="16"/>
                <w:szCs w:val="16"/>
                <w:color w:val="4D5357"/>
              </w:rPr>
              <w:t>SERP</w:t>
            </w:r>
          </w:p>
        </w:tc>
        <w:tc>
          <w:tcPr>
            <w:tcW w:w="238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10.167</w:t>
            </w:r>
          </w:p>
        </w:tc>
        <w:tc>
          <w:tcPr>
            <w:tcW w:w="2620" w:type="dxa"/>
            <w:vAlign w:val="bottom"/>
            <w:tcBorders>
              <w:bottom w:val="single" w:sz="8" w:color="4D5357"/>
            </w:tcBorders>
          </w:tcPr>
          <w:p>
            <w:pPr>
              <w:jc w:val="right"/>
              <w:ind w:right="739"/>
              <w:spacing w:after="0"/>
              <w:rPr>
                <w:sz w:val="20"/>
                <w:szCs w:val="20"/>
                <w:color w:val="auto"/>
              </w:rPr>
            </w:pPr>
            <w:r>
              <w:rPr>
                <w:rFonts w:ascii="Arial" w:cs="Arial" w:eastAsia="Arial" w:hAnsi="Arial"/>
                <w:sz w:val="16"/>
                <w:szCs w:val="16"/>
                <w:color w:val="4D5357"/>
              </w:rPr>
              <w:t>544,649</w:t>
            </w:r>
          </w:p>
        </w:tc>
        <w:tc>
          <w:tcPr>
            <w:tcW w:w="1720" w:type="dxa"/>
            <w:vAlign w:val="bottom"/>
            <w:tcBorders>
              <w:bottom w:val="single" w:sz="8" w:color="4D5357"/>
            </w:tcBorders>
          </w:tcPr>
          <w:p>
            <w:pPr>
              <w:spacing w:after="0"/>
              <w:rPr>
                <w:sz w:val="18"/>
                <w:szCs w:val="18"/>
                <w:color w:val="auto"/>
              </w:rPr>
            </w:pPr>
          </w:p>
        </w:tc>
      </w:tr>
      <w:tr>
        <w:trPr>
          <w:trHeight w:val="248"/>
        </w:trPr>
        <w:tc>
          <w:tcPr>
            <w:tcW w:w="2360" w:type="dxa"/>
            <w:vAlign w:val="bottom"/>
          </w:tcPr>
          <w:p>
            <w:pPr>
              <w:ind w:left="60"/>
              <w:spacing w:after="0"/>
              <w:rPr>
                <w:sz w:val="20"/>
                <w:szCs w:val="20"/>
                <w:color w:val="auto"/>
              </w:rPr>
            </w:pPr>
            <w:r>
              <w:rPr>
                <w:rFonts w:ascii="Arial" w:cs="Arial" w:eastAsia="Arial" w:hAnsi="Arial"/>
                <w:sz w:val="16"/>
                <w:szCs w:val="16"/>
                <w:b w:val="1"/>
                <w:bCs w:val="1"/>
                <w:color w:val="4D5357"/>
              </w:rPr>
              <w:t>Robert J. Cardin</w:t>
            </w:r>
          </w:p>
        </w:tc>
        <w:tc>
          <w:tcPr>
            <w:tcW w:w="1940" w:type="dxa"/>
            <w:vAlign w:val="bottom"/>
          </w:tcPr>
          <w:p>
            <w:pPr>
              <w:ind w:left="620"/>
              <w:spacing w:after="0"/>
              <w:rPr>
                <w:sz w:val="20"/>
                <w:szCs w:val="20"/>
                <w:color w:val="auto"/>
              </w:rPr>
            </w:pPr>
            <w:r>
              <w:rPr>
                <w:rFonts w:ascii="Arial" w:cs="Arial" w:eastAsia="Arial" w:hAnsi="Arial"/>
                <w:sz w:val="16"/>
                <w:szCs w:val="16"/>
                <w:color w:val="4D5357"/>
              </w:rPr>
              <w:t>Pension Plan</w:t>
            </w:r>
          </w:p>
        </w:tc>
        <w:tc>
          <w:tcPr>
            <w:tcW w:w="2380" w:type="dxa"/>
            <w:vAlign w:val="bottom"/>
          </w:tcPr>
          <w:p>
            <w:pPr>
              <w:jc w:val="right"/>
              <w:ind w:right="939"/>
              <w:spacing w:after="0"/>
              <w:rPr>
                <w:sz w:val="20"/>
                <w:szCs w:val="20"/>
                <w:color w:val="auto"/>
              </w:rPr>
            </w:pPr>
            <w:r>
              <w:rPr>
                <w:rFonts w:ascii="Arial" w:cs="Arial" w:eastAsia="Arial" w:hAnsi="Arial"/>
                <w:sz w:val="16"/>
                <w:szCs w:val="16"/>
                <w:color w:val="4D5357"/>
              </w:rPr>
              <w:t>6.833</w:t>
            </w:r>
          </w:p>
        </w:tc>
        <w:tc>
          <w:tcPr>
            <w:tcW w:w="2620" w:type="dxa"/>
            <w:vAlign w:val="bottom"/>
          </w:tcPr>
          <w:p>
            <w:pPr>
              <w:jc w:val="right"/>
              <w:ind w:right="739"/>
              <w:spacing w:after="0"/>
              <w:rPr>
                <w:sz w:val="20"/>
                <w:szCs w:val="20"/>
                <w:color w:val="auto"/>
              </w:rPr>
            </w:pPr>
            <w:r>
              <w:rPr>
                <w:rFonts w:ascii="Arial" w:cs="Arial" w:eastAsia="Arial" w:hAnsi="Arial"/>
                <w:sz w:val="16"/>
                <w:szCs w:val="16"/>
                <w:color w:val="4D5357"/>
              </w:rPr>
              <w:t>368,522</w:t>
            </w:r>
          </w:p>
        </w:tc>
        <w:tc>
          <w:tcPr>
            <w:tcW w:w="1720" w:type="dxa"/>
            <w:vAlign w:val="bottom"/>
          </w:tcPr>
          <w:p>
            <w:pPr>
              <w:spacing w:after="0"/>
              <w:rPr>
                <w:sz w:val="21"/>
                <w:szCs w:val="21"/>
                <w:color w:val="auto"/>
              </w:rPr>
            </w:pPr>
          </w:p>
        </w:tc>
      </w:tr>
      <w:tr>
        <w:trPr>
          <w:trHeight w:val="218"/>
        </w:trPr>
        <w:tc>
          <w:tcPr>
            <w:tcW w:w="2360" w:type="dxa"/>
            <w:vAlign w:val="bottom"/>
            <w:tcBorders>
              <w:bottom w:val="single" w:sz="8" w:color="4D5357"/>
            </w:tcBorders>
          </w:tcPr>
          <w:p>
            <w:pPr>
              <w:spacing w:after="0"/>
              <w:rPr>
                <w:sz w:val="18"/>
                <w:szCs w:val="18"/>
                <w:color w:val="auto"/>
              </w:rPr>
            </w:pPr>
          </w:p>
        </w:tc>
        <w:tc>
          <w:tcPr>
            <w:tcW w:w="1940" w:type="dxa"/>
            <w:vAlign w:val="bottom"/>
            <w:tcBorders>
              <w:bottom w:val="single" w:sz="8" w:color="4D5357"/>
            </w:tcBorders>
          </w:tcPr>
          <w:p>
            <w:pPr>
              <w:ind w:left="620"/>
              <w:spacing w:after="0"/>
              <w:rPr>
                <w:sz w:val="20"/>
                <w:szCs w:val="20"/>
                <w:color w:val="auto"/>
              </w:rPr>
            </w:pPr>
            <w:r>
              <w:rPr>
                <w:rFonts w:ascii="Arial" w:cs="Arial" w:eastAsia="Arial" w:hAnsi="Arial"/>
                <w:sz w:val="16"/>
                <w:szCs w:val="16"/>
                <w:color w:val="4D5357"/>
              </w:rPr>
              <w:t>SERP</w:t>
            </w:r>
          </w:p>
        </w:tc>
        <w:tc>
          <w:tcPr>
            <w:tcW w:w="238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6.833</w:t>
            </w:r>
          </w:p>
        </w:tc>
        <w:tc>
          <w:tcPr>
            <w:tcW w:w="2620" w:type="dxa"/>
            <w:vAlign w:val="bottom"/>
            <w:tcBorders>
              <w:bottom w:val="single" w:sz="8" w:color="4D5357"/>
            </w:tcBorders>
          </w:tcPr>
          <w:p>
            <w:pPr>
              <w:jc w:val="right"/>
              <w:ind w:right="739"/>
              <w:spacing w:after="0"/>
              <w:rPr>
                <w:sz w:val="20"/>
                <w:szCs w:val="20"/>
                <w:color w:val="auto"/>
              </w:rPr>
            </w:pPr>
            <w:r>
              <w:rPr>
                <w:rFonts w:ascii="Arial" w:cs="Arial" w:eastAsia="Arial" w:hAnsi="Arial"/>
                <w:sz w:val="16"/>
                <w:szCs w:val="16"/>
                <w:color w:val="4D5357"/>
              </w:rPr>
              <w:t>1,500,296</w:t>
            </w:r>
          </w:p>
        </w:tc>
        <w:tc>
          <w:tcPr>
            <w:tcW w:w="1720" w:type="dxa"/>
            <w:vAlign w:val="bottom"/>
            <w:tcBorders>
              <w:bottom w:val="single" w:sz="8" w:color="4D5357"/>
            </w:tcBorders>
          </w:tcPr>
          <w:p>
            <w:pPr>
              <w:spacing w:after="0"/>
              <w:rPr>
                <w:sz w:val="18"/>
                <w:szCs w:val="18"/>
                <w:color w:val="auto"/>
              </w:rPr>
            </w:pPr>
          </w:p>
        </w:tc>
      </w:tr>
      <w:tr>
        <w:trPr>
          <w:trHeight w:val="222"/>
        </w:trPr>
        <w:tc>
          <w:tcPr>
            <w:tcW w:w="2360" w:type="dxa"/>
            <w:vAlign w:val="bottom"/>
          </w:tcPr>
          <w:p>
            <w:pPr>
              <w:ind w:left="60"/>
              <w:spacing w:after="0" w:line="222" w:lineRule="exact"/>
              <w:rPr>
                <w:sz w:val="20"/>
                <w:szCs w:val="20"/>
                <w:color w:val="auto"/>
              </w:rPr>
            </w:pPr>
            <w:r>
              <w:rPr>
                <w:rFonts w:ascii="Arial" w:cs="Arial" w:eastAsia="Arial" w:hAnsi="Arial"/>
                <w:sz w:val="16"/>
                <w:szCs w:val="16"/>
                <w:b w:val="1"/>
                <w:bCs w:val="1"/>
                <w:color w:val="4D5357"/>
              </w:rPr>
              <w:t>James A. J. Nickolas</w:t>
            </w:r>
            <w:r>
              <w:rPr>
                <w:rFonts w:ascii="Arial" w:cs="Arial" w:eastAsia="Arial" w:hAnsi="Arial"/>
                <w:sz w:val="24"/>
                <w:szCs w:val="24"/>
                <w:b w:val="1"/>
                <w:bCs w:val="1"/>
                <w:color w:val="4D5357"/>
                <w:vertAlign w:val="superscript"/>
              </w:rPr>
              <w:t>2</w:t>
            </w:r>
          </w:p>
        </w:tc>
        <w:tc>
          <w:tcPr>
            <w:tcW w:w="1940" w:type="dxa"/>
            <w:vAlign w:val="bottom"/>
          </w:tcPr>
          <w:p>
            <w:pPr>
              <w:ind w:left="620"/>
              <w:spacing w:after="0"/>
              <w:rPr>
                <w:sz w:val="20"/>
                <w:szCs w:val="20"/>
                <w:color w:val="auto"/>
              </w:rPr>
            </w:pPr>
            <w:r>
              <w:rPr>
                <w:rFonts w:ascii="Arial" w:cs="Arial" w:eastAsia="Arial" w:hAnsi="Arial"/>
                <w:sz w:val="16"/>
                <w:szCs w:val="16"/>
                <w:color w:val="4D5357"/>
              </w:rPr>
              <w:t>Pension Plan</w:t>
            </w:r>
          </w:p>
        </w:tc>
        <w:tc>
          <w:tcPr>
            <w:tcW w:w="2380" w:type="dxa"/>
            <w:vAlign w:val="bottom"/>
          </w:tcPr>
          <w:p>
            <w:pPr>
              <w:jc w:val="right"/>
              <w:ind w:right="939"/>
              <w:spacing w:after="0"/>
              <w:rPr>
                <w:sz w:val="20"/>
                <w:szCs w:val="20"/>
                <w:color w:val="auto"/>
              </w:rPr>
            </w:pPr>
            <w:r>
              <w:rPr>
                <w:rFonts w:ascii="Arial" w:cs="Arial" w:eastAsia="Arial" w:hAnsi="Arial"/>
                <w:sz w:val="16"/>
                <w:szCs w:val="16"/>
                <w:color w:val="4D5357"/>
              </w:rPr>
              <w:t>7.750</w:t>
            </w:r>
          </w:p>
        </w:tc>
        <w:tc>
          <w:tcPr>
            <w:tcW w:w="2620" w:type="dxa"/>
            <w:vAlign w:val="bottom"/>
          </w:tcPr>
          <w:p>
            <w:pPr>
              <w:jc w:val="right"/>
              <w:ind w:right="739"/>
              <w:spacing w:after="0"/>
              <w:rPr>
                <w:sz w:val="20"/>
                <w:szCs w:val="20"/>
                <w:color w:val="auto"/>
              </w:rPr>
            </w:pPr>
            <w:r>
              <w:rPr>
                <w:rFonts w:ascii="Arial" w:cs="Arial" w:eastAsia="Arial" w:hAnsi="Arial"/>
                <w:sz w:val="16"/>
                <w:szCs w:val="16"/>
                <w:color w:val="4D5357"/>
              </w:rPr>
              <w:t>213,032</w:t>
            </w:r>
          </w:p>
        </w:tc>
        <w:tc>
          <w:tcPr>
            <w:tcW w:w="1720" w:type="dxa"/>
            <w:vAlign w:val="bottom"/>
          </w:tcPr>
          <w:p>
            <w:pPr>
              <w:spacing w:after="0"/>
              <w:rPr>
                <w:sz w:val="19"/>
                <w:szCs w:val="19"/>
                <w:color w:val="auto"/>
              </w:rPr>
            </w:pPr>
          </w:p>
        </w:tc>
      </w:tr>
      <w:tr>
        <w:trPr>
          <w:trHeight w:val="203"/>
        </w:trPr>
        <w:tc>
          <w:tcPr>
            <w:tcW w:w="2360" w:type="dxa"/>
            <w:vAlign w:val="bottom"/>
            <w:tcBorders>
              <w:bottom w:val="single" w:sz="8" w:color="4D5357"/>
            </w:tcBorders>
          </w:tcPr>
          <w:p>
            <w:pPr>
              <w:spacing w:after="0"/>
              <w:rPr>
                <w:sz w:val="17"/>
                <w:szCs w:val="17"/>
                <w:color w:val="auto"/>
              </w:rPr>
            </w:pPr>
          </w:p>
        </w:tc>
        <w:tc>
          <w:tcPr>
            <w:tcW w:w="1940" w:type="dxa"/>
            <w:vAlign w:val="bottom"/>
            <w:tcBorders>
              <w:bottom w:val="single" w:sz="8" w:color="4D5357"/>
            </w:tcBorders>
          </w:tcPr>
          <w:p>
            <w:pPr>
              <w:ind w:left="620"/>
              <w:spacing w:after="0"/>
              <w:rPr>
                <w:sz w:val="20"/>
                <w:szCs w:val="20"/>
                <w:color w:val="auto"/>
              </w:rPr>
            </w:pPr>
            <w:r>
              <w:rPr>
                <w:rFonts w:ascii="Arial" w:cs="Arial" w:eastAsia="Arial" w:hAnsi="Arial"/>
                <w:sz w:val="16"/>
                <w:szCs w:val="16"/>
                <w:color w:val="4D5357"/>
              </w:rPr>
              <w:t>SERP</w:t>
            </w:r>
          </w:p>
        </w:tc>
        <w:tc>
          <w:tcPr>
            <w:tcW w:w="238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7.750</w:t>
            </w:r>
          </w:p>
        </w:tc>
        <w:tc>
          <w:tcPr>
            <w:tcW w:w="2620" w:type="dxa"/>
            <w:vAlign w:val="bottom"/>
            <w:tcBorders>
              <w:bottom w:val="single" w:sz="8" w:color="4D5357"/>
            </w:tcBorders>
          </w:tcPr>
          <w:p>
            <w:pPr>
              <w:jc w:val="right"/>
              <w:ind w:right="739"/>
              <w:spacing w:after="0"/>
              <w:rPr>
                <w:sz w:val="20"/>
                <w:szCs w:val="20"/>
                <w:color w:val="auto"/>
              </w:rPr>
            </w:pPr>
            <w:r>
              <w:rPr>
                <w:rFonts w:ascii="Arial" w:cs="Arial" w:eastAsia="Arial" w:hAnsi="Arial"/>
                <w:sz w:val="16"/>
                <w:szCs w:val="16"/>
                <w:color w:val="4D5357"/>
              </w:rPr>
              <w:t>—</w:t>
            </w:r>
          </w:p>
        </w:tc>
        <w:tc>
          <w:tcPr>
            <w:tcW w:w="17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2,006,224</w:t>
            </w:r>
          </w:p>
        </w:tc>
      </w:tr>
      <w:tr>
        <w:trPr>
          <w:trHeight w:val="248"/>
        </w:trPr>
        <w:tc>
          <w:tcPr>
            <w:tcW w:w="2360" w:type="dxa"/>
            <w:vAlign w:val="bottom"/>
          </w:tcPr>
          <w:p>
            <w:pPr>
              <w:ind w:left="60"/>
              <w:spacing w:after="0"/>
              <w:rPr>
                <w:sz w:val="20"/>
                <w:szCs w:val="20"/>
                <w:color w:val="auto"/>
              </w:rPr>
            </w:pPr>
            <w:r>
              <w:rPr>
                <w:rFonts w:ascii="Arial" w:cs="Arial" w:eastAsia="Arial" w:hAnsi="Arial"/>
                <w:sz w:val="16"/>
                <w:szCs w:val="16"/>
                <w:b w:val="1"/>
                <w:bCs w:val="1"/>
                <w:color w:val="4D5357"/>
              </w:rPr>
              <w:t>Donald A. McCunniff</w:t>
            </w:r>
          </w:p>
        </w:tc>
        <w:tc>
          <w:tcPr>
            <w:tcW w:w="1940" w:type="dxa"/>
            <w:vAlign w:val="bottom"/>
          </w:tcPr>
          <w:p>
            <w:pPr>
              <w:ind w:left="620"/>
              <w:spacing w:after="0"/>
              <w:rPr>
                <w:sz w:val="20"/>
                <w:szCs w:val="20"/>
                <w:color w:val="auto"/>
              </w:rPr>
            </w:pPr>
            <w:r>
              <w:rPr>
                <w:rFonts w:ascii="Arial" w:cs="Arial" w:eastAsia="Arial" w:hAnsi="Arial"/>
                <w:sz w:val="16"/>
                <w:szCs w:val="16"/>
                <w:color w:val="4D5357"/>
              </w:rPr>
              <w:t>Pension Plan</w:t>
            </w:r>
          </w:p>
        </w:tc>
        <w:tc>
          <w:tcPr>
            <w:tcW w:w="2380" w:type="dxa"/>
            <w:vAlign w:val="bottom"/>
          </w:tcPr>
          <w:p>
            <w:pPr>
              <w:jc w:val="right"/>
              <w:ind w:right="939"/>
              <w:spacing w:after="0"/>
              <w:rPr>
                <w:sz w:val="20"/>
                <w:szCs w:val="20"/>
                <w:color w:val="auto"/>
              </w:rPr>
            </w:pPr>
            <w:r>
              <w:rPr>
                <w:rFonts w:ascii="Arial" w:cs="Arial" w:eastAsia="Arial" w:hAnsi="Arial"/>
                <w:sz w:val="16"/>
                <w:szCs w:val="16"/>
                <w:color w:val="4D5357"/>
              </w:rPr>
              <w:t>9.417</w:t>
            </w:r>
          </w:p>
        </w:tc>
        <w:tc>
          <w:tcPr>
            <w:tcW w:w="2620" w:type="dxa"/>
            <w:vAlign w:val="bottom"/>
          </w:tcPr>
          <w:p>
            <w:pPr>
              <w:jc w:val="right"/>
              <w:ind w:right="739"/>
              <w:spacing w:after="0"/>
              <w:rPr>
                <w:sz w:val="20"/>
                <w:szCs w:val="20"/>
                <w:color w:val="auto"/>
              </w:rPr>
            </w:pPr>
            <w:r>
              <w:rPr>
                <w:rFonts w:ascii="Arial" w:cs="Arial" w:eastAsia="Arial" w:hAnsi="Arial"/>
                <w:sz w:val="16"/>
                <w:szCs w:val="16"/>
                <w:color w:val="4D5357"/>
              </w:rPr>
              <w:t>331,258</w:t>
            </w:r>
          </w:p>
        </w:tc>
        <w:tc>
          <w:tcPr>
            <w:tcW w:w="1720" w:type="dxa"/>
            <w:vAlign w:val="bottom"/>
          </w:tcPr>
          <w:p>
            <w:pPr>
              <w:spacing w:after="0"/>
              <w:rPr>
                <w:sz w:val="21"/>
                <w:szCs w:val="21"/>
                <w:color w:val="auto"/>
              </w:rPr>
            </w:pPr>
          </w:p>
        </w:tc>
      </w:tr>
      <w:tr>
        <w:trPr>
          <w:trHeight w:val="218"/>
        </w:trPr>
        <w:tc>
          <w:tcPr>
            <w:tcW w:w="2360" w:type="dxa"/>
            <w:vAlign w:val="bottom"/>
            <w:tcBorders>
              <w:bottom w:val="single" w:sz="8" w:color="4D5357"/>
            </w:tcBorders>
          </w:tcPr>
          <w:p>
            <w:pPr>
              <w:spacing w:after="0"/>
              <w:rPr>
                <w:sz w:val="18"/>
                <w:szCs w:val="18"/>
                <w:color w:val="auto"/>
              </w:rPr>
            </w:pPr>
          </w:p>
        </w:tc>
        <w:tc>
          <w:tcPr>
            <w:tcW w:w="1940" w:type="dxa"/>
            <w:vAlign w:val="bottom"/>
            <w:tcBorders>
              <w:bottom w:val="single" w:sz="8" w:color="4D5357"/>
            </w:tcBorders>
          </w:tcPr>
          <w:p>
            <w:pPr>
              <w:ind w:left="620"/>
              <w:spacing w:after="0"/>
              <w:rPr>
                <w:sz w:val="20"/>
                <w:szCs w:val="20"/>
                <w:color w:val="auto"/>
              </w:rPr>
            </w:pPr>
            <w:r>
              <w:rPr>
                <w:rFonts w:ascii="Arial" w:cs="Arial" w:eastAsia="Arial" w:hAnsi="Arial"/>
                <w:sz w:val="16"/>
                <w:szCs w:val="16"/>
                <w:color w:val="4D5357"/>
              </w:rPr>
              <w:t>SERP</w:t>
            </w:r>
          </w:p>
        </w:tc>
        <w:tc>
          <w:tcPr>
            <w:tcW w:w="238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9.417</w:t>
            </w:r>
          </w:p>
        </w:tc>
        <w:tc>
          <w:tcPr>
            <w:tcW w:w="2620" w:type="dxa"/>
            <w:vAlign w:val="bottom"/>
            <w:tcBorders>
              <w:bottom w:val="single" w:sz="8" w:color="4D5357"/>
            </w:tcBorders>
          </w:tcPr>
          <w:p>
            <w:pPr>
              <w:jc w:val="right"/>
              <w:ind w:right="739"/>
              <w:spacing w:after="0"/>
              <w:rPr>
                <w:sz w:val="20"/>
                <w:szCs w:val="20"/>
                <w:color w:val="auto"/>
              </w:rPr>
            </w:pPr>
            <w:r>
              <w:rPr>
                <w:rFonts w:ascii="Arial" w:cs="Arial" w:eastAsia="Arial" w:hAnsi="Arial"/>
                <w:sz w:val="16"/>
                <w:szCs w:val="16"/>
                <w:color w:val="4D5357"/>
              </w:rPr>
              <w:t>65,480</w:t>
            </w:r>
          </w:p>
        </w:tc>
        <w:tc>
          <w:tcPr>
            <w:tcW w:w="1720" w:type="dxa"/>
            <w:vAlign w:val="bottom"/>
            <w:tcBorders>
              <w:bottom w:val="single" w:sz="8" w:color="4D5357"/>
            </w:tcBorders>
          </w:tcPr>
          <w:p>
            <w:pPr>
              <w:spacing w:after="0"/>
              <w:rPr>
                <w:sz w:val="18"/>
                <w:szCs w:val="18"/>
                <w:color w:val="auto"/>
              </w:rPr>
            </w:pPr>
          </w:p>
        </w:tc>
      </w:tr>
      <w:tr>
        <w:trPr>
          <w:trHeight w:val="248"/>
        </w:trPr>
        <w:tc>
          <w:tcPr>
            <w:tcW w:w="2360" w:type="dxa"/>
            <w:vAlign w:val="bottom"/>
          </w:tcPr>
          <w:p>
            <w:pPr>
              <w:ind w:left="60"/>
              <w:spacing w:after="0"/>
              <w:rPr>
                <w:sz w:val="20"/>
                <w:szCs w:val="20"/>
                <w:color w:val="auto"/>
              </w:rPr>
            </w:pPr>
            <w:r>
              <w:rPr>
                <w:rFonts w:ascii="Arial" w:cs="Arial" w:eastAsia="Arial" w:hAnsi="Arial"/>
                <w:sz w:val="16"/>
                <w:szCs w:val="16"/>
                <w:b w:val="1"/>
                <w:bCs w:val="1"/>
                <w:color w:val="4D5357"/>
              </w:rPr>
              <w:t>Jason P. Flynn</w:t>
            </w:r>
          </w:p>
        </w:tc>
        <w:tc>
          <w:tcPr>
            <w:tcW w:w="1940" w:type="dxa"/>
            <w:vAlign w:val="bottom"/>
          </w:tcPr>
          <w:p>
            <w:pPr>
              <w:ind w:left="620"/>
              <w:spacing w:after="0"/>
              <w:rPr>
                <w:sz w:val="20"/>
                <w:szCs w:val="20"/>
                <w:color w:val="auto"/>
              </w:rPr>
            </w:pPr>
            <w:r>
              <w:rPr>
                <w:rFonts w:ascii="Arial" w:cs="Arial" w:eastAsia="Arial" w:hAnsi="Arial"/>
                <w:sz w:val="16"/>
                <w:szCs w:val="16"/>
                <w:color w:val="4D5357"/>
              </w:rPr>
              <w:t>Pension Plan</w:t>
            </w:r>
          </w:p>
        </w:tc>
        <w:tc>
          <w:tcPr>
            <w:tcW w:w="2380" w:type="dxa"/>
            <w:vAlign w:val="bottom"/>
          </w:tcPr>
          <w:p>
            <w:pPr>
              <w:jc w:val="right"/>
              <w:ind w:right="939"/>
              <w:spacing w:after="0"/>
              <w:rPr>
                <w:sz w:val="20"/>
                <w:szCs w:val="20"/>
                <w:color w:val="auto"/>
              </w:rPr>
            </w:pPr>
            <w:r>
              <w:rPr>
                <w:rFonts w:ascii="Arial" w:cs="Arial" w:eastAsia="Arial" w:hAnsi="Arial"/>
                <w:sz w:val="16"/>
                <w:szCs w:val="16"/>
                <w:color w:val="4D5357"/>
              </w:rPr>
              <w:t>5.750</w:t>
            </w:r>
          </w:p>
        </w:tc>
        <w:tc>
          <w:tcPr>
            <w:tcW w:w="2620" w:type="dxa"/>
            <w:vAlign w:val="bottom"/>
          </w:tcPr>
          <w:p>
            <w:pPr>
              <w:jc w:val="right"/>
              <w:ind w:right="739"/>
              <w:spacing w:after="0"/>
              <w:rPr>
                <w:sz w:val="20"/>
                <w:szCs w:val="20"/>
                <w:color w:val="auto"/>
              </w:rPr>
            </w:pPr>
            <w:r>
              <w:rPr>
                <w:rFonts w:ascii="Arial" w:cs="Arial" w:eastAsia="Arial" w:hAnsi="Arial"/>
                <w:sz w:val="16"/>
                <w:szCs w:val="16"/>
                <w:color w:val="4D5357"/>
              </w:rPr>
              <w:t>109,826</w:t>
            </w:r>
          </w:p>
        </w:tc>
        <w:tc>
          <w:tcPr>
            <w:tcW w:w="1720" w:type="dxa"/>
            <w:vAlign w:val="bottom"/>
          </w:tcPr>
          <w:p>
            <w:pPr>
              <w:spacing w:after="0"/>
              <w:rPr>
                <w:sz w:val="21"/>
                <w:szCs w:val="21"/>
                <w:color w:val="auto"/>
              </w:rPr>
            </w:pPr>
          </w:p>
        </w:tc>
      </w:tr>
      <w:tr>
        <w:trPr>
          <w:trHeight w:val="218"/>
        </w:trPr>
        <w:tc>
          <w:tcPr>
            <w:tcW w:w="2360" w:type="dxa"/>
            <w:vAlign w:val="bottom"/>
            <w:tcBorders>
              <w:bottom w:val="single" w:sz="8" w:color="4D5357"/>
            </w:tcBorders>
          </w:tcPr>
          <w:p>
            <w:pPr>
              <w:spacing w:after="0"/>
              <w:rPr>
                <w:sz w:val="18"/>
                <w:szCs w:val="18"/>
                <w:color w:val="auto"/>
              </w:rPr>
            </w:pPr>
          </w:p>
        </w:tc>
        <w:tc>
          <w:tcPr>
            <w:tcW w:w="1940" w:type="dxa"/>
            <w:vAlign w:val="bottom"/>
            <w:tcBorders>
              <w:bottom w:val="single" w:sz="8" w:color="4D5357"/>
            </w:tcBorders>
          </w:tcPr>
          <w:p>
            <w:pPr>
              <w:ind w:left="620"/>
              <w:spacing w:after="0"/>
              <w:rPr>
                <w:sz w:val="20"/>
                <w:szCs w:val="20"/>
                <w:color w:val="auto"/>
              </w:rPr>
            </w:pPr>
            <w:r>
              <w:rPr>
                <w:rFonts w:ascii="Arial" w:cs="Arial" w:eastAsia="Arial" w:hAnsi="Arial"/>
                <w:sz w:val="16"/>
                <w:szCs w:val="16"/>
                <w:color w:val="4D5357"/>
              </w:rPr>
              <w:t>SERP</w:t>
            </w:r>
          </w:p>
        </w:tc>
        <w:tc>
          <w:tcPr>
            <w:tcW w:w="238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5.750</w:t>
            </w:r>
          </w:p>
        </w:tc>
        <w:tc>
          <w:tcPr>
            <w:tcW w:w="2620" w:type="dxa"/>
            <w:vAlign w:val="bottom"/>
            <w:tcBorders>
              <w:bottom w:val="single" w:sz="8" w:color="4D5357"/>
            </w:tcBorders>
          </w:tcPr>
          <w:p>
            <w:pPr>
              <w:jc w:val="right"/>
              <w:ind w:right="739"/>
              <w:spacing w:after="0"/>
              <w:rPr>
                <w:sz w:val="20"/>
                <w:szCs w:val="20"/>
                <w:color w:val="auto"/>
              </w:rPr>
            </w:pPr>
            <w:r>
              <w:rPr>
                <w:rFonts w:ascii="Arial" w:cs="Arial" w:eastAsia="Arial" w:hAnsi="Arial"/>
                <w:sz w:val="16"/>
                <w:szCs w:val="16"/>
                <w:color w:val="4D5357"/>
              </w:rPr>
              <w:t>167,221</w:t>
            </w:r>
          </w:p>
        </w:tc>
        <w:tc>
          <w:tcPr>
            <w:tcW w:w="1720" w:type="dxa"/>
            <w:vAlign w:val="bottom"/>
            <w:tcBorders>
              <w:bottom w:val="single" w:sz="8" w:color="4D5357"/>
            </w:tcBorders>
          </w:tcPr>
          <w:p>
            <w:pPr>
              <w:spacing w:after="0"/>
              <w:rPr>
                <w:sz w:val="18"/>
                <w:szCs w:val="18"/>
                <w:color w:val="auto"/>
              </w:rPr>
            </w:pPr>
          </w:p>
        </w:tc>
      </w:tr>
      <w:tr>
        <w:trPr>
          <w:trHeight w:val="248"/>
        </w:trPr>
        <w:tc>
          <w:tcPr>
            <w:tcW w:w="2360" w:type="dxa"/>
            <w:vAlign w:val="bottom"/>
          </w:tcPr>
          <w:p>
            <w:pPr>
              <w:ind w:left="60"/>
              <w:spacing w:after="0"/>
              <w:rPr>
                <w:sz w:val="20"/>
                <w:szCs w:val="20"/>
                <w:color w:val="auto"/>
              </w:rPr>
            </w:pPr>
            <w:r>
              <w:rPr>
                <w:rFonts w:ascii="Arial" w:cs="Arial" w:eastAsia="Arial" w:hAnsi="Arial"/>
                <w:sz w:val="16"/>
                <w:szCs w:val="16"/>
                <w:b w:val="1"/>
                <w:bCs w:val="1"/>
                <w:color w:val="4D5357"/>
              </w:rPr>
              <w:t>Bradley D. Kohn</w:t>
            </w:r>
          </w:p>
        </w:tc>
        <w:tc>
          <w:tcPr>
            <w:tcW w:w="1940" w:type="dxa"/>
            <w:vAlign w:val="bottom"/>
          </w:tcPr>
          <w:p>
            <w:pPr>
              <w:ind w:left="620"/>
              <w:spacing w:after="0"/>
              <w:rPr>
                <w:sz w:val="20"/>
                <w:szCs w:val="20"/>
                <w:color w:val="auto"/>
              </w:rPr>
            </w:pPr>
            <w:r>
              <w:rPr>
                <w:rFonts w:ascii="Arial" w:cs="Arial" w:eastAsia="Arial" w:hAnsi="Arial"/>
                <w:sz w:val="16"/>
                <w:szCs w:val="16"/>
                <w:color w:val="4D5357"/>
              </w:rPr>
              <w:t>Pension Plan</w:t>
            </w:r>
          </w:p>
        </w:tc>
        <w:tc>
          <w:tcPr>
            <w:tcW w:w="2380" w:type="dxa"/>
            <w:vAlign w:val="bottom"/>
          </w:tcPr>
          <w:p>
            <w:pPr>
              <w:jc w:val="right"/>
              <w:ind w:right="939"/>
              <w:spacing w:after="0"/>
              <w:rPr>
                <w:sz w:val="20"/>
                <w:szCs w:val="20"/>
                <w:color w:val="auto"/>
              </w:rPr>
            </w:pPr>
            <w:r>
              <w:rPr>
                <w:rFonts w:ascii="Arial" w:cs="Arial" w:eastAsia="Arial" w:hAnsi="Arial"/>
                <w:sz w:val="16"/>
                <w:szCs w:val="16"/>
                <w:color w:val="4D5357"/>
              </w:rPr>
              <w:t>1.083</w:t>
            </w:r>
          </w:p>
        </w:tc>
        <w:tc>
          <w:tcPr>
            <w:tcW w:w="2620" w:type="dxa"/>
            <w:vAlign w:val="bottom"/>
          </w:tcPr>
          <w:p>
            <w:pPr>
              <w:jc w:val="right"/>
              <w:ind w:right="739"/>
              <w:spacing w:after="0"/>
              <w:rPr>
                <w:sz w:val="20"/>
                <w:szCs w:val="20"/>
                <w:color w:val="auto"/>
              </w:rPr>
            </w:pPr>
            <w:r>
              <w:rPr>
                <w:rFonts w:ascii="Arial" w:cs="Arial" w:eastAsia="Arial" w:hAnsi="Arial"/>
                <w:sz w:val="16"/>
                <w:szCs w:val="16"/>
                <w:color w:val="4D5357"/>
              </w:rPr>
              <w:t>48,478</w:t>
            </w:r>
          </w:p>
        </w:tc>
        <w:tc>
          <w:tcPr>
            <w:tcW w:w="1720" w:type="dxa"/>
            <w:vAlign w:val="bottom"/>
          </w:tcPr>
          <w:p>
            <w:pPr>
              <w:spacing w:after="0"/>
              <w:rPr>
                <w:sz w:val="21"/>
                <w:szCs w:val="21"/>
                <w:color w:val="auto"/>
              </w:rPr>
            </w:pPr>
          </w:p>
        </w:tc>
      </w:tr>
      <w:tr>
        <w:trPr>
          <w:trHeight w:val="218"/>
        </w:trPr>
        <w:tc>
          <w:tcPr>
            <w:tcW w:w="2360" w:type="dxa"/>
            <w:vAlign w:val="bottom"/>
            <w:tcBorders>
              <w:bottom w:val="single" w:sz="8" w:color="4D5357"/>
            </w:tcBorders>
          </w:tcPr>
          <w:p>
            <w:pPr>
              <w:spacing w:after="0"/>
              <w:rPr>
                <w:sz w:val="18"/>
                <w:szCs w:val="18"/>
                <w:color w:val="auto"/>
              </w:rPr>
            </w:pPr>
          </w:p>
        </w:tc>
        <w:tc>
          <w:tcPr>
            <w:tcW w:w="1940" w:type="dxa"/>
            <w:vAlign w:val="bottom"/>
            <w:tcBorders>
              <w:bottom w:val="single" w:sz="8" w:color="4D5357"/>
            </w:tcBorders>
          </w:tcPr>
          <w:p>
            <w:pPr>
              <w:ind w:left="620"/>
              <w:spacing w:after="0"/>
              <w:rPr>
                <w:sz w:val="20"/>
                <w:szCs w:val="20"/>
                <w:color w:val="auto"/>
              </w:rPr>
            </w:pPr>
            <w:r>
              <w:rPr>
                <w:rFonts w:ascii="Arial" w:cs="Arial" w:eastAsia="Arial" w:hAnsi="Arial"/>
                <w:sz w:val="16"/>
                <w:szCs w:val="16"/>
                <w:color w:val="4D5357"/>
              </w:rPr>
              <w:t>SERP</w:t>
            </w:r>
          </w:p>
        </w:tc>
        <w:tc>
          <w:tcPr>
            <w:tcW w:w="238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1.083</w:t>
            </w:r>
          </w:p>
        </w:tc>
        <w:tc>
          <w:tcPr>
            <w:tcW w:w="2620" w:type="dxa"/>
            <w:vAlign w:val="bottom"/>
            <w:tcBorders>
              <w:bottom w:val="single" w:sz="8" w:color="4D5357"/>
            </w:tcBorders>
          </w:tcPr>
          <w:p>
            <w:pPr>
              <w:jc w:val="right"/>
              <w:ind w:right="739"/>
              <w:spacing w:after="0"/>
              <w:rPr>
                <w:sz w:val="20"/>
                <w:szCs w:val="20"/>
                <w:color w:val="auto"/>
              </w:rPr>
            </w:pPr>
            <w:r>
              <w:rPr>
                <w:rFonts w:ascii="Arial" w:cs="Arial" w:eastAsia="Arial" w:hAnsi="Arial"/>
                <w:sz w:val="16"/>
                <w:szCs w:val="16"/>
                <w:color w:val="4D5357"/>
              </w:rPr>
              <w:t>59,455</w:t>
            </w:r>
          </w:p>
        </w:tc>
        <w:tc>
          <w:tcPr>
            <w:tcW w:w="1720" w:type="dxa"/>
            <w:vAlign w:val="bottom"/>
            <w:tcBorders>
              <w:bottom w:val="single" w:sz="8" w:color="4D5357"/>
            </w:tcBorders>
          </w:tcPr>
          <w:p>
            <w:pPr>
              <w:spacing w:after="0"/>
              <w:rPr>
                <w:sz w:val="18"/>
                <w:szCs w:val="18"/>
                <w:color w:val="auto"/>
              </w:rPr>
            </w:pPr>
          </w:p>
        </w:tc>
      </w:tr>
    </w:tbl>
    <w:p>
      <w:pPr>
        <w:spacing w:after="0" w:line="198" w:lineRule="exact"/>
        <w:rPr>
          <w:sz w:val="20"/>
          <w:szCs w:val="20"/>
          <w:color w:val="auto"/>
        </w:rPr>
      </w:pPr>
    </w:p>
    <w:p>
      <w:pPr>
        <w:ind w:left="224" w:right="500" w:hanging="224"/>
        <w:spacing w:after="0" w:line="243" w:lineRule="auto"/>
        <w:tabs>
          <w:tab w:leader="none" w:pos="224" w:val="left"/>
        </w:tabs>
        <w:numPr>
          <w:ilvl w:val="0"/>
          <w:numId w:val="121"/>
        </w:numPr>
        <w:rPr>
          <w:rFonts w:ascii="Arial" w:cs="Arial" w:eastAsia="Arial" w:hAnsi="Arial"/>
          <w:sz w:val="13"/>
          <w:szCs w:val="13"/>
          <w:color w:val="333333"/>
        </w:rPr>
      </w:pPr>
      <w:r>
        <w:rPr>
          <w:rFonts w:ascii="Arial" w:cs="Arial" w:eastAsia="Arial" w:hAnsi="Arial"/>
          <w:sz w:val="13"/>
          <w:szCs w:val="13"/>
          <w:color w:val="333333"/>
        </w:rPr>
        <w:t>Amounts in column (d) reflect the valuation method and use the assumptions that are included in Notes A and K to Martin Marietta’s audited financial statements for the fiscal year ended December 31, 2025, included in Martin Marietta’s Annual Report on Form 10-K filed with the SEC on February 20, 2026.</w:t>
      </w:r>
    </w:p>
    <w:p>
      <w:pPr>
        <w:spacing w:after="0" w:line="35" w:lineRule="exact"/>
        <w:rPr>
          <w:sz w:val="20"/>
          <w:szCs w:val="20"/>
          <w:color w:val="auto"/>
        </w:rPr>
      </w:pPr>
    </w:p>
    <w:p>
      <w:pPr>
        <w:ind w:left="224" w:hanging="224"/>
        <w:spacing w:after="0"/>
        <w:tabs>
          <w:tab w:leader="none" w:pos="224" w:val="left"/>
        </w:tabs>
        <w:numPr>
          <w:ilvl w:val="0"/>
          <w:numId w:val="122"/>
        </w:numPr>
        <w:rPr>
          <w:rFonts w:ascii="Arial" w:cs="Arial" w:eastAsia="Arial" w:hAnsi="Arial"/>
          <w:sz w:val="13"/>
          <w:szCs w:val="13"/>
          <w:color w:val="333333"/>
        </w:rPr>
      </w:pPr>
      <w:r>
        <w:rPr>
          <w:rFonts w:ascii="Arial" w:cs="Arial" w:eastAsia="Arial" w:hAnsi="Arial"/>
          <w:sz w:val="13"/>
          <w:szCs w:val="13"/>
          <w:color w:val="333333"/>
        </w:rPr>
        <w:t>Mr. Nickolas departed the Company in April 2025. He received a lump sum payment from the SERP in November 2025. Service amounts shown are as of his termination date.</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Pension Plan is a defined benefit plan sponsored by Martin Marietta and covers all of Martin Marietta’s executive officers, including the named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executive officers, and substantially all of the salaried employees of Martin Marietta on a non-contributing basis. Compensation covered by the Pension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Plan generally includes, but is not limited to, base salary, executive incentive compensation awards, lump sum payments in lieu of a salary increase, and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overtime. The normal retirement age under the Pension Plan is 65, but unreduced early retirement benefits are available at age 62 and reduced benefits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are available as early as age 55. The calculation of benefits under the Pension Plan is generally based on an annual accrual rate, average compensation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for the highest consecutive five years of the ten years preceding retirement, and the participant’s number of years of credited service (1.165% of average</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compensation up to social security covered compensation for service up to 35 years and 1.50% of average compensation over social security covered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compensation for service up to 35 years and 1.50% of average compensation for service over 35 years). Benefits payable under the Pension Plan are</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subject to current Internal Revenue Code limitations, including a limitation on the amount of annual compensation for purposes of calculating eligible</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remuneration for a participant under a qualified retirement plan ($350,000 in 2025). Martin Marietta’s SERP is a restoration plan that generally provides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for the payment of benefits in excess of the Internal Revenue Code limits, which benefits vest in the same manner that benefits vest under the Pension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Plan. The SERP provides for a lump sum payment of the vested benefits provided by the SERP subject to the provisions of Section 409A of the Internal</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Revenue Code. Mr. Nye and Mr. Cardin are eligible for early retirement, which allows for payment to employees who are age 55 or older with at least five</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years of service. Unreduced benefits are provided for retirements between ages 62 and 65, and reduced benefits are provided for retirements between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ages 55 and 62 reflecting service-based, subsidized reductions. The present value of the Pension Plan and SERP benefit, respectively, for Mr. Nye, Mr.</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McCunniff and Mr. Cardin, if they had terminated on December 31, 2025 and began collecting benefits at age 55 or current age if older would be as</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follows: Mr. Nye, $1,040,163 and $26,034,077, respectively; Mr. McCunniff, $331,258 and $65,480, respectively and Mr. Cardin, $368,522 and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$1,500,296, respectively. The amounts listed in the foregoing table are not subject to any deduction for Social Security benefits or other offset amounts.</w:t>
      </w:r>
    </w:p>
    <w:p>
      <w:pPr>
        <w:spacing w:after="0" w:line="394"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83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315" w:right="4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355"/>
        </w:trPr>
        <w:tc>
          <w:tcPr>
            <w:tcW w:w="320" w:type="dxa"/>
            <w:vAlign w:val="bottom"/>
            <w:shd w:val="clear" w:color="auto" w:fill="4D5357"/>
          </w:tcPr>
          <w:p>
            <w:pPr>
              <w:ind w:left="240"/>
              <w:spacing w:after="0"/>
              <w:rPr>
                <w:sz w:val="20"/>
                <w:szCs w:val="20"/>
                <w:color w:val="auto"/>
              </w:rPr>
            </w:pPr>
            <w:r>
              <w:rPr>
                <w:rFonts w:ascii="Arial" w:cs="Arial" w:eastAsia="Arial" w:hAnsi="Arial"/>
                <w:sz w:val="8"/>
                <w:szCs w:val="8"/>
                <w:b w:val="1"/>
                <w:bCs w:val="1"/>
                <w:color w:val="FFFFFF"/>
                <w:w w:val="74"/>
              </w:rPr>
              <w:t> </w:t>
            </w:r>
          </w:p>
        </w:tc>
        <w:tc>
          <w:tcPr>
            <w:tcW w:w="14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   Executive    </w:t>
            </w:r>
          </w:p>
        </w:tc>
      </w:tr>
      <w:tr>
        <w:trPr>
          <w:trHeight w:val="196"/>
        </w:trPr>
        <w:tc>
          <w:tcPr>
            <w:tcW w:w="32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Compensation    </w:t>
            </w:r>
          </w:p>
        </w:tc>
      </w:tr>
      <w:tr>
        <w:trPr>
          <w:trHeight w:val="191"/>
        </w:trPr>
        <w:tc>
          <w:tcPr>
            <w:tcW w:w="320" w:type="dxa"/>
            <w:vAlign w:val="bottom"/>
            <w:shd w:val="clear" w:color="auto" w:fill="4D5357"/>
          </w:tcPr>
          <w:p>
            <w:pPr>
              <w:spacing w:after="0"/>
              <w:rPr>
                <w:sz w:val="16"/>
                <w:szCs w:val="16"/>
                <w:color w:val="auto"/>
              </w:rPr>
            </w:pPr>
          </w:p>
        </w:tc>
        <w:tc>
          <w:tcPr>
            <w:tcW w:w="1420" w:type="dxa"/>
            <w:vAlign w:val="bottom"/>
            <w:shd w:val="clear" w:color="auto" w:fill="4D5357"/>
          </w:tcPr>
          <w:p>
            <w:pPr>
              <w:spacing w:after="0"/>
              <w:rPr>
                <w:sz w:val="16"/>
                <w:szCs w:val="16"/>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Arial" w:cs="Arial" w:eastAsia="Arial" w:hAnsi="Arial"/>
          <w:sz w:val="27"/>
          <w:szCs w:val="27"/>
          <w:b w:val="1"/>
          <w:bCs w:val="1"/>
          <w:color w:val="0086CC"/>
        </w:rPr>
        <w:t>Potential Payments Upon Termination or Change of Control</w:t>
      </w:r>
    </w:p>
    <w:p>
      <w:pPr>
        <w:spacing w:after="0" w:line="123"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333333"/>
        </w:rPr>
        <w:t>The discussion and tables below reflect the amount of potential payments and benefits to each of the named executive officers (other than Mr. Nickolas, whose employment ceased in April 2025)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2025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333333"/>
        </w:rPr>
        <w:t xml:space="preserve">Payments Upon Any Termination. </w:t>
      </w:r>
      <w:r>
        <w:rPr>
          <w:rFonts w:ascii="Arial" w:cs="Arial" w:eastAsia="Arial" w:hAnsi="Arial"/>
          <w:sz w:val="16"/>
          <w:szCs w:val="16"/>
          <w:color w:val="333333"/>
        </w:rPr>
        <w:t>Regardless of the manner in which the employment of a named executive officer terminates, he is entitled to receive</w:t>
      </w:r>
      <w:r>
        <w:rPr>
          <w:rFonts w:ascii="Arial" w:cs="Arial" w:eastAsia="Arial" w:hAnsi="Arial"/>
          <w:sz w:val="16"/>
          <w:szCs w:val="16"/>
          <w:b w:val="1"/>
          <w:bCs w:val="1"/>
          <w:color w:val="333333"/>
        </w:rPr>
        <w:t xml:space="preserve"> </w:t>
      </w:r>
      <w:r>
        <w:rPr>
          <w:rFonts w:ascii="Arial" w:cs="Arial" w:eastAsia="Arial" w:hAnsi="Arial"/>
          <w:sz w:val="16"/>
          <w:szCs w:val="16"/>
          <w:color w:val="333333"/>
        </w:rPr>
        <w:t>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b w:val="1"/>
          <w:bCs w:val="1"/>
          <w:color w:val="333333"/>
        </w:rPr>
        <w:t xml:space="preserve">Payments Upon Voluntary Termination. </w:t>
      </w:r>
      <w:r>
        <w:rPr>
          <w:rFonts w:ascii="Arial" w:cs="Arial" w:eastAsia="Arial" w:hAnsi="Arial"/>
          <w:sz w:val="16"/>
          <w:szCs w:val="16"/>
          <w:color w:val="333333"/>
        </w:rPr>
        <w:t>In addition to the amounts described under the heading Payments Upon Any Termination, upon a voluntary</w:t>
      </w:r>
      <w:r>
        <w:rPr>
          <w:rFonts w:ascii="Arial" w:cs="Arial" w:eastAsia="Arial" w:hAnsi="Arial"/>
          <w:sz w:val="16"/>
          <w:szCs w:val="16"/>
          <w:b w:val="1"/>
          <w:bCs w:val="1"/>
          <w:color w:val="333333"/>
        </w:rPr>
        <w:t xml:space="preserve"> </w:t>
      </w:r>
      <w:r>
        <w:rPr>
          <w:rFonts w:ascii="Arial" w:cs="Arial" w:eastAsia="Arial" w:hAnsi="Arial"/>
          <w:sz w:val="16"/>
          <w:szCs w:val="16"/>
          <w:color w:val="333333"/>
        </w:rPr>
        <w:t>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333333"/>
        </w:rPr>
        <w:t xml:space="preserve">Payments Upon Involuntary Not-For-Cause Termination. </w:t>
      </w:r>
      <w:r>
        <w:rPr>
          <w:rFonts w:ascii="Arial" w:cs="Arial" w:eastAsia="Arial" w:hAnsi="Arial"/>
          <w:sz w:val="16"/>
          <w:szCs w:val="16"/>
          <w:color w:val="333333"/>
        </w:rPr>
        <w:t>In addition to the amounts described under the heading Payments Upon Any Termination,</w:t>
      </w:r>
      <w:r>
        <w:rPr>
          <w:rFonts w:ascii="Arial" w:cs="Arial" w:eastAsia="Arial" w:hAnsi="Arial"/>
          <w:sz w:val="16"/>
          <w:szCs w:val="16"/>
          <w:b w:val="1"/>
          <w:bCs w:val="1"/>
          <w:color w:val="333333"/>
        </w:rPr>
        <w:t xml:space="preserve"> </w:t>
      </w:r>
      <w:r>
        <w:rPr>
          <w:rFonts w:ascii="Arial" w:cs="Arial" w:eastAsia="Arial" w:hAnsi="Arial"/>
          <w:sz w:val="16"/>
          <w:szCs w:val="16"/>
          <w:color w:val="333333"/>
        </w:rPr>
        <w:t>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7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color w:val="333333"/>
        </w:rPr>
        <w:t xml:space="preserve">Payments Upon Involuntary For-Cause Termination. </w:t>
      </w:r>
      <w:r>
        <w:rPr>
          <w:rFonts w:ascii="Arial" w:cs="Arial" w:eastAsia="Arial" w:hAnsi="Arial"/>
          <w:sz w:val="16"/>
          <w:szCs w:val="16"/>
          <w:color w:val="333333"/>
        </w:rPr>
        <w:t>In the event of involuntary termination for cause, which is defined in the Employment Protection</w:t>
      </w:r>
      <w:r>
        <w:rPr>
          <w:rFonts w:ascii="Arial" w:cs="Arial" w:eastAsia="Arial" w:hAnsi="Arial"/>
          <w:sz w:val="16"/>
          <w:szCs w:val="16"/>
          <w:b w:val="1"/>
          <w:bCs w:val="1"/>
          <w:color w:val="333333"/>
        </w:rPr>
        <w:t xml:space="preserve"> </w:t>
      </w:r>
      <w:r>
        <w:rPr>
          <w:rFonts w:ascii="Arial" w:cs="Arial" w:eastAsia="Arial" w:hAnsi="Arial"/>
          <w:sz w:val="16"/>
          <w:szCs w:val="16"/>
          <w:color w:val="333333"/>
        </w:rPr>
        <w:t>Agreement and the Stock-Based Award Plan, the named executive officer would be entitled to receive the payments and benefits described under the heading Payments Upon Any Termination.</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color w:val="333333"/>
        </w:rPr>
        <w:t xml:space="preserve">Payments Upon Retirement. </w:t>
      </w:r>
      <w:r>
        <w:rPr>
          <w:rFonts w:ascii="Arial" w:cs="Arial" w:eastAsia="Arial" w:hAnsi="Arial"/>
          <w:sz w:val="16"/>
          <w:szCs w:val="16"/>
          <w:color w:val="333333"/>
        </w:rPr>
        <w:t>In the event of the retirement at age 62 or above of a named executive officer, in addition to the items described under the</w:t>
      </w:r>
      <w:r>
        <w:rPr>
          <w:rFonts w:ascii="Arial" w:cs="Arial" w:eastAsia="Arial" w:hAnsi="Arial"/>
          <w:sz w:val="16"/>
          <w:szCs w:val="16"/>
          <w:b w:val="1"/>
          <w:bCs w:val="1"/>
          <w:color w:val="333333"/>
        </w:rPr>
        <w:t xml:space="preserve"> </w:t>
      </w:r>
      <w:r>
        <w:rPr>
          <w:rFonts w:ascii="Arial" w:cs="Arial" w:eastAsia="Arial" w:hAnsi="Arial"/>
          <w:sz w:val="16"/>
          <w:szCs w:val="16"/>
          <w:color w:val="333333"/>
        </w:rPr>
        <w:t>heading Payments Upon Any Termination, the executive will receive a portion of the cash incentive bonus based upon performance and payable under the Executive Cash Incentive Plan that correlates to the percentage of the year in which the employee worked for the Company; will continue to hold all awards of RSUs and PSUs for the remainder of the outstanding term unaffected by the retirement; will vest in all outstanding awards of common stock units under the Incentive Stock Plan; and will continue to receive life insurance coverage until death.</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333333"/>
        </w:rPr>
        <w:t xml:space="preserve">Payments Made Upon Early Retirement. </w:t>
      </w:r>
      <w:r>
        <w:rPr>
          <w:rFonts w:ascii="Arial" w:cs="Arial" w:eastAsia="Arial" w:hAnsi="Arial"/>
          <w:sz w:val="16"/>
          <w:szCs w:val="16"/>
          <w:color w:val="333333"/>
        </w:rPr>
        <w:t>In the event of retirement prior to reaching age 62 but on or after reaching age 55, the named executive officer</w:t>
      </w:r>
      <w:r>
        <w:rPr>
          <w:rFonts w:ascii="Arial" w:cs="Arial" w:eastAsia="Arial" w:hAnsi="Arial"/>
          <w:sz w:val="16"/>
          <w:szCs w:val="16"/>
          <w:b w:val="1"/>
          <w:bCs w:val="1"/>
          <w:color w:val="333333"/>
        </w:rPr>
        <w:t xml:space="preserve"> </w:t>
      </w:r>
      <w:r>
        <w:rPr>
          <w:rFonts w:ascii="Arial" w:cs="Arial" w:eastAsia="Arial" w:hAnsi="Arial"/>
          <w:sz w:val="16"/>
          <w:szCs w:val="16"/>
          <w:color w:val="333333"/>
        </w:rPr>
        <w:t>will receive benefits as described under the heading Payments Upon Voluntary Termination. In addition, the named executive officer will receive reduced benefits of the type described under Pension Benefits on page 83.</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b w:val="1"/>
          <w:bCs w:val="1"/>
          <w:color w:val="333333"/>
        </w:rPr>
        <w:t xml:space="preserve">Payments Upon Death or Disability. </w:t>
      </w:r>
      <w:r>
        <w:rPr>
          <w:rFonts w:ascii="Arial" w:cs="Arial" w:eastAsia="Arial" w:hAnsi="Arial"/>
          <w:sz w:val="16"/>
          <w:szCs w:val="16"/>
          <w:color w:val="333333"/>
        </w:rPr>
        <w:t>In the event of the death or disability of a named executive officer, in addition to the payments and benefits under</w:t>
      </w:r>
      <w:r>
        <w:rPr>
          <w:rFonts w:ascii="Arial" w:cs="Arial" w:eastAsia="Arial" w:hAnsi="Arial"/>
          <w:sz w:val="16"/>
          <w:szCs w:val="16"/>
          <w:b w:val="1"/>
          <w:bCs w:val="1"/>
          <w:color w:val="333333"/>
        </w:rPr>
        <w:t xml:space="preserve"> </w:t>
      </w:r>
      <w:r>
        <w:rPr>
          <w:rFonts w:ascii="Arial" w:cs="Arial" w:eastAsia="Arial" w:hAnsi="Arial"/>
          <w:sz w:val="16"/>
          <w:szCs w:val="16"/>
          <w:color w:val="333333"/>
        </w:rPr>
        <w:t>the heading Payments Upon Any Termination, the named executive officer or his or her estate will receive benefits under Martin Marietta’s long-term disability plan or life insurance plan, as applicable, and a death benefit payment, as applicable, equal to the then-current base salary of such employee paid under the Pension Plan plus one month base salary. In the event of disability, the executive will receive a portion of the cash incentive compensation based upon performance and payable under the Executive Cash Incentive Plan that correlates to the percentage of the year in which the employee worked for the Company; will continue to hold all awards of PSUs and RSUs for the remainder of the outstanding term unaffected by the disability; and will vest in all outstanding awards of common stock units under the Incentive Stock Plan.</w:t>
      </w:r>
    </w:p>
    <w:p>
      <w:pPr>
        <w:spacing w:after="0" w:line="7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b w:val="1"/>
          <w:bCs w:val="1"/>
          <w:color w:val="333333"/>
        </w:rPr>
        <w:t xml:space="preserve">Payments Upon or in Connection With a Change of Control. </w:t>
      </w:r>
      <w:r>
        <w:rPr>
          <w:rFonts w:ascii="Arial" w:cs="Arial" w:eastAsia="Arial" w:hAnsi="Arial"/>
          <w:sz w:val="16"/>
          <w:szCs w:val="16"/>
          <w:color w:val="333333"/>
        </w:rPr>
        <w:t>Martin Marietta has entered into Employment Protection Agreements, as amended from</w:t>
      </w:r>
      <w:r>
        <w:rPr>
          <w:rFonts w:ascii="Arial" w:cs="Arial" w:eastAsia="Arial" w:hAnsi="Arial"/>
          <w:sz w:val="16"/>
          <w:szCs w:val="16"/>
          <w:b w:val="1"/>
          <w:bCs w:val="1"/>
          <w:color w:val="333333"/>
        </w:rPr>
        <w:t xml:space="preserve"> </w:t>
      </w:r>
      <w:r>
        <w:rPr>
          <w:rFonts w:ascii="Arial" w:cs="Arial" w:eastAsia="Arial" w:hAnsi="Arial"/>
          <w:sz w:val="16"/>
          <w:szCs w:val="16"/>
          <w:color w:val="333333"/>
        </w:rPr>
        <w:t>time to time, with each of the named executive officers. The purpose of these agreements is to provide Martin Marietta’s key executives with payments and benefits upon certain types of terminations within two years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84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315" w:right="439" w:bottom="1440" w:gutter="0" w:footer="0" w:header="0"/>
          <w:type w:val="continuous"/>
        </w:sectPr>
      </w:pPr>
    </w:p>
    <w:bookmarkStart w:id="91" w:name="page92"/>
    <w:bookmarkEnd w:id="91"/>
    <w:tbl>
      <w:tblPr>
        <w:tblLayout w:type="fixed"/>
        <w:tblInd w:w="9140" w:type="dxa"/>
        <w:tblCellMar>
          <w:top w:w="0" w:type="dxa"/>
          <w:left w:w="0" w:type="dxa"/>
          <w:bottom w:w="0" w:type="dxa"/>
          <w:right w:w="0" w:type="dxa"/>
        </w:tblCellMar>
      </w:tblPr>
      <w:tr>
        <w:trPr>
          <w:trHeight w:val="396"/>
        </w:trPr>
        <w:tc>
          <w:tcPr>
            <w:tcW w:w="460" w:type="dxa"/>
            <w:vAlign w:val="bottom"/>
            <w:shd w:val="clear" w:color="auto" w:fill="4D5357"/>
          </w:tcPr>
          <w:p>
            <w:pPr>
              <w:ind w:left="380"/>
              <w:spacing w:after="0"/>
              <w:rPr>
                <w:sz w:val="20"/>
                <w:szCs w:val="20"/>
                <w:color w:val="auto"/>
              </w:rPr>
            </w:pPr>
            <w:r>
              <w:rPr>
                <w:rFonts w:ascii="Arial" w:cs="Arial" w:eastAsia="Arial" w:hAnsi="Arial"/>
                <w:sz w:val="8"/>
                <w:szCs w:val="8"/>
                <w:b w:val="1"/>
                <w:bCs w:val="1"/>
                <w:color w:val="FFFFFF"/>
                <w:w w:val="74"/>
              </w:rPr>
              <w:t> </w:t>
            </w:r>
          </w:p>
        </w:tc>
        <w:tc>
          <w:tcPr>
            <w:tcW w:w="14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   Executive    </w:t>
            </w:r>
          </w:p>
        </w:tc>
      </w:tr>
      <w:tr>
        <w:trPr>
          <w:trHeight w:val="196"/>
        </w:trPr>
        <w:tc>
          <w:tcPr>
            <w:tcW w:w="460" w:type="dxa"/>
            <w:vAlign w:val="bottom"/>
            <w:shd w:val="clear" w:color="auto" w:fill="4D5357"/>
          </w:tcPr>
          <w:p>
            <w:pPr>
              <w:ind w:left="200"/>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Compensation    </w:t>
            </w:r>
          </w:p>
        </w:tc>
      </w:tr>
      <w:tr>
        <w:trPr>
          <w:trHeight w:val="110"/>
        </w:trPr>
        <w:tc>
          <w:tcPr>
            <w:tcW w:w="460" w:type="dxa"/>
            <w:vAlign w:val="bottom"/>
            <w:shd w:val="clear" w:color="auto" w:fill="4D5357"/>
          </w:tcPr>
          <w:p>
            <w:pPr>
              <w:spacing w:after="0"/>
              <w:rPr>
                <w:sz w:val="9"/>
                <w:szCs w:val="9"/>
                <w:color w:val="auto"/>
              </w:rPr>
            </w:pPr>
          </w:p>
        </w:tc>
        <w:tc>
          <w:tcPr>
            <w:tcW w:w="142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right="20"/>
        <w:spacing w:after="0" w:line="249" w:lineRule="auto"/>
        <w:rPr>
          <w:sz w:val="20"/>
          <w:szCs w:val="20"/>
          <w:color w:val="auto"/>
        </w:rPr>
      </w:pPr>
      <w:r>
        <w:rPr>
          <w:rFonts w:ascii="Arial" w:cs="Arial" w:eastAsia="Arial" w:hAnsi="Arial"/>
          <w:sz w:val="16"/>
          <w:szCs w:val="16"/>
          <w:color w:val="333333"/>
        </w:rPr>
        <w:t>The agreements provide that if, within the two-year period following a Change of Control, an executive is terminated without “Cause” (as defined in the agreements) or terminates his or her employment with “Good Reason” (as defined in the agreements), Martin Marietta is obligated to pay the executive, in a lump sum, an amount equal to three times the sum of the executive’s base salary, annual bonus, and Martin Marietta’s match to the defined contribution plan; the payment of a pro-rata annual target bonus in the year of termination as determined under the Executive Cash Incentive Plan (for Mr. Nye such target bonus is 140% for purposes of the Employment Protection Agreement) and to provide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Executives also are credited with an additional three years of service under the Pension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The agreements also have confidentiality requirements to ensure that the executives do not disclose any confidential information relating to Martin Marietta.</w:t>
      </w:r>
    </w:p>
    <w:p>
      <w:pPr>
        <w:spacing w:after="0" w:line="8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33333"/>
        </w:rPr>
        <w:t>The agreements were amended in December 2018 in response to the 2018 Say On Pay vote that was supported by 78.9% of the shareholders that voted. The amendments eliminated (1) the “gross up” payments that compensate the executives for any golden parachute excise taxes imposed under the Internal Revenue Code; (2) the “walk-right” if the executive voluntarily terminates his or her employment for any reason during the thirty-day period following the second anniversary of the Change of Control; and (3) the inclusion of the value of perquisites in the severance payment provided for in the agreements.</w:t>
      </w:r>
    </w:p>
    <w:p>
      <w:pPr>
        <w:spacing w:after="0" w:line="72"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333333"/>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could result in a Change of Control, then under no circumstances will the agreements terminate prior to the second anniversary of the Change of Control.</w:t>
      </w:r>
    </w:p>
    <w:p>
      <w:pPr>
        <w:spacing w:after="0" w:line="7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33333"/>
        </w:rPr>
        <w:t>In addition, the 2016 Stock-Based Award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 For purposes of such vesting, any performance criteria will be deemed achieved at the greater of target performance and actual performance, as measured through the date of the Change of Control. In December 2018, in response to the 2018 Say On Pay vote, the Company’s form of RSU award agreement and PSU award agreement were changed such that future grants of RSUs and PSUs will require termination of the executive’s employment in connection with a Change of Control in order for accelerated vesting to occur. In addition, we are asking approval from our shareholders to amend and restate the 2016 Stock-Based Award Plan in this proxy statement and the amended and restated Stock-Based Award Plan, if approved, will require termination of the executive’s employment in connection with a Change of Control in order for accelerated vesting to occur.</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85 </w:t>
      </w:r>
      <w:r>
        <w:rPr>
          <w:rFonts w:ascii="Arial" w:cs="Arial" w:eastAsia="Arial" w:hAnsi="Arial"/>
          <w:sz w:val="16"/>
          <w:szCs w:val="16"/>
          <w:color w:val="333333"/>
        </w:rPr>
        <w:t xml:space="preserve">               </w:t>
      </w:r>
    </w:p>
    <w:p>
      <w:pPr>
        <w:sectPr>
          <w:pgSz w:w="11900" w:h="16838" w:orient="portrait"/>
          <w:cols w:equalWidth="0" w:num="4">
            <w:col w:w="200" w:space="120"/>
            <w:col w:w="3540" w:space="720"/>
            <w:col w:w="4660" w:space="720"/>
            <w:col w:w="1060"/>
          </w:cols>
          <w:pgMar w:left="440" w:top="315" w:right="4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355"/>
        </w:trPr>
        <w:tc>
          <w:tcPr>
            <w:tcW w:w="320" w:type="dxa"/>
            <w:vAlign w:val="bottom"/>
            <w:shd w:val="clear" w:color="auto" w:fill="4D5357"/>
          </w:tcPr>
          <w:p>
            <w:pPr>
              <w:ind w:left="240"/>
              <w:spacing w:after="0"/>
              <w:rPr>
                <w:sz w:val="20"/>
                <w:szCs w:val="20"/>
                <w:color w:val="auto"/>
              </w:rPr>
            </w:pPr>
            <w:r>
              <w:rPr>
                <w:rFonts w:ascii="Arial" w:cs="Arial" w:eastAsia="Arial" w:hAnsi="Arial"/>
                <w:sz w:val="8"/>
                <w:szCs w:val="8"/>
                <w:b w:val="1"/>
                <w:bCs w:val="1"/>
                <w:color w:val="FFFFFF"/>
                <w:w w:val="74"/>
              </w:rPr>
              <w:t> </w:t>
            </w:r>
          </w:p>
        </w:tc>
        <w:tc>
          <w:tcPr>
            <w:tcW w:w="142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   Executive    </w:t>
            </w:r>
          </w:p>
        </w:tc>
      </w:tr>
      <w:tr>
        <w:trPr>
          <w:trHeight w:val="196"/>
        </w:trPr>
        <w:tc>
          <w:tcPr>
            <w:tcW w:w="32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Compensation    </w:t>
            </w:r>
          </w:p>
        </w:tc>
      </w:tr>
      <w:tr>
        <w:trPr>
          <w:trHeight w:val="191"/>
        </w:trPr>
        <w:tc>
          <w:tcPr>
            <w:tcW w:w="320" w:type="dxa"/>
            <w:vAlign w:val="bottom"/>
            <w:shd w:val="clear" w:color="auto" w:fill="4D5357"/>
          </w:tcPr>
          <w:p>
            <w:pPr>
              <w:spacing w:after="0"/>
              <w:rPr>
                <w:sz w:val="16"/>
                <w:szCs w:val="16"/>
                <w:color w:val="auto"/>
              </w:rPr>
            </w:pPr>
          </w:p>
        </w:tc>
        <w:tc>
          <w:tcPr>
            <w:tcW w:w="1420" w:type="dxa"/>
            <w:vAlign w:val="bottom"/>
            <w:shd w:val="clear" w:color="auto" w:fill="4D5357"/>
          </w:tcPr>
          <w:p>
            <w:pPr>
              <w:spacing w:after="0"/>
              <w:rPr>
                <w:sz w:val="16"/>
                <w:szCs w:val="16"/>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right="180"/>
        <w:spacing w:after="0" w:line="266" w:lineRule="auto"/>
        <w:rPr>
          <w:sz w:val="20"/>
          <w:szCs w:val="20"/>
          <w:color w:val="auto"/>
        </w:rPr>
      </w:pPr>
      <w:r>
        <w:rPr>
          <w:rFonts w:ascii="Arial" w:cs="Arial" w:eastAsia="Arial" w:hAnsi="Arial"/>
          <w:sz w:val="16"/>
          <w:szCs w:val="16"/>
          <w:b w:val="1"/>
          <w:bCs w:val="1"/>
          <w:color w:val="707578"/>
        </w:rPr>
        <w:t xml:space="preserve">Value of Payments Upon Termination. </w:t>
      </w:r>
      <w:r>
        <w:rPr>
          <w:rFonts w:ascii="Arial" w:cs="Arial" w:eastAsia="Arial" w:hAnsi="Arial"/>
          <w:sz w:val="16"/>
          <w:szCs w:val="16"/>
          <w:color w:val="333333"/>
        </w:rPr>
        <w:t>The following table shows the potential incremental value of payments to each of our named executive officers</w:t>
      </w:r>
      <w:r>
        <w:rPr>
          <w:rFonts w:ascii="Arial" w:cs="Arial" w:eastAsia="Arial" w:hAnsi="Arial"/>
          <w:sz w:val="16"/>
          <w:szCs w:val="16"/>
          <w:b w:val="1"/>
          <w:bCs w:val="1"/>
          <w:color w:val="707578"/>
        </w:rPr>
        <w:t xml:space="preserve"> </w:t>
      </w:r>
      <w:r>
        <w:rPr>
          <w:rFonts w:ascii="Arial" w:cs="Arial" w:eastAsia="Arial" w:hAnsi="Arial"/>
          <w:sz w:val="16"/>
          <w:szCs w:val="16"/>
          <w:color w:val="333333"/>
        </w:rPr>
        <w:t>(other than Mr. Nickolas) upon termination, including in the event of a Change of Control of Martin Marietta, assuming a December 31, 2025 termination date and, where applicable, using the NYSE closing price per share of our common stock of $622.66 on December 31, 2025.</w:t>
      </w:r>
    </w:p>
    <w:p>
      <w:pPr>
        <w:spacing w:after="0" w:line="58" w:lineRule="exact"/>
        <w:rPr>
          <w:sz w:val="20"/>
          <w:szCs w:val="20"/>
          <w:color w:val="auto"/>
        </w:rPr>
      </w:pPr>
    </w:p>
    <w:p>
      <w:pPr>
        <w:ind w:right="220"/>
        <w:spacing w:after="0" w:line="309" w:lineRule="auto"/>
        <w:rPr>
          <w:sz w:val="20"/>
          <w:szCs w:val="20"/>
          <w:color w:val="auto"/>
        </w:rPr>
      </w:pPr>
      <w:r>
        <w:rPr>
          <w:rFonts w:ascii="Arial" w:cs="Arial" w:eastAsia="Arial" w:hAnsi="Arial"/>
          <w:sz w:val="23"/>
          <w:szCs w:val="23"/>
          <w:b w:val="1"/>
          <w:bCs w:val="1"/>
          <w:color w:val="333333"/>
        </w:rPr>
        <w:t>Potential Incremental Value of Payments Upon Termination or Change of Control at December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0086CC"/>
                <w:w w:val="96"/>
              </w:rPr>
              <w:t>INVOLUNTARY</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0086CC"/>
                <w:w w:val="96"/>
              </w:rPr>
              <w:t>CHANGE-OF-</w:t>
            </w: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0" w:type="dxa"/>
            <w:vAlign w:val="bottom"/>
          </w:tcPr>
          <w:p>
            <w:pPr>
              <w:jc w:val="center"/>
              <w:spacing w:after="0" w:line="122" w:lineRule="exact"/>
              <w:rPr>
                <w:sz w:val="20"/>
                <w:szCs w:val="20"/>
                <w:color w:val="auto"/>
              </w:rPr>
            </w:pPr>
            <w:r>
              <w:rPr>
                <w:rFonts w:ascii="Arial" w:cs="Arial" w:eastAsia="Arial" w:hAnsi="Arial"/>
                <w:sz w:val="12"/>
                <w:szCs w:val="12"/>
                <w:b w:val="1"/>
                <w:bCs w:val="1"/>
                <w:color w:val="0086CC"/>
                <w:w w:val="95"/>
              </w:rPr>
              <w:t>NOT-FOR-CAUSE</w:t>
            </w: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840" w:type="dxa"/>
            <w:vAlign w:val="bottom"/>
          </w:tcPr>
          <w:p>
            <w:pPr>
              <w:jc w:val="right"/>
              <w:ind w:right="129"/>
              <w:spacing w:after="0" w:line="135" w:lineRule="exact"/>
              <w:rPr>
                <w:sz w:val="20"/>
                <w:szCs w:val="20"/>
                <w:color w:val="auto"/>
              </w:rPr>
            </w:pPr>
            <w:r>
              <w:rPr>
                <w:rFonts w:ascii="Arial" w:cs="Arial" w:eastAsia="Arial" w:hAnsi="Arial"/>
                <w:sz w:val="12"/>
                <w:szCs w:val="12"/>
                <w:b w:val="1"/>
                <w:bCs w:val="1"/>
                <w:color w:val="0086CC"/>
              </w:rPr>
              <w:t>RETIREMENT</w:t>
            </w:r>
          </w:p>
        </w:tc>
        <w:tc>
          <w:tcPr>
            <w:tcW w:w="140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TERMINATION</w:t>
            </w:r>
          </w:p>
        </w:tc>
        <w:tc>
          <w:tcPr>
            <w:tcW w:w="1060" w:type="dxa"/>
            <w:vAlign w:val="bottom"/>
          </w:tcPr>
          <w:p>
            <w:pPr>
              <w:jc w:val="right"/>
              <w:ind w:right="109"/>
              <w:spacing w:after="0" w:line="135" w:lineRule="exact"/>
              <w:rPr>
                <w:sz w:val="20"/>
                <w:szCs w:val="20"/>
                <w:color w:val="auto"/>
              </w:rPr>
            </w:pPr>
            <w:r>
              <w:rPr>
                <w:rFonts w:ascii="Arial" w:cs="Arial" w:eastAsia="Arial" w:hAnsi="Arial"/>
                <w:sz w:val="12"/>
                <w:szCs w:val="12"/>
                <w:b w:val="1"/>
                <w:bCs w:val="1"/>
                <w:color w:val="0086CC"/>
              </w:rPr>
              <w:t>DISABILITY</w:t>
            </w:r>
          </w:p>
        </w:tc>
        <w:tc>
          <w:tcPr>
            <w:tcW w:w="880" w:type="dxa"/>
            <w:vAlign w:val="bottom"/>
          </w:tcPr>
          <w:p>
            <w:pPr>
              <w:jc w:val="right"/>
              <w:ind w:right="209"/>
              <w:spacing w:after="0" w:line="135" w:lineRule="exact"/>
              <w:rPr>
                <w:sz w:val="20"/>
                <w:szCs w:val="20"/>
                <w:color w:val="auto"/>
              </w:rPr>
            </w:pPr>
            <w:r>
              <w:rPr>
                <w:rFonts w:ascii="Arial" w:cs="Arial" w:eastAsia="Arial" w:hAnsi="Arial"/>
                <w:sz w:val="12"/>
                <w:szCs w:val="12"/>
                <w:b w:val="1"/>
                <w:bCs w:val="1"/>
                <w:color w:val="0086CC"/>
              </w:rPr>
              <w:t>DEATH</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CONTROL</w:t>
            </w:r>
          </w:p>
        </w:tc>
        <w:tc>
          <w:tcPr>
            <w:tcW w:w="0" w:type="dxa"/>
            <w:vAlign w:val="bottom"/>
          </w:tcPr>
          <w:p>
            <w:pPr>
              <w:spacing w:after="0"/>
              <w:rPr>
                <w:sz w:val="1"/>
                <w:szCs w:val="1"/>
                <w:color w:val="auto"/>
              </w:rPr>
            </w:pPr>
          </w:p>
        </w:tc>
      </w:tr>
      <w:tr>
        <w:trPr>
          <w:trHeight w:val="185"/>
        </w:trPr>
        <w:tc>
          <w:tcPr>
            <w:tcW w:w="1600" w:type="dxa"/>
            <w:vAlign w:val="bottom"/>
            <w:tcBorders>
              <w:bottom w:val="single" w:sz="8" w:color="0086CC"/>
            </w:tcBorders>
          </w:tcPr>
          <w:p>
            <w:pPr>
              <w:ind w:left="60"/>
              <w:spacing w:after="0"/>
              <w:rPr>
                <w:sz w:val="20"/>
                <w:szCs w:val="20"/>
                <w:color w:val="auto"/>
              </w:rPr>
            </w:pPr>
            <w:r>
              <w:rPr>
                <w:rFonts w:ascii="Arial" w:cs="Arial" w:eastAsia="Arial" w:hAnsi="Arial"/>
                <w:sz w:val="12"/>
                <w:szCs w:val="12"/>
                <w:b w:val="1"/>
                <w:bCs w:val="1"/>
                <w:color w:val="0086CC"/>
              </w:rPr>
              <w:t>NAME</w:t>
            </w:r>
          </w:p>
        </w:tc>
        <w:tc>
          <w:tcPr>
            <w:tcW w:w="3380" w:type="dxa"/>
            <w:vAlign w:val="bottom"/>
            <w:tcBorders>
              <w:bottom w:val="single" w:sz="8" w:color="0086CC"/>
            </w:tcBorders>
          </w:tcPr>
          <w:p>
            <w:pPr>
              <w:ind w:left="120"/>
              <w:spacing w:after="0" w:line="185" w:lineRule="exact"/>
              <w:rPr>
                <w:sz w:val="20"/>
                <w:szCs w:val="20"/>
                <w:color w:val="auto"/>
              </w:rPr>
            </w:pPr>
            <w:r>
              <w:rPr>
                <w:rFonts w:ascii="Arial" w:cs="Arial" w:eastAsia="Arial" w:hAnsi="Arial"/>
                <w:sz w:val="12"/>
                <w:szCs w:val="12"/>
                <w:b w:val="1"/>
                <w:bCs w:val="1"/>
                <w:color w:val="0086CC"/>
              </w:rPr>
              <w:t>BENEFIT OR PAYMENT</w:t>
            </w:r>
            <w:r>
              <w:rPr>
                <w:rFonts w:ascii="Arial" w:cs="Arial" w:eastAsia="Arial" w:hAnsi="Arial"/>
                <w:sz w:val="17"/>
                <w:szCs w:val="17"/>
                <w:b w:val="1"/>
                <w:bCs w:val="1"/>
                <w:color w:val="0086CC"/>
                <w:vertAlign w:val="superscript"/>
              </w:rPr>
              <w:t>1</w:t>
            </w:r>
          </w:p>
        </w:tc>
        <w:tc>
          <w:tcPr>
            <w:tcW w:w="1840" w:type="dxa"/>
            <w:vAlign w:val="bottom"/>
            <w:tcBorders>
              <w:bottom w:val="single" w:sz="8" w:color="0086CC"/>
            </w:tcBorders>
          </w:tcPr>
          <w:p>
            <w:pPr>
              <w:jc w:val="right"/>
              <w:ind w:right="449"/>
              <w:spacing w:after="0"/>
              <w:rPr>
                <w:sz w:val="20"/>
                <w:szCs w:val="20"/>
                <w:color w:val="auto"/>
              </w:rPr>
            </w:pPr>
            <w:r>
              <w:rPr>
                <w:rFonts w:ascii="Arial" w:cs="Arial" w:eastAsia="Arial" w:hAnsi="Arial"/>
                <w:sz w:val="12"/>
                <w:szCs w:val="12"/>
                <w:b w:val="1"/>
                <w:bCs w:val="1"/>
                <w:color w:val="0086CC"/>
              </w:rPr>
              <w:t>($)</w:t>
            </w:r>
          </w:p>
        </w:tc>
        <w:tc>
          <w:tcPr>
            <w:tcW w:w="140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1060" w:type="dxa"/>
            <w:vAlign w:val="bottom"/>
            <w:tcBorders>
              <w:bottom w:val="single" w:sz="8" w:color="0086CC"/>
            </w:tcBorders>
          </w:tcPr>
          <w:p>
            <w:pPr>
              <w:jc w:val="right"/>
              <w:ind w:right="369"/>
              <w:spacing w:after="0"/>
              <w:rPr>
                <w:sz w:val="20"/>
                <w:szCs w:val="20"/>
                <w:color w:val="auto"/>
              </w:rPr>
            </w:pPr>
            <w:r>
              <w:rPr>
                <w:rFonts w:ascii="Arial" w:cs="Arial" w:eastAsia="Arial" w:hAnsi="Arial"/>
                <w:sz w:val="12"/>
                <w:szCs w:val="12"/>
                <w:b w:val="1"/>
                <w:bCs w:val="1"/>
                <w:color w:val="0086CC"/>
              </w:rPr>
              <w:t>($)</w:t>
            </w:r>
          </w:p>
        </w:tc>
        <w:tc>
          <w:tcPr>
            <w:tcW w:w="880" w:type="dxa"/>
            <w:vAlign w:val="bottom"/>
            <w:tcBorders>
              <w:bottom w:val="single" w:sz="8" w:color="0086CC"/>
            </w:tcBorders>
          </w:tcPr>
          <w:p>
            <w:pPr>
              <w:jc w:val="right"/>
              <w:ind w:right="329"/>
              <w:spacing w:after="0"/>
              <w:rPr>
                <w:sz w:val="20"/>
                <w:szCs w:val="20"/>
                <w:color w:val="auto"/>
              </w:rPr>
            </w:pPr>
            <w:r>
              <w:rPr>
                <w:rFonts w:ascii="Arial" w:cs="Arial" w:eastAsia="Arial" w:hAnsi="Arial"/>
                <w:sz w:val="12"/>
                <w:szCs w:val="12"/>
                <w:b w:val="1"/>
                <w:bCs w:val="1"/>
                <w:color w:val="0086CC"/>
              </w:rPr>
              <w:t>($)</w:t>
            </w:r>
          </w:p>
        </w:tc>
        <w:tc>
          <w:tcPr>
            <w:tcW w:w="86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0" w:type="dxa"/>
            <w:vAlign w:val="bottom"/>
          </w:tcPr>
          <w:p>
            <w:pPr>
              <w:spacing w:after="0"/>
              <w:rPr>
                <w:sz w:val="1"/>
                <w:szCs w:val="1"/>
                <w:color w:val="auto"/>
              </w:rPr>
            </w:pPr>
          </w:p>
        </w:tc>
      </w:tr>
      <w:tr>
        <w:trPr>
          <w:trHeight w:val="223"/>
        </w:trPr>
        <w:tc>
          <w:tcPr>
            <w:tcW w:w="1600" w:type="dxa"/>
            <w:vAlign w:val="bottom"/>
          </w:tcPr>
          <w:p>
            <w:pPr>
              <w:ind w:left="60"/>
              <w:spacing w:after="0"/>
              <w:rPr>
                <w:sz w:val="20"/>
                <w:szCs w:val="20"/>
                <w:color w:val="auto"/>
              </w:rPr>
            </w:pPr>
            <w:r>
              <w:rPr>
                <w:rFonts w:ascii="Arial" w:cs="Arial" w:eastAsia="Arial" w:hAnsi="Arial"/>
                <w:sz w:val="14"/>
                <w:szCs w:val="14"/>
                <w:b w:val="1"/>
                <w:bCs w:val="1"/>
                <w:color w:val="4D5357"/>
              </w:rPr>
              <w:t>C. Howard Nye</w:t>
            </w:r>
          </w:p>
        </w:tc>
        <w:tc>
          <w:tcPr>
            <w:tcW w:w="3380" w:type="dxa"/>
            <w:vAlign w:val="bottom"/>
          </w:tcPr>
          <w:p>
            <w:pPr>
              <w:ind w:left="120"/>
              <w:spacing w:after="0" w:line="223" w:lineRule="exact"/>
              <w:rPr>
                <w:sz w:val="20"/>
                <w:szCs w:val="20"/>
                <w:color w:val="auto"/>
              </w:rPr>
            </w:pPr>
            <w:r>
              <w:rPr>
                <w:rFonts w:ascii="Arial" w:cs="Arial" w:eastAsia="Arial" w:hAnsi="Arial"/>
                <w:sz w:val="14"/>
                <w:szCs w:val="14"/>
                <w:color w:val="4D5357"/>
              </w:rPr>
              <w:t>Cash Severance</w:t>
            </w:r>
            <w:r>
              <w:rPr>
                <w:rFonts w:ascii="Arial" w:cs="Arial" w:eastAsia="Arial" w:hAnsi="Arial"/>
                <w:sz w:val="21"/>
                <w:szCs w:val="21"/>
                <w:color w:val="4D5357"/>
                <w:vertAlign w:val="superscript"/>
              </w:rPr>
              <w:t>2</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18,958,200</w:t>
            </w: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3380" w:type="dxa"/>
            <w:vAlign w:val="bottom"/>
          </w:tcPr>
          <w:p>
            <w:pPr>
              <w:ind w:left="120"/>
              <w:spacing w:after="0" w:line="193" w:lineRule="exact"/>
              <w:rPr>
                <w:sz w:val="20"/>
                <w:szCs w:val="20"/>
                <w:color w:val="auto"/>
              </w:rPr>
            </w:pPr>
            <w:r>
              <w:rPr>
                <w:rFonts w:ascii="Arial" w:cs="Arial" w:eastAsia="Arial" w:hAnsi="Arial"/>
                <w:sz w:val="14"/>
                <w:szCs w:val="14"/>
                <w:color w:val="4D5357"/>
              </w:rPr>
              <w:t>Unvested RSUs</w:t>
            </w:r>
            <w:r>
              <w:rPr>
                <w:rFonts w:ascii="Arial" w:cs="Arial" w:eastAsia="Arial" w:hAnsi="Arial"/>
                <w:sz w:val="21"/>
                <w:szCs w:val="21"/>
                <w:color w:val="4D5357"/>
                <w:vertAlign w:val="superscript"/>
              </w:rPr>
              <w:t>3</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9,172,580</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9,172,580</w:t>
            </w:r>
          </w:p>
        </w:tc>
        <w:tc>
          <w:tcPr>
            <w:tcW w:w="880" w:type="dxa"/>
            <w:vAlign w:val="bottom"/>
          </w:tcPr>
          <w:p>
            <w:pPr>
              <w:jc w:val="right"/>
              <w:spacing w:after="0"/>
              <w:rPr>
                <w:sz w:val="20"/>
                <w:szCs w:val="20"/>
                <w:color w:val="auto"/>
              </w:rPr>
            </w:pPr>
            <w:r>
              <w:rPr>
                <w:rFonts w:ascii="Arial" w:cs="Arial" w:eastAsia="Arial" w:hAnsi="Arial"/>
                <w:sz w:val="14"/>
                <w:szCs w:val="14"/>
                <w:color w:val="4D5357"/>
              </w:rPr>
              <w:t>9,172,580</w:t>
            </w:r>
          </w:p>
        </w:tc>
        <w:tc>
          <w:tcPr>
            <w:tcW w:w="860" w:type="dxa"/>
            <w:vAlign w:val="bottom"/>
          </w:tcPr>
          <w:p>
            <w:pPr>
              <w:jc w:val="right"/>
              <w:spacing w:after="0"/>
              <w:rPr>
                <w:sz w:val="20"/>
                <w:szCs w:val="20"/>
                <w:color w:val="auto"/>
              </w:rPr>
            </w:pPr>
            <w:r>
              <w:rPr>
                <w:rFonts w:ascii="Arial" w:cs="Arial" w:eastAsia="Arial" w:hAnsi="Arial"/>
                <w:sz w:val="14"/>
                <w:szCs w:val="14"/>
                <w:color w:val="4D5357"/>
              </w:rPr>
              <w:t>9,172,580</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4"/>
                <w:szCs w:val="14"/>
                <w:color w:val="4D5357"/>
              </w:rPr>
              <w:t>Unexercisable Stock Options</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Unvested Incentive Stock Plan Units</w:t>
            </w:r>
            <w:r>
              <w:rPr>
                <w:rFonts w:ascii="Arial" w:cs="Arial" w:eastAsia="Arial" w:hAnsi="Arial"/>
                <w:sz w:val="21"/>
                <w:szCs w:val="21"/>
                <w:color w:val="4D5357"/>
                <w:vertAlign w:val="superscript"/>
              </w:rPr>
              <w:t>4</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3,451,520</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555,813</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3,451,520</w:t>
            </w:r>
          </w:p>
        </w:tc>
        <w:tc>
          <w:tcPr>
            <w:tcW w:w="880" w:type="dxa"/>
            <w:vAlign w:val="bottom"/>
          </w:tcPr>
          <w:p>
            <w:pPr>
              <w:jc w:val="right"/>
              <w:spacing w:after="0"/>
              <w:rPr>
                <w:sz w:val="20"/>
                <w:szCs w:val="20"/>
                <w:color w:val="auto"/>
              </w:rPr>
            </w:pPr>
            <w:r>
              <w:rPr>
                <w:rFonts w:ascii="Arial" w:cs="Arial" w:eastAsia="Arial" w:hAnsi="Arial"/>
                <w:sz w:val="14"/>
                <w:szCs w:val="14"/>
                <w:color w:val="4D5357"/>
              </w:rPr>
              <w:t>3,451,520</w:t>
            </w:r>
          </w:p>
        </w:tc>
        <w:tc>
          <w:tcPr>
            <w:tcW w:w="860" w:type="dxa"/>
            <w:vAlign w:val="bottom"/>
          </w:tcPr>
          <w:p>
            <w:pPr>
              <w:jc w:val="right"/>
              <w:spacing w:after="0"/>
              <w:rPr>
                <w:sz w:val="20"/>
                <w:szCs w:val="20"/>
                <w:color w:val="auto"/>
              </w:rPr>
            </w:pPr>
            <w:r>
              <w:rPr>
                <w:rFonts w:ascii="Arial" w:cs="Arial" w:eastAsia="Arial" w:hAnsi="Arial"/>
                <w:sz w:val="14"/>
                <w:szCs w:val="14"/>
                <w:color w:val="4D5357"/>
              </w:rPr>
              <w:t>3,451,520</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PSUs</w:t>
            </w:r>
            <w:r>
              <w:rPr>
                <w:rFonts w:ascii="Arial" w:cs="Arial" w:eastAsia="Arial" w:hAnsi="Arial"/>
                <w:sz w:val="21"/>
                <w:szCs w:val="21"/>
                <w:color w:val="4D5357"/>
                <w:vertAlign w:val="superscript"/>
              </w:rPr>
              <w:t>5</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10,783,399</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10,783,399</w:t>
            </w:r>
          </w:p>
        </w:tc>
        <w:tc>
          <w:tcPr>
            <w:tcW w:w="880" w:type="dxa"/>
            <w:vAlign w:val="bottom"/>
          </w:tcPr>
          <w:p>
            <w:pPr>
              <w:jc w:val="right"/>
              <w:spacing w:after="0"/>
              <w:rPr>
                <w:sz w:val="20"/>
                <w:szCs w:val="20"/>
                <w:color w:val="auto"/>
              </w:rPr>
            </w:pPr>
            <w:r>
              <w:rPr>
                <w:rFonts w:ascii="Arial" w:cs="Arial" w:eastAsia="Arial" w:hAnsi="Arial"/>
                <w:sz w:val="14"/>
                <w:szCs w:val="14"/>
                <w:color w:val="4D5357"/>
              </w:rPr>
              <w:t>10,783,399</w:t>
            </w:r>
          </w:p>
        </w:tc>
        <w:tc>
          <w:tcPr>
            <w:tcW w:w="860" w:type="dxa"/>
            <w:vAlign w:val="bottom"/>
          </w:tcPr>
          <w:p>
            <w:pPr>
              <w:jc w:val="right"/>
              <w:spacing w:after="0"/>
              <w:rPr>
                <w:sz w:val="20"/>
                <w:szCs w:val="20"/>
                <w:color w:val="auto"/>
              </w:rPr>
            </w:pPr>
            <w:r>
              <w:rPr>
                <w:rFonts w:ascii="Arial" w:cs="Arial" w:eastAsia="Arial" w:hAnsi="Arial"/>
                <w:sz w:val="14"/>
                <w:szCs w:val="14"/>
                <w:color w:val="4D5357"/>
              </w:rPr>
              <w:t>10,783,399</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Retirement Plans</w:t>
            </w:r>
            <w:r>
              <w:rPr>
                <w:rFonts w:ascii="Arial" w:cs="Arial" w:eastAsia="Arial" w:hAnsi="Arial"/>
                <w:sz w:val="21"/>
                <w:szCs w:val="21"/>
                <w:color w:val="4D5357"/>
                <w:vertAlign w:val="superscript"/>
              </w:rPr>
              <w:t>6</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16,723,519</w:t>
            </w:r>
          </w:p>
        </w:tc>
        <w:tc>
          <w:tcPr>
            <w:tcW w:w="0" w:type="dxa"/>
            <w:vAlign w:val="bottom"/>
          </w:tcPr>
          <w:p>
            <w:pPr>
              <w:spacing w:after="0"/>
              <w:rPr>
                <w:sz w:val="1"/>
                <w:szCs w:val="1"/>
                <w:color w:val="auto"/>
              </w:rPr>
            </w:pPr>
          </w:p>
        </w:tc>
      </w:tr>
      <w:tr>
        <w:trPr>
          <w:trHeight w:val="202"/>
        </w:trPr>
        <w:tc>
          <w:tcPr>
            <w:tcW w:w="1600" w:type="dxa"/>
            <w:vAlign w:val="bottom"/>
            <w:tcBorders>
              <w:bottom w:val="single" w:sz="8" w:color="4D5357"/>
            </w:tcBorders>
          </w:tcPr>
          <w:p>
            <w:pPr>
              <w:spacing w:after="0"/>
              <w:rPr>
                <w:sz w:val="17"/>
                <w:szCs w:val="17"/>
                <w:color w:val="auto"/>
              </w:rPr>
            </w:pPr>
          </w:p>
        </w:tc>
        <w:tc>
          <w:tcPr>
            <w:tcW w:w="3380" w:type="dxa"/>
            <w:vAlign w:val="bottom"/>
            <w:tcBorders>
              <w:bottom w:val="single" w:sz="8" w:color="4D5357"/>
            </w:tcBorders>
          </w:tcPr>
          <w:p>
            <w:pPr>
              <w:ind w:left="120"/>
              <w:spacing w:after="0" w:line="202" w:lineRule="exact"/>
              <w:rPr>
                <w:sz w:val="20"/>
                <w:szCs w:val="20"/>
                <w:color w:val="auto"/>
              </w:rPr>
            </w:pPr>
            <w:r>
              <w:rPr>
                <w:rFonts w:ascii="Arial" w:cs="Arial" w:eastAsia="Arial" w:hAnsi="Arial"/>
                <w:sz w:val="14"/>
                <w:szCs w:val="14"/>
                <w:color w:val="4D5357"/>
              </w:rPr>
              <w:t>Health and Welfare Benefits</w:t>
            </w:r>
            <w:r>
              <w:rPr>
                <w:rFonts w:ascii="Arial" w:cs="Arial" w:eastAsia="Arial" w:hAnsi="Arial"/>
                <w:sz w:val="21"/>
                <w:szCs w:val="21"/>
                <w:color w:val="4D5357"/>
                <w:vertAlign w:val="superscript"/>
              </w:rPr>
              <w:t>7</w:t>
            </w:r>
          </w:p>
        </w:tc>
        <w:tc>
          <w:tcPr>
            <w:tcW w:w="1840" w:type="dxa"/>
            <w:vAlign w:val="bottom"/>
            <w:tcBorders>
              <w:bottom w:val="single" w:sz="8" w:color="4D5357"/>
            </w:tcBorders>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Borders>
              <w:bottom w:val="single" w:sz="8" w:color="4D5357"/>
            </w:tcBorders>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Borders>
              <w:bottom w:val="single" w:sz="8" w:color="4D5357"/>
            </w:tcBorders>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w:t>
            </w:r>
          </w:p>
        </w:tc>
        <w:tc>
          <w:tcPr>
            <w:tcW w:w="86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64,088</w:t>
            </w:r>
          </w:p>
        </w:tc>
        <w:tc>
          <w:tcPr>
            <w:tcW w:w="0" w:type="dxa"/>
            <w:vAlign w:val="bottom"/>
          </w:tcPr>
          <w:p>
            <w:pPr>
              <w:spacing w:after="0"/>
              <w:rPr>
                <w:sz w:val="1"/>
                <w:szCs w:val="1"/>
                <w:color w:val="auto"/>
              </w:rPr>
            </w:pPr>
          </w:p>
        </w:tc>
      </w:tr>
      <w:tr>
        <w:trPr>
          <w:trHeight w:val="223"/>
        </w:trPr>
        <w:tc>
          <w:tcPr>
            <w:tcW w:w="1600" w:type="dxa"/>
            <w:vAlign w:val="bottom"/>
          </w:tcPr>
          <w:p>
            <w:pPr>
              <w:ind w:left="60"/>
              <w:spacing w:after="0"/>
              <w:rPr>
                <w:sz w:val="20"/>
                <w:szCs w:val="20"/>
                <w:color w:val="auto"/>
              </w:rPr>
            </w:pPr>
            <w:r>
              <w:rPr>
                <w:rFonts w:ascii="Arial" w:cs="Arial" w:eastAsia="Arial" w:hAnsi="Arial"/>
                <w:sz w:val="14"/>
                <w:szCs w:val="14"/>
                <w:b w:val="1"/>
                <w:bCs w:val="1"/>
                <w:color w:val="4D5357"/>
              </w:rPr>
              <w:t>Michael J. Petro</w:t>
            </w:r>
          </w:p>
        </w:tc>
        <w:tc>
          <w:tcPr>
            <w:tcW w:w="3380" w:type="dxa"/>
            <w:vAlign w:val="bottom"/>
          </w:tcPr>
          <w:p>
            <w:pPr>
              <w:ind w:left="120"/>
              <w:spacing w:after="0" w:line="223" w:lineRule="exact"/>
              <w:rPr>
                <w:sz w:val="20"/>
                <w:szCs w:val="20"/>
                <w:color w:val="auto"/>
              </w:rPr>
            </w:pPr>
            <w:r>
              <w:rPr>
                <w:rFonts w:ascii="Arial" w:cs="Arial" w:eastAsia="Arial" w:hAnsi="Arial"/>
                <w:sz w:val="14"/>
                <w:szCs w:val="14"/>
                <w:color w:val="4D5357"/>
              </w:rPr>
              <w:t>Cash Severance</w:t>
            </w:r>
            <w:r>
              <w:rPr>
                <w:rFonts w:ascii="Arial" w:cs="Arial" w:eastAsia="Arial" w:hAnsi="Arial"/>
                <w:sz w:val="21"/>
                <w:szCs w:val="21"/>
                <w:color w:val="4D5357"/>
                <w:vertAlign w:val="superscript"/>
              </w:rPr>
              <w:t>2</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4,478,175</w:t>
            </w: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3380" w:type="dxa"/>
            <w:vAlign w:val="bottom"/>
          </w:tcPr>
          <w:p>
            <w:pPr>
              <w:ind w:left="120"/>
              <w:spacing w:after="0" w:line="193" w:lineRule="exact"/>
              <w:rPr>
                <w:sz w:val="20"/>
                <w:szCs w:val="20"/>
                <w:color w:val="auto"/>
              </w:rPr>
            </w:pPr>
            <w:r>
              <w:rPr>
                <w:rFonts w:ascii="Arial" w:cs="Arial" w:eastAsia="Arial" w:hAnsi="Arial"/>
                <w:sz w:val="14"/>
                <w:szCs w:val="14"/>
                <w:color w:val="4D5357"/>
              </w:rPr>
              <w:t>Unvested RSUs</w:t>
            </w:r>
            <w:r>
              <w:rPr>
                <w:rFonts w:ascii="Arial" w:cs="Arial" w:eastAsia="Arial" w:hAnsi="Arial"/>
                <w:sz w:val="21"/>
                <w:szCs w:val="21"/>
                <w:color w:val="4D5357"/>
                <w:vertAlign w:val="superscript"/>
              </w:rPr>
              <w:t>3</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3,586,430</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3,586,430</w:t>
            </w:r>
          </w:p>
        </w:tc>
        <w:tc>
          <w:tcPr>
            <w:tcW w:w="880" w:type="dxa"/>
            <w:vAlign w:val="bottom"/>
          </w:tcPr>
          <w:p>
            <w:pPr>
              <w:jc w:val="right"/>
              <w:spacing w:after="0"/>
              <w:rPr>
                <w:sz w:val="20"/>
                <w:szCs w:val="20"/>
                <w:color w:val="auto"/>
              </w:rPr>
            </w:pPr>
            <w:r>
              <w:rPr>
                <w:rFonts w:ascii="Arial" w:cs="Arial" w:eastAsia="Arial" w:hAnsi="Arial"/>
                <w:sz w:val="14"/>
                <w:szCs w:val="14"/>
                <w:color w:val="4D5357"/>
              </w:rPr>
              <w:t>3,586,430</w:t>
            </w:r>
          </w:p>
        </w:tc>
        <w:tc>
          <w:tcPr>
            <w:tcW w:w="860" w:type="dxa"/>
            <w:vAlign w:val="bottom"/>
          </w:tcPr>
          <w:p>
            <w:pPr>
              <w:jc w:val="right"/>
              <w:spacing w:after="0"/>
              <w:rPr>
                <w:sz w:val="20"/>
                <w:szCs w:val="20"/>
                <w:color w:val="auto"/>
              </w:rPr>
            </w:pPr>
            <w:r>
              <w:rPr>
                <w:rFonts w:ascii="Arial" w:cs="Arial" w:eastAsia="Arial" w:hAnsi="Arial"/>
                <w:sz w:val="14"/>
                <w:szCs w:val="14"/>
                <w:color w:val="4D5357"/>
              </w:rPr>
              <w:t>3,586,430</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4"/>
                <w:szCs w:val="14"/>
                <w:color w:val="4D5357"/>
              </w:rPr>
              <w:t>Unexercisable Stock Options</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Unvested Incentive Stock Plan Units</w:t>
            </w:r>
            <w:r>
              <w:rPr>
                <w:rFonts w:ascii="Arial" w:cs="Arial" w:eastAsia="Arial" w:hAnsi="Arial"/>
                <w:sz w:val="21"/>
                <w:szCs w:val="21"/>
                <w:color w:val="4D5357"/>
                <w:vertAlign w:val="superscript"/>
              </w:rPr>
              <w:t>4</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PSUs</w:t>
            </w:r>
            <w:r>
              <w:rPr>
                <w:rFonts w:ascii="Arial" w:cs="Arial" w:eastAsia="Arial" w:hAnsi="Arial"/>
                <w:sz w:val="21"/>
                <w:szCs w:val="21"/>
                <w:color w:val="4D5357"/>
                <w:vertAlign w:val="superscript"/>
              </w:rPr>
              <w:t>5</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1,109,888</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1,109,888</w:t>
            </w:r>
          </w:p>
        </w:tc>
        <w:tc>
          <w:tcPr>
            <w:tcW w:w="880" w:type="dxa"/>
            <w:vAlign w:val="bottom"/>
          </w:tcPr>
          <w:p>
            <w:pPr>
              <w:jc w:val="right"/>
              <w:spacing w:after="0"/>
              <w:rPr>
                <w:sz w:val="20"/>
                <w:szCs w:val="20"/>
                <w:color w:val="auto"/>
              </w:rPr>
            </w:pPr>
            <w:r>
              <w:rPr>
                <w:rFonts w:ascii="Arial" w:cs="Arial" w:eastAsia="Arial" w:hAnsi="Arial"/>
                <w:sz w:val="14"/>
                <w:szCs w:val="14"/>
                <w:color w:val="4D5357"/>
              </w:rPr>
              <w:t>1,109,888</w:t>
            </w:r>
          </w:p>
        </w:tc>
        <w:tc>
          <w:tcPr>
            <w:tcW w:w="860" w:type="dxa"/>
            <w:vAlign w:val="bottom"/>
          </w:tcPr>
          <w:p>
            <w:pPr>
              <w:jc w:val="right"/>
              <w:spacing w:after="0"/>
              <w:rPr>
                <w:sz w:val="20"/>
                <w:szCs w:val="20"/>
                <w:color w:val="auto"/>
              </w:rPr>
            </w:pPr>
            <w:r>
              <w:rPr>
                <w:rFonts w:ascii="Arial" w:cs="Arial" w:eastAsia="Arial" w:hAnsi="Arial"/>
                <w:sz w:val="14"/>
                <w:szCs w:val="14"/>
                <w:color w:val="4D5357"/>
              </w:rPr>
              <w:t>1,109,888</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Retirement Plans</w:t>
            </w:r>
            <w:r>
              <w:rPr>
                <w:rFonts w:ascii="Arial" w:cs="Arial" w:eastAsia="Arial" w:hAnsi="Arial"/>
                <w:sz w:val="21"/>
                <w:szCs w:val="21"/>
                <w:color w:val="4D5357"/>
                <w:vertAlign w:val="superscript"/>
              </w:rPr>
              <w:t>6</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1,074,426</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6,024,446</w:t>
            </w:r>
          </w:p>
        </w:tc>
        <w:tc>
          <w:tcPr>
            <w:tcW w:w="0" w:type="dxa"/>
            <w:vAlign w:val="bottom"/>
          </w:tcPr>
          <w:p>
            <w:pPr>
              <w:spacing w:after="0"/>
              <w:rPr>
                <w:sz w:val="1"/>
                <w:szCs w:val="1"/>
                <w:color w:val="auto"/>
              </w:rPr>
            </w:pPr>
          </w:p>
        </w:tc>
      </w:tr>
      <w:tr>
        <w:trPr>
          <w:trHeight w:val="202"/>
        </w:trPr>
        <w:tc>
          <w:tcPr>
            <w:tcW w:w="1600" w:type="dxa"/>
            <w:vAlign w:val="bottom"/>
            <w:tcBorders>
              <w:bottom w:val="single" w:sz="8" w:color="4D5357"/>
            </w:tcBorders>
          </w:tcPr>
          <w:p>
            <w:pPr>
              <w:spacing w:after="0"/>
              <w:rPr>
                <w:sz w:val="17"/>
                <w:szCs w:val="17"/>
                <w:color w:val="auto"/>
              </w:rPr>
            </w:pPr>
          </w:p>
        </w:tc>
        <w:tc>
          <w:tcPr>
            <w:tcW w:w="3380" w:type="dxa"/>
            <w:vAlign w:val="bottom"/>
            <w:tcBorders>
              <w:bottom w:val="single" w:sz="8" w:color="4D5357"/>
            </w:tcBorders>
          </w:tcPr>
          <w:p>
            <w:pPr>
              <w:ind w:left="120"/>
              <w:spacing w:after="0" w:line="202" w:lineRule="exact"/>
              <w:rPr>
                <w:sz w:val="20"/>
                <w:szCs w:val="20"/>
                <w:color w:val="auto"/>
              </w:rPr>
            </w:pPr>
            <w:r>
              <w:rPr>
                <w:rFonts w:ascii="Arial" w:cs="Arial" w:eastAsia="Arial" w:hAnsi="Arial"/>
                <w:sz w:val="14"/>
                <w:szCs w:val="14"/>
                <w:color w:val="4D5357"/>
              </w:rPr>
              <w:t>Health and Welfare Benefits</w:t>
            </w:r>
            <w:r>
              <w:rPr>
                <w:rFonts w:ascii="Arial" w:cs="Arial" w:eastAsia="Arial" w:hAnsi="Arial"/>
                <w:sz w:val="21"/>
                <w:szCs w:val="21"/>
                <w:color w:val="4D5357"/>
                <w:vertAlign w:val="superscript"/>
              </w:rPr>
              <w:t>7</w:t>
            </w:r>
          </w:p>
        </w:tc>
        <w:tc>
          <w:tcPr>
            <w:tcW w:w="1840" w:type="dxa"/>
            <w:vAlign w:val="bottom"/>
            <w:tcBorders>
              <w:bottom w:val="single" w:sz="8" w:color="4D5357"/>
            </w:tcBorders>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Borders>
              <w:bottom w:val="single" w:sz="8" w:color="4D5357"/>
            </w:tcBorders>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Borders>
              <w:bottom w:val="single" w:sz="8" w:color="4D5357"/>
            </w:tcBorders>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w:t>
            </w:r>
          </w:p>
        </w:tc>
        <w:tc>
          <w:tcPr>
            <w:tcW w:w="86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26,749</w:t>
            </w:r>
          </w:p>
        </w:tc>
        <w:tc>
          <w:tcPr>
            <w:tcW w:w="0" w:type="dxa"/>
            <w:vAlign w:val="bottom"/>
          </w:tcPr>
          <w:p>
            <w:pPr>
              <w:spacing w:after="0"/>
              <w:rPr>
                <w:sz w:val="1"/>
                <w:szCs w:val="1"/>
                <w:color w:val="auto"/>
              </w:rPr>
            </w:pPr>
          </w:p>
        </w:tc>
      </w:tr>
      <w:tr>
        <w:trPr>
          <w:trHeight w:val="223"/>
        </w:trPr>
        <w:tc>
          <w:tcPr>
            <w:tcW w:w="1600" w:type="dxa"/>
            <w:vAlign w:val="bottom"/>
          </w:tcPr>
          <w:p>
            <w:pPr>
              <w:ind w:left="60"/>
              <w:spacing w:after="0"/>
              <w:rPr>
                <w:sz w:val="20"/>
                <w:szCs w:val="20"/>
                <w:color w:val="auto"/>
              </w:rPr>
            </w:pPr>
            <w:r>
              <w:rPr>
                <w:rFonts w:ascii="Arial" w:cs="Arial" w:eastAsia="Arial" w:hAnsi="Arial"/>
                <w:sz w:val="14"/>
                <w:szCs w:val="14"/>
                <w:b w:val="1"/>
                <w:bCs w:val="1"/>
                <w:color w:val="4D5357"/>
              </w:rPr>
              <w:t>Robert J. Cardin</w:t>
            </w:r>
          </w:p>
        </w:tc>
        <w:tc>
          <w:tcPr>
            <w:tcW w:w="3380" w:type="dxa"/>
            <w:vAlign w:val="bottom"/>
          </w:tcPr>
          <w:p>
            <w:pPr>
              <w:ind w:left="120"/>
              <w:spacing w:after="0" w:line="223" w:lineRule="exact"/>
              <w:rPr>
                <w:sz w:val="20"/>
                <w:szCs w:val="20"/>
                <w:color w:val="auto"/>
              </w:rPr>
            </w:pPr>
            <w:r>
              <w:rPr>
                <w:rFonts w:ascii="Arial" w:cs="Arial" w:eastAsia="Arial" w:hAnsi="Arial"/>
                <w:sz w:val="14"/>
                <w:szCs w:val="14"/>
                <w:color w:val="4D5357"/>
              </w:rPr>
              <w:t>Cash Severance</w:t>
            </w:r>
            <w:r>
              <w:rPr>
                <w:rFonts w:ascii="Arial" w:cs="Arial" w:eastAsia="Arial" w:hAnsi="Arial"/>
                <w:sz w:val="21"/>
                <w:szCs w:val="21"/>
                <w:color w:val="4D5357"/>
                <w:vertAlign w:val="superscript"/>
              </w:rPr>
              <w:t>2</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4,201,224</w:t>
            </w: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3380" w:type="dxa"/>
            <w:vAlign w:val="bottom"/>
          </w:tcPr>
          <w:p>
            <w:pPr>
              <w:ind w:left="120"/>
              <w:spacing w:after="0" w:line="193" w:lineRule="exact"/>
              <w:rPr>
                <w:sz w:val="20"/>
                <w:szCs w:val="20"/>
                <w:color w:val="auto"/>
              </w:rPr>
            </w:pPr>
            <w:r>
              <w:rPr>
                <w:rFonts w:ascii="Arial" w:cs="Arial" w:eastAsia="Arial" w:hAnsi="Arial"/>
                <w:sz w:val="14"/>
                <w:szCs w:val="14"/>
                <w:color w:val="4D5357"/>
              </w:rPr>
              <w:t>Unvested RSUs</w:t>
            </w:r>
            <w:r>
              <w:rPr>
                <w:rFonts w:ascii="Arial" w:cs="Arial" w:eastAsia="Arial" w:hAnsi="Arial"/>
                <w:sz w:val="21"/>
                <w:szCs w:val="21"/>
                <w:color w:val="4D5357"/>
                <w:vertAlign w:val="superscript"/>
              </w:rPr>
              <w:t>3</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2,759,082</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2,759,082</w:t>
            </w:r>
          </w:p>
        </w:tc>
        <w:tc>
          <w:tcPr>
            <w:tcW w:w="880" w:type="dxa"/>
            <w:vAlign w:val="bottom"/>
          </w:tcPr>
          <w:p>
            <w:pPr>
              <w:jc w:val="right"/>
              <w:spacing w:after="0"/>
              <w:rPr>
                <w:sz w:val="20"/>
                <w:szCs w:val="20"/>
                <w:color w:val="auto"/>
              </w:rPr>
            </w:pPr>
            <w:r>
              <w:rPr>
                <w:rFonts w:ascii="Arial" w:cs="Arial" w:eastAsia="Arial" w:hAnsi="Arial"/>
                <w:sz w:val="14"/>
                <w:szCs w:val="14"/>
                <w:color w:val="4D5357"/>
              </w:rPr>
              <w:t>2,759,082</w:t>
            </w:r>
          </w:p>
        </w:tc>
        <w:tc>
          <w:tcPr>
            <w:tcW w:w="860" w:type="dxa"/>
            <w:vAlign w:val="bottom"/>
          </w:tcPr>
          <w:p>
            <w:pPr>
              <w:jc w:val="right"/>
              <w:spacing w:after="0"/>
              <w:rPr>
                <w:sz w:val="20"/>
                <w:szCs w:val="20"/>
                <w:color w:val="auto"/>
              </w:rPr>
            </w:pPr>
            <w:r>
              <w:rPr>
                <w:rFonts w:ascii="Arial" w:cs="Arial" w:eastAsia="Arial" w:hAnsi="Arial"/>
                <w:sz w:val="14"/>
                <w:szCs w:val="14"/>
                <w:color w:val="4D5357"/>
              </w:rPr>
              <w:t>2,759,082</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4"/>
                <w:szCs w:val="14"/>
                <w:color w:val="4D5357"/>
              </w:rPr>
              <w:t>Unexercisable Stock Options</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Unvested Incentive Stock Plan Units</w:t>
            </w:r>
            <w:r>
              <w:rPr>
                <w:rFonts w:ascii="Arial" w:cs="Arial" w:eastAsia="Arial" w:hAnsi="Arial"/>
                <w:sz w:val="21"/>
                <w:szCs w:val="21"/>
                <w:color w:val="4D5357"/>
                <w:vertAlign w:val="superscript"/>
              </w:rPr>
              <w:t>4</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PSUs</w:t>
            </w:r>
            <w:r>
              <w:rPr>
                <w:rFonts w:ascii="Arial" w:cs="Arial" w:eastAsia="Arial" w:hAnsi="Arial"/>
                <w:sz w:val="21"/>
                <w:szCs w:val="21"/>
                <w:color w:val="4D5357"/>
                <w:vertAlign w:val="superscript"/>
              </w:rPr>
              <w:t>5</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1,203,371</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1,203,371</w:t>
            </w:r>
          </w:p>
        </w:tc>
        <w:tc>
          <w:tcPr>
            <w:tcW w:w="880" w:type="dxa"/>
            <w:vAlign w:val="bottom"/>
          </w:tcPr>
          <w:p>
            <w:pPr>
              <w:jc w:val="right"/>
              <w:spacing w:after="0"/>
              <w:rPr>
                <w:sz w:val="20"/>
                <w:szCs w:val="20"/>
                <w:color w:val="auto"/>
              </w:rPr>
            </w:pPr>
            <w:r>
              <w:rPr>
                <w:rFonts w:ascii="Arial" w:cs="Arial" w:eastAsia="Arial" w:hAnsi="Arial"/>
                <w:sz w:val="14"/>
                <w:szCs w:val="14"/>
                <w:color w:val="4D5357"/>
              </w:rPr>
              <w:t>1,203,371</w:t>
            </w:r>
          </w:p>
        </w:tc>
        <w:tc>
          <w:tcPr>
            <w:tcW w:w="860" w:type="dxa"/>
            <w:vAlign w:val="bottom"/>
          </w:tcPr>
          <w:p>
            <w:pPr>
              <w:jc w:val="right"/>
              <w:spacing w:after="0"/>
              <w:rPr>
                <w:sz w:val="20"/>
                <w:szCs w:val="20"/>
                <w:color w:val="auto"/>
              </w:rPr>
            </w:pPr>
            <w:r>
              <w:rPr>
                <w:rFonts w:ascii="Arial" w:cs="Arial" w:eastAsia="Arial" w:hAnsi="Arial"/>
                <w:sz w:val="14"/>
                <w:szCs w:val="14"/>
                <w:color w:val="4D5357"/>
              </w:rPr>
              <w:t>1,203,371</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Retirement Plans</w:t>
            </w:r>
            <w:r>
              <w:rPr>
                <w:rFonts w:ascii="Arial" w:cs="Arial" w:eastAsia="Arial" w:hAnsi="Arial"/>
                <w:sz w:val="21"/>
                <w:szCs w:val="21"/>
                <w:color w:val="4D5357"/>
                <w:vertAlign w:val="superscript"/>
              </w:rPr>
              <w:t>6</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119,115</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2,593,834</w:t>
            </w:r>
          </w:p>
        </w:tc>
        <w:tc>
          <w:tcPr>
            <w:tcW w:w="0" w:type="dxa"/>
            <w:vAlign w:val="bottom"/>
          </w:tcPr>
          <w:p>
            <w:pPr>
              <w:spacing w:after="0"/>
              <w:rPr>
                <w:sz w:val="1"/>
                <w:szCs w:val="1"/>
                <w:color w:val="auto"/>
              </w:rPr>
            </w:pPr>
          </w:p>
        </w:tc>
      </w:tr>
      <w:tr>
        <w:trPr>
          <w:trHeight w:val="202"/>
        </w:trPr>
        <w:tc>
          <w:tcPr>
            <w:tcW w:w="1600" w:type="dxa"/>
            <w:vAlign w:val="bottom"/>
            <w:tcBorders>
              <w:bottom w:val="single" w:sz="8" w:color="4D5357"/>
            </w:tcBorders>
          </w:tcPr>
          <w:p>
            <w:pPr>
              <w:spacing w:after="0"/>
              <w:rPr>
                <w:sz w:val="17"/>
                <w:szCs w:val="17"/>
                <w:color w:val="auto"/>
              </w:rPr>
            </w:pPr>
          </w:p>
        </w:tc>
        <w:tc>
          <w:tcPr>
            <w:tcW w:w="3380" w:type="dxa"/>
            <w:vAlign w:val="bottom"/>
            <w:tcBorders>
              <w:bottom w:val="single" w:sz="8" w:color="4D5357"/>
            </w:tcBorders>
          </w:tcPr>
          <w:p>
            <w:pPr>
              <w:ind w:left="120"/>
              <w:spacing w:after="0" w:line="202" w:lineRule="exact"/>
              <w:rPr>
                <w:sz w:val="20"/>
                <w:szCs w:val="20"/>
                <w:color w:val="auto"/>
              </w:rPr>
            </w:pPr>
            <w:r>
              <w:rPr>
                <w:rFonts w:ascii="Arial" w:cs="Arial" w:eastAsia="Arial" w:hAnsi="Arial"/>
                <w:sz w:val="14"/>
                <w:szCs w:val="14"/>
                <w:color w:val="4D5357"/>
              </w:rPr>
              <w:t>Health and Welfare Benefits</w:t>
            </w:r>
            <w:r>
              <w:rPr>
                <w:rFonts w:ascii="Arial" w:cs="Arial" w:eastAsia="Arial" w:hAnsi="Arial"/>
                <w:sz w:val="21"/>
                <w:szCs w:val="21"/>
                <w:color w:val="4D5357"/>
                <w:vertAlign w:val="superscript"/>
              </w:rPr>
              <w:t>7</w:t>
            </w:r>
          </w:p>
        </w:tc>
        <w:tc>
          <w:tcPr>
            <w:tcW w:w="1840" w:type="dxa"/>
            <w:vAlign w:val="bottom"/>
            <w:tcBorders>
              <w:bottom w:val="single" w:sz="8" w:color="4D5357"/>
            </w:tcBorders>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Borders>
              <w:bottom w:val="single" w:sz="8" w:color="4D5357"/>
            </w:tcBorders>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Borders>
              <w:bottom w:val="single" w:sz="8" w:color="4D5357"/>
            </w:tcBorders>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w:t>
            </w:r>
          </w:p>
        </w:tc>
        <w:tc>
          <w:tcPr>
            <w:tcW w:w="86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69,739</w:t>
            </w:r>
          </w:p>
        </w:tc>
        <w:tc>
          <w:tcPr>
            <w:tcW w:w="0" w:type="dxa"/>
            <w:vAlign w:val="bottom"/>
          </w:tcPr>
          <w:p>
            <w:pPr>
              <w:spacing w:after="0"/>
              <w:rPr>
                <w:sz w:val="1"/>
                <w:szCs w:val="1"/>
                <w:color w:val="auto"/>
              </w:rPr>
            </w:pPr>
          </w:p>
        </w:tc>
      </w:tr>
      <w:tr>
        <w:trPr>
          <w:trHeight w:val="223"/>
        </w:trPr>
        <w:tc>
          <w:tcPr>
            <w:tcW w:w="1600" w:type="dxa"/>
            <w:vAlign w:val="bottom"/>
          </w:tcPr>
          <w:p>
            <w:pPr>
              <w:ind w:left="60"/>
              <w:spacing w:after="0"/>
              <w:rPr>
                <w:sz w:val="20"/>
                <w:szCs w:val="20"/>
                <w:color w:val="auto"/>
              </w:rPr>
            </w:pPr>
            <w:r>
              <w:rPr>
                <w:rFonts w:ascii="Arial" w:cs="Arial" w:eastAsia="Arial" w:hAnsi="Arial"/>
                <w:sz w:val="14"/>
                <w:szCs w:val="14"/>
                <w:b w:val="1"/>
                <w:bCs w:val="1"/>
                <w:color w:val="4D5357"/>
              </w:rPr>
              <w:t>Donald A. McCunniff</w:t>
            </w:r>
          </w:p>
        </w:tc>
        <w:tc>
          <w:tcPr>
            <w:tcW w:w="3380" w:type="dxa"/>
            <w:vAlign w:val="bottom"/>
          </w:tcPr>
          <w:p>
            <w:pPr>
              <w:ind w:left="120"/>
              <w:spacing w:after="0" w:line="223" w:lineRule="exact"/>
              <w:rPr>
                <w:sz w:val="20"/>
                <w:szCs w:val="20"/>
                <w:color w:val="auto"/>
              </w:rPr>
            </w:pPr>
            <w:r>
              <w:rPr>
                <w:rFonts w:ascii="Arial" w:cs="Arial" w:eastAsia="Arial" w:hAnsi="Arial"/>
                <w:sz w:val="14"/>
                <w:szCs w:val="14"/>
                <w:color w:val="4D5357"/>
              </w:rPr>
              <w:t>Cash Severance</w:t>
            </w:r>
            <w:r>
              <w:rPr>
                <w:rFonts w:ascii="Arial" w:cs="Arial" w:eastAsia="Arial" w:hAnsi="Arial"/>
                <w:sz w:val="21"/>
                <w:szCs w:val="21"/>
                <w:color w:val="4D5357"/>
                <w:vertAlign w:val="superscript"/>
              </w:rPr>
              <w:t>2</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3,017,250</w:t>
            </w: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3380" w:type="dxa"/>
            <w:vAlign w:val="bottom"/>
          </w:tcPr>
          <w:p>
            <w:pPr>
              <w:ind w:left="120"/>
              <w:spacing w:after="0" w:line="193" w:lineRule="exact"/>
              <w:rPr>
                <w:sz w:val="20"/>
                <w:szCs w:val="20"/>
                <w:color w:val="auto"/>
              </w:rPr>
            </w:pPr>
            <w:r>
              <w:rPr>
                <w:rFonts w:ascii="Arial" w:cs="Arial" w:eastAsia="Arial" w:hAnsi="Arial"/>
                <w:sz w:val="14"/>
                <w:szCs w:val="14"/>
                <w:color w:val="4D5357"/>
              </w:rPr>
              <w:t>Unvested RSUs</w:t>
            </w:r>
            <w:r>
              <w:rPr>
                <w:rFonts w:ascii="Arial" w:cs="Arial" w:eastAsia="Arial" w:hAnsi="Arial"/>
                <w:sz w:val="21"/>
                <w:szCs w:val="21"/>
                <w:color w:val="4D5357"/>
                <w:vertAlign w:val="superscript"/>
              </w:rPr>
              <w:t>3</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965,602</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965,602</w:t>
            </w:r>
          </w:p>
        </w:tc>
        <w:tc>
          <w:tcPr>
            <w:tcW w:w="880" w:type="dxa"/>
            <w:vAlign w:val="bottom"/>
          </w:tcPr>
          <w:p>
            <w:pPr>
              <w:jc w:val="right"/>
              <w:spacing w:after="0"/>
              <w:rPr>
                <w:sz w:val="20"/>
                <w:szCs w:val="20"/>
                <w:color w:val="auto"/>
              </w:rPr>
            </w:pPr>
            <w:r>
              <w:rPr>
                <w:rFonts w:ascii="Arial" w:cs="Arial" w:eastAsia="Arial" w:hAnsi="Arial"/>
                <w:sz w:val="14"/>
                <w:szCs w:val="14"/>
                <w:color w:val="4D5357"/>
              </w:rPr>
              <w:t>965,602</w:t>
            </w:r>
          </w:p>
        </w:tc>
        <w:tc>
          <w:tcPr>
            <w:tcW w:w="860" w:type="dxa"/>
            <w:vAlign w:val="bottom"/>
          </w:tcPr>
          <w:p>
            <w:pPr>
              <w:jc w:val="right"/>
              <w:spacing w:after="0"/>
              <w:rPr>
                <w:sz w:val="20"/>
                <w:szCs w:val="20"/>
                <w:color w:val="auto"/>
              </w:rPr>
            </w:pPr>
            <w:r>
              <w:rPr>
                <w:rFonts w:ascii="Arial" w:cs="Arial" w:eastAsia="Arial" w:hAnsi="Arial"/>
                <w:sz w:val="14"/>
                <w:szCs w:val="14"/>
                <w:color w:val="4D5357"/>
              </w:rPr>
              <w:t>965,602</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4"/>
                <w:szCs w:val="14"/>
                <w:color w:val="4D5357"/>
              </w:rPr>
              <w:t>Unexercisable Stock Options</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Unvested Incentive Stock Plan Units</w:t>
            </w:r>
            <w:r>
              <w:rPr>
                <w:rFonts w:ascii="Arial" w:cs="Arial" w:eastAsia="Arial" w:hAnsi="Arial"/>
                <w:sz w:val="21"/>
                <w:szCs w:val="21"/>
                <w:color w:val="4D5357"/>
                <w:vertAlign w:val="superscript"/>
              </w:rPr>
              <w:t>4</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PSUs</w:t>
            </w:r>
            <w:r>
              <w:rPr>
                <w:rFonts w:ascii="Arial" w:cs="Arial" w:eastAsia="Arial" w:hAnsi="Arial"/>
                <w:sz w:val="21"/>
                <w:szCs w:val="21"/>
                <w:color w:val="4D5357"/>
                <w:vertAlign w:val="superscript"/>
              </w:rPr>
              <w:t>5</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1,179,822</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1,179,822</w:t>
            </w:r>
          </w:p>
        </w:tc>
        <w:tc>
          <w:tcPr>
            <w:tcW w:w="880" w:type="dxa"/>
            <w:vAlign w:val="bottom"/>
          </w:tcPr>
          <w:p>
            <w:pPr>
              <w:jc w:val="right"/>
              <w:spacing w:after="0"/>
              <w:rPr>
                <w:sz w:val="20"/>
                <w:szCs w:val="20"/>
                <w:color w:val="auto"/>
              </w:rPr>
            </w:pPr>
            <w:r>
              <w:rPr>
                <w:rFonts w:ascii="Arial" w:cs="Arial" w:eastAsia="Arial" w:hAnsi="Arial"/>
                <w:sz w:val="14"/>
                <w:szCs w:val="14"/>
                <w:color w:val="4D5357"/>
              </w:rPr>
              <w:t>1,179,822</w:t>
            </w:r>
          </w:p>
        </w:tc>
        <w:tc>
          <w:tcPr>
            <w:tcW w:w="860" w:type="dxa"/>
            <w:vAlign w:val="bottom"/>
          </w:tcPr>
          <w:p>
            <w:pPr>
              <w:jc w:val="right"/>
              <w:spacing w:after="0"/>
              <w:rPr>
                <w:sz w:val="20"/>
                <w:szCs w:val="20"/>
                <w:color w:val="auto"/>
              </w:rPr>
            </w:pPr>
            <w:r>
              <w:rPr>
                <w:rFonts w:ascii="Arial" w:cs="Arial" w:eastAsia="Arial" w:hAnsi="Arial"/>
                <w:sz w:val="14"/>
                <w:szCs w:val="14"/>
                <w:color w:val="4D5357"/>
              </w:rPr>
              <w:t>1,179,822</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Retirement Plans</w:t>
            </w:r>
            <w:r>
              <w:rPr>
                <w:rFonts w:ascii="Arial" w:cs="Arial" w:eastAsia="Arial" w:hAnsi="Arial"/>
                <w:sz w:val="21"/>
                <w:szCs w:val="21"/>
                <w:color w:val="4D5357"/>
                <w:vertAlign w:val="superscript"/>
              </w:rPr>
              <w:t>6</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1,042,273</w:t>
            </w:r>
          </w:p>
        </w:tc>
        <w:tc>
          <w:tcPr>
            <w:tcW w:w="860" w:type="dxa"/>
            <w:vAlign w:val="bottom"/>
          </w:tcPr>
          <w:p>
            <w:pPr>
              <w:jc w:val="right"/>
              <w:spacing w:after="0"/>
              <w:rPr>
                <w:sz w:val="20"/>
                <w:szCs w:val="20"/>
                <w:color w:val="auto"/>
              </w:rPr>
            </w:pPr>
            <w:r>
              <w:rPr>
                <w:rFonts w:ascii="Arial" w:cs="Arial" w:eastAsia="Arial" w:hAnsi="Arial"/>
                <w:sz w:val="14"/>
                <w:szCs w:val="14"/>
                <w:color w:val="4D5357"/>
              </w:rPr>
              <w:t>1,452,528</w:t>
            </w:r>
          </w:p>
        </w:tc>
        <w:tc>
          <w:tcPr>
            <w:tcW w:w="0" w:type="dxa"/>
            <w:vAlign w:val="bottom"/>
          </w:tcPr>
          <w:p>
            <w:pPr>
              <w:spacing w:after="0"/>
              <w:rPr>
                <w:sz w:val="1"/>
                <w:szCs w:val="1"/>
                <w:color w:val="auto"/>
              </w:rPr>
            </w:pPr>
          </w:p>
        </w:tc>
      </w:tr>
      <w:tr>
        <w:trPr>
          <w:trHeight w:val="202"/>
        </w:trPr>
        <w:tc>
          <w:tcPr>
            <w:tcW w:w="1600" w:type="dxa"/>
            <w:vAlign w:val="bottom"/>
            <w:tcBorders>
              <w:bottom w:val="single" w:sz="8" w:color="4D5357"/>
            </w:tcBorders>
          </w:tcPr>
          <w:p>
            <w:pPr>
              <w:spacing w:after="0"/>
              <w:rPr>
                <w:sz w:val="17"/>
                <w:szCs w:val="17"/>
                <w:color w:val="auto"/>
              </w:rPr>
            </w:pPr>
          </w:p>
        </w:tc>
        <w:tc>
          <w:tcPr>
            <w:tcW w:w="3380" w:type="dxa"/>
            <w:vAlign w:val="bottom"/>
            <w:tcBorders>
              <w:bottom w:val="single" w:sz="8" w:color="4D5357"/>
            </w:tcBorders>
          </w:tcPr>
          <w:p>
            <w:pPr>
              <w:ind w:left="120"/>
              <w:spacing w:after="0" w:line="202" w:lineRule="exact"/>
              <w:rPr>
                <w:sz w:val="20"/>
                <w:szCs w:val="20"/>
                <w:color w:val="auto"/>
              </w:rPr>
            </w:pPr>
            <w:r>
              <w:rPr>
                <w:rFonts w:ascii="Arial" w:cs="Arial" w:eastAsia="Arial" w:hAnsi="Arial"/>
                <w:sz w:val="14"/>
                <w:szCs w:val="14"/>
                <w:color w:val="4D5357"/>
              </w:rPr>
              <w:t>Health and Welfare Benefits</w:t>
            </w:r>
            <w:r>
              <w:rPr>
                <w:rFonts w:ascii="Arial" w:cs="Arial" w:eastAsia="Arial" w:hAnsi="Arial"/>
                <w:sz w:val="21"/>
                <w:szCs w:val="21"/>
                <w:color w:val="4D5357"/>
                <w:vertAlign w:val="superscript"/>
              </w:rPr>
              <w:t>7</w:t>
            </w:r>
          </w:p>
        </w:tc>
        <w:tc>
          <w:tcPr>
            <w:tcW w:w="1840" w:type="dxa"/>
            <w:vAlign w:val="bottom"/>
            <w:tcBorders>
              <w:bottom w:val="single" w:sz="8" w:color="4D5357"/>
            </w:tcBorders>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Borders>
              <w:bottom w:val="single" w:sz="8" w:color="4D5357"/>
            </w:tcBorders>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Borders>
              <w:bottom w:val="single" w:sz="8" w:color="4D5357"/>
            </w:tcBorders>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w:t>
            </w:r>
          </w:p>
        </w:tc>
        <w:tc>
          <w:tcPr>
            <w:tcW w:w="86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10,321</w:t>
            </w:r>
          </w:p>
        </w:tc>
        <w:tc>
          <w:tcPr>
            <w:tcW w:w="0" w:type="dxa"/>
            <w:vAlign w:val="bottom"/>
          </w:tcPr>
          <w:p>
            <w:pPr>
              <w:spacing w:after="0"/>
              <w:rPr>
                <w:sz w:val="1"/>
                <w:szCs w:val="1"/>
                <w:color w:val="auto"/>
              </w:rPr>
            </w:pPr>
          </w:p>
        </w:tc>
      </w:tr>
      <w:tr>
        <w:trPr>
          <w:trHeight w:val="223"/>
        </w:trPr>
        <w:tc>
          <w:tcPr>
            <w:tcW w:w="1600" w:type="dxa"/>
            <w:vAlign w:val="bottom"/>
          </w:tcPr>
          <w:p>
            <w:pPr>
              <w:ind w:left="60"/>
              <w:spacing w:after="0"/>
              <w:rPr>
                <w:sz w:val="20"/>
                <w:szCs w:val="20"/>
                <w:color w:val="auto"/>
              </w:rPr>
            </w:pPr>
            <w:r>
              <w:rPr>
                <w:rFonts w:ascii="Arial" w:cs="Arial" w:eastAsia="Arial" w:hAnsi="Arial"/>
                <w:sz w:val="14"/>
                <w:szCs w:val="14"/>
                <w:b w:val="1"/>
                <w:bCs w:val="1"/>
                <w:color w:val="4D5357"/>
              </w:rPr>
              <w:t>Jason P. Flynn</w:t>
            </w:r>
          </w:p>
        </w:tc>
        <w:tc>
          <w:tcPr>
            <w:tcW w:w="3380" w:type="dxa"/>
            <w:vAlign w:val="bottom"/>
          </w:tcPr>
          <w:p>
            <w:pPr>
              <w:ind w:left="120"/>
              <w:spacing w:after="0" w:line="223" w:lineRule="exact"/>
              <w:rPr>
                <w:sz w:val="20"/>
                <w:szCs w:val="20"/>
                <w:color w:val="auto"/>
              </w:rPr>
            </w:pPr>
            <w:r>
              <w:rPr>
                <w:rFonts w:ascii="Arial" w:cs="Arial" w:eastAsia="Arial" w:hAnsi="Arial"/>
                <w:sz w:val="14"/>
                <w:szCs w:val="14"/>
                <w:color w:val="4D5357"/>
              </w:rPr>
              <w:t>Cash Severance</w:t>
            </w:r>
            <w:r>
              <w:rPr>
                <w:rFonts w:ascii="Arial" w:cs="Arial" w:eastAsia="Arial" w:hAnsi="Arial"/>
                <w:sz w:val="21"/>
                <w:szCs w:val="21"/>
                <w:color w:val="4D5357"/>
                <w:vertAlign w:val="superscript"/>
              </w:rPr>
              <w:t>2</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3,111,588</w:t>
            </w: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3380" w:type="dxa"/>
            <w:vAlign w:val="bottom"/>
          </w:tcPr>
          <w:p>
            <w:pPr>
              <w:ind w:left="120"/>
              <w:spacing w:after="0" w:line="193" w:lineRule="exact"/>
              <w:rPr>
                <w:sz w:val="20"/>
                <w:szCs w:val="20"/>
                <w:color w:val="auto"/>
              </w:rPr>
            </w:pPr>
            <w:r>
              <w:rPr>
                <w:rFonts w:ascii="Arial" w:cs="Arial" w:eastAsia="Arial" w:hAnsi="Arial"/>
                <w:sz w:val="14"/>
                <w:szCs w:val="14"/>
                <w:color w:val="4D5357"/>
              </w:rPr>
              <w:t>Unvested RSUs</w:t>
            </w:r>
            <w:r>
              <w:rPr>
                <w:rFonts w:ascii="Arial" w:cs="Arial" w:eastAsia="Arial" w:hAnsi="Arial"/>
                <w:sz w:val="21"/>
                <w:szCs w:val="21"/>
                <w:color w:val="4D5357"/>
                <w:vertAlign w:val="superscript"/>
              </w:rPr>
              <w:t>3</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1,571,248</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1,571,248</w:t>
            </w:r>
          </w:p>
        </w:tc>
        <w:tc>
          <w:tcPr>
            <w:tcW w:w="880" w:type="dxa"/>
            <w:vAlign w:val="bottom"/>
          </w:tcPr>
          <w:p>
            <w:pPr>
              <w:jc w:val="right"/>
              <w:spacing w:after="0"/>
              <w:rPr>
                <w:sz w:val="20"/>
                <w:szCs w:val="20"/>
                <w:color w:val="auto"/>
              </w:rPr>
            </w:pPr>
            <w:r>
              <w:rPr>
                <w:rFonts w:ascii="Arial" w:cs="Arial" w:eastAsia="Arial" w:hAnsi="Arial"/>
                <w:sz w:val="14"/>
                <w:szCs w:val="14"/>
                <w:color w:val="4D5357"/>
              </w:rPr>
              <w:t>1,571,248</w:t>
            </w:r>
          </w:p>
        </w:tc>
        <w:tc>
          <w:tcPr>
            <w:tcW w:w="860" w:type="dxa"/>
            <w:vAlign w:val="bottom"/>
          </w:tcPr>
          <w:p>
            <w:pPr>
              <w:jc w:val="right"/>
              <w:spacing w:after="0"/>
              <w:rPr>
                <w:sz w:val="20"/>
                <w:szCs w:val="20"/>
                <w:color w:val="auto"/>
              </w:rPr>
            </w:pPr>
            <w:r>
              <w:rPr>
                <w:rFonts w:ascii="Arial" w:cs="Arial" w:eastAsia="Arial" w:hAnsi="Arial"/>
                <w:sz w:val="14"/>
                <w:szCs w:val="14"/>
                <w:color w:val="4D5357"/>
              </w:rPr>
              <w:t>1,571,248</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Arial" w:cs="Arial" w:eastAsia="Arial" w:hAnsi="Arial"/>
                <w:sz w:val="14"/>
                <w:szCs w:val="14"/>
                <w:color w:val="4D5357"/>
              </w:rPr>
              <w:t>Unexercisable Stock Options</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Unvested Incentive Stock Plan Units</w:t>
            </w:r>
            <w:r>
              <w:rPr>
                <w:rFonts w:ascii="Arial" w:cs="Arial" w:eastAsia="Arial" w:hAnsi="Arial"/>
                <w:sz w:val="21"/>
                <w:szCs w:val="21"/>
                <w:color w:val="4D5357"/>
                <w:vertAlign w:val="superscript"/>
              </w:rPr>
              <w:t>4</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130,747</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775,378</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PSUs</w:t>
            </w:r>
            <w:r>
              <w:rPr>
                <w:rFonts w:ascii="Arial" w:cs="Arial" w:eastAsia="Arial" w:hAnsi="Arial"/>
                <w:sz w:val="21"/>
                <w:szCs w:val="21"/>
                <w:color w:val="4D5357"/>
                <w:vertAlign w:val="superscript"/>
              </w:rPr>
              <w:t>5</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931,704</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931,704</w:t>
            </w:r>
          </w:p>
        </w:tc>
        <w:tc>
          <w:tcPr>
            <w:tcW w:w="880" w:type="dxa"/>
            <w:vAlign w:val="bottom"/>
          </w:tcPr>
          <w:p>
            <w:pPr>
              <w:jc w:val="right"/>
              <w:spacing w:after="0"/>
              <w:rPr>
                <w:sz w:val="20"/>
                <w:szCs w:val="20"/>
                <w:color w:val="auto"/>
              </w:rPr>
            </w:pPr>
            <w:r>
              <w:rPr>
                <w:rFonts w:ascii="Arial" w:cs="Arial" w:eastAsia="Arial" w:hAnsi="Arial"/>
                <w:sz w:val="14"/>
                <w:szCs w:val="14"/>
                <w:color w:val="4D5357"/>
              </w:rPr>
              <w:t>—</w:t>
            </w:r>
          </w:p>
        </w:tc>
        <w:tc>
          <w:tcPr>
            <w:tcW w:w="860" w:type="dxa"/>
            <w:vAlign w:val="bottom"/>
          </w:tcPr>
          <w:p>
            <w:pPr>
              <w:jc w:val="right"/>
              <w:spacing w:after="0"/>
              <w:rPr>
                <w:sz w:val="20"/>
                <w:szCs w:val="20"/>
                <w:color w:val="auto"/>
              </w:rPr>
            </w:pPr>
            <w:r>
              <w:rPr>
                <w:rFonts w:ascii="Arial" w:cs="Arial" w:eastAsia="Arial" w:hAnsi="Arial"/>
                <w:sz w:val="14"/>
                <w:szCs w:val="14"/>
                <w:color w:val="4D5357"/>
              </w:rPr>
              <w:t>931,704</w:t>
            </w: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3380" w:type="dxa"/>
            <w:vAlign w:val="bottom"/>
          </w:tcPr>
          <w:p>
            <w:pPr>
              <w:ind w:left="120"/>
              <w:spacing w:after="0" w:line="189" w:lineRule="exact"/>
              <w:rPr>
                <w:sz w:val="20"/>
                <w:szCs w:val="20"/>
                <w:color w:val="auto"/>
              </w:rPr>
            </w:pPr>
            <w:r>
              <w:rPr>
                <w:rFonts w:ascii="Arial" w:cs="Arial" w:eastAsia="Arial" w:hAnsi="Arial"/>
                <w:sz w:val="14"/>
                <w:szCs w:val="14"/>
                <w:color w:val="4D5357"/>
              </w:rPr>
              <w:t>Retirement Plans</w:t>
            </w:r>
            <w:r>
              <w:rPr>
                <w:rFonts w:ascii="Arial" w:cs="Arial" w:eastAsia="Arial" w:hAnsi="Arial"/>
                <w:sz w:val="21"/>
                <w:szCs w:val="21"/>
                <w:color w:val="4D5357"/>
                <w:vertAlign w:val="superscript"/>
              </w:rPr>
              <w:t>6</w:t>
            </w:r>
          </w:p>
        </w:tc>
        <w:tc>
          <w:tcPr>
            <w:tcW w:w="1840" w:type="dxa"/>
            <w:vAlign w:val="bottom"/>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4D5357"/>
              </w:rPr>
              <w:t>480,025</w:t>
            </w:r>
          </w:p>
        </w:tc>
        <w:tc>
          <w:tcPr>
            <w:tcW w:w="880" w:type="dxa"/>
            <w:vAlign w:val="bottom"/>
          </w:tcPr>
          <w:p>
            <w:pPr>
              <w:jc w:val="right"/>
              <w:spacing w:after="0"/>
              <w:rPr>
                <w:sz w:val="20"/>
                <w:szCs w:val="20"/>
                <w:color w:val="auto"/>
              </w:rPr>
            </w:pPr>
            <w:r>
              <w:rPr>
                <w:rFonts w:ascii="Arial" w:cs="Arial" w:eastAsia="Arial" w:hAnsi="Arial"/>
                <w:sz w:val="14"/>
                <w:szCs w:val="14"/>
                <w:color w:val="4D5357"/>
              </w:rPr>
              <w:t>150,830</w:t>
            </w:r>
          </w:p>
        </w:tc>
        <w:tc>
          <w:tcPr>
            <w:tcW w:w="860" w:type="dxa"/>
            <w:vAlign w:val="bottom"/>
          </w:tcPr>
          <w:p>
            <w:pPr>
              <w:jc w:val="right"/>
              <w:spacing w:after="0"/>
              <w:rPr>
                <w:sz w:val="20"/>
                <w:szCs w:val="20"/>
                <w:color w:val="auto"/>
              </w:rPr>
            </w:pPr>
            <w:r>
              <w:rPr>
                <w:rFonts w:ascii="Arial" w:cs="Arial" w:eastAsia="Arial" w:hAnsi="Arial"/>
                <w:sz w:val="14"/>
                <w:szCs w:val="14"/>
                <w:color w:val="4D5357"/>
              </w:rPr>
              <w:t>2,855,926</w:t>
            </w:r>
          </w:p>
        </w:tc>
        <w:tc>
          <w:tcPr>
            <w:tcW w:w="0" w:type="dxa"/>
            <w:vAlign w:val="bottom"/>
          </w:tcPr>
          <w:p>
            <w:pPr>
              <w:spacing w:after="0"/>
              <w:rPr>
                <w:sz w:val="1"/>
                <w:szCs w:val="1"/>
                <w:color w:val="auto"/>
              </w:rPr>
            </w:pPr>
          </w:p>
        </w:tc>
      </w:tr>
      <w:tr>
        <w:trPr>
          <w:trHeight w:val="202"/>
        </w:trPr>
        <w:tc>
          <w:tcPr>
            <w:tcW w:w="1600" w:type="dxa"/>
            <w:vAlign w:val="bottom"/>
            <w:tcBorders>
              <w:bottom w:val="single" w:sz="8" w:color="4D5357"/>
            </w:tcBorders>
          </w:tcPr>
          <w:p>
            <w:pPr>
              <w:spacing w:after="0"/>
              <w:rPr>
                <w:sz w:val="17"/>
                <w:szCs w:val="17"/>
                <w:color w:val="auto"/>
              </w:rPr>
            </w:pPr>
          </w:p>
        </w:tc>
        <w:tc>
          <w:tcPr>
            <w:tcW w:w="3380" w:type="dxa"/>
            <w:vAlign w:val="bottom"/>
            <w:tcBorders>
              <w:bottom w:val="single" w:sz="8" w:color="4D5357"/>
            </w:tcBorders>
          </w:tcPr>
          <w:p>
            <w:pPr>
              <w:ind w:left="120"/>
              <w:spacing w:after="0" w:line="202" w:lineRule="exact"/>
              <w:rPr>
                <w:sz w:val="20"/>
                <w:szCs w:val="20"/>
                <w:color w:val="auto"/>
              </w:rPr>
            </w:pPr>
            <w:r>
              <w:rPr>
                <w:rFonts w:ascii="Arial" w:cs="Arial" w:eastAsia="Arial" w:hAnsi="Arial"/>
                <w:sz w:val="14"/>
                <w:szCs w:val="14"/>
                <w:color w:val="4D5357"/>
              </w:rPr>
              <w:t>Health and Welfare Benefits</w:t>
            </w:r>
            <w:r>
              <w:rPr>
                <w:rFonts w:ascii="Arial" w:cs="Arial" w:eastAsia="Arial" w:hAnsi="Arial"/>
                <w:sz w:val="21"/>
                <w:szCs w:val="21"/>
                <w:color w:val="4D5357"/>
                <w:vertAlign w:val="superscript"/>
              </w:rPr>
              <w:t>7</w:t>
            </w:r>
          </w:p>
        </w:tc>
        <w:tc>
          <w:tcPr>
            <w:tcW w:w="1840" w:type="dxa"/>
            <w:vAlign w:val="bottom"/>
            <w:tcBorders>
              <w:bottom w:val="single" w:sz="8" w:color="4D5357"/>
            </w:tcBorders>
          </w:tcPr>
          <w:p>
            <w:pPr>
              <w:jc w:val="right"/>
              <w:ind w:right="109"/>
              <w:spacing w:after="0"/>
              <w:rPr>
                <w:sz w:val="20"/>
                <w:szCs w:val="20"/>
                <w:color w:val="auto"/>
              </w:rPr>
            </w:pPr>
            <w:r>
              <w:rPr>
                <w:rFonts w:ascii="Arial" w:cs="Arial" w:eastAsia="Arial" w:hAnsi="Arial"/>
                <w:sz w:val="14"/>
                <w:szCs w:val="14"/>
                <w:color w:val="4D5357"/>
              </w:rPr>
              <w:t>—</w:t>
            </w:r>
          </w:p>
        </w:tc>
        <w:tc>
          <w:tcPr>
            <w:tcW w:w="1400" w:type="dxa"/>
            <w:vAlign w:val="bottom"/>
            <w:tcBorders>
              <w:bottom w:val="single" w:sz="8" w:color="4D5357"/>
            </w:tcBorders>
          </w:tcPr>
          <w:p>
            <w:pPr>
              <w:jc w:val="right"/>
              <w:ind w:right="369"/>
              <w:spacing w:after="0"/>
              <w:rPr>
                <w:sz w:val="20"/>
                <w:szCs w:val="20"/>
                <w:color w:val="auto"/>
              </w:rPr>
            </w:pPr>
            <w:r>
              <w:rPr>
                <w:rFonts w:ascii="Arial" w:cs="Arial" w:eastAsia="Arial" w:hAnsi="Arial"/>
                <w:sz w:val="14"/>
                <w:szCs w:val="14"/>
                <w:color w:val="4D5357"/>
              </w:rPr>
              <w:t>—</w:t>
            </w:r>
          </w:p>
        </w:tc>
        <w:tc>
          <w:tcPr>
            <w:tcW w:w="1060" w:type="dxa"/>
            <w:vAlign w:val="bottom"/>
            <w:tcBorders>
              <w:bottom w:val="single" w:sz="8" w:color="4D5357"/>
            </w:tcBorders>
          </w:tcPr>
          <w:p>
            <w:pPr>
              <w:jc w:val="right"/>
              <w:ind w:right="29"/>
              <w:spacing w:after="0"/>
              <w:rPr>
                <w:sz w:val="20"/>
                <w:szCs w:val="20"/>
                <w:color w:val="auto"/>
              </w:rPr>
            </w:pPr>
            <w:r>
              <w:rPr>
                <w:rFonts w:ascii="Arial" w:cs="Arial" w:eastAsia="Arial" w:hAnsi="Arial"/>
                <w:sz w:val="14"/>
                <w:szCs w:val="14"/>
                <w:color w:val="4D5357"/>
              </w:rPr>
              <w:t>—</w:t>
            </w:r>
          </w:p>
        </w:tc>
        <w:tc>
          <w:tcPr>
            <w:tcW w:w="8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w:t>
            </w:r>
          </w:p>
        </w:tc>
        <w:tc>
          <w:tcPr>
            <w:tcW w:w="86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72,152</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86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780" w:space="120"/>
            <w:col w:w="8620" w:space="720"/>
            <w:col w:w="780"/>
          </w:cols>
          <w:pgMar w:left="440" w:top="315" w:right="439" w:bottom="1440" w:gutter="0" w:footer="0" w:header="0"/>
          <w:type w:val="continuous"/>
        </w:sectPr>
      </w:pPr>
    </w:p>
    <w:bookmarkStart w:id="93" w:name="page94"/>
    <w:bookmarkEnd w:id="93"/>
    <w:tbl>
      <w:tblPr>
        <w:tblLayout w:type="fixed"/>
        <w:tblInd w:w="4" w:type="dxa"/>
        <w:tblCellMar>
          <w:top w:w="0" w:type="dxa"/>
          <w:left w:w="0" w:type="dxa"/>
          <w:bottom w:w="0" w:type="dxa"/>
          <w:right w:w="0" w:type="dxa"/>
        </w:tblCellMar>
      </w:tblPr>
      <w:tr>
        <w:trPr>
          <w:trHeight w:val="396"/>
        </w:trPr>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shd w:val="clear" w:color="auto" w:fill="4D5357"/>
          </w:tcPr>
          <w:p>
            <w:pPr>
              <w:jc w:val="right"/>
              <w:spacing w:after="0"/>
              <w:rPr>
                <w:sz w:val="20"/>
                <w:szCs w:val="20"/>
                <w:color w:val="auto"/>
              </w:rPr>
            </w:pPr>
            <w:r>
              <w:rPr>
                <w:rFonts w:ascii="Arial" w:cs="Arial" w:eastAsia="Arial" w:hAnsi="Arial"/>
                <w:sz w:val="14"/>
                <w:szCs w:val="14"/>
                <w:b w:val="1"/>
                <w:bCs w:val="1"/>
                <w:color w:val="FFFFFF"/>
              </w:rPr>
              <w:t> </w:t>
            </w:r>
          </w:p>
        </w:tc>
        <w:tc>
          <w:tcPr>
            <w:tcW w:w="1420" w:type="dxa"/>
            <w:vAlign w:val="bottom"/>
            <w:shd w:val="clear" w:color="auto" w:fill="4D5357"/>
          </w:tcPr>
          <w:p>
            <w:pPr>
              <w:jc w:val="right"/>
              <w:ind w:right="291"/>
              <w:spacing w:after="0"/>
              <w:rPr>
                <w:sz w:val="20"/>
                <w:szCs w:val="20"/>
                <w:color w:val="auto"/>
              </w:rPr>
            </w:pPr>
            <w:r>
              <w:rPr>
                <w:rFonts w:ascii="Arial" w:cs="Arial" w:eastAsia="Arial" w:hAnsi="Arial"/>
                <w:sz w:val="14"/>
                <w:szCs w:val="14"/>
                <w:b w:val="1"/>
                <w:bCs w:val="1"/>
                <w:color w:val="FFFFFF"/>
              </w:rPr>
              <w:t xml:space="preserve">   Executive    </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shd w:val="clear" w:color="auto" w:fill="4D5357"/>
          </w:tcPr>
          <w:p>
            <w:pPr>
              <w:jc w:val="right"/>
              <w:spacing w:after="0"/>
              <w:rPr>
                <w:sz w:val="20"/>
                <w:szCs w:val="20"/>
                <w:color w:val="auto"/>
              </w:rPr>
            </w:pPr>
            <w:r>
              <w:rPr>
                <w:rFonts w:ascii="Arial" w:cs="Arial" w:eastAsia="Arial" w:hAnsi="Arial"/>
                <w:sz w:val="14"/>
                <w:szCs w:val="14"/>
                <w:b w:val="1"/>
                <w:bCs w:val="1"/>
                <w:color w:val="FFFFFF"/>
              </w:rPr>
              <w:t xml:space="preserve">    </w:t>
            </w:r>
          </w:p>
        </w:tc>
        <w:tc>
          <w:tcPr>
            <w:tcW w:w="1420" w:type="dxa"/>
            <w:vAlign w:val="bottom"/>
            <w:shd w:val="clear" w:color="auto" w:fill="4D5357"/>
          </w:tcPr>
          <w:p>
            <w:pPr>
              <w:jc w:val="right"/>
              <w:ind w:right="131"/>
              <w:spacing w:after="0"/>
              <w:rPr>
                <w:sz w:val="20"/>
                <w:szCs w:val="20"/>
                <w:color w:val="auto"/>
              </w:rPr>
            </w:pPr>
            <w:r>
              <w:rPr>
                <w:rFonts w:ascii="Arial" w:cs="Arial" w:eastAsia="Arial" w:hAnsi="Arial"/>
                <w:sz w:val="14"/>
                <w:szCs w:val="14"/>
                <w:b w:val="1"/>
                <w:bCs w:val="1"/>
                <w:color w:val="FFFFFF"/>
              </w:rPr>
              <w:t xml:space="preserve">Compensation    </w:t>
            </w:r>
          </w:p>
        </w:tc>
        <w:tc>
          <w:tcPr>
            <w:tcW w:w="0" w:type="dxa"/>
            <w:vAlign w:val="bottom"/>
          </w:tcPr>
          <w:p>
            <w:pPr>
              <w:spacing w:after="0"/>
              <w:rPr>
                <w:sz w:val="1"/>
                <w:szCs w:val="1"/>
                <w:color w:val="auto"/>
              </w:rPr>
            </w:pPr>
          </w:p>
        </w:tc>
      </w:tr>
      <w:tr>
        <w:trPr>
          <w:trHeight w:val="110"/>
        </w:trPr>
        <w:tc>
          <w:tcPr>
            <w:tcW w:w="12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340" w:type="dxa"/>
            <w:vAlign w:val="bottom"/>
            <w:vMerge w:val="restart"/>
          </w:tcPr>
          <w:p>
            <w:pPr>
              <w:jc w:val="center"/>
              <w:ind w:left="73"/>
              <w:spacing w:after="0"/>
              <w:rPr>
                <w:sz w:val="20"/>
                <w:szCs w:val="20"/>
                <w:color w:val="auto"/>
              </w:rPr>
            </w:pPr>
            <w:r>
              <w:rPr>
                <w:rFonts w:ascii="Arial" w:cs="Arial" w:eastAsia="Arial" w:hAnsi="Arial"/>
                <w:sz w:val="12"/>
                <w:szCs w:val="12"/>
                <w:b w:val="1"/>
                <w:bCs w:val="1"/>
                <w:color w:val="0086CC"/>
                <w:w w:val="96"/>
              </w:rPr>
              <w:t>INVOLUNTARY</w:t>
            </w: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shd w:val="clear" w:color="auto" w:fill="4D5357"/>
          </w:tcPr>
          <w:p>
            <w:pPr>
              <w:spacing w:after="0"/>
              <w:rPr>
                <w:sz w:val="9"/>
                <w:szCs w:val="9"/>
                <w:color w:val="auto"/>
              </w:rPr>
            </w:pPr>
          </w:p>
        </w:tc>
        <w:tc>
          <w:tcPr>
            <w:tcW w:w="1420" w:type="dxa"/>
            <w:vAlign w:val="bottom"/>
            <w:shd w:val="clear" w:color="auto" w:fill="4D5357"/>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vMerge w:val="restart"/>
          </w:tcPr>
          <w:p>
            <w:pPr>
              <w:jc w:val="center"/>
              <w:spacing w:after="0"/>
              <w:rPr>
                <w:sz w:val="20"/>
                <w:szCs w:val="20"/>
                <w:color w:val="auto"/>
              </w:rPr>
            </w:pPr>
            <w:r>
              <w:rPr>
                <w:rFonts w:ascii="Arial" w:cs="Arial" w:eastAsia="Arial" w:hAnsi="Arial"/>
                <w:sz w:val="12"/>
                <w:szCs w:val="12"/>
                <w:b w:val="1"/>
                <w:bCs w:val="1"/>
                <w:color w:val="0086CC"/>
                <w:w w:val="99"/>
              </w:rPr>
              <w:t>CHANGE-OF-</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340" w:type="dxa"/>
            <w:vAlign w:val="bottom"/>
          </w:tcPr>
          <w:p>
            <w:pPr>
              <w:jc w:val="center"/>
              <w:ind w:left="73"/>
              <w:spacing w:after="0" w:line="122" w:lineRule="exact"/>
              <w:rPr>
                <w:sz w:val="20"/>
                <w:szCs w:val="20"/>
                <w:color w:val="auto"/>
              </w:rPr>
            </w:pPr>
            <w:r>
              <w:rPr>
                <w:rFonts w:ascii="Arial" w:cs="Arial" w:eastAsia="Arial" w:hAnsi="Arial"/>
                <w:sz w:val="12"/>
                <w:szCs w:val="12"/>
                <w:b w:val="1"/>
                <w:bCs w:val="1"/>
                <w:color w:val="0086CC"/>
                <w:w w:val="95"/>
              </w:rPr>
              <w:t>NOT-FOR-CAUSE</w:t>
            </w: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940" w:type="dxa"/>
            <w:vAlign w:val="bottom"/>
          </w:tcPr>
          <w:p>
            <w:pPr>
              <w:jc w:val="right"/>
              <w:ind w:right="171"/>
              <w:spacing w:after="0" w:line="135" w:lineRule="exact"/>
              <w:rPr>
                <w:sz w:val="20"/>
                <w:szCs w:val="20"/>
                <w:color w:val="auto"/>
              </w:rPr>
            </w:pPr>
            <w:r>
              <w:rPr>
                <w:rFonts w:ascii="Arial" w:cs="Arial" w:eastAsia="Arial" w:hAnsi="Arial"/>
                <w:sz w:val="12"/>
                <w:szCs w:val="12"/>
                <w:b w:val="1"/>
                <w:bCs w:val="1"/>
                <w:color w:val="0086CC"/>
              </w:rPr>
              <w:t>RETIREMENT</w:t>
            </w:r>
          </w:p>
        </w:tc>
        <w:tc>
          <w:tcPr>
            <w:tcW w:w="1340" w:type="dxa"/>
            <w:vAlign w:val="bottom"/>
          </w:tcPr>
          <w:p>
            <w:pPr>
              <w:jc w:val="center"/>
              <w:ind w:left="73"/>
              <w:spacing w:after="0" w:line="135" w:lineRule="exact"/>
              <w:rPr>
                <w:sz w:val="20"/>
                <w:szCs w:val="20"/>
                <w:color w:val="auto"/>
              </w:rPr>
            </w:pPr>
            <w:r>
              <w:rPr>
                <w:rFonts w:ascii="Arial" w:cs="Arial" w:eastAsia="Arial" w:hAnsi="Arial"/>
                <w:sz w:val="12"/>
                <w:szCs w:val="12"/>
                <w:b w:val="1"/>
                <w:bCs w:val="1"/>
                <w:color w:val="0086CC"/>
                <w:w w:val="95"/>
              </w:rPr>
              <w:t>TERMINATION</w:t>
            </w:r>
          </w:p>
        </w:tc>
        <w:tc>
          <w:tcPr>
            <w:tcW w:w="880" w:type="dxa"/>
            <w:vAlign w:val="bottom"/>
          </w:tcPr>
          <w:p>
            <w:pPr>
              <w:jc w:val="right"/>
              <w:ind w:right="51"/>
              <w:spacing w:after="0" w:line="135" w:lineRule="exact"/>
              <w:rPr>
                <w:sz w:val="20"/>
                <w:szCs w:val="20"/>
                <w:color w:val="auto"/>
              </w:rPr>
            </w:pPr>
            <w:r>
              <w:rPr>
                <w:rFonts w:ascii="Arial" w:cs="Arial" w:eastAsia="Arial" w:hAnsi="Arial"/>
                <w:sz w:val="12"/>
                <w:szCs w:val="12"/>
                <w:b w:val="1"/>
                <w:bCs w:val="1"/>
                <w:color w:val="0086CC"/>
              </w:rPr>
              <w:t>DISABILITY</w:t>
            </w:r>
          </w:p>
        </w:tc>
        <w:tc>
          <w:tcPr>
            <w:tcW w:w="780" w:type="dxa"/>
            <w:vAlign w:val="bottom"/>
            <w:gridSpan w:val="2"/>
          </w:tcPr>
          <w:p>
            <w:pPr>
              <w:jc w:val="right"/>
              <w:ind w:right="148"/>
              <w:spacing w:after="0" w:line="135" w:lineRule="exact"/>
              <w:rPr>
                <w:sz w:val="20"/>
                <w:szCs w:val="20"/>
                <w:color w:val="auto"/>
              </w:rPr>
            </w:pPr>
            <w:r>
              <w:rPr>
                <w:rFonts w:ascii="Arial" w:cs="Arial" w:eastAsia="Arial" w:hAnsi="Arial"/>
                <w:sz w:val="12"/>
                <w:szCs w:val="12"/>
                <w:b w:val="1"/>
                <w:bCs w:val="1"/>
                <w:color w:val="0086CC"/>
              </w:rPr>
              <w:t>DEATH</w:t>
            </w:r>
          </w:p>
        </w:tc>
        <w:tc>
          <w:tcPr>
            <w:tcW w:w="142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CONTROL</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0086CC"/>
            </w:tcBorders>
          </w:tcPr>
          <w:p>
            <w:pPr>
              <w:ind w:left="60"/>
              <w:spacing w:after="0"/>
              <w:rPr>
                <w:sz w:val="20"/>
                <w:szCs w:val="20"/>
                <w:color w:val="auto"/>
              </w:rPr>
            </w:pPr>
            <w:r>
              <w:rPr>
                <w:rFonts w:ascii="Arial" w:cs="Arial" w:eastAsia="Arial" w:hAnsi="Arial"/>
                <w:sz w:val="12"/>
                <w:szCs w:val="12"/>
                <w:b w:val="1"/>
                <w:bCs w:val="1"/>
                <w:color w:val="0086CC"/>
              </w:rPr>
              <w:t>NAME</w:t>
            </w:r>
          </w:p>
        </w:tc>
        <w:tc>
          <w:tcPr>
            <w:tcW w:w="3400" w:type="dxa"/>
            <w:vAlign w:val="bottom"/>
            <w:tcBorders>
              <w:bottom w:val="single" w:sz="8" w:color="0086CC"/>
            </w:tcBorders>
          </w:tcPr>
          <w:p>
            <w:pPr>
              <w:ind w:left="80"/>
              <w:spacing w:after="0" w:line="185" w:lineRule="exact"/>
              <w:rPr>
                <w:sz w:val="20"/>
                <w:szCs w:val="20"/>
                <w:color w:val="auto"/>
              </w:rPr>
            </w:pPr>
            <w:r>
              <w:rPr>
                <w:rFonts w:ascii="Arial" w:cs="Arial" w:eastAsia="Arial" w:hAnsi="Arial"/>
                <w:sz w:val="12"/>
                <w:szCs w:val="12"/>
                <w:b w:val="1"/>
                <w:bCs w:val="1"/>
                <w:color w:val="0086CC"/>
              </w:rPr>
              <w:t>BENEFIT OR PAYMENT</w:t>
            </w:r>
            <w:r>
              <w:rPr>
                <w:rFonts w:ascii="Arial" w:cs="Arial" w:eastAsia="Arial" w:hAnsi="Arial"/>
                <w:sz w:val="17"/>
                <w:szCs w:val="17"/>
                <w:b w:val="1"/>
                <w:bCs w:val="1"/>
                <w:color w:val="0086CC"/>
                <w:vertAlign w:val="superscript"/>
              </w:rPr>
              <w:t>1</w:t>
            </w:r>
          </w:p>
        </w:tc>
        <w:tc>
          <w:tcPr>
            <w:tcW w:w="1940" w:type="dxa"/>
            <w:vAlign w:val="bottom"/>
            <w:tcBorders>
              <w:bottom w:val="single" w:sz="8" w:color="0086CC"/>
            </w:tcBorders>
          </w:tcPr>
          <w:p>
            <w:pPr>
              <w:jc w:val="right"/>
              <w:ind w:right="471"/>
              <w:spacing w:after="0"/>
              <w:rPr>
                <w:sz w:val="20"/>
                <w:szCs w:val="20"/>
                <w:color w:val="auto"/>
              </w:rPr>
            </w:pPr>
            <w:r>
              <w:rPr>
                <w:rFonts w:ascii="Arial" w:cs="Arial" w:eastAsia="Arial" w:hAnsi="Arial"/>
                <w:sz w:val="12"/>
                <w:szCs w:val="12"/>
                <w:b w:val="1"/>
                <w:bCs w:val="1"/>
                <w:color w:val="0086CC"/>
              </w:rPr>
              <w:t>($)</w:t>
            </w:r>
          </w:p>
        </w:tc>
        <w:tc>
          <w:tcPr>
            <w:tcW w:w="1340" w:type="dxa"/>
            <w:vAlign w:val="bottom"/>
            <w:tcBorders>
              <w:bottom w:val="single" w:sz="8" w:color="0086CC"/>
            </w:tcBorders>
          </w:tcPr>
          <w:p>
            <w:pPr>
              <w:jc w:val="center"/>
              <w:ind w:left="73"/>
              <w:spacing w:after="0"/>
              <w:rPr>
                <w:sz w:val="20"/>
                <w:szCs w:val="20"/>
                <w:color w:val="auto"/>
              </w:rPr>
            </w:pPr>
            <w:r>
              <w:rPr>
                <w:rFonts w:ascii="Arial" w:cs="Arial" w:eastAsia="Arial" w:hAnsi="Arial"/>
                <w:sz w:val="12"/>
                <w:szCs w:val="12"/>
                <w:b w:val="1"/>
                <w:bCs w:val="1"/>
                <w:color w:val="0086CC"/>
              </w:rPr>
              <w:t>($)</w:t>
            </w:r>
          </w:p>
        </w:tc>
        <w:tc>
          <w:tcPr>
            <w:tcW w:w="880" w:type="dxa"/>
            <w:vAlign w:val="bottom"/>
            <w:tcBorders>
              <w:bottom w:val="single" w:sz="8" w:color="0086CC"/>
            </w:tcBorders>
          </w:tcPr>
          <w:p>
            <w:pPr>
              <w:jc w:val="right"/>
              <w:ind w:right="311"/>
              <w:spacing w:after="0"/>
              <w:rPr>
                <w:sz w:val="20"/>
                <w:szCs w:val="20"/>
                <w:color w:val="auto"/>
              </w:rPr>
            </w:pPr>
            <w:r>
              <w:rPr>
                <w:rFonts w:ascii="Arial" w:cs="Arial" w:eastAsia="Arial" w:hAnsi="Arial"/>
                <w:sz w:val="12"/>
                <w:szCs w:val="12"/>
                <w:b w:val="1"/>
                <w:bCs w:val="1"/>
                <w:color w:val="0086CC"/>
              </w:rPr>
              <w:t>($)</w:t>
            </w:r>
          </w:p>
        </w:tc>
        <w:tc>
          <w:tcPr>
            <w:tcW w:w="780" w:type="dxa"/>
            <w:vAlign w:val="bottom"/>
            <w:tcBorders>
              <w:bottom w:val="single" w:sz="8" w:color="0086CC"/>
            </w:tcBorders>
            <w:gridSpan w:val="2"/>
          </w:tcPr>
          <w:p>
            <w:pPr>
              <w:jc w:val="right"/>
              <w:ind w:right="288"/>
              <w:spacing w:after="0"/>
              <w:rPr>
                <w:sz w:val="20"/>
                <w:szCs w:val="20"/>
                <w:color w:val="auto"/>
              </w:rPr>
            </w:pPr>
            <w:r>
              <w:rPr>
                <w:rFonts w:ascii="Arial" w:cs="Arial" w:eastAsia="Arial" w:hAnsi="Arial"/>
                <w:sz w:val="12"/>
                <w:szCs w:val="12"/>
                <w:b w:val="1"/>
                <w:bCs w:val="1"/>
                <w:color w:val="0086CC"/>
              </w:rPr>
              <w:t>($)</w:t>
            </w:r>
          </w:p>
        </w:tc>
        <w:tc>
          <w:tcPr>
            <w:tcW w:w="142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0" w:type="dxa"/>
            <w:vAlign w:val="bottom"/>
          </w:tcPr>
          <w:p>
            <w:pPr>
              <w:spacing w:after="0"/>
              <w:rPr>
                <w:sz w:val="1"/>
                <w:szCs w:val="1"/>
                <w:color w:val="auto"/>
              </w:rPr>
            </w:pPr>
          </w:p>
        </w:tc>
      </w:tr>
      <w:tr>
        <w:trPr>
          <w:trHeight w:val="223"/>
        </w:trPr>
        <w:tc>
          <w:tcPr>
            <w:tcW w:w="1260" w:type="dxa"/>
            <w:vAlign w:val="bottom"/>
          </w:tcPr>
          <w:p>
            <w:pPr>
              <w:ind w:left="60"/>
              <w:spacing w:after="0"/>
              <w:rPr>
                <w:sz w:val="20"/>
                <w:szCs w:val="20"/>
                <w:color w:val="auto"/>
              </w:rPr>
            </w:pPr>
            <w:r>
              <w:rPr>
                <w:rFonts w:ascii="Arial" w:cs="Arial" w:eastAsia="Arial" w:hAnsi="Arial"/>
                <w:sz w:val="14"/>
                <w:szCs w:val="14"/>
                <w:b w:val="1"/>
                <w:bCs w:val="1"/>
                <w:color w:val="4D5357"/>
              </w:rPr>
              <w:t>Bradley D. Kohn</w:t>
            </w:r>
          </w:p>
        </w:tc>
        <w:tc>
          <w:tcPr>
            <w:tcW w:w="3400" w:type="dxa"/>
            <w:vAlign w:val="bottom"/>
          </w:tcPr>
          <w:p>
            <w:pPr>
              <w:ind w:left="80"/>
              <w:spacing w:after="0" w:line="223" w:lineRule="exact"/>
              <w:rPr>
                <w:sz w:val="20"/>
                <w:szCs w:val="20"/>
                <w:color w:val="auto"/>
              </w:rPr>
            </w:pPr>
            <w:r>
              <w:rPr>
                <w:rFonts w:ascii="Arial" w:cs="Arial" w:eastAsia="Arial" w:hAnsi="Arial"/>
                <w:sz w:val="14"/>
                <w:szCs w:val="14"/>
                <w:color w:val="4D5357"/>
              </w:rPr>
              <w:t>Cash Severance</w:t>
            </w:r>
            <w:r>
              <w:rPr>
                <w:rFonts w:ascii="Arial" w:cs="Arial" w:eastAsia="Arial" w:hAnsi="Arial"/>
                <w:sz w:val="21"/>
                <w:szCs w:val="21"/>
                <w:color w:val="4D5357"/>
                <w:vertAlign w:val="superscript"/>
              </w:rPr>
              <w:t>2</w:t>
            </w:r>
          </w:p>
        </w:tc>
        <w:tc>
          <w:tcPr>
            <w:tcW w:w="1940" w:type="dxa"/>
            <w:vAlign w:val="bottom"/>
          </w:tcPr>
          <w:p>
            <w:pPr>
              <w:jc w:val="right"/>
              <w:ind w:right="211"/>
              <w:spacing w:after="0"/>
              <w:rPr>
                <w:sz w:val="20"/>
                <w:szCs w:val="20"/>
                <w:color w:val="auto"/>
              </w:rPr>
            </w:pPr>
            <w:r>
              <w:rPr>
                <w:rFonts w:ascii="Arial" w:cs="Arial" w:eastAsia="Arial" w:hAnsi="Arial"/>
                <w:sz w:val="14"/>
                <w:szCs w:val="14"/>
                <w:color w:val="4D5357"/>
              </w:rPr>
              <w:t>—</w:t>
            </w:r>
          </w:p>
        </w:tc>
        <w:tc>
          <w:tcPr>
            <w:tcW w:w="1340" w:type="dxa"/>
            <w:vAlign w:val="bottom"/>
          </w:tcPr>
          <w:p>
            <w:pPr>
              <w:jc w:val="center"/>
              <w:ind w:left="133"/>
              <w:spacing w:after="0"/>
              <w:rPr>
                <w:sz w:val="20"/>
                <w:szCs w:val="20"/>
                <w:color w:val="auto"/>
              </w:rPr>
            </w:pPr>
            <w:r>
              <w:rPr>
                <w:rFonts w:ascii="Arial" w:cs="Arial" w:eastAsia="Arial" w:hAnsi="Arial"/>
                <w:sz w:val="14"/>
                <w:szCs w:val="14"/>
                <w:color w:val="4D5357"/>
                <w:w w:val="99"/>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4D5357"/>
              </w:rPr>
              <w:t>—</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4D5357"/>
              </w:rPr>
              <w:t>—</w:t>
            </w:r>
          </w:p>
        </w:tc>
        <w:tc>
          <w:tcPr>
            <w:tcW w:w="1420" w:type="dxa"/>
            <w:vAlign w:val="bottom"/>
          </w:tcPr>
          <w:p>
            <w:pPr>
              <w:jc w:val="right"/>
              <w:ind w:right="291"/>
              <w:spacing w:after="0"/>
              <w:rPr>
                <w:sz w:val="20"/>
                <w:szCs w:val="20"/>
                <w:color w:val="auto"/>
              </w:rPr>
            </w:pPr>
            <w:r>
              <w:rPr>
                <w:rFonts w:ascii="Arial" w:cs="Arial" w:eastAsia="Arial" w:hAnsi="Arial"/>
                <w:sz w:val="14"/>
                <w:szCs w:val="14"/>
                <w:color w:val="4D5357"/>
              </w:rPr>
              <w:t>1,740,000</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400" w:type="dxa"/>
            <w:vAlign w:val="bottom"/>
          </w:tcPr>
          <w:p>
            <w:pPr>
              <w:ind w:left="80"/>
              <w:spacing w:after="0" w:line="193" w:lineRule="exact"/>
              <w:rPr>
                <w:sz w:val="20"/>
                <w:szCs w:val="20"/>
                <w:color w:val="auto"/>
              </w:rPr>
            </w:pPr>
            <w:r>
              <w:rPr>
                <w:rFonts w:ascii="Arial" w:cs="Arial" w:eastAsia="Arial" w:hAnsi="Arial"/>
                <w:sz w:val="14"/>
                <w:szCs w:val="14"/>
                <w:color w:val="4D5357"/>
              </w:rPr>
              <w:t>Unvested RSUs</w:t>
            </w:r>
            <w:r>
              <w:rPr>
                <w:rFonts w:ascii="Arial" w:cs="Arial" w:eastAsia="Arial" w:hAnsi="Arial"/>
                <w:sz w:val="21"/>
                <w:szCs w:val="21"/>
                <w:color w:val="4D5357"/>
                <w:vertAlign w:val="superscript"/>
              </w:rPr>
              <w:t>3</w:t>
            </w:r>
          </w:p>
        </w:tc>
        <w:tc>
          <w:tcPr>
            <w:tcW w:w="1940" w:type="dxa"/>
            <w:vAlign w:val="bottom"/>
          </w:tcPr>
          <w:p>
            <w:pPr>
              <w:jc w:val="right"/>
              <w:ind w:right="211"/>
              <w:spacing w:after="0"/>
              <w:rPr>
                <w:sz w:val="20"/>
                <w:szCs w:val="20"/>
                <w:color w:val="auto"/>
              </w:rPr>
            </w:pPr>
            <w:r>
              <w:rPr>
                <w:rFonts w:ascii="Arial" w:cs="Arial" w:eastAsia="Arial" w:hAnsi="Arial"/>
                <w:sz w:val="14"/>
                <w:szCs w:val="14"/>
                <w:color w:val="4D5357"/>
              </w:rPr>
              <w:t>2,268,888</w:t>
            </w:r>
          </w:p>
        </w:tc>
        <w:tc>
          <w:tcPr>
            <w:tcW w:w="1340" w:type="dxa"/>
            <w:vAlign w:val="bottom"/>
          </w:tcPr>
          <w:p>
            <w:pPr>
              <w:jc w:val="center"/>
              <w:ind w:left="133"/>
              <w:spacing w:after="0"/>
              <w:rPr>
                <w:sz w:val="20"/>
                <w:szCs w:val="20"/>
                <w:color w:val="auto"/>
              </w:rPr>
            </w:pPr>
            <w:r>
              <w:rPr>
                <w:rFonts w:ascii="Arial" w:cs="Arial" w:eastAsia="Arial" w:hAnsi="Arial"/>
                <w:sz w:val="14"/>
                <w:szCs w:val="14"/>
                <w:color w:val="4D5357"/>
                <w:w w:val="99"/>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4D5357"/>
              </w:rPr>
              <w:t>2,268,888</w:t>
            </w:r>
          </w:p>
        </w:tc>
        <w:tc>
          <w:tcPr>
            <w:tcW w:w="780" w:type="dxa"/>
            <w:vAlign w:val="bottom"/>
            <w:gridSpan w:val="2"/>
          </w:tcPr>
          <w:p>
            <w:pPr>
              <w:jc w:val="right"/>
              <w:spacing w:after="0"/>
              <w:rPr>
                <w:sz w:val="20"/>
                <w:szCs w:val="20"/>
                <w:color w:val="auto"/>
              </w:rPr>
            </w:pPr>
            <w:r>
              <w:rPr>
                <w:rFonts w:ascii="Arial" w:cs="Arial" w:eastAsia="Arial" w:hAnsi="Arial"/>
                <w:sz w:val="14"/>
                <w:szCs w:val="14"/>
                <w:color w:val="4D5357"/>
              </w:rPr>
              <w:t>2,268,888</w:t>
            </w:r>
          </w:p>
        </w:tc>
        <w:tc>
          <w:tcPr>
            <w:tcW w:w="1420" w:type="dxa"/>
            <w:vAlign w:val="bottom"/>
          </w:tcPr>
          <w:p>
            <w:pPr>
              <w:jc w:val="right"/>
              <w:ind w:right="291"/>
              <w:spacing w:after="0"/>
              <w:rPr>
                <w:sz w:val="20"/>
                <w:szCs w:val="20"/>
                <w:color w:val="auto"/>
              </w:rPr>
            </w:pPr>
            <w:r>
              <w:rPr>
                <w:rFonts w:ascii="Arial" w:cs="Arial" w:eastAsia="Arial" w:hAnsi="Arial"/>
                <w:sz w:val="14"/>
                <w:szCs w:val="14"/>
                <w:color w:val="4D5357"/>
              </w:rPr>
              <w:t>2,268,888</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3400" w:type="dxa"/>
            <w:vAlign w:val="bottom"/>
          </w:tcPr>
          <w:p>
            <w:pPr>
              <w:ind w:left="80"/>
              <w:spacing w:after="0"/>
              <w:rPr>
                <w:sz w:val="20"/>
                <w:szCs w:val="20"/>
                <w:color w:val="auto"/>
              </w:rPr>
            </w:pPr>
            <w:r>
              <w:rPr>
                <w:rFonts w:ascii="Arial" w:cs="Arial" w:eastAsia="Arial" w:hAnsi="Arial"/>
                <w:sz w:val="14"/>
                <w:szCs w:val="14"/>
                <w:color w:val="4D5357"/>
              </w:rPr>
              <w:t>Unexercisable Stock Options</w:t>
            </w:r>
          </w:p>
        </w:tc>
        <w:tc>
          <w:tcPr>
            <w:tcW w:w="1940" w:type="dxa"/>
            <w:vAlign w:val="bottom"/>
          </w:tcPr>
          <w:p>
            <w:pPr>
              <w:jc w:val="right"/>
              <w:ind w:right="211"/>
              <w:spacing w:after="0"/>
              <w:rPr>
                <w:sz w:val="20"/>
                <w:szCs w:val="20"/>
                <w:color w:val="auto"/>
              </w:rPr>
            </w:pPr>
            <w:r>
              <w:rPr>
                <w:rFonts w:ascii="Arial" w:cs="Arial" w:eastAsia="Arial" w:hAnsi="Arial"/>
                <w:sz w:val="14"/>
                <w:szCs w:val="14"/>
                <w:color w:val="4D5357"/>
              </w:rPr>
              <w:t>—</w:t>
            </w:r>
          </w:p>
        </w:tc>
        <w:tc>
          <w:tcPr>
            <w:tcW w:w="1340" w:type="dxa"/>
            <w:vAlign w:val="bottom"/>
          </w:tcPr>
          <w:p>
            <w:pPr>
              <w:jc w:val="center"/>
              <w:ind w:left="133"/>
              <w:spacing w:after="0"/>
              <w:rPr>
                <w:sz w:val="20"/>
                <w:szCs w:val="20"/>
                <w:color w:val="auto"/>
              </w:rPr>
            </w:pPr>
            <w:r>
              <w:rPr>
                <w:rFonts w:ascii="Arial" w:cs="Arial" w:eastAsia="Arial" w:hAnsi="Arial"/>
                <w:sz w:val="14"/>
                <w:szCs w:val="14"/>
                <w:color w:val="4D5357"/>
                <w:w w:val="99"/>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4D5357"/>
              </w:rPr>
              <w:t>—</w:t>
            </w: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4D5357"/>
              </w:rPr>
              <w:t>—</w:t>
            </w:r>
          </w:p>
        </w:tc>
        <w:tc>
          <w:tcPr>
            <w:tcW w:w="1420" w:type="dxa"/>
            <w:vAlign w:val="bottom"/>
          </w:tcPr>
          <w:p>
            <w:pPr>
              <w:jc w:val="right"/>
              <w:ind w:right="291"/>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400" w:type="dxa"/>
            <w:vAlign w:val="bottom"/>
          </w:tcPr>
          <w:p>
            <w:pPr>
              <w:ind w:left="80"/>
              <w:spacing w:after="0" w:line="189" w:lineRule="exact"/>
              <w:rPr>
                <w:sz w:val="20"/>
                <w:szCs w:val="20"/>
                <w:color w:val="auto"/>
              </w:rPr>
            </w:pPr>
            <w:r>
              <w:rPr>
                <w:rFonts w:ascii="Arial" w:cs="Arial" w:eastAsia="Arial" w:hAnsi="Arial"/>
                <w:sz w:val="14"/>
                <w:szCs w:val="14"/>
                <w:color w:val="4D5357"/>
              </w:rPr>
              <w:t>Unvested Incentive Stock Plan Units</w:t>
            </w:r>
            <w:r>
              <w:rPr>
                <w:rFonts w:ascii="Arial" w:cs="Arial" w:eastAsia="Arial" w:hAnsi="Arial"/>
                <w:sz w:val="21"/>
                <w:szCs w:val="21"/>
                <w:color w:val="4D5357"/>
                <w:vertAlign w:val="superscript"/>
              </w:rPr>
              <w:t>4</w:t>
            </w:r>
          </w:p>
        </w:tc>
        <w:tc>
          <w:tcPr>
            <w:tcW w:w="1940" w:type="dxa"/>
            <w:vAlign w:val="bottom"/>
          </w:tcPr>
          <w:p>
            <w:pPr>
              <w:jc w:val="right"/>
              <w:ind w:right="211"/>
              <w:spacing w:after="0"/>
              <w:rPr>
                <w:sz w:val="20"/>
                <w:szCs w:val="20"/>
                <w:color w:val="auto"/>
              </w:rPr>
            </w:pPr>
            <w:r>
              <w:rPr>
                <w:rFonts w:ascii="Arial" w:cs="Arial" w:eastAsia="Arial" w:hAnsi="Arial"/>
                <w:sz w:val="14"/>
                <w:szCs w:val="14"/>
                <w:color w:val="4D5357"/>
              </w:rPr>
              <w:t>—</w:t>
            </w:r>
          </w:p>
        </w:tc>
        <w:tc>
          <w:tcPr>
            <w:tcW w:w="1340" w:type="dxa"/>
            <w:vAlign w:val="bottom"/>
          </w:tcPr>
          <w:p>
            <w:pPr>
              <w:jc w:val="center"/>
              <w:ind w:left="133"/>
              <w:spacing w:after="0"/>
              <w:rPr>
                <w:sz w:val="20"/>
                <w:szCs w:val="20"/>
                <w:color w:val="auto"/>
              </w:rPr>
            </w:pPr>
            <w:r>
              <w:rPr>
                <w:rFonts w:ascii="Arial" w:cs="Arial" w:eastAsia="Arial" w:hAnsi="Arial"/>
                <w:sz w:val="14"/>
                <w:szCs w:val="14"/>
                <w:color w:val="4D5357"/>
                <w:w w:val="99"/>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4D5357"/>
              </w:rPr>
              <w:t>—</w:t>
            </w: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4D5357"/>
              </w:rPr>
              <w:t>—</w:t>
            </w:r>
          </w:p>
        </w:tc>
        <w:tc>
          <w:tcPr>
            <w:tcW w:w="1420" w:type="dxa"/>
            <w:vAlign w:val="bottom"/>
          </w:tcPr>
          <w:p>
            <w:pPr>
              <w:jc w:val="right"/>
              <w:ind w:right="291"/>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400" w:type="dxa"/>
            <w:vAlign w:val="bottom"/>
          </w:tcPr>
          <w:p>
            <w:pPr>
              <w:ind w:left="80"/>
              <w:spacing w:after="0" w:line="189" w:lineRule="exact"/>
              <w:rPr>
                <w:sz w:val="20"/>
                <w:szCs w:val="20"/>
                <w:color w:val="auto"/>
              </w:rPr>
            </w:pPr>
            <w:r>
              <w:rPr>
                <w:rFonts w:ascii="Arial" w:cs="Arial" w:eastAsia="Arial" w:hAnsi="Arial"/>
                <w:sz w:val="14"/>
                <w:szCs w:val="14"/>
                <w:color w:val="4D5357"/>
              </w:rPr>
              <w:t>PSUs</w:t>
            </w:r>
            <w:r>
              <w:rPr>
                <w:rFonts w:ascii="Arial" w:cs="Arial" w:eastAsia="Arial" w:hAnsi="Arial"/>
                <w:sz w:val="21"/>
                <w:szCs w:val="21"/>
                <w:color w:val="4D5357"/>
                <w:vertAlign w:val="superscript"/>
              </w:rPr>
              <w:t>5</w:t>
            </w:r>
          </w:p>
        </w:tc>
        <w:tc>
          <w:tcPr>
            <w:tcW w:w="1940" w:type="dxa"/>
            <w:vAlign w:val="bottom"/>
          </w:tcPr>
          <w:p>
            <w:pPr>
              <w:jc w:val="right"/>
              <w:ind w:right="211"/>
              <w:spacing w:after="0"/>
              <w:rPr>
                <w:sz w:val="20"/>
                <w:szCs w:val="20"/>
                <w:color w:val="auto"/>
              </w:rPr>
            </w:pPr>
            <w:r>
              <w:rPr>
                <w:rFonts w:ascii="Arial" w:cs="Arial" w:eastAsia="Arial" w:hAnsi="Arial"/>
                <w:sz w:val="14"/>
                <w:szCs w:val="14"/>
                <w:color w:val="4D5357"/>
              </w:rPr>
              <w:t>—</w:t>
            </w:r>
          </w:p>
        </w:tc>
        <w:tc>
          <w:tcPr>
            <w:tcW w:w="1340" w:type="dxa"/>
            <w:vAlign w:val="bottom"/>
          </w:tcPr>
          <w:p>
            <w:pPr>
              <w:jc w:val="center"/>
              <w:ind w:left="133"/>
              <w:spacing w:after="0"/>
              <w:rPr>
                <w:sz w:val="20"/>
                <w:szCs w:val="20"/>
                <w:color w:val="auto"/>
              </w:rPr>
            </w:pPr>
            <w:r>
              <w:rPr>
                <w:rFonts w:ascii="Arial" w:cs="Arial" w:eastAsia="Arial" w:hAnsi="Arial"/>
                <w:sz w:val="14"/>
                <w:szCs w:val="14"/>
                <w:color w:val="4D5357"/>
                <w:w w:val="99"/>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4D5357"/>
              </w:rPr>
              <w:t>—</w:t>
            </w: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4D5357"/>
              </w:rPr>
              <w:t>—</w:t>
            </w:r>
          </w:p>
        </w:tc>
        <w:tc>
          <w:tcPr>
            <w:tcW w:w="1420" w:type="dxa"/>
            <w:vAlign w:val="bottom"/>
          </w:tcPr>
          <w:p>
            <w:pPr>
              <w:jc w:val="right"/>
              <w:ind w:right="291"/>
              <w:spacing w:after="0"/>
              <w:rPr>
                <w:sz w:val="20"/>
                <w:szCs w:val="20"/>
                <w:color w:val="auto"/>
              </w:rPr>
            </w:pPr>
            <w:r>
              <w:rPr>
                <w:rFonts w:ascii="Arial" w:cs="Arial" w:eastAsia="Arial" w:hAnsi="Arial"/>
                <w:sz w:val="14"/>
                <w:szCs w:val="14"/>
                <w:color w:val="4D5357"/>
              </w:rPr>
              <w:t>—</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400" w:type="dxa"/>
            <w:vAlign w:val="bottom"/>
          </w:tcPr>
          <w:p>
            <w:pPr>
              <w:ind w:left="80"/>
              <w:spacing w:after="0" w:line="189" w:lineRule="exact"/>
              <w:rPr>
                <w:sz w:val="20"/>
                <w:szCs w:val="20"/>
                <w:color w:val="auto"/>
              </w:rPr>
            </w:pPr>
            <w:r>
              <w:rPr>
                <w:rFonts w:ascii="Arial" w:cs="Arial" w:eastAsia="Arial" w:hAnsi="Arial"/>
                <w:sz w:val="14"/>
                <w:szCs w:val="14"/>
                <w:color w:val="4D5357"/>
              </w:rPr>
              <w:t>Retirement Plans</w:t>
            </w:r>
            <w:r>
              <w:rPr>
                <w:rFonts w:ascii="Arial" w:cs="Arial" w:eastAsia="Arial" w:hAnsi="Arial"/>
                <w:sz w:val="21"/>
                <w:szCs w:val="21"/>
                <w:color w:val="4D5357"/>
                <w:vertAlign w:val="superscript"/>
              </w:rPr>
              <w:t>6</w:t>
            </w:r>
          </w:p>
        </w:tc>
        <w:tc>
          <w:tcPr>
            <w:tcW w:w="1940" w:type="dxa"/>
            <w:vAlign w:val="bottom"/>
          </w:tcPr>
          <w:p>
            <w:pPr>
              <w:jc w:val="right"/>
              <w:ind w:right="211"/>
              <w:spacing w:after="0"/>
              <w:rPr>
                <w:sz w:val="20"/>
                <w:szCs w:val="20"/>
                <w:color w:val="auto"/>
              </w:rPr>
            </w:pPr>
            <w:r>
              <w:rPr>
                <w:rFonts w:ascii="Arial" w:cs="Arial" w:eastAsia="Arial" w:hAnsi="Arial"/>
                <w:sz w:val="14"/>
                <w:szCs w:val="14"/>
                <w:color w:val="4D5357"/>
              </w:rPr>
              <w:t>—</w:t>
            </w:r>
          </w:p>
        </w:tc>
        <w:tc>
          <w:tcPr>
            <w:tcW w:w="1340" w:type="dxa"/>
            <w:vAlign w:val="bottom"/>
          </w:tcPr>
          <w:p>
            <w:pPr>
              <w:jc w:val="center"/>
              <w:ind w:left="133"/>
              <w:spacing w:after="0"/>
              <w:rPr>
                <w:sz w:val="20"/>
                <w:szCs w:val="20"/>
                <w:color w:val="auto"/>
              </w:rPr>
            </w:pPr>
            <w:r>
              <w:rPr>
                <w:rFonts w:ascii="Arial" w:cs="Arial" w:eastAsia="Arial" w:hAnsi="Arial"/>
                <w:sz w:val="14"/>
                <w:szCs w:val="14"/>
                <w:color w:val="4D5357"/>
                <w:w w:val="99"/>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4D5357"/>
              </w:rPr>
              <w:t>363,586</w:t>
            </w: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4D5357"/>
              </w:rPr>
              <w:t>—</w:t>
            </w:r>
          </w:p>
        </w:tc>
        <w:tc>
          <w:tcPr>
            <w:tcW w:w="1420" w:type="dxa"/>
            <w:vAlign w:val="bottom"/>
          </w:tcPr>
          <w:p>
            <w:pPr>
              <w:jc w:val="right"/>
              <w:ind w:right="291"/>
              <w:spacing w:after="0"/>
              <w:rPr>
                <w:sz w:val="20"/>
                <w:szCs w:val="20"/>
                <w:color w:val="auto"/>
              </w:rPr>
            </w:pPr>
            <w:r>
              <w:rPr>
                <w:rFonts w:ascii="Arial" w:cs="Arial" w:eastAsia="Arial" w:hAnsi="Arial"/>
                <w:sz w:val="14"/>
                <w:szCs w:val="14"/>
                <w:color w:val="4D5357"/>
              </w:rPr>
              <w:t>694,418</w:t>
            </w:r>
          </w:p>
        </w:tc>
        <w:tc>
          <w:tcPr>
            <w:tcW w:w="0" w:type="dxa"/>
            <w:vAlign w:val="bottom"/>
          </w:tcPr>
          <w:p>
            <w:pPr>
              <w:spacing w:after="0"/>
              <w:rPr>
                <w:sz w:val="1"/>
                <w:szCs w:val="1"/>
                <w:color w:val="auto"/>
              </w:rPr>
            </w:pPr>
          </w:p>
        </w:tc>
      </w:tr>
      <w:tr>
        <w:trPr>
          <w:trHeight w:val="202"/>
        </w:trPr>
        <w:tc>
          <w:tcPr>
            <w:tcW w:w="1260" w:type="dxa"/>
            <w:vAlign w:val="bottom"/>
            <w:tcBorders>
              <w:bottom w:val="single" w:sz="8" w:color="4D5357"/>
            </w:tcBorders>
          </w:tcPr>
          <w:p>
            <w:pPr>
              <w:spacing w:after="0"/>
              <w:rPr>
                <w:sz w:val="17"/>
                <w:szCs w:val="17"/>
                <w:color w:val="auto"/>
              </w:rPr>
            </w:pPr>
          </w:p>
        </w:tc>
        <w:tc>
          <w:tcPr>
            <w:tcW w:w="3400" w:type="dxa"/>
            <w:vAlign w:val="bottom"/>
            <w:tcBorders>
              <w:bottom w:val="single" w:sz="8" w:color="4D5357"/>
            </w:tcBorders>
          </w:tcPr>
          <w:p>
            <w:pPr>
              <w:ind w:left="80"/>
              <w:spacing w:after="0" w:line="202" w:lineRule="exact"/>
              <w:rPr>
                <w:sz w:val="20"/>
                <w:szCs w:val="20"/>
                <w:color w:val="auto"/>
              </w:rPr>
            </w:pPr>
            <w:r>
              <w:rPr>
                <w:rFonts w:ascii="Arial" w:cs="Arial" w:eastAsia="Arial" w:hAnsi="Arial"/>
                <w:sz w:val="14"/>
                <w:szCs w:val="14"/>
                <w:color w:val="4D5357"/>
              </w:rPr>
              <w:t>Health and Welfare Benefits</w:t>
            </w:r>
            <w:r>
              <w:rPr>
                <w:rFonts w:ascii="Arial" w:cs="Arial" w:eastAsia="Arial" w:hAnsi="Arial"/>
                <w:sz w:val="21"/>
                <w:szCs w:val="21"/>
                <w:color w:val="4D5357"/>
                <w:vertAlign w:val="superscript"/>
              </w:rPr>
              <w:t>7</w:t>
            </w:r>
          </w:p>
        </w:tc>
        <w:tc>
          <w:tcPr>
            <w:tcW w:w="1940" w:type="dxa"/>
            <w:vAlign w:val="bottom"/>
            <w:tcBorders>
              <w:bottom w:val="single" w:sz="8" w:color="4D5357"/>
            </w:tcBorders>
          </w:tcPr>
          <w:p>
            <w:pPr>
              <w:jc w:val="right"/>
              <w:ind w:right="211"/>
              <w:spacing w:after="0"/>
              <w:rPr>
                <w:sz w:val="20"/>
                <w:szCs w:val="20"/>
                <w:color w:val="auto"/>
              </w:rPr>
            </w:pPr>
            <w:r>
              <w:rPr>
                <w:rFonts w:ascii="Arial" w:cs="Arial" w:eastAsia="Arial" w:hAnsi="Arial"/>
                <w:sz w:val="14"/>
                <w:szCs w:val="14"/>
                <w:color w:val="4D5357"/>
              </w:rPr>
              <w:t>—</w:t>
            </w:r>
          </w:p>
        </w:tc>
        <w:tc>
          <w:tcPr>
            <w:tcW w:w="1340" w:type="dxa"/>
            <w:vAlign w:val="bottom"/>
            <w:tcBorders>
              <w:bottom w:val="single" w:sz="8" w:color="4D5357"/>
            </w:tcBorders>
          </w:tcPr>
          <w:p>
            <w:pPr>
              <w:jc w:val="center"/>
              <w:ind w:left="133"/>
              <w:spacing w:after="0"/>
              <w:rPr>
                <w:sz w:val="20"/>
                <w:szCs w:val="20"/>
                <w:color w:val="auto"/>
              </w:rPr>
            </w:pPr>
            <w:r>
              <w:rPr>
                <w:rFonts w:ascii="Arial" w:cs="Arial" w:eastAsia="Arial" w:hAnsi="Arial"/>
                <w:sz w:val="14"/>
                <w:szCs w:val="14"/>
                <w:color w:val="4D5357"/>
                <w:w w:val="99"/>
              </w:rPr>
              <w:t>—</w:t>
            </w:r>
          </w:p>
        </w:tc>
        <w:tc>
          <w:tcPr>
            <w:tcW w:w="880" w:type="dxa"/>
            <w:vAlign w:val="bottom"/>
            <w:tcBorders>
              <w:bottom w:val="single" w:sz="8" w:color="4D5357"/>
            </w:tcBorders>
          </w:tcPr>
          <w:p>
            <w:pPr>
              <w:jc w:val="right"/>
              <w:ind w:right="11"/>
              <w:spacing w:after="0"/>
              <w:rPr>
                <w:sz w:val="20"/>
                <w:szCs w:val="20"/>
                <w:color w:val="auto"/>
              </w:rPr>
            </w:pPr>
            <w:r>
              <w:rPr>
                <w:rFonts w:ascii="Arial" w:cs="Arial" w:eastAsia="Arial" w:hAnsi="Arial"/>
                <w:sz w:val="14"/>
                <w:szCs w:val="14"/>
                <w:color w:val="4D5357"/>
              </w:rPr>
              <w:t>—</w:t>
            </w:r>
          </w:p>
        </w:tc>
        <w:tc>
          <w:tcPr>
            <w:tcW w:w="320" w:type="dxa"/>
            <w:vAlign w:val="bottom"/>
            <w:tcBorders>
              <w:bottom w:val="single" w:sz="8" w:color="4D5357"/>
            </w:tcBorders>
          </w:tcPr>
          <w:p>
            <w:pPr>
              <w:spacing w:after="0"/>
              <w:rPr>
                <w:sz w:val="17"/>
                <w:szCs w:val="17"/>
                <w:color w:val="auto"/>
              </w:rPr>
            </w:pPr>
          </w:p>
        </w:tc>
        <w:tc>
          <w:tcPr>
            <w:tcW w:w="46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w:t>
            </w:r>
          </w:p>
        </w:tc>
        <w:tc>
          <w:tcPr>
            <w:tcW w:w="1420" w:type="dxa"/>
            <w:vAlign w:val="bottom"/>
            <w:tcBorders>
              <w:bottom w:val="single" w:sz="8" w:color="4D5357"/>
            </w:tcBorders>
          </w:tcPr>
          <w:p>
            <w:pPr>
              <w:jc w:val="right"/>
              <w:ind w:right="291"/>
              <w:spacing w:after="0"/>
              <w:rPr>
                <w:sz w:val="20"/>
                <w:szCs w:val="20"/>
                <w:color w:val="auto"/>
              </w:rPr>
            </w:pPr>
            <w:r>
              <w:rPr>
                <w:rFonts w:ascii="Arial" w:cs="Arial" w:eastAsia="Arial" w:hAnsi="Arial"/>
                <w:sz w:val="14"/>
                <w:szCs w:val="14"/>
                <w:color w:val="4D5357"/>
              </w:rPr>
              <w:t>7,300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24" w:right="100" w:hanging="224"/>
        <w:spacing w:after="0" w:line="243" w:lineRule="auto"/>
        <w:tabs>
          <w:tab w:leader="none" w:pos="224" w:val="left"/>
        </w:tabs>
        <w:numPr>
          <w:ilvl w:val="0"/>
          <w:numId w:val="123"/>
        </w:numPr>
        <w:rPr>
          <w:rFonts w:ascii="Arial" w:cs="Arial" w:eastAsia="Arial" w:hAnsi="Arial"/>
          <w:sz w:val="13"/>
          <w:szCs w:val="13"/>
          <w:color w:val="333333"/>
        </w:rPr>
      </w:pPr>
      <w:r>
        <w:rPr>
          <w:rFonts w:ascii="Arial" w:cs="Arial" w:eastAsia="Arial" w:hAnsi="Arial"/>
          <w:sz w:val="13"/>
          <w:szCs w:val="13"/>
          <w:color w:val="333333"/>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2025.</w:t>
      </w:r>
    </w:p>
    <w:p>
      <w:pPr>
        <w:spacing w:after="0" w:line="35" w:lineRule="exact"/>
        <w:rPr>
          <w:sz w:val="20"/>
          <w:szCs w:val="20"/>
          <w:color w:val="auto"/>
        </w:rPr>
      </w:pPr>
    </w:p>
    <w:p>
      <w:pPr>
        <w:ind w:left="224" w:hanging="224"/>
        <w:spacing w:after="0"/>
        <w:tabs>
          <w:tab w:leader="none" w:pos="224" w:val="left"/>
        </w:tabs>
        <w:numPr>
          <w:ilvl w:val="0"/>
          <w:numId w:val="124"/>
        </w:numPr>
        <w:rPr>
          <w:rFonts w:ascii="Arial" w:cs="Arial" w:eastAsia="Arial" w:hAnsi="Arial"/>
          <w:sz w:val="13"/>
          <w:szCs w:val="13"/>
          <w:color w:val="333333"/>
        </w:rPr>
      </w:pPr>
      <w:r>
        <w:rPr>
          <w:rFonts w:ascii="Arial" w:cs="Arial" w:eastAsia="Arial" w:hAnsi="Arial"/>
          <w:sz w:val="13"/>
          <w:szCs w:val="13"/>
          <w:color w:val="333333"/>
        </w:rPr>
        <w:t>Assumes all earned base salary has been paid.</w:t>
      </w:r>
    </w:p>
    <w:p>
      <w:pPr>
        <w:spacing w:after="0" w:line="53" w:lineRule="exact"/>
        <w:rPr>
          <w:sz w:val="20"/>
          <w:szCs w:val="20"/>
          <w:color w:val="auto"/>
        </w:rPr>
      </w:pPr>
    </w:p>
    <w:p>
      <w:pPr>
        <w:ind w:left="224" w:hanging="224"/>
        <w:spacing w:after="0"/>
        <w:tabs>
          <w:tab w:leader="none" w:pos="224" w:val="left"/>
        </w:tabs>
        <w:numPr>
          <w:ilvl w:val="0"/>
          <w:numId w:val="125"/>
        </w:numPr>
        <w:rPr>
          <w:rFonts w:ascii="Arial" w:cs="Arial" w:eastAsia="Arial" w:hAnsi="Arial"/>
          <w:sz w:val="13"/>
          <w:szCs w:val="13"/>
          <w:color w:val="333333"/>
        </w:rPr>
      </w:pPr>
      <w:r>
        <w:rPr>
          <w:rFonts w:ascii="Arial" w:cs="Arial" w:eastAsia="Arial" w:hAnsi="Arial"/>
          <w:sz w:val="13"/>
          <w:szCs w:val="13"/>
          <w:color w:val="333333"/>
        </w:rPr>
        <w:t>Reflects the estimated lump-sum intrinsic value of all unvested RSUs.</w:t>
      </w:r>
    </w:p>
    <w:p>
      <w:pPr>
        <w:spacing w:after="0" w:line="53" w:lineRule="exact"/>
        <w:rPr>
          <w:sz w:val="20"/>
          <w:szCs w:val="20"/>
          <w:color w:val="auto"/>
        </w:rPr>
      </w:pPr>
    </w:p>
    <w:p>
      <w:pPr>
        <w:ind w:left="224" w:hanging="224"/>
        <w:spacing w:after="0"/>
        <w:tabs>
          <w:tab w:leader="none" w:pos="224" w:val="left"/>
        </w:tabs>
        <w:numPr>
          <w:ilvl w:val="0"/>
          <w:numId w:val="126"/>
        </w:numPr>
        <w:rPr>
          <w:rFonts w:ascii="Arial" w:cs="Arial" w:eastAsia="Arial" w:hAnsi="Arial"/>
          <w:sz w:val="13"/>
          <w:szCs w:val="13"/>
          <w:color w:val="333333"/>
        </w:rPr>
      </w:pPr>
      <w:r>
        <w:rPr>
          <w:rFonts w:ascii="Arial" w:cs="Arial" w:eastAsia="Arial" w:hAnsi="Arial"/>
          <w:sz w:val="13"/>
          <w:szCs w:val="13"/>
          <w:color w:val="333333"/>
        </w:rPr>
        <w:t>Reflects the difference between the value of the unvested Incentive Stock Plan share units at year-end and the amount of cash invested by the executive officer in the share units.</w:t>
      </w:r>
    </w:p>
    <w:p>
      <w:pPr>
        <w:spacing w:after="0" w:line="53" w:lineRule="exact"/>
        <w:rPr>
          <w:rFonts w:ascii="Arial" w:cs="Arial" w:eastAsia="Arial" w:hAnsi="Arial"/>
          <w:sz w:val="13"/>
          <w:szCs w:val="13"/>
          <w:color w:val="333333"/>
        </w:rPr>
      </w:pPr>
    </w:p>
    <w:p>
      <w:pPr>
        <w:ind w:left="4"/>
        <w:spacing w:after="0"/>
        <w:rPr>
          <w:rFonts w:ascii="Arial" w:cs="Arial" w:eastAsia="Arial" w:hAnsi="Arial"/>
          <w:sz w:val="13"/>
          <w:szCs w:val="13"/>
          <w:color w:val="333333"/>
        </w:rPr>
      </w:pPr>
      <w:r>
        <w:rPr>
          <w:rFonts w:ascii="Arial" w:cs="Arial" w:eastAsia="Arial" w:hAnsi="Arial"/>
          <w:sz w:val="13"/>
          <w:szCs w:val="13"/>
          <w:color w:val="333333"/>
        </w:rPr>
        <w:t>5  Reflects the estimated lump-sum intrinsic value of all unvested PSUs.</w:t>
      </w:r>
    </w:p>
    <w:p>
      <w:pPr>
        <w:spacing w:after="0" w:line="53" w:lineRule="exact"/>
        <w:rPr>
          <w:sz w:val="20"/>
          <w:szCs w:val="20"/>
          <w:color w:val="auto"/>
        </w:rPr>
      </w:pPr>
    </w:p>
    <w:p>
      <w:pPr>
        <w:ind w:left="224" w:right="80" w:hanging="224"/>
        <w:spacing w:after="0" w:line="259" w:lineRule="auto"/>
        <w:tabs>
          <w:tab w:leader="none" w:pos="224" w:val="left"/>
        </w:tabs>
        <w:numPr>
          <w:ilvl w:val="0"/>
          <w:numId w:val="127"/>
        </w:numPr>
        <w:rPr>
          <w:rFonts w:ascii="Arial" w:cs="Arial" w:eastAsia="Arial" w:hAnsi="Arial"/>
          <w:sz w:val="12"/>
          <w:szCs w:val="12"/>
          <w:color w:val="333333"/>
        </w:rPr>
      </w:pPr>
      <w:r>
        <w:rPr>
          <w:rFonts w:ascii="Arial" w:cs="Arial" w:eastAsia="Arial" w:hAnsi="Arial"/>
          <w:sz w:val="12"/>
          <w:szCs w:val="12"/>
          <w:color w:val="333333"/>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83. Change of Control values include the incremental value of the benefit (including three times Martin Marietta’s match to the defined contribution plan) payable upon a qualifying termination of employment following a Change of Control.</w:t>
      </w:r>
    </w:p>
    <w:p>
      <w:pPr>
        <w:spacing w:after="0" w:line="26" w:lineRule="exact"/>
        <w:rPr>
          <w:sz w:val="20"/>
          <w:szCs w:val="20"/>
          <w:color w:val="auto"/>
        </w:rPr>
      </w:pPr>
    </w:p>
    <w:p>
      <w:pPr>
        <w:ind w:left="224" w:right="180" w:hanging="224"/>
        <w:spacing w:after="0" w:line="243" w:lineRule="auto"/>
        <w:tabs>
          <w:tab w:leader="none" w:pos="224" w:val="left"/>
        </w:tabs>
        <w:numPr>
          <w:ilvl w:val="0"/>
          <w:numId w:val="128"/>
        </w:numPr>
        <w:rPr>
          <w:rFonts w:ascii="Arial" w:cs="Arial" w:eastAsia="Arial" w:hAnsi="Arial"/>
          <w:sz w:val="13"/>
          <w:szCs w:val="13"/>
          <w:color w:val="333333"/>
        </w:rPr>
      </w:pPr>
      <w:r>
        <w:rPr>
          <w:rFonts w:ascii="Arial" w:cs="Arial" w:eastAsia="Arial" w:hAnsi="Arial"/>
          <w:sz w:val="13"/>
          <w:szCs w:val="13"/>
          <w:color w:val="333333"/>
        </w:rPr>
        <w:t>Reflects the estimated incremental lump-sum present value of all future premiums that would be paid on behalf of the named executive officer under Martin Marietta’s health and welfare plans, including long-term disability and life insurance plans.</w:t>
      </w:r>
    </w:p>
    <w:p>
      <w:pPr>
        <w:spacing w:after="0" w:line="36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87 </w:t>
      </w:r>
      <w:r>
        <w:rPr>
          <w:rFonts w:ascii="Arial" w:cs="Arial" w:eastAsia="Arial" w:hAnsi="Arial"/>
          <w:sz w:val="16"/>
          <w:szCs w:val="16"/>
          <w:color w:val="333333"/>
        </w:rPr>
        <w:t xml:space="preserve">               </w:t>
      </w:r>
    </w:p>
    <w:p>
      <w:pPr>
        <w:sectPr>
          <w:pgSz w:w="11900" w:h="16838" w:orient="portrait"/>
          <w:cols w:equalWidth="0" w:num="4">
            <w:col w:w="44" w:space="120"/>
            <w:col w:w="3700" w:space="720"/>
            <w:col w:w="4660" w:space="720"/>
            <w:col w:w="1060"/>
          </w:cols>
          <w:pgMar w:left="436" w:top="315" w:right="439" w:bottom="1440" w:gutter="0" w:footer="0" w:header="0"/>
          <w:type w:val="continuous"/>
        </w:sectPr>
      </w:pPr>
    </w:p>
    <w:bookmarkStart w:id="94" w:name="page95"/>
    <w:bookmarkEnd w:id="94"/>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Required Pay Disclosures</w:t>
      </w:r>
    </w:p>
    <w:p>
      <w:pPr>
        <w:spacing w:after="0" w:line="227"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CEO Pay Ratio Disclosure</w:t>
      </w:r>
    </w:p>
    <w:p>
      <w:pPr>
        <w:spacing w:after="0" w:line="123" w:lineRule="exact"/>
        <w:rPr>
          <w:sz w:val="20"/>
          <w:szCs w:val="20"/>
          <w:color w:val="auto"/>
        </w:rPr>
      </w:pPr>
    </w:p>
    <w:p>
      <w:pPr>
        <w:ind w:left="4" w:right="180"/>
        <w:spacing w:after="0" w:line="266" w:lineRule="auto"/>
        <w:rPr>
          <w:sz w:val="20"/>
          <w:szCs w:val="20"/>
          <w:color w:val="auto"/>
        </w:rPr>
      </w:pPr>
      <w:r>
        <w:rPr>
          <w:rFonts w:ascii="Arial" w:cs="Arial" w:eastAsia="Arial" w:hAnsi="Arial"/>
          <w:sz w:val="16"/>
          <w:szCs w:val="16"/>
          <w:color w:val="333333"/>
        </w:rPr>
        <w:t>The Company is required to disclose in its Proxy Statement the annual total compensation of the median-compensated employee of, generally, all Company employees (excluding the CEO), the annual total compensation of its CEO, and the ratio of the CEO compensation to the median employee’s compensation.</w:t>
      </w:r>
    </w:p>
    <w:p>
      <w:pPr>
        <w:spacing w:after="0" w:line="63" w:lineRule="exact"/>
        <w:rPr>
          <w:sz w:val="20"/>
          <w:szCs w:val="20"/>
          <w:color w:val="auto"/>
        </w:rPr>
      </w:pPr>
    </w:p>
    <w:p>
      <w:pPr>
        <w:ind w:left="4" w:right="200"/>
        <w:spacing w:after="0" w:line="286" w:lineRule="auto"/>
        <w:rPr>
          <w:sz w:val="20"/>
          <w:szCs w:val="20"/>
          <w:color w:val="auto"/>
        </w:rPr>
      </w:pPr>
      <w:r>
        <w:rPr>
          <w:rFonts w:ascii="Arial" w:cs="Arial" w:eastAsia="Arial" w:hAnsi="Arial"/>
          <w:sz w:val="16"/>
          <w:szCs w:val="16"/>
          <w:color w:val="333333"/>
        </w:rPr>
        <w:t>In 2025, the Company employed approximately 9,500 employees that were located primarily in the United States with a limited number of employees in Canada and The Bahamas.</w:t>
      </w:r>
    </w:p>
    <w:p>
      <w:pPr>
        <w:spacing w:after="0" w:line="48"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333333"/>
        </w:rPr>
        <w:t>As permitted by SEC rules, we may identify our median employee for purposes of providing any ratio disclosure once every three years and calculate and disclose total compensation for that employee each year; provided that, during the last completed fiscal year, there has been no change in the employee population or employee compensation arrangements that we reasonably believe would result in a significant change to the prior CEO pay ratio disclosure. We reviewed the changes in our employee population and employee compensatory arrangements and determined there has been no changes that would significantly impact the pay ratio disclosure. As a result, we are using the same median employee as we newly identified in the 2023 CEO pay ratio disclosure. The median compensated employee was identified for our 2023 CEO pay ratio disclosure using a consistently applied compensation measure, encompassing base salary, overtime, and incentive compensation with a performance period of one year or less (such as annual incentives and sales or other bonuses). As allowed under the SEC rules, base pay was annualized for employees hired during the year to reflect a full year of service and the de minimis exemption was applied to exclude approximately 80 employees located in Canada and The Bahamas.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We determined the required ratio by:</w:t>
      </w:r>
    </w:p>
    <w:p>
      <w:pPr>
        <w:spacing w:after="0" w:line="73" w:lineRule="exact"/>
        <w:rPr>
          <w:sz w:val="20"/>
          <w:szCs w:val="20"/>
          <w:color w:val="auto"/>
        </w:rPr>
      </w:pPr>
    </w:p>
    <w:p>
      <w:pPr>
        <w:ind w:left="224" w:right="200" w:hanging="224"/>
        <w:spacing w:after="0" w:line="286" w:lineRule="auto"/>
        <w:tabs>
          <w:tab w:leader="none" w:pos="224" w:val="left"/>
        </w:tabs>
        <w:numPr>
          <w:ilvl w:val="0"/>
          <w:numId w:val="129"/>
        </w:numPr>
        <w:rPr>
          <w:rFonts w:ascii="Arial" w:cs="Arial" w:eastAsia="Arial" w:hAnsi="Arial"/>
          <w:sz w:val="16"/>
          <w:szCs w:val="16"/>
          <w:color w:val="333333"/>
        </w:rPr>
      </w:pPr>
      <w:r>
        <w:rPr>
          <w:rFonts w:ascii="Arial" w:cs="Arial" w:eastAsia="Arial" w:hAnsi="Arial"/>
          <w:sz w:val="16"/>
          <w:szCs w:val="16"/>
          <w:color w:val="333333"/>
        </w:rPr>
        <w:t>calculating the compensation based on a consistently applied measure as described above of all employees except the CEO, and then sorting those employees from highest to lowest;</w:t>
      </w:r>
    </w:p>
    <w:p>
      <w:pPr>
        <w:spacing w:after="0" w:line="7" w:lineRule="exact"/>
        <w:rPr>
          <w:rFonts w:ascii="Arial" w:cs="Arial" w:eastAsia="Arial" w:hAnsi="Arial"/>
          <w:sz w:val="16"/>
          <w:szCs w:val="16"/>
          <w:color w:val="333333"/>
        </w:rPr>
      </w:pPr>
    </w:p>
    <w:p>
      <w:pPr>
        <w:ind w:left="224" w:right="60" w:hanging="224"/>
        <w:spacing w:after="0" w:line="286" w:lineRule="auto"/>
        <w:tabs>
          <w:tab w:leader="none" w:pos="224" w:val="left"/>
        </w:tabs>
        <w:numPr>
          <w:ilvl w:val="0"/>
          <w:numId w:val="129"/>
        </w:numPr>
        <w:rPr>
          <w:rFonts w:ascii="Arial" w:cs="Arial" w:eastAsia="Arial" w:hAnsi="Arial"/>
          <w:sz w:val="16"/>
          <w:szCs w:val="16"/>
          <w:color w:val="333333"/>
        </w:rPr>
      </w:pPr>
      <w:r>
        <w:rPr>
          <w:rFonts w:ascii="Arial" w:cs="Arial" w:eastAsia="Arial" w:hAnsi="Arial"/>
          <w:sz w:val="16"/>
          <w:szCs w:val="16"/>
          <w:color w:val="333333"/>
        </w:rPr>
        <w:t>determining the median employee from that list, including evaluating employees situated slightly above and below the calculated median to ensure the selected employee reflects our population as a whole; and</w:t>
      </w:r>
    </w:p>
    <w:p>
      <w:pPr>
        <w:spacing w:after="0" w:line="7" w:lineRule="exact"/>
        <w:rPr>
          <w:rFonts w:ascii="Arial" w:cs="Arial" w:eastAsia="Arial" w:hAnsi="Arial"/>
          <w:sz w:val="16"/>
          <w:szCs w:val="16"/>
          <w:color w:val="333333"/>
        </w:rPr>
      </w:pPr>
    </w:p>
    <w:p>
      <w:pPr>
        <w:ind w:left="224" w:right="600" w:hanging="224"/>
        <w:spacing w:after="0" w:line="286" w:lineRule="auto"/>
        <w:tabs>
          <w:tab w:leader="none" w:pos="224" w:val="left"/>
        </w:tabs>
        <w:numPr>
          <w:ilvl w:val="0"/>
          <w:numId w:val="129"/>
        </w:numPr>
        <w:rPr>
          <w:rFonts w:ascii="Arial" w:cs="Arial" w:eastAsia="Arial" w:hAnsi="Arial"/>
          <w:sz w:val="16"/>
          <w:szCs w:val="16"/>
          <w:color w:val="333333"/>
        </w:rPr>
      </w:pPr>
      <w:r>
        <w:rPr>
          <w:rFonts w:ascii="Arial" w:cs="Arial" w:eastAsia="Arial" w:hAnsi="Arial"/>
          <w:sz w:val="16"/>
          <w:szCs w:val="16"/>
          <w:color w:val="333333"/>
        </w:rPr>
        <w:t>calculating the total annual compensation of our CEO and of the median-compensated employee using the same methodology required for the Summary Compensation Table.</w:t>
      </w:r>
    </w:p>
    <w:p>
      <w:pPr>
        <w:spacing w:after="0" w:line="48" w:lineRule="exact"/>
        <w:rPr>
          <w:sz w:val="20"/>
          <w:szCs w:val="20"/>
          <w:color w:val="auto"/>
        </w:rPr>
      </w:pPr>
    </w:p>
    <w:p>
      <w:pPr>
        <w:ind w:left="4" w:right="220"/>
        <w:spacing w:after="0" w:line="286" w:lineRule="auto"/>
        <w:rPr>
          <w:sz w:val="20"/>
          <w:szCs w:val="20"/>
          <w:color w:val="auto"/>
        </w:rPr>
      </w:pPr>
      <w:r>
        <w:rPr>
          <w:rFonts w:ascii="Arial" w:cs="Arial" w:eastAsia="Arial" w:hAnsi="Arial"/>
          <w:sz w:val="16"/>
          <w:szCs w:val="16"/>
          <w:color w:val="333333"/>
        </w:rPr>
        <w:t>The total annual compensation for our CEO for fiscal year 2025 was $14,264,065. The total annual compensation in 2025 for the median-compensated employee was $105,526. The resulting ratio of CEO pay to the pay of our median-compensated employee for fiscal year 2025 is 135 to one.</w:t>
      </w:r>
    </w:p>
    <w:p>
      <w:pPr>
        <w:spacing w:after="0" w:line="48" w:lineRule="exact"/>
        <w:rPr>
          <w:sz w:val="20"/>
          <w:szCs w:val="20"/>
          <w:color w:val="auto"/>
        </w:rPr>
      </w:pPr>
    </w:p>
    <w:p>
      <w:pPr>
        <w:ind w:left="4" w:right="320"/>
        <w:spacing w:after="0" w:line="254" w:lineRule="auto"/>
        <w:rPr>
          <w:sz w:val="20"/>
          <w:szCs w:val="20"/>
          <w:color w:val="auto"/>
        </w:rPr>
      </w:pPr>
      <w:r>
        <w:rPr>
          <w:rFonts w:ascii="Arial" w:cs="Arial" w:eastAsia="Arial" w:hAnsi="Arial"/>
          <w:sz w:val="16"/>
          <w:szCs w:val="16"/>
          <w:color w:val="333333"/>
        </w:rPr>
        <w:t>This pay ratio is a reasonable estimate calculated in a manner consistent with SEC rules based on our payroll and employment records and the methodology described above. Because the SEC rules for identifying the median-compensated employee and calculating the pay ratio based on that employee’s annual total compensation allow companies to adopt a variety of methodologies, to apply certain exclusions, and to make reasonable estimates and assumptions that reflect their compensation practices, the amount of compensation of the median-compensated employee and the pay ratio reported by other companies may not be comparable to our estimates reported above, as other companies may have different employment and compensation practices and may utilize different methodologies, exclusions, estimates and assumptions in calculating their own pay ratios.</w:t>
      </w:r>
    </w:p>
    <w:p>
      <w:pPr>
        <w:spacing w:after="0" w:line="35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528" w:right="439" w:bottom="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88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0" w:lineRule="exact"/>
        <w:rPr>
          <w:sz w:val="20"/>
          <w:szCs w:val="20"/>
          <w:color w:val="auto"/>
        </w:rPr>
      </w:pPr>
    </w:p>
    <w:p>
      <w:pPr>
        <w:sectPr>
          <w:pgSz w:w="11900" w:h="16838" w:orient="portrait"/>
          <w:cols w:equalWidth="0" w:num="4">
            <w:col w:w="204" w:space="120"/>
            <w:col w:w="460" w:space="120"/>
            <w:col w:w="8620" w:space="720"/>
            <w:col w:w="780"/>
          </w:cols>
          <w:pgMar w:left="436" w:top="528"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ectPr>
          <w:pgSz w:w="11900" w:h="16838" w:orient="portrait"/>
          <w:cols w:equalWidth="0" w:num="1">
            <w:col w:w="11024"/>
          </w:cols>
          <w:pgMar w:left="436" w:top="528" w:right="439" w:bottom="0" w:gutter="0" w:footer="0" w:header="0"/>
          <w:type w:val="continuous"/>
        </w:sectPr>
      </w:pP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75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528" w:right="439" w:bottom="0" w:gutter="0" w:footer="0" w:header="0"/>
          <w:type w:val="continuous"/>
        </w:sectPr>
      </w:pPr>
    </w:p>
    <w:bookmarkStart w:id="95" w:name="page96"/>
    <w:bookmarkEnd w:id="95"/>
    <w:p>
      <w:pPr>
        <w:ind w:left="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Versus Performance</w:t>
      </w:r>
    </w:p>
    <w:p>
      <w:pPr>
        <w:spacing w:after="0" w:line="134" w:lineRule="exact"/>
        <w:rPr>
          <w:sz w:val="20"/>
          <w:szCs w:val="20"/>
          <w:color w:val="auto"/>
        </w:rPr>
      </w:pPr>
    </w:p>
    <w:p>
      <w:pPr>
        <w:ind w:left="4" w:right="160"/>
        <w:spacing w:after="0" w:line="254" w:lineRule="auto"/>
        <w:rPr>
          <w:sz w:val="20"/>
          <w:szCs w:val="20"/>
          <w:color w:val="auto"/>
        </w:rPr>
      </w:pPr>
      <w:r>
        <w:rPr>
          <w:rFonts w:ascii="Arial" w:cs="Arial" w:eastAsia="Arial" w:hAnsi="Arial"/>
          <w:sz w:val="16"/>
          <w:szCs w:val="16"/>
          <w:color w:val="333333"/>
        </w:rPr>
        <w:t>The Company is required to disclose in its Proxy Statement information that shows the relationship between “Compensation Actually Paid” as defined in Item 402(v) of Regulation S-K and the financial performance of the Company. The Management Development and Compensation Committee did not consider the Pay Versus Performance disclosure when making its executive pay or incentive compensation decisions for any of the years shown. For a discussion of how the Management Development and Compensation Committee seeks to align pay with performance when making compensation decisions, please review the Compensation Discussion and Analysis beginning on page 48. The table and notes below provide this disclosure for the fiscal years ending December 31, 2025, 2024, 2023, 2022 and 2021.</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45"/>
        </w:trPr>
        <w:tc>
          <w:tcPr>
            <w:tcW w:w="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0086CC"/>
                <w:w w:val="97"/>
              </w:rPr>
              <w:t>AVERAGE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0086CC"/>
                <w:w w:val="97"/>
              </w:rPr>
              <w:t>VALUE OF INITIAL FIXED $100</w:t>
            </w: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SUMMARY</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AVERAGE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0086CC"/>
                <w:w w:val="97"/>
              </w:rPr>
              <w:t>INVESTMENT BASED ON:</w:t>
            </w: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0086CC"/>
                <w:w w:val="95"/>
              </w:rPr>
              <w:t>COMPENSATION</w:t>
            </w:r>
          </w:p>
        </w:tc>
        <w:tc>
          <w:tcPr>
            <w:tcW w:w="1080" w:type="dxa"/>
            <w:vAlign w:val="bottom"/>
            <w:vMerge w:val="restart"/>
          </w:tcPr>
          <w:p>
            <w:pPr>
              <w:jc w:val="center"/>
              <w:spacing w:after="0" w:line="125" w:lineRule="exact"/>
              <w:rPr>
                <w:sz w:val="20"/>
                <w:szCs w:val="20"/>
                <w:color w:val="auto"/>
              </w:rPr>
            </w:pPr>
            <w:r>
              <w:rPr>
                <w:rFonts w:ascii="Arial" w:cs="Arial" w:eastAsia="Arial" w:hAnsi="Arial"/>
                <w:sz w:val="12"/>
                <w:szCs w:val="12"/>
                <w:b w:val="1"/>
                <w:bCs w:val="1"/>
                <w:color w:val="0086CC"/>
                <w:w w:val="95"/>
              </w:rPr>
              <w:t>COMPENSATION</w:t>
            </w:r>
          </w:p>
        </w:tc>
        <w:tc>
          <w:tcPr>
            <w:tcW w:w="100" w:type="dxa"/>
            <w:vAlign w:val="bottom"/>
          </w:tcPr>
          <w:p>
            <w:pPr>
              <w:spacing w:after="0"/>
              <w:rPr>
                <w:sz w:val="4"/>
                <w:szCs w:val="4"/>
                <w:color w:val="auto"/>
              </w:rPr>
            </w:pPr>
          </w:p>
        </w:tc>
        <w:tc>
          <w:tcPr>
            <w:tcW w:w="180" w:type="dxa"/>
            <w:vAlign w:val="bottom"/>
            <w:tcBorders>
              <w:bottom w:val="single" w:sz="8" w:color="0086CC"/>
            </w:tcBorders>
          </w:tcPr>
          <w:p>
            <w:pPr>
              <w:spacing w:after="0"/>
              <w:rPr>
                <w:sz w:val="4"/>
                <w:szCs w:val="4"/>
                <w:color w:val="auto"/>
              </w:rPr>
            </w:pPr>
          </w:p>
        </w:tc>
        <w:tc>
          <w:tcPr>
            <w:tcW w:w="1380" w:type="dxa"/>
            <w:vAlign w:val="bottom"/>
            <w:tcBorders>
              <w:bottom w:val="single" w:sz="8" w:color="0086CC"/>
            </w:tcBorders>
          </w:tcPr>
          <w:p>
            <w:pPr>
              <w:spacing w:after="0"/>
              <w:rPr>
                <w:sz w:val="4"/>
                <w:szCs w:val="4"/>
                <w:color w:val="auto"/>
              </w:rPr>
            </w:pPr>
          </w:p>
        </w:tc>
        <w:tc>
          <w:tcPr>
            <w:tcW w:w="1440" w:type="dxa"/>
            <w:vAlign w:val="bottom"/>
            <w:tcBorders>
              <w:bottom w:val="single" w:sz="8" w:color="0086CC"/>
            </w:tcBorders>
          </w:tcPr>
          <w:p>
            <w:pPr>
              <w:spacing w:after="0"/>
              <w:rPr>
                <w:sz w:val="4"/>
                <w:szCs w:val="4"/>
                <w:color w:val="auto"/>
              </w:rPr>
            </w:pPr>
          </w:p>
        </w:tc>
        <w:tc>
          <w:tcPr>
            <w:tcW w:w="1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9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TABLE TOTAL</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ACTUALLY PAID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4"/>
              </w:rPr>
              <w:t>COMPANY</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480" w:type="dxa"/>
            <w:vAlign w:val="bottom"/>
          </w:tcPr>
          <w:p>
            <w:pPr>
              <w:jc w:val="center"/>
              <w:ind w:left="335"/>
              <w:spacing w:after="0" w:line="135" w:lineRule="exact"/>
              <w:rPr>
                <w:sz w:val="20"/>
                <w:szCs w:val="20"/>
                <w:color w:val="auto"/>
              </w:rPr>
            </w:pPr>
            <w:r>
              <w:rPr>
                <w:rFonts w:ascii="Arial" w:cs="Arial" w:eastAsia="Arial" w:hAnsi="Arial"/>
                <w:sz w:val="12"/>
                <w:szCs w:val="12"/>
                <w:b w:val="1"/>
                <w:bCs w:val="1"/>
                <w:color w:val="0086CC"/>
                <w:w w:val="96"/>
              </w:rPr>
              <w:t>SUMMARY</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COMPENSATION</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FOR NON-PEO</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TO NON-PEO</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PEER GROUP</w:t>
            </w:r>
          </w:p>
        </w:tc>
        <w:tc>
          <w:tcPr>
            <w:tcW w:w="12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SELECTED</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2"/>
                <w:szCs w:val="12"/>
                <w:b w:val="1"/>
                <w:bCs w:val="1"/>
                <w:color w:val="0086CC"/>
              </w:rPr>
              <w:t>COMPENSATION</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ACTUALLY</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NAMED</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NAMED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ind w:left="440"/>
              <w:spacing w:after="0" w:line="135" w:lineRule="exact"/>
              <w:rPr>
                <w:sz w:val="20"/>
                <w:szCs w:val="20"/>
                <w:color w:val="auto"/>
              </w:rPr>
            </w:pPr>
            <w:r>
              <w:rPr>
                <w:rFonts w:ascii="Arial" w:cs="Arial" w:eastAsia="Arial" w:hAnsi="Arial"/>
                <w:sz w:val="12"/>
                <w:szCs w:val="12"/>
                <w:b w:val="1"/>
                <w:bCs w:val="1"/>
                <w:color w:val="0086CC"/>
              </w:rPr>
              <w:t>TOTAL</w:t>
            </w:r>
          </w:p>
        </w:tc>
        <w:tc>
          <w:tcPr>
            <w:tcW w:w="14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4"/>
              </w:rPr>
              <w:t>TOTAL</w:t>
            </w:r>
          </w:p>
        </w:tc>
        <w:tc>
          <w:tcPr>
            <w:tcW w:w="12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MEASURE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480" w:type="dxa"/>
            <w:vAlign w:val="bottom"/>
          </w:tcPr>
          <w:p>
            <w:pPr>
              <w:jc w:val="center"/>
              <w:ind w:left="335"/>
              <w:spacing w:after="0" w:line="135" w:lineRule="exact"/>
              <w:rPr>
                <w:sz w:val="20"/>
                <w:szCs w:val="20"/>
                <w:color w:val="auto"/>
              </w:rPr>
            </w:pPr>
            <w:r>
              <w:rPr>
                <w:rFonts w:ascii="Arial" w:cs="Arial" w:eastAsia="Arial" w:hAnsi="Arial"/>
                <w:sz w:val="12"/>
                <w:szCs w:val="12"/>
                <w:b w:val="1"/>
                <w:bCs w:val="1"/>
                <w:color w:val="0086CC"/>
                <w:w w:val="95"/>
              </w:rPr>
              <w:t>TABLE TOTAL</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0"/>
              </w:rPr>
              <w:t>PAID</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EXECUTIVE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EXECUTIVE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ind w:right="55"/>
              <w:spacing w:after="0" w:line="135" w:lineRule="exact"/>
              <w:rPr>
                <w:sz w:val="20"/>
                <w:szCs w:val="20"/>
                <w:color w:val="auto"/>
              </w:rPr>
            </w:pPr>
            <w:r>
              <w:rPr>
                <w:rFonts w:ascii="Arial" w:cs="Arial" w:eastAsia="Arial" w:hAnsi="Arial"/>
                <w:sz w:val="12"/>
                <w:szCs w:val="12"/>
                <w:b w:val="1"/>
                <w:bCs w:val="1"/>
                <w:color w:val="0086CC"/>
                <w:w w:val="97"/>
              </w:rPr>
              <w:t>SHAREHOLDER</w:t>
            </w:r>
          </w:p>
        </w:tc>
        <w:tc>
          <w:tcPr>
            <w:tcW w:w="14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7"/>
              </w:rPr>
              <w:t>SHAREHOLDER</w:t>
            </w:r>
          </w:p>
        </w:tc>
        <w:tc>
          <w:tcPr>
            <w:tcW w:w="12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1"/>
              </w:rPr>
              <w:t>NET</w:t>
            </w: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6"/>
              </w:rPr>
              <w:t>(ADJUSTED</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480" w:type="dxa"/>
            <w:vAlign w:val="bottom"/>
          </w:tcPr>
          <w:p>
            <w:pPr>
              <w:jc w:val="center"/>
              <w:ind w:left="335"/>
              <w:spacing w:after="0" w:line="135" w:lineRule="exact"/>
              <w:rPr>
                <w:sz w:val="20"/>
                <w:szCs w:val="20"/>
                <w:color w:val="auto"/>
              </w:rPr>
            </w:pPr>
            <w:r>
              <w:rPr>
                <w:rFonts w:ascii="Arial" w:cs="Arial" w:eastAsia="Arial" w:hAnsi="Arial"/>
                <w:sz w:val="12"/>
                <w:szCs w:val="12"/>
                <w:b w:val="1"/>
                <w:bCs w:val="1"/>
                <w:color w:val="0086CC"/>
                <w:w w:val="96"/>
              </w:rPr>
              <w:t>FOR PEO</w:t>
            </w:r>
          </w:p>
        </w:tc>
        <w:tc>
          <w:tcPr>
            <w:tcW w:w="1060" w:type="dxa"/>
            <w:vAlign w:val="bottom"/>
          </w:tcPr>
          <w:p>
            <w:pPr>
              <w:jc w:val="center"/>
              <w:spacing w:after="0" w:line="135" w:lineRule="exact"/>
              <w:rPr>
                <w:sz w:val="20"/>
                <w:szCs w:val="20"/>
                <w:color w:val="auto"/>
              </w:rPr>
            </w:pPr>
            <w:r>
              <w:rPr>
                <w:rFonts w:ascii="Arial" w:cs="Arial" w:eastAsia="Arial" w:hAnsi="Arial"/>
                <w:sz w:val="15"/>
                <w:szCs w:val="15"/>
                <w:b w:val="1"/>
                <w:bCs w:val="1"/>
                <w:color w:val="0086CC"/>
                <w:vertAlign w:val="subscript"/>
              </w:rPr>
              <w:t>TO PEO</w:t>
            </w:r>
            <w:r>
              <w:rPr>
                <w:rFonts w:ascii="Arial" w:cs="Arial" w:eastAsia="Arial" w:hAnsi="Arial"/>
                <w:sz w:val="6"/>
                <w:szCs w:val="6"/>
                <w:b w:val="1"/>
                <w:bCs w:val="1"/>
                <w:color w:val="0086CC"/>
              </w:rPr>
              <w:t>(2),(3)</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OFFICERS</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OFFICERS</w:t>
            </w:r>
          </w:p>
        </w:tc>
        <w:tc>
          <w:tcPr>
            <w:tcW w:w="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0086CC"/>
              </w:rPr>
              <w:t> </w:t>
            </w:r>
          </w:p>
        </w:tc>
        <w:tc>
          <w:tcPr>
            <w:tcW w:w="1380" w:type="dxa"/>
            <w:vAlign w:val="bottom"/>
          </w:tcPr>
          <w:p>
            <w:pPr>
              <w:jc w:val="center"/>
              <w:ind w:right="55"/>
              <w:spacing w:after="0" w:line="135" w:lineRule="exact"/>
              <w:rPr>
                <w:sz w:val="20"/>
                <w:szCs w:val="20"/>
                <w:color w:val="auto"/>
              </w:rPr>
            </w:pPr>
            <w:r>
              <w:rPr>
                <w:rFonts w:ascii="Arial" w:cs="Arial" w:eastAsia="Arial" w:hAnsi="Arial"/>
                <w:sz w:val="12"/>
                <w:szCs w:val="12"/>
                <w:b w:val="1"/>
                <w:bCs w:val="1"/>
                <w:color w:val="0086CC"/>
                <w:w w:val="94"/>
              </w:rPr>
              <w:t>RETURN</w:t>
            </w:r>
            <w:r>
              <w:rPr>
                <w:rFonts w:ascii="Arial" w:cs="Arial" w:eastAsia="Arial" w:hAnsi="Arial"/>
                <w:sz w:val="14"/>
                <w:szCs w:val="14"/>
                <w:b w:val="1"/>
                <w:bCs w:val="1"/>
                <w:color w:val="0086CC"/>
                <w:w w:val="94"/>
                <w:vertAlign w:val="superscript"/>
              </w:rPr>
              <w:t>(5)</w:t>
            </w:r>
          </w:p>
        </w:tc>
        <w:tc>
          <w:tcPr>
            <w:tcW w:w="14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4"/>
              </w:rPr>
              <w:t>RETURN</w:t>
            </w:r>
            <w:r>
              <w:rPr>
                <w:rFonts w:ascii="Arial" w:cs="Arial" w:eastAsia="Arial" w:hAnsi="Arial"/>
                <w:sz w:val="14"/>
                <w:szCs w:val="14"/>
                <w:b w:val="1"/>
                <w:bCs w:val="1"/>
                <w:color w:val="0086CC"/>
                <w:w w:val="94"/>
                <w:vertAlign w:val="superscript"/>
              </w:rPr>
              <w:t>(5)</w:t>
            </w:r>
          </w:p>
        </w:tc>
        <w:tc>
          <w:tcPr>
            <w:tcW w:w="12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5"/>
              </w:rPr>
              <w:t>INCOME</w:t>
            </w: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0086CC"/>
                <w:w w:val="93"/>
              </w:rPr>
              <w:t>EBITDA)</w:t>
            </w:r>
            <w:r>
              <w:rPr>
                <w:rFonts w:ascii="Arial" w:cs="Arial" w:eastAsia="Arial" w:hAnsi="Arial"/>
                <w:sz w:val="14"/>
                <w:szCs w:val="14"/>
                <w:b w:val="1"/>
                <w:bCs w:val="1"/>
                <w:color w:val="0086CC"/>
                <w:w w:val="93"/>
                <w:vertAlign w:val="superscript"/>
              </w:rPr>
              <w:t>(6)</w:t>
            </w:r>
          </w:p>
        </w:tc>
        <w:tc>
          <w:tcPr>
            <w:tcW w:w="0" w:type="dxa"/>
            <w:vAlign w:val="bottom"/>
          </w:tcPr>
          <w:p>
            <w:pPr>
              <w:spacing w:after="0"/>
              <w:rPr>
                <w:sz w:val="1"/>
                <w:szCs w:val="1"/>
                <w:color w:val="auto"/>
              </w:rPr>
            </w:pPr>
          </w:p>
        </w:tc>
      </w:tr>
      <w:tr>
        <w:trPr>
          <w:trHeight w:val="185"/>
        </w:trPr>
        <w:tc>
          <w:tcPr>
            <w:tcW w:w="940" w:type="dxa"/>
            <w:vAlign w:val="bottom"/>
            <w:tcBorders>
              <w:bottom w:val="single" w:sz="8" w:color="0086CC"/>
            </w:tcBorders>
          </w:tcPr>
          <w:p>
            <w:pPr>
              <w:ind w:left="60"/>
              <w:spacing w:after="0"/>
              <w:rPr>
                <w:sz w:val="20"/>
                <w:szCs w:val="20"/>
                <w:color w:val="auto"/>
              </w:rPr>
            </w:pPr>
            <w:r>
              <w:rPr>
                <w:rFonts w:ascii="Arial" w:cs="Arial" w:eastAsia="Arial" w:hAnsi="Arial"/>
                <w:sz w:val="12"/>
                <w:szCs w:val="12"/>
                <w:b w:val="1"/>
                <w:bCs w:val="1"/>
                <w:color w:val="0086CC"/>
              </w:rPr>
              <w:t>YEAR</w:t>
            </w:r>
            <w:r>
              <w:rPr>
                <w:rFonts w:ascii="Arial" w:cs="Arial" w:eastAsia="Arial" w:hAnsi="Arial"/>
                <w:sz w:val="14"/>
                <w:szCs w:val="14"/>
                <w:b w:val="1"/>
                <w:bCs w:val="1"/>
                <w:color w:val="0086CC"/>
                <w:vertAlign w:val="superscript"/>
              </w:rPr>
              <w:t>(1)</w:t>
            </w:r>
          </w:p>
        </w:tc>
        <w:tc>
          <w:tcPr>
            <w:tcW w:w="1480" w:type="dxa"/>
            <w:vAlign w:val="bottom"/>
            <w:tcBorders>
              <w:bottom w:val="single" w:sz="8" w:color="0086CC"/>
            </w:tcBorders>
          </w:tcPr>
          <w:p>
            <w:pPr>
              <w:jc w:val="center"/>
              <w:ind w:left="335"/>
              <w:spacing w:after="0"/>
              <w:rPr>
                <w:sz w:val="20"/>
                <w:szCs w:val="20"/>
                <w:color w:val="auto"/>
              </w:rPr>
            </w:pPr>
            <w:r>
              <w:rPr>
                <w:rFonts w:ascii="Arial" w:cs="Arial" w:eastAsia="Arial" w:hAnsi="Arial"/>
                <w:sz w:val="12"/>
                <w:szCs w:val="12"/>
                <w:b w:val="1"/>
                <w:bCs w:val="1"/>
                <w:color w:val="0086CC"/>
              </w:rPr>
              <w:t>($)</w:t>
            </w:r>
          </w:p>
        </w:tc>
        <w:tc>
          <w:tcPr>
            <w:tcW w:w="106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108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108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100" w:type="dxa"/>
            <w:vAlign w:val="bottom"/>
            <w:tcBorders>
              <w:bottom w:val="single" w:sz="8" w:color="0086CC"/>
            </w:tcBorders>
          </w:tcPr>
          <w:p>
            <w:pPr>
              <w:spacing w:after="0"/>
              <w:rPr>
                <w:sz w:val="16"/>
                <w:szCs w:val="16"/>
                <w:color w:val="auto"/>
              </w:rPr>
            </w:pPr>
          </w:p>
        </w:tc>
        <w:tc>
          <w:tcPr>
            <w:tcW w:w="180" w:type="dxa"/>
            <w:vAlign w:val="bottom"/>
            <w:tcBorders>
              <w:bottom w:val="single" w:sz="8" w:color="0086CC"/>
            </w:tcBorders>
          </w:tcPr>
          <w:p>
            <w:pPr>
              <w:spacing w:after="0"/>
              <w:rPr>
                <w:sz w:val="16"/>
                <w:szCs w:val="16"/>
                <w:color w:val="auto"/>
              </w:rPr>
            </w:pPr>
          </w:p>
        </w:tc>
        <w:tc>
          <w:tcPr>
            <w:tcW w:w="1380" w:type="dxa"/>
            <w:vAlign w:val="bottom"/>
            <w:tcBorders>
              <w:bottom w:val="single" w:sz="8" w:color="0086CC"/>
            </w:tcBorders>
          </w:tcPr>
          <w:p>
            <w:pPr>
              <w:jc w:val="center"/>
              <w:ind w:right="55"/>
              <w:spacing w:after="0"/>
              <w:rPr>
                <w:sz w:val="20"/>
                <w:szCs w:val="20"/>
                <w:color w:val="auto"/>
              </w:rPr>
            </w:pPr>
            <w:r>
              <w:rPr>
                <w:rFonts w:ascii="Arial" w:cs="Arial" w:eastAsia="Arial" w:hAnsi="Arial"/>
                <w:sz w:val="12"/>
                <w:szCs w:val="12"/>
                <w:b w:val="1"/>
                <w:bCs w:val="1"/>
                <w:color w:val="0086CC"/>
                <w:w w:val="95"/>
              </w:rPr>
              <w:t>($)</w:t>
            </w:r>
          </w:p>
        </w:tc>
        <w:tc>
          <w:tcPr>
            <w:tcW w:w="144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124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1040" w:type="dxa"/>
            <w:vAlign w:val="bottom"/>
            <w:tcBorders>
              <w:bottom w:val="single" w:sz="8" w:color="0086CC"/>
            </w:tcBorders>
          </w:tcPr>
          <w:p>
            <w:pPr>
              <w:jc w:val="center"/>
              <w:spacing w:after="0"/>
              <w:rPr>
                <w:sz w:val="20"/>
                <w:szCs w:val="20"/>
                <w:color w:val="auto"/>
              </w:rPr>
            </w:pPr>
            <w:r>
              <w:rPr>
                <w:rFonts w:ascii="Arial" w:cs="Arial" w:eastAsia="Arial" w:hAnsi="Arial"/>
                <w:sz w:val="12"/>
                <w:szCs w:val="12"/>
                <w:b w:val="1"/>
                <w:bCs w:val="1"/>
                <w:color w:val="0086CC"/>
                <w:w w:val="95"/>
              </w:rPr>
              <w:t>($)</w:t>
            </w:r>
          </w:p>
        </w:tc>
        <w:tc>
          <w:tcPr>
            <w:tcW w:w="0" w:type="dxa"/>
            <w:vAlign w:val="bottom"/>
          </w:tcPr>
          <w:p>
            <w:pPr>
              <w:spacing w:after="0"/>
              <w:rPr>
                <w:sz w:val="1"/>
                <w:szCs w:val="1"/>
                <w:color w:val="auto"/>
              </w:rPr>
            </w:pPr>
          </w:p>
        </w:tc>
      </w:tr>
      <w:tr>
        <w:trPr>
          <w:trHeight w:val="250"/>
        </w:trPr>
        <w:tc>
          <w:tcPr>
            <w:tcW w:w="940" w:type="dxa"/>
            <w:vAlign w:val="bottom"/>
            <w:tcBorders>
              <w:bottom w:val="single" w:sz="8" w:color="4D5357"/>
            </w:tcBorders>
          </w:tcPr>
          <w:p>
            <w:pPr>
              <w:ind w:left="60"/>
              <w:spacing w:after="0"/>
              <w:rPr>
                <w:sz w:val="20"/>
                <w:szCs w:val="20"/>
                <w:color w:val="auto"/>
              </w:rPr>
            </w:pPr>
            <w:r>
              <w:rPr>
                <w:rFonts w:ascii="Arial" w:cs="Arial" w:eastAsia="Arial" w:hAnsi="Arial"/>
                <w:sz w:val="14"/>
                <w:szCs w:val="14"/>
                <w:b w:val="1"/>
                <w:bCs w:val="1"/>
                <w:color w:val="4D5357"/>
              </w:rPr>
              <w:t>2025</w:t>
            </w:r>
          </w:p>
        </w:tc>
        <w:tc>
          <w:tcPr>
            <w:tcW w:w="14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14,264,065</w:t>
            </w:r>
          </w:p>
        </w:tc>
        <w:tc>
          <w:tcPr>
            <w:tcW w:w="1060" w:type="dxa"/>
            <w:vAlign w:val="bottom"/>
            <w:tcBorders>
              <w:bottom w:val="single" w:sz="8" w:color="4D5357"/>
            </w:tcBorders>
          </w:tcPr>
          <w:p>
            <w:pPr>
              <w:jc w:val="right"/>
              <w:ind w:right="38"/>
              <w:spacing w:after="0"/>
              <w:rPr>
                <w:sz w:val="20"/>
                <w:szCs w:val="20"/>
                <w:color w:val="auto"/>
              </w:rPr>
            </w:pPr>
            <w:r>
              <w:rPr>
                <w:rFonts w:ascii="Arial" w:cs="Arial" w:eastAsia="Arial" w:hAnsi="Arial"/>
                <w:sz w:val="14"/>
                <w:szCs w:val="14"/>
                <w:color w:val="4D5357"/>
              </w:rPr>
              <w:t>25,741,013</w:t>
            </w:r>
            <w:r>
              <w:rPr>
                <w:rFonts w:ascii="Arial" w:cs="Arial" w:eastAsia="Arial" w:hAnsi="Arial"/>
                <w:sz w:val="17"/>
                <w:szCs w:val="17"/>
                <w:color w:val="4D5357"/>
                <w:vertAlign w:val="superscript"/>
              </w:rPr>
              <w:t>(4)</w:t>
            </w:r>
          </w:p>
        </w:tc>
        <w:tc>
          <w:tcPr>
            <w:tcW w:w="10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2,752,942</w:t>
            </w:r>
          </w:p>
        </w:tc>
        <w:tc>
          <w:tcPr>
            <w:tcW w:w="1080" w:type="dxa"/>
            <w:vAlign w:val="bottom"/>
            <w:tcBorders>
              <w:bottom w:val="single" w:sz="8" w:color="4D5357"/>
            </w:tcBorders>
          </w:tcPr>
          <w:p>
            <w:pPr>
              <w:ind w:left="220"/>
              <w:spacing w:after="0"/>
              <w:rPr>
                <w:sz w:val="20"/>
                <w:szCs w:val="20"/>
                <w:color w:val="auto"/>
              </w:rPr>
            </w:pPr>
            <w:r>
              <w:rPr>
                <w:rFonts w:ascii="Arial" w:cs="Arial" w:eastAsia="Arial" w:hAnsi="Arial"/>
                <w:sz w:val="14"/>
                <w:szCs w:val="14"/>
                <w:color w:val="4D5357"/>
              </w:rPr>
              <w:t>3,331,642</w:t>
            </w:r>
            <w:r>
              <w:rPr>
                <w:rFonts w:ascii="Arial" w:cs="Arial" w:eastAsia="Arial" w:hAnsi="Arial"/>
                <w:sz w:val="17"/>
                <w:szCs w:val="17"/>
                <w:color w:val="4D5357"/>
                <w:vertAlign w:val="superscript"/>
              </w:rPr>
              <w:t>(4)</w:t>
            </w:r>
          </w:p>
        </w:tc>
        <w:tc>
          <w:tcPr>
            <w:tcW w:w="100" w:type="dxa"/>
            <w:vAlign w:val="bottom"/>
            <w:tcBorders>
              <w:bottom w:val="single" w:sz="8" w:color="4D5357"/>
            </w:tcBorders>
          </w:tcPr>
          <w:p>
            <w:pPr>
              <w:spacing w:after="0"/>
              <w:rPr>
                <w:sz w:val="21"/>
                <w:szCs w:val="21"/>
                <w:color w:val="auto"/>
              </w:rPr>
            </w:pPr>
          </w:p>
        </w:tc>
        <w:tc>
          <w:tcPr>
            <w:tcW w:w="180" w:type="dxa"/>
            <w:vAlign w:val="bottom"/>
            <w:tcBorders>
              <w:bottom w:val="single" w:sz="8" w:color="4D5357"/>
            </w:tcBorders>
          </w:tcPr>
          <w:p>
            <w:pPr>
              <w:spacing w:after="0"/>
              <w:rPr>
                <w:sz w:val="21"/>
                <w:szCs w:val="21"/>
                <w:color w:val="auto"/>
              </w:rPr>
            </w:pPr>
          </w:p>
        </w:tc>
        <w:tc>
          <w:tcPr>
            <w:tcW w:w="1380" w:type="dxa"/>
            <w:vAlign w:val="bottom"/>
            <w:tcBorders>
              <w:bottom w:val="single" w:sz="8" w:color="4D5357"/>
            </w:tcBorders>
          </w:tcPr>
          <w:p>
            <w:pPr>
              <w:ind w:left="440"/>
              <w:spacing w:after="0"/>
              <w:rPr>
                <w:sz w:val="20"/>
                <w:szCs w:val="20"/>
                <w:color w:val="auto"/>
              </w:rPr>
            </w:pPr>
            <w:r>
              <w:rPr>
                <w:rFonts w:ascii="Arial" w:cs="Arial" w:eastAsia="Arial" w:hAnsi="Arial"/>
                <w:sz w:val="14"/>
                <w:szCs w:val="14"/>
                <w:color w:val="4D5357"/>
              </w:rPr>
              <w:t>226.27</w:t>
            </w:r>
          </w:p>
        </w:tc>
        <w:tc>
          <w:tcPr>
            <w:tcW w:w="1440" w:type="dxa"/>
            <w:vAlign w:val="bottom"/>
            <w:tcBorders>
              <w:bottom w:val="single" w:sz="8" w:color="4D5357"/>
            </w:tcBorders>
          </w:tcPr>
          <w:p>
            <w:pPr>
              <w:jc w:val="right"/>
              <w:ind w:right="375"/>
              <w:spacing w:after="0"/>
              <w:rPr>
                <w:sz w:val="20"/>
                <w:szCs w:val="20"/>
                <w:color w:val="auto"/>
              </w:rPr>
            </w:pPr>
            <w:r>
              <w:rPr>
                <w:rFonts w:ascii="Arial" w:cs="Arial" w:eastAsia="Arial" w:hAnsi="Arial"/>
                <w:sz w:val="14"/>
                <w:szCs w:val="14"/>
                <w:color w:val="4D5357"/>
              </w:rPr>
              <w:t>138.87</w:t>
            </w:r>
          </w:p>
        </w:tc>
        <w:tc>
          <w:tcPr>
            <w:tcW w:w="1240" w:type="dxa"/>
            <w:vAlign w:val="bottom"/>
            <w:tcBorders>
              <w:bottom w:val="single" w:sz="8" w:color="4D5357"/>
            </w:tcBorders>
          </w:tcPr>
          <w:p>
            <w:pPr>
              <w:jc w:val="right"/>
              <w:ind w:right="33"/>
              <w:spacing w:after="0"/>
              <w:rPr>
                <w:sz w:val="20"/>
                <w:szCs w:val="20"/>
                <w:color w:val="auto"/>
              </w:rPr>
            </w:pPr>
            <w:r>
              <w:rPr>
                <w:rFonts w:ascii="Arial" w:cs="Arial" w:eastAsia="Arial" w:hAnsi="Arial"/>
                <w:sz w:val="14"/>
                <w:szCs w:val="14"/>
                <w:color w:val="4D5357"/>
              </w:rPr>
              <w:t>1,137,610,000</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2,302,390,000</w:t>
            </w:r>
          </w:p>
        </w:tc>
        <w:tc>
          <w:tcPr>
            <w:tcW w:w="0" w:type="dxa"/>
            <w:vAlign w:val="bottom"/>
          </w:tcPr>
          <w:p>
            <w:pPr>
              <w:spacing w:after="0"/>
              <w:rPr>
                <w:sz w:val="1"/>
                <w:szCs w:val="1"/>
                <w:color w:val="auto"/>
              </w:rPr>
            </w:pPr>
          </w:p>
        </w:tc>
      </w:tr>
      <w:tr>
        <w:trPr>
          <w:trHeight w:val="246"/>
        </w:trPr>
        <w:tc>
          <w:tcPr>
            <w:tcW w:w="940" w:type="dxa"/>
            <w:vAlign w:val="bottom"/>
            <w:tcBorders>
              <w:bottom w:val="single" w:sz="8" w:color="4D5357"/>
            </w:tcBorders>
          </w:tcPr>
          <w:p>
            <w:pPr>
              <w:ind w:left="60"/>
              <w:spacing w:after="0"/>
              <w:rPr>
                <w:sz w:val="20"/>
                <w:szCs w:val="20"/>
                <w:color w:val="auto"/>
              </w:rPr>
            </w:pPr>
            <w:r>
              <w:rPr>
                <w:rFonts w:ascii="Arial" w:cs="Arial" w:eastAsia="Arial" w:hAnsi="Arial"/>
                <w:sz w:val="14"/>
                <w:szCs w:val="14"/>
                <w:b w:val="1"/>
                <w:bCs w:val="1"/>
                <w:color w:val="4D5357"/>
              </w:rPr>
              <w:t>2024</w:t>
            </w:r>
          </w:p>
        </w:tc>
        <w:tc>
          <w:tcPr>
            <w:tcW w:w="14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17,716,763</w:t>
            </w:r>
          </w:p>
        </w:tc>
        <w:tc>
          <w:tcPr>
            <w:tcW w:w="1060" w:type="dxa"/>
            <w:vAlign w:val="bottom"/>
            <w:tcBorders>
              <w:bottom w:val="single" w:sz="8" w:color="4D5357"/>
            </w:tcBorders>
          </w:tcPr>
          <w:p>
            <w:pPr>
              <w:jc w:val="right"/>
              <w:ind w:right="138"/>
              <w:spacing w:after="0"/>
              <w:rPr>
                <w:sz w:val="20"/>
                <w:szCs w:val="20"/>
                <w:color w:val="auto"/>
              </w:rPr>
            </w:pPr>
            <w:r>
              <w:rPr>
                <w:rFonts w:ascii="Arial" w:cs="Arial" w:eastAsia="Arial" w:hAnsi="Arial"/>
                <w:sz w:val="14"/>
                <w:szCs w:val="14"/>
                <w:color w:val="4D5357"/>
              </w:rPr>
              <w:t>16,189,220</w:t>
            </w:r>
          </w:p>
        </w:tc>
        <w:tc>
          <w:tcPr>
            <w:tcW w:w="10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3,552,457</w:t>
            </w:r>
          </w:p>
        </w:tc>
        <w:tc>
          <w:tcPr>
            <w:tcW w:w="1080" w:type="dxa"/>
            <w:vAlign w:val="bottom"/>
            <w:tcBorders>
              <w:bottom w:val="single" w:sz="8" w:color="4D5357"/>
            </w:tcBorders>
          </w:tcPr>
          <w:p>
            <w:pPr>
              <w:ind w:left="220"/>
              <w:spacing w:after="0"/>
              <w:rPr>
                <w:sz w:val="20"/>
                <w:szCs w:val="20"/>
                <w:color w:val="auto"/>
              </w:rPr>
            </w:pPr>
            <w:r>
              <w:rPr>
                <w:rFonts w:ascii="Arial" w:cs="Arial" w:eastAsia="Arial" w:hAnsi="Arial"/>
                <w:sz w:val="14"/>
                <w:szCs w:val="14"/>
                <w:color w:val="4D5357"/>
              </w:rPr>
              <w:t>3,410,604</w:t>
            </w:r>
          </w:p>
        </w:tc>
        <w:tc>
          <w:tcPr>
            <w:tcW w:w="100" w:type="dxa"/>
            <w:vAlign w:val="bottom"/>
            <w:tcBorders>
              <w:bottom w:val="single" w:sz="8" w:color="4D5357"/>
            </w:tcBorders>
          </w:tcPr>
          <w:p>
            <w:pPr>
              <w:spacing w:after="0"/>
              <w:rPr>
                <w:sz w:val="21"/>
                <w:szCs w:val="21"/>
                <w:color w:val="auto"/>
              </w:rPr>
            </w:pPr>
          </w:p>
        </w:tc>
        <w:tc>
          <w:tcPr>
            <w:tcW w:w="180" w:type="dxa"/>
            <w:vAlign w:val="bottom"/>
            <w:tcBorders>
              <w:bottom w:val="single" w:sz="8" w:color="4D5357"/>
            </w:tcBorders>
          </w:tcPr>
          <w:p>
            <w:pPr>
              <w:spacing w:after="0"/>
              <w:rPr>
                <w:sz w:val="21"/>
                <w:szCs w:val="21"/>
                <w:color w:val="auto"/>
              </w:rPr>
            </w:pPr>
          </w:p>
        </w:tc>
        <w:tc>
          <w:tcPr>
            <w:tcW w:w="1380" w:type="dxa"/>
            <w:vAlign w:val="bottom"/>
            <w:tcBorders>
              <w:bottom w:val="single" w:sz="8" w:color="4D5357"/>
            </w:tcBorders>
          </w:tcPr>
          <w:p>
            <w:pPr>
              <w:ind w:left="440"/>
              <w:spacing w:after="0"/>
              <w:rPr>
                <w:sz w:val="20"/>
                <w:szCs w:val="20"/>
                <w:color w:val="auto"/>
              </w:rPr>
            </w:pPr>
            <w:r>
              <w:rPr>
                <w:rFonts w:ascii="Arial" w:cs="Arial" w:eastAsia="Arial" w:hAnsi="Arial"/>
                <w:sz w:val="14"/>
                <w:szCs w:val="14"/>
                <w:color w:val="4D5357"/>
              </w:rPr>
              <w:t>186.60</w:t>
            </w:r>
          </w:p>
        </w:tc>
        <w:tc>
          <w:tcPr>
            <w:tcW w:w="1440" w:type="dxa"/>
            <w:vAlign w:val="bottom"/>
            <w:tcBorders>
              <w:bottom w:val="single" w:sz="8" w:color="4D5357"/>
            </w:tcBorders>
          </w:tcPr>
          <w:p>
            <w:pPr>
              <w:jc w:val="right"/>
              <w:ind w:right="375"/>
              <w:spacing w:after="0"/>
              <w:rPr>
                <w:sz w:val="20"/>
                <w:szCs w:val="20"/>
                <w:color w:val="auto"/>
              </w:rPr>
            </w:pPr>
            <w:r>
              <w:rPr>
                <w:rFonts w:ascii="Arial" w:cs="Arial" w:eastAsia="Arial" w:hAnsi="Arial"/>
                <w:sz w:val="14"/>
                <w:szCs w:val="14"/>
                <w:color w:val="4D5357"/>
              </w:rPr>
              <w:t>125.63</w:t>
            </w:r>
          </w:p>
        </w:tc>
        <w:tc>
          <w:tcPr>
            <w:tcW w:w="1240" w:type="dxa"/>
            <w:vAlign w:val="bottom"/>
            <w:tcBorders>
              <w:bottom w:val="single" w:sz="8" w:color="4D5357"/>
            </w:tcBorders>
          </w:tcPr>
          <w:p>
            <w:pPr>
              <w:jc w:val="right"/>
              <w:ind w:right="33"/>
              <w:spacing w:after="0"/>
              <w:rPr>
                <w:sz w:val="20"/>
                <w:szCs w:val="20"/>
                <w:color w:val="auto"/>
              </w:rPr>
            </w:pPr>
            <w:r>
              <w:rPr>
                <w:rFonts w:ascii="Arial" w:cs="Arial" w:eastAsia="Arial" w:hAnsi="Arial"/>
                <w:sz w:val="14"/>
                <w:szCs w:val="14"/>
                <w:color w:val="4D5357"/>
              </w:rPr>
              <w:t>1,995,810,000</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2,065,910,000</w:t>
            </w:r>
          </w:p>
        </w:tc>
        <w:tc>
          <w:tcPr>
            <w:tcW w:w="0" w:type="dxa"/>
            <w:vAlign w:val="bottom"/>
          </w:tcPr>
          <w:p>
            <w:pPr>
              <w:spacing w:after="0"/>
              <w:rPr>
                <w:sz w:val="1"/>
                <w:szCs w:val="1"/>
                <w:color w:val="auto"/>
              </w:rPr>
            </w:pPr>
          </w:p>
        </w:tc>
      </w:tr>
      <w:tr>
        <w:trPr>
          <w:trHeight w:val="250"/>
        </w:trPr>
        <w:tc>
          <w:tcPr>
            <w:tcW w:w="940" w:type="dxa"/>
            <w:vAlign w:val="bottom"/>
            <w:tcBorders>
              <w:bottom w:val="single" w:sz="8" w:color="4D5357"/>
            </w:tcBorders>
          </w:tcPr>
          <w:p>
            <w:pPr>
              <w:ind w:left="60"/>
              <w:spacing w:after="0"/>
              <w:rPr>
                <w:sz w:val="20"/>
                <w:szCs w:val="20"/>
                <w:color w:val="auto"/>
              </w:rPr>
            </w:pPr>
            <w:r>
              <w:rPr>
                <w:rFonts w:ascii="Arial" w:cs="Arial" w:eastAsia="Arial" w:hAnsi="Arial"/>
                <w:sz w:val="14"/>
                <w:szCs w:val="14"/>
                <w:b w:val="1"/>
                <w:bCs w:val="1"/>
                <w:color w:val="4D5357"/>
              </w:rPr>
              <w:t>2023</w:t>
            </w:r>
          </w:p>
        </w:tc>
        <w:tc>
          <w:tcPr>
            <w:tcW w:w="14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18,488,885</w:t>
            </w:r>
          </w:p>
        </w:tc>
        <w:tc>
          <w:tcPr>
            <w:tcW w:w="1060" w:type="dxa"/>
            <w:vAlign w:val="bottom"/>
            <w:tcBorders>
              <w:bottom w:val="single" w:sz="8" w:color="4D5357"/>
            </w:tcBorders>
          </w:tcPr>
          <w:p>
            <w:pPr>
              <w:jc w:val="right"/>
              <w:ind w:right="138"/>
              <w:spacing w:after="0"/>
              <w:rPr>
                <w:sz w:val="20"/>
                <w:szCs w:val="20"/>
                <w:color w:val="auto"/>
              </w:rPr>
            </w:pPr>
            <w:r>
              <w:rPr>
                <w:rFonts w:ascii="Arial" w:cs="Arial" w:eastAsia="Arial" w:hAnsi="Arial"/>
                <w:sz w:val="14"/>
                <w:szCs w:val="14"/>
                <w:color w:val="4D5357"/>
              </w:rPr>
              <w:t>35,058,147</w:t>
            </w:r>
          </w:p>
        </w:tc>
        <w:tc>
          <w:tcPr>
            <w:tcW w:w="10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3,477,775</w:t>
            </w:r>
          </w:p>
        </w:tc>
        <w:tc>
          <w:tcPr>
            <w:tcW w:w="1080" w:type="dxa"/>
            <w:vAlign w:val="bottom"/>
            <w:tcBorders>
              <w:bottom w:val="single" w:sz="8" w:color="4D5357"/>
            </w:tcBorders>
          </w:tcPr>
          <w:p>
            <w:pPr>
              <w:ind w:left="220"/>
              <w:spacing w:after="0"/>
              <w:rPr>
                <w:sz w:val="20"/>
                <w:szCs w:val="20"/>
                <w:color w:val="auto"/>
              </w:rPr>
            </w:pPr>
            <w:r>
              <w:rPr>
                <w:rFonts w:ascii="Arial" w:cs="Arial" w:eastAsia="Arial" w:hAnsi="Arial"/>
                <w:sz w:val="14"/>
                <w:szCs w:val="14"/>
                <w:color w:val="4D5357"/>
              </w:rPr>
              <w:t>5,837,293</w:t>
            </w:r>
          </w:p>
        </w:tc>
        <w:tc>
          <w:tcPr>
            <w:tcW w:w="100" w:type="dxa"/>
            <w:vAlign w:val="bottom"/>
            <w:tcBorders>
              <w:bottom w:val="single" w:sz="8" w:color="4D5357"/>
            </w:tcBorders>
          </w:tcPr>
          <w:p>
            <w:pPr>
              <w:spacing w:after="0"/>
              <w:rPr>
                <w:sz w:val="21"/>
                <w:szCs w:val="21"/>
                <w:color w:val="auto"/>
              </w:rPr>
            </w:pPr>
          </w:p>
        </w:tc>
        <w:tc>
          <w:tcPr>
            <w:tcW w:w="180" w:type="dxa"/>
            <w:vAlign w:val="bottom"/>
            <w:tcBorders>
              <w:bottom w:val="single" w:sz="8" w:color="4D5357"/>
            </w:tcBorders>
          </w:tcPr>
          <w:p>
            <w:pPr>
              <w:spacing w:after="0"/>
              <w:rPr>
                <w:sz w:val="21"/>
                <w:szCs w:val="21"/>
                <w:color w:val="auto"/>
              </w:rPr>
            </w:pPr>
          </w:p>
        </w:tc>
        <w:tc>
          <w:tcPr>
            <w:tcW w:w="1380" w:type="dxa"/>
            <w:vAlign w:val="bottom"/>
            <w:tcBorders>
              <w:bottom w:val="single" w:sz="8" w:color="4D5357"/>
            </w:tcBorders>
          </w:tcPr>
          <w:p>
            <w:pPr>
              <w:ind w:left="440"/>
              <w:spacing w:after="0"/>
              <w:rPr>
                <w:sz w:val="20"/>
                <w:szCs w:val="20"/>
                <w:color w:val="auto"/>
              </w:rPr>
            </w:pPr>
            <w:r>
              <w:rPr>
                <w:rFonts w:ascii="Arial" w:cs="Arial" w:eastAsia="Arial" w:hAnsi="Arial"/>
                <w:sz w:val="14"/>
                <w:szCs w:val="14"/>
                <w:color w:val="4D5357"/>
              </w:rPr>
              <w:t>179.27</w:t>
            </w:r>
          </w:p>
        </w:tc>
        <w:tc>
          <w:tcPr>
            <w:tcW w:w="1440" w:type="dxa"/>
            <w:vAlign w:val="bottom"/>
            <w:tcBorders>
              <w:bottom w:val="single" w:sz="8" w:color="4D5357"/>
            </w:tcBorders>
          </w:tcPr>
          <w:p>
            <w:pPr>
              <w:jc w:val="right"/>
              <w:ind w:right="375"/>
              <w:spacing w:after="0"/>
              <w:rPr>
                <w:sz w:val="20"/>
                <w:szCs w:val="20"/>
                <w:color w:val="auto"/>
              </w:rPr>
            </w:pPr>
            <w:r>
              <w:rPr>
                <w:rFonts w:ascii="Arial" w:cs="Arial" w:eastAsia="Arial" w:hAnsi="Arial"/>
                <w:sz w:val="14"/>
                <w:szCs w:val="14"/>
                <w:color w:val="4D5357"/>
              </w:rPr>
              <w:t>125.68</w:t>
            </w:r>
          </w:p>
        </w:tc>
        <w:tc>
          <w:tcPr>
            <w:tcW w:w="1240" w:type="dxa"/>
            <w:vAlign w:val="bottom"/>
            <w:tcBorders>
              <w:bottom w:val="single" w:sz="8" w:color="4D5357"/>
            </w:tcBorders>
          </w:tcPr>
          <w:p>
            <w:pPr>
              <w:jc w:val="right"/>
              <w:ind w:right="33"/>
              <w:spacing w:after="0"/>
              <w:rPr>
                <w:sz w:val="20"/>
                <w:szCs w:val="20"/>
                <w:color w:val="auto"/>
              </w:rPr>
            </w:pPr>
            <w:r>
              <w:rPr>
                <w:rFonts w:ascii="Arial" w:cs="Arial" w:eastAsia="Arial" w:hAnsi="Arial"/>
                <w:sz w:val="14"/>
                <w:szCs w:val="14"/>
                <w:color w:val="4D5357"/>
              </w:rPr>
              <w:t>1,169,400,000</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2,111,400,000</w:t>
            </w:r>
          </w:p>
        </w:tc>
        <w:tc>
          <w:tcPr>
            <w:tcW w:w="0" w:type="dxa"/>
            <w:vAlign w:val="bottom"/>
          </w:tcPr>
          <w:p>
            <w:pPr>
              <w:spacing w:after="0"/>
              <w:rPr>
                <w:sz w:val="1"/>
                <w:szCs w:val="1"/>
                <w:color w:val="auto"/>
              </w:rPr>
            </w:pPr>
          </w:p>
        </w:tc>
      </w:tr>
      <w:tr>
        <w:trPr>
          <w:trHeight w:val="250"/>
        </w:trPr>
        <w:tc>
          <w:tcPr>
            <w:tcW w:w="940" w:type="dxa"/>
            <w:vAlign w:val="bottom"/>
            <w:tcBorders>
              <w:bottom w:val="single" w:sz="8" w:color="4D5357"/>
            </w:tcBorders>
          </w:tcPr>
          <w:p>
            <w:pPr>
              <w:ind w:left="60"/>
              <w:spacing w:after="0"/>
              <w:rPr>
                <w:sz w:val="20"/>
                <w:szCs w:val="20"/>
                <w:color w:val="auto"/>
              </w:rPr>
            </w:pPr>
            <w:r>
              <w:rPr>
                <w:rFonts w:ascii="Arial" w:cs="Arial" w:eastAsia="Arial" w:hAnsi="Arial"/>
                <w:sz w:val="14"/>
                <w:szCs w:val="14"/>
                <w:b w:val="1"/>
                <w:bCs w:val="1"/>
                <w:color w:val="4D5357"/>
              </w:rPr>
              <w:t>2022</w:t>
            </w:r>
          </w:p>
        </w:tc>
        <w:tc>
          <w:tcPr>
            <w:tcW w:w="14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12,784,251</w:t>
            </w:r>
          </w:p>
        </w:tc>
        <w:tc>
          <w:tcPr>
            <w:tcW w:w="1060" w:type="dxa"/>
            <w:vAlign w:val="bottom"/>
            <w:tcBorders>
              <w:bottom w:val="single" w:sz="8" w:color="4D5357"/>
            </w:tcBorders>
          </w:tcPr>
          <w:p>
            <w:pPr>
              <w:jc w:val="right"/>
              <w:ind w:right="138"/>
              <w:spacing w:after="0"/>
              <w:rPr>
                <w:sz w:val="20"/>
                <w:szCs w:val="20"/>
                <w:color w:val="auto"/>
              </w:rPr>
            </w:pPr>
            <w:r>
              <w:rPr>
                <w:rFonts w:ascii="Arial" w:cs="Arial" w:eastAsia="Arial" w:hAnsi="Arial"/>
                <w:sz w:val="14"/>
                <w:szCs w:val="14"/>
                <w:color w:val="4D5357"/>
              </w:rPr>
              <w:t>6,452,731</w:t>
            </w:r>
          </w:p>
        </w:tc>
        <w:tc>
          <w:tcPr>
            <w:tcW w:w="10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2,438,871</w:t>
            </w:r>
          </w:p>
        </w:tc>
        <w:tc>
          <w:tcPr>
            <w:tcW w:w="1080" w:type="dxa"/>
            <w:vAlign w:val="bottom"/>
            <w:tcBorders>
              <w:bottom w:val="single" w:sz="8" w:color="4D5357"/>
            </w:tcBorders>
          </w:tcPr>
          <w:p>
            <w:pPr>
              <w:ind w:left="220"/>
              <w:spacing w:after="0"/>
              <w:rPr>
                <w:sz w:val="20"/>
                <w:szCs w:val="20"/>
                <w:color w:val="auto"/>
              </w:rPr>
            </w:pPr>
            <w:r>
              <w:rPr>
                <w:rFonts w:ascii="Arial" w:cs="Arial" w:eastAsia="Arial" w:hAnsi="Arial"/>
                <w:sz w:val="14"/>
                <w:szCs w:val="14"/>
                <w:color w:val="4D5357"/>
              </w:rPr>
              <w:t>1,415,556</w:t>
            </w:r>
          </w:p>
        </w:tc>
        <w:tc>
          <w:tcPr>
            <w:tcW w:w="100" w:type="dxa"/>
            <w:vAlign w:val="bottom"/>
            <w:tcBorders>
              <w:bottom w:val="single" w:sz="8" w:color="4D5357"/>
            </w:tcBorders>
          </w:tcPr>
          <w:p>
            <w:pPr>
              <w:spacing w:after="0"/>
              <w:rPr>
                <w:sz w:val="21"/>
                <w:szCs w:val="21"/>
                <w:color w:val="auto"/>
              </w:rPr>
            </w:pPr>
          </w:p>
        </w:tc>
        <w:tc>
          <w:tcPr>
            <w:tcW w:w="180" w:type="dxa"/>
            <w:vAlign w:val="bottom"/>
            <w:tcBorders>
              <w:bottom w:val="single" w:sz="8" w:color="4D5357"/>
            </w:tcBorders>
          </w:tcPr>
          <w:p>
            <w:pPr>
              <w:spacing w:after="0"/>
              <w:rPr>
                <w:sz w:val="21"/>
                <w:szCs w:val="21"/>
                <w:color w:val="auto"/>
              </w:rPr>
            </w:pPr>
          </w:p>
        </w:tc>
        <w:tc>
          <w:tcPr>
            <w:tcW w:w="1380" w:type="dxa"/>
            <w:vAlign w:val="bottom"/>
            <w:tcBorders>
              <w:bottom w:val="single" w:sz="8" w:color="4D5357"/>
            </w:tcBorders>
          </w:tcPr>
          <w:p>
            <w:pPr>
              <w:ind w:left="440"/>
              <w:spacing w:after="0"/>
              <w:rPr>
                <w:sz w:val="20"/>
                <w:szCs w:val="20"/>
                <w:color w:val="auto"/>
              </w:rPr>
            </w:pPr>
            <w:r>
              <w:rPr>
                <w:rFonts w:ascii="Arial" w:cs="Arial" w:eastAsia="Arial" w:hAnsi="Arial"/>
                <w:sz w:val="14"/>
                <w:szCs w:val="14"/>
                <w:color w:val="4D5357"/>
              </w:rPr>
              <w:t>120.63</w:t>
            </w:r>
          </w:p>
        </w:tc>
        <w:tc>
          <w:tcPr>
            <w:tcW w:w="1440" w:type="dxa"/>
            <w:vAlign w:val="bottom"/>
            <w:tcBorders>
              <w:bottom w:val="single" w:sz="8" w:color="4D5357"/>
            </w:tcBorders>
          </w:tcPr>
          <w:p>
            <w:pPr>
              <w:jc w:val="right"/>
              <w:ind w:right="375"/>
              <w:spacing w:after="0"/>
              <w:rPr>
                <w:sz w:val="20"/>
                <w:szCs w:val="20"/>
                <w:color w:val="auto"/>
              </w:rPr>
            </w:pPr>
            <w:r>
              <w:rPr>
                <w:rFonts w:ascii="Arial" w:cs="Arial" w:eastAsia="Arial" w:hAnsi="Arial"/>
                <w:sz w:val="14"/>
                <w:szCs w:val="14"/>
                <w:color w:val="4D5357"/>
              </w:rPr>
              <w:t>111.67</w:t>
            </w:r>
          </w:p>
        </w:tc>
        <w:tc>
          <w:tcPr>
            <w:tcW w:w="1240" w:type="dxa"/>
            <w:vAlign w:val="bottom"/>
            <w:tcBorders>
              <w:bottom w:val="single" w:sz="8" w:color="4D5357"/>
            </w:tcBorders>
          </w:tcPr>
          <w:p>
            <w:pPr>
              <w:jc w:val="right"/>
              <w:ind w:right="33"/>
              <w:spacing w:after="0"/>
              <w:rPr>
                <w:sz w:val="20"/>
                <w:szCs w:val="20"/>
                <w:color w:val="auto"/>
              </w:rPr>
            </w:pPr>
            <w:r>
              <w:rPr>
                <w:rFonts w:ascii="Arial" w:cs="Arial" w:eastAsia="Arial" w:hAnsi="Arial"/>
                <w:sz w:val="14"/>
                <w:szCs w:val="14"/>
                <w:color w:val="4D5357"/>
              </w:rPr>
              <w:t>866,740,000</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1,617,010,000</w:t>
            </w:r>
          </w:p>
        </w:tc>
        <w:tc>
          <w:tcPr>
            <w:tcW w:w="0" w:type="dxa"/>
            <w:vAlign w:val="bottom"/>
          </w:tcPr>
          <w:p>
            <w:pPr>
              <w:spacing w:after="0"/>
              <w:rPr>
                <w:sz w:val="1"/>
                <w:szCs w:val="1"/>
                <w:color w:val="auto"/>
              </w:rPr>
            </w:pPr>
          </w:p>
        </w:tc>
      </w:tr>
      <w:tr>
        <w:trPr>
          <w:trHeight w:val="250"/>
        </w:trPr>
        <w:tc>
          <w:tcPr>
            <w:tcW w:w="940" w:type="dxa"/>
            <w:vAlign w:val="bottom"/>
            <w:tcBorders>
              <w:bottom w:val="single" w:sz="8" w:color="4D5357"/>
            </w:tcBorders>
          </w:tcPr>
          <w:p>
            <w:pPr>
              <w:ind w:left="60"/>
              <w:spacing w:after="0"/>
              <w:rPr>
                <w:sz w:val="20"/>
                <w:szCs w:val="20"/>
                <w:color w:val="auto"/>
              </w:rPr>
            </w:pPr>
            <w:r>
              <w:rPr>
                <w:rFonts w:ascii="Arial" w:cs="Arial" w:eastAsia="Arial" w:hAnsi="Arial"/>
                <w:sz w:val="14"/>
                <w:szCs w:val="14"/>
                <w:b w:val="1"/>
                <w:bCs w:val="1"/>
                <w:color w:val="4D5357"/>
              </w:rPr>
              <w:t>2021</w:t>
            </w:r>
          </w:p>
        </w:tc>
        <w:tc>
          <w:tcPr>
            <w:tcW w:w="14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14,939,587</w:t>
            </w:r>
          </w:p>
        </w:tc>
        <w:tc>
          <w:tcPr>
            <w:tcW w:w="1060" w:type="dxa"/>
            <w:vAlign w:val="bottom"/>
            <w:tcBorders>
              <w:bottom w:val="single" w:sz="8" w:color="4D5357"/>
            </w:tcBorders>
          </w:tcPr>
          <w:p>
            <w:pPr>
              <w:jc w:val="right"/>
              <w:ind w:right="138"/>
              <w:spacing w:after="0"/>
              <w:rPr>
                <w:sz w:val="20"/>
                <w:szCs w:val="20"/>
                <w:color w:val="auto"/>
              </w:rPr>
            </w:pPr>
            <w:r>
              <w:rPr>
                <w:rFonts w:ascii="Arial" w:cs="Arial" w:eastAsia="Arial" w:hAnsi="Arial"/>
                <w:sz w:val="14"/>
                <w:szCs w:val="14"/>
                <w:color w:val="4D5357"/>
              </w:rPr>
              <w:t>39,031,817</w:t>
            </w:r>
          </w:p>
        </w:tc>
        <w:tc>
          <w:tcPr>
            <w:tcW w:w="108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2,739,108</w:t>
            </w:r>
          </w:p>
        </w:tc>
        <w:tc>
          <w:tcPr>
            <w:tcW w:w="1080" w:type="dxa"/>
            <w:vAlign w:val="bottom"/>
            <w:tcBorders>
              <w:bottom w:val="single" w:sz="8" w:color="4D5357"/>
            </w:tcBorders>
          </w:tcPr>
          <w:p>
            <w:pPr>
              <w:ind w:left="220"/>
              <w:spacing w:after="0"/>
              <w:rPr>
                <w:sz w:val="20"/>
                <w:szCs w:val="20"/>
                <w:color w:val="auto"/>
              </w:rPr>
            </w:pPr>
            <w:r>
              <w:rPr>
                <w:rFonts w:ascii="Arial" w:cs="Arial" w:eastAsia="Arial" w:hAnsi="Arial"/>
                <w:sz w:val="14"/>
                <w:szCs w:val="14"/>
                <w:color w:val="4D5357"/>
              </w:rPr>
              <w:t>6,627,252</w:t>
            </w:r>
          </w:p>
        </w:tc>
        <w:tc>
          <w:tcPr>
            <w:tcW w:w="100" w:type="dxa"/>
            <w:vAlign w:val="bottom"/>
            <w:tcBorders>
              <w:bottom w:val="single" w:sz="8" w:color="4D5357"/>
            </w:tcBorders>
          </w:tcPr>
          <w:p>
            <w:pPr>
              <w:spacing w:after="0"/>
              <w:rPr>
                <w:sz w:val="21"/>
                <w:szCs w:val="21"/>
                <w:color w:val="auto"/>
              </w:rPr>
            </w:pPr>
          </w:p>
        </w:tc>
        <w:tc>
          <w:tcPr>
            <w:tcW w:w="180" w:type="dxa"/>
            <w:vAlign w:val="bottom"/>
            <w:tcBorders>
              <w:bottom w:val="single" w:sz="8" w:color="4D5357"/>
            </w:tcBorders>
          </w:tcPr>
          <w:p>
            <w:pPr>
              <w:spacing w:after="0"/>
              <w:rPr>
                <w:sz w:val="21"/>
                <w:szCs w:val="21"/>
                <w:color w:val="auto"/>
              </w:rPr>
            </w:pPr>
          </w:p>
        </w:tc>
        <w:tc>
          <w:tcPr>
            <w:tcW w:w="1380" w:type="dxa"/>
            <w:vAlign w:val="bottom"/>
            <w:tcBorders>
              <w:bottom w:val="single" w:sz="8" w:color="4D5357"/>
            </w:tcBorders>
          </w:tcPr>
          <w:p>
            <w:pPr>
              <w:ind w:left="440"/>
              <w:spacing w:after="0"/>
              <w:rPr>
                <w:sz w:val="20"/>
                <w:szCs w:val="20"/>
                <w:color w:val="auto"/>
              </w:rPr>
            </w:pPr>
            <w:r>
              <w:rPr>
                <w:rFonts w:ascii="Arial" w:cs="Arial" w:eastAsia="Arial" w:hAnsi="Arial"/>
                <w:sz w:val="14"/>
                <w:szCs w:val="14"/>
                <w:color w:val="4D5357"/>
              </w:rPr>
              <w:t>156.12</w:t>
            </w:r>
          </w:p>
        </w:tc>
        <w:tc>
          <w:tcPr>
            <w:tcW w:w="1440" w:type="dxa"/>
            <w:vAlign w:val="bottom"/>
            <w:tcBorders>
              <w:bottom w:val="single" w:sz="8" w:color="4D5357"/>
            </w:tcBorders>
          </w:tcPr>
          <w:p>
            <w:pPr>
              <w:jc w:val="right"/>
              <w:ind w:right="375"/>
              <w:spacing w:after="0"/>
              <w:rPr>
                <w:sz w:val="20"/>
                <w:szCs w:val="20"/>
                <w:color w:val="auto"/>
              </w:rPr>
            </w:pPr>
            <w:r>
              <w:rPr>
                <w:rFonts w:ascii="Arial" w:cs="Arial" w:eastAsia="Arial" w:hAnsi="Arial"/>
                <w:sz w:val="14"/>
                <w:szCs w:val="14"/>
                <w:color w:val="4D5357"/>
              </w:rPr>
              <w:t>127.28</w:t>
            </w:r>
          </w:p>
        </w:tc>
        <w:tc>
          <w:tcPr>
            <w:tcW w:w="1240" w:type="dxa"/>
            <w:vAlign w:val="bottom"/>
            <w:tcBorders>
              <w:bottom w:val="single" w:sz="8" w:color="4D5357"/>
            </w:tcBorders>
          </w:tcPr>
          <w:p>
            <w:pPr>
              <w:jc w:val="right"/>
              <w:ind w:right="33"/>
              <w:spacing w:after="0"/>
              <w:rPr>
                <w:sz w:val="20"/>
                <w:szCs w:val="20"/>
                <w:color w:val="auto"/>
              </w:rPr>
            </w:pPr>
            <w:r>
              <w:rPr>
                <w:rFonts w:ascii="Arial" w:cs="Arial" w:eastAsia="Arial" w:hAnsi="Arial"/>
                <w:sz w:val="14"/>
                <w:szCs w:val="14"/>
                <w:color w:val="4D5357"/>
              </w:rPr>
              <w:t>702,770,000</w:t>
            </w:r>
          </w:p>
        </w:tc>
        <w:tc>
          <w:tcPr>
            <w:tcW w:w="1040" w:type="dxa"/>
            <w:vAlign w:val="bottom"/>
            <w:tcBorders>
              <w:bottom w:val="single" w:sz="8" w:color="4D5357"/>
            </w:tcBorders>
          </w:tcPr>
          <w:p>
            <w:pPr>
              <w:jc w:val="right"/>
              <w:spacing w:after="0"/>
              <w:rPr>
                <w:sz w:val="20"/>
                <w:szCs w:val="20"/>
                <w:color w:val="auto"/>
              </w:rPr>
            </w:pPr>
            <w:r>
              <w:rPr>
                <w:rFonts w:ascii="Arial" w:cs="Arial" w:eastAsia="Arial" w:hAnsi="Arial"/>
                <w:sz w:val="14"/>
                <w:szCs w:val="14"/>
                <w:color w:val="4D5357"/>
              </w:rPr>
              <w:t>1,533,200,000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Arial" w:cs="Arial" w:eastAsia="Arial" w:hAnsi="Arial"/>
          <w:sz w:val="13"/>
          <w:szCs w:val="13"/>
          <w:color w:val="333333"/>
        </w:rPr>
        <w:t>(1) The PEO and NEOs included in the above compensation columns reflect the following:</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3680" w:type="dxa"/>
            <w:vAlign w:val="bottom"/>
            <w:tcBorders>
              <w:bottom w:val="single" w:sz="8" w:color="0086CC"/>
            </w:tcBorders>
          </w:tcPr>
          <w:p>
            <w:pPr>
              <w:jc w:val="center"/>
              <w:ind w:left="159"/>
              <w:spacing w:after="0"/>
              <w:rPr>
                <w:sz w:val="20"/>
                <w:szCs w:val="20"/>
                <w:color w:val="auto"/>
              </w:rPr>
            </w:pPr>
            <w:r>
              <w:rPr>
                <w:rFonts w:ascii="Arial" w:cs="Arial" w:eastAsia="Arial" w:hAnsi="Arial"/>
                <w:sz w:val="16"/>
                <w:szCs w:val="16"/>
                <w:b w:val="1"/>
                <w:bCs w:val="1"/>
                <w:color w:val="0086CC"/>
                <w:w w:val="98"/>
              </w:rPr>
              <w:t>YEAR</w:t>
            </w:r>
          </w:p>
        </w:tc>
        <w:tc>
          <w:tcPr>
            <w:tcW w:w="3360" w:type="dxa"/>
            <w:vAlign w:val="bottom"/>
            <w:tcBorders>
              <w:bottom w:val="single" w:sz="8" w:color="0086CC"/>
            </w:tcBorders>
          </w:tcPr>
          <w:p>
            <w:pPr>
              <w:jc w:val="center"/>
              <w:ind w:left="679"/>
              <w:spacing w:after="0"/>
              <w:rPr>
                <w:sz w:val="20"/>
                <w:szCs w:val="20"/>
                <w:color w:val="auto"/>
              </w:rPr>
            </w:pPr>
            <w:r>
              <w:rPr>
                <w:rFonts w:ascii="Arial" w:cs="Arial" w:eastAsia="Arial" w:hAnsi="Arial"/>
                <w:sz w:val="16"/>
                <w:szCs w:val="16"/>
                <w:b w:val="1"/>
                <w:bCs w:val="1"/>
                <w:color w:val="0086CC"/>
              </w:rPr>
              <w:t>PEO</w:t>
            </w:r>
          </w:p>
        </w:tc>
        <w:tc>
          <w:tcPr>
            <w:tcW w:w="3980" w:type="dxa"/>
            <w:vAlign w:val="bottom"/>
            <w:tcBorders>
              <w:bottom w:val="single" w:sz="8" w:color="0086CC"/>
            </w:tcBorders>
          </w:tcPr>
          <w:p>
            <w:pPr>
              <w:jc w:val="center"/>
              <w:ind w:left="479"/>
              <w:spacing w:after="0"/>
              <w:rPr>
                <w:sz w:val="20"/>
                <w:szCs w:val="20"/>
                <w:color w:val="auto"/>
              </w:rPr>
            </w:pPr>
            <w:r>
              <w:rPr>
                <w:rFonts w:ascii="Arial" w:cs="Arial" w:eastAsia="Arial" w:hAnsi="Arial"/>
                <w:sz w:val="16"/>
                <w:szCs w:val="16"/>
                <w:b w:val="1"/>
                <w:bCs w:val="1"/>
                <w:color w:val="0086CC"/>
              </w:rPr>
              <w:t>NEOS</w:t>
            </w:r>
          </w:p>
        </w:tc>
      </w:tr>
      <w:tr>
        <w:trPr>
          <w:trHeight w:val="226"/>
        </w:trPr>
        <w:tc>
          <w:tcPr>
            <w:tcW w:w="3680" w:type="dxa"/>
            <w:vAlign w:val="bottom"/>
          </w:tcPr>
          <w:p>
            <w:pPr>
              <w:jc w:val="center"/>
              <w:ind w:left="159"/>
              <w:spacing w:after="0"/>
              <w:rPr>
                <w:sz w:val="20"/>
                <w:szCs w:val="20"/>
                <w:color w:val="auto"/>
              </w:rPr>
            </w:pPr>
            <w:r>
              <w:rPr>
                <w:rFonts w:ascii="Arial" w:cs="Arial" w:eastAsia="Arial" w:hAnsi="Arial"/>
                <w:sz w:val="16"/>
                <w:szCs w:val="16"/>
                <w:b w:val="1"/>
                <w:bCs w:val="1"/>
                <w:color w:val="4D5357"/>
              </w:rPr>
              <w:t>2025</w:t>
            </w:r>
          </w:p>
        </w:tc>
        <w:tc>
          <w:tcPr>
            <w:tcW w:w="3360" w:type="dxa"/>
            <w:vAlign w:val="bottom"/>
          </w:tcPr>
          <w:p>
            <w:pPr>
              <w:jc w:val="center"/>
              <w:ind w:left="679"/>
              <w:spacing w:after="0"/>
              <w:rPr>
                <w:sz w:val="20"/>
                <w:szCs w:val="20"/>
                <w:color w:val="auto"/>
              </w:rPr>
            </w:pPr>
            <w:r>
              <w:rPr>
                <w:rFonts w:ascii="Arial" w:cs="Arial" w:eastAsia="Arial" w:hAnsi="Arial"/>
                <w:sz w:val="16"/>
                <w:szCs w:val="16"/>
                <w:color w:val="4D5357"/>
                <w:w w:val="99"/>
              </w:rPr>
              <w:t>C. Howard Nye</w:t>
            </w:r>
          </w:p>
        </w:tc>
        <w:tc>
          <w:tcPr>
            <w:tcW w:w="3980" w:type="dxa"/>
            <w:vAlign w:val="bottom"/>
          </w:tcPr>
          <w:p>
            <w:pPr>
              <w:jc w:val="center"/>
              <w:ind w:left="479"/>
              <w:spacing w:after="0"/>
              <w:rPr>
                <w:sz w:val="20"/>
                <w:szCs w:val="20"/>
                <w:color w:val="auto"/>
              </w:rPr>
            </w:pPr>
            <w:r>
              <w:rPr>
                <w:rFonts w:ascii="Arial" w:cs="Arial" w:eastAsia="Arial" w:hAnsi="Arial"/>
                <w:sz w:val="16"/>
                <w:szCs w:val="16"/>
                <w:color w:val="4D5357"/>
              </w:rPr>
              <w:t>Michael J. Petro, Robert J. Cardin,</w:t>
            </w:r>
          </w:p>
        </w:tc>
      </w:tr>
      <w:tr>
        <w:trPr>
          <w:trHeight w:val="189"/>
        </w:trPr>
        <w:tc>
          <w:tcPr>
            <w:tcW w:w="36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980" w:type="dxa"/>
            <w:vAlign w:val="bottom"/>
          </w:tcPr>
          <w:p>
            <w:pPr>
              <w:jc w:val="center"/>
              <w:ind w:left="479"/>
              <w:spacing w:after="0"/>
              <w:rPr>
                <w:sz w:val="20"/>
                <w:szCs w:val="20"/>
                <w:color w:val="auto"/>
              </w:rPr>
            </w:pPr>
            <w:r>
              <w:rPr>
                <w:rFonts w:ascii="Arial" w:cs="Arial" w:eastAsia="Arial" w:hAnsi="Arial"/>
                <w:sz w:val="16"/>
                <w:szCs w:val="16"/>
                <w:color w:val="4D5357"/>
              </w:rPr>
              <w:t>James A.J. Nickolas, Donald A. McCunniff,</w:t>
            </w:r>
          </w:p>
        </w:tc>
      </w:tr>
      <w:tr>
        <w:trPr>
          <w:trHeight w:val="215"/>
        </w:trPr>
        <w:tc>
          <w:tcPr>
            <w:tcW w:w="3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980" w:type="dxa"/>
            <w:vAlign w:val="bottom"/>
          </w:tcPr>
          <w:p>
            <w:pPr>
              <w:jc w:val="center"/>
              <w:ind w:left="499"/>
              <w:spacing w:after="0"/>
              <w:rPr>
                <w:sz w:val="20"/>
                <w:szCs w:val="20"/>
                <w:color w:val="auto"/>
              </w:rPr>
            </w:pPr>
            <w:r>
              <w:rPr>
                <w:rFonts w:ascii="Arial" w:cs="Arial" w:eastAsia="Arial" w:hAnsi="Arial"/>
                <w:sz w:val="16"/>
                <w:szCs w:val="16"/>
                <w:color w:val="4D5357"/>
              </w:rPr>
              <w:t>Jason P. Flynn, Bradley D. Kohn</w:t>
            </w:r>
          </w:p>
        </w:tc>
      </w:tr>
      <w:tr>
        <w:trPr>
          <w:trHeight w:val="29"/>
        </w:trPr>
        <w:tc>
          <w:tcPr>
            <w:tcW w:w="3680" w:type="dxa"/>
            <w:vAlign w:val="bottom"/>
            <w:tcBorders>
              <w:bottom w:val="single" w:sz="8" w:color="4D5357"/>
            </w:tcBorders>
          </w:tcPr>
          <w:p>
            <w:pPr>
              <w:spacing w:after="0"/>
              <w:rPr>
                <w:sz w:val="2"/>
                <w:szCs w:val="2"/>
                <w:color w:val="auto"/>
              </w:rPr>
            </w:pPr>
          </w:p>
        </w:tc>
        <w:tc>
          <w:tcPr>
            <w:tcW w:w="3360" w:type="dxa"/>
            <w:vAlign w:val="bottom"/>
            <w:tcBorders>
              <w:bottom w:val="single" w:sz="8" w:color="4D5357"/>
            </w:tcBorders>
          </w:tcPr>
          <w:p>
            <w:pPr>
              <w:spacing w:after="0"/>
              <w:rPr>
                <w:sz w:val="2"/>
                <w:szCs w:val="2"/>
                <w:color w:val="auto"/>
              </w:rPr>
            </w:pPr>
          </w:p>
        </w:tc>
        <w:tc>
          <w:tcPr>
            <w:tcW w:w="3980" w:type="dxa"/>
            <w:vAlign w:val="bottom"/>
            <w:tcBorders>
              <w:bottom w:val="single" w:sz="8" w:color="4D5357"/>
            </w:tcBorders>
          </w:tcPr>
          <w:p>
            <w:pPr>
              <w:spacing w:after="0"/>
              <w:rPr>
                <w:sz w:val="2"/>
                <w:szCs w:val="2"/>
                <w:color w:val="auto"/>
              </w:rPr>
            </w:pPr>
          </w:p>
        </w:tc>
      </w:tr>
      <w:tr>
        <w:trPr>
          <w:trHeight w:val="222"/>
        </w:trPr>
        <w:tc>
          <w:tcPr>
            <w:tcW w:w="3680" w:type="dxa"/>
            <w:vAlign w:val="bottom"/>
          </w:tcPr>
          <w:p>
            <w:pPr>
              <w:jc w:val="center"/>
              <w:ind w:left="159"/>
              <w:spacing w:after="0"/>
              <w:rPr>
                <w:sz w:val="20"/>
                <w:szCs w:val="20"/>
                <w:color w:val="auto"/>
              </w:rPr>
            </w:pPr>
            <w:r>
              <w:rPr>
                <w:rFonts w:ascii="Arial" w:cs="Arial" w:eastAsia="Arial" w:hAnsi="Arial"/>
                <w:sz w:val="16"/>
                <w:szCs w:val="16"/>
                <w:b w:val="1"/>
                <w:bCs w:val="1"/>
                <w:color w:val="4D5357"/>
              </w:rPr>
              <w:t>2024</w:t>
            </w:r>
          </w:p>
        </w:tc>
        <w:tc>
          <w:tcPr>
            <w:tcW w:w="3360" w:type="dxa"/>
            <w:vAlign w:val="bottom"/>
          </w:tcPr>
          <w:p>
            <w:pPr>
              <w:jc w:val="center"/>
              <w:ind w:left="679"/>
              <w:spacing w:after="0"/>
              <w:rPr>
                <w:sz w:val="20"/>
                <w:szCs w:val="20"/>
                <w:color w:val="auto"/>
              </w:rPr>
            </w:pPr>
            <w:r>
              <w:rPr>
                <w:rFonts w:ascii="Arial" w:cs="Arial" w:eastAsia="Arial" w:hAnsi="Arial"/>
                <w:sz w:val="16"/>
                <w:szCs w:val="16"/>
                <w:color w:val="4D5357"/>
                <w:w w:val="99"/>
              </w:rPr>
              <w:t>C. Howard Nye</w:t>
            </w:r>
          </w:p>
        </w:tc>
        <w:tc>
          <w:tcPr>
            <w:tcW w:w="3980" w:type="dxa"/>
            <w:vAlign w:val="bottom"/>
          </w:tcPr>
          <w:p>
            <w:pPr>
              <w:jc w:val="center"/>
              <w:ind w:left="499"/>
              <w:spacing w:after="0"/>
              <w:rPr>
                <w:sz w:val="20"/>
                <w:szCs w:val="20"/>
                <w:color w:val="auto"/>
              </w:rPr>
            </w:pPr>
            <w:r>
              <w:rPr>
                <w:rFonts w:ascii="Arial" w:cs="Arial" w:eastAsia="Arial" w:hAnsi="Arial"/>
                <w:sz w:val="16"/>
                <w:szCs w:val="16"/>
                <w:color w:val="4D5357"/>
              </w:rPr>
              <w:t>James A. J. Nickolas, Roselyn R. Bar,</w:t>
            </w:r>
          </w:p>
        </w:tc>
      </w:tr>
      <w:tr>
        <w:trPr>
          <w:trHeight w:val="215"/>
        </w:trPr>
        <w:tc>
          <w:tcPr>
            <w:tcW w:w="3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980" w:type="dxa"/>
            <w:vAlign w:val="bottom"/>
          </w:tcPr>
          <w:p>
            <w:pPr>
              <w:jc w:val="center"/>
              <w:ind w:left="479"/>
              <w:spacing w:after="0"/>
              <w:rPr>
                <w:sz w:val="20"/>
                <w:szCs w:val="20"/>
                <w:color w:val="auto"/>
              </w:rPr>
            </w:pPr>
            <w:r>
              <w:rPr>
                <w:rFonts w:ascii="Arial" w:cs="Arial" w:eastAsia="Arial" w:hAnsi="Arial"/>
                <w:sz w:val="16"/>
                <w:szCs w:val="16"/>
                <w:color w:val="4D5357"/>
              </w:rPr>
              <w:t>Robert J. Cardin, Michael J. Petro</w:t>
            </w:r>
          </w:p>
        </w:tc>
      </w:tr>
      <w:tr>
        <w:trPr>
          <w:trHeight w:val="29"/>
        </w:trPr>
        <w:tc>
          <w:tcPr>
            <w:tcW w:w="3680" w:type="dxa"/>
            <w:vAlign w:val="bottom"/>
            <w:tcBorders>
              <w:bottom w:val="single" w:sz="8" w:color="4D5357"/>
            </w:tcBorders>
          </w:tcPr>
          <w:p>
            <w:pPr>
              <w:spacing w:after="0"/>
              <w:rPr>
                <w:sz w:val="2"/>
                <w:szCs w:val="2"/>
                <w:color w:val="auto"/>
              </w:rPr>
            </w:pPr>
          </w:p>
        </w:tc>
        <w:tc>
          <w:tcPr>
            <w:tcW w:w="3360" w:type="dxa"/>
            <w:vAlign w:val="bottom"/>
            <w:tcBorders>
              <w:bottom w:val="single" w:sz="8" w:color="4D5357"/>
            </w:tcBorders>
          </w:tcPr>
          <w:p>
            <w:pPr>
              <w:spacing w:after="0"/>
              <w:rPr>
                <w:sz w:val="2"/>
                <w:szCs w:val="2"/>
                <w:color w:val="auto"/>
              </w:rPr>
            </w:pPr>
          </w:p>
        </w:tc>
        <w:tc>
          <w:tcPr>
            <w:tcW w:w="3980" w:type="dxa"/>
            <w:vAlign w:val="bottom"/>
            <w:tcBorders>
              <w:bottom w:val="single" w:sz="8" w:color="4D5357"/>
            </w:tcBorders>
          </w:tcPr>
          <w:p>
            <w:pPr>
              <w:spacing w:after="0"/>
              <w:rPr>
                <w:sz w:val="2"/>
                <w:szCs w:val="2"/>
                <w:color w:val="auto"/>
              </w:rPr>
            </w:pPr>
          </w:p>
        </w:tc>
      </w:tr>
      <w:tr>
        <w:trPr>
          <w:trHeight w:val="222"/>
        </w:trPr>
        <w:tc>
          <w:tcPr>
            <w:tcW w:w="3680" w:type="dxa"/>
            <w:vAlign w:val="bottom"/>
          </w:tcPr>
          <w:p>
            <w:pPr>
              <w:jc w:val="center"/>
              <w:ind w:left="159"/>
              <w:spacing w:after="0"/>
              <w:rPr>
                <w:sz w:val="20"/>
                <w:szCs w:val="20"/>
                <w:color w:val="auto"/>
              </w:rPr>
            </w:pPr>
            <w:r>
              <w:rPr>
                <w:rFonts w:ascii="Arial" w:cs="Arial" w:eastAsia="Arial" w:hAnsi="Arial"/>
                <w:sz w:val="16"/>
                <w:szCs w:val="16"/>
                <w:b w:val="1"/>
                <w:bCs w:val="1"/>
                <w:color w:val="4D5357"/>
              </w:rPr>
              <w:t>2023</w:t>
            </w:r>
          </w:p>
        </w:tc>
        <w:tc>
          <w:tcPr>
            <w:tcW w:w="3360" w:type="dxa"/>
            <w:vAlign w:val="bottom"/>
          </w:tcPr>
          <w:p>
            <w:pPr>
              <w:jc w:val="center"/>
              <w:ind w:left="679"/>
              <w:spacing w:after="0"/>
              <w:rPr>
                <w:sz w:val="20"/>
                <w:szCs w:val="20"/>
                <w:color w:val="auto"/>
              </w:rPr>
            </w:pPr>
            <w:r>
              <w:rPr>
                <w:rFonts w:ascii="Arial" w:cs="Arial" w:eastAsia="Arial" w:hAnsi="Arial"/>
                <w:sz w:val="16"/>
                <w:szCs w:val="16"/>
                <w:color w:val="4D5357"/>
                <w:w w:val="99"/>
              </w:rPr>
              <w:t>C. Howard Nye</w:t>
            </w:r>
          </w:p>
        </w:tc>
        <w:tc>
          <w:tcPr>
            <w:tcW w:w="3980" w:type="dxa"/>
            <w:vAlign w:val="bottom"/>
          </w:tcPr>
          <w:p>
            <w:pPr>
              <w:jc w:val="center"/>
              <w:ind w:left="499"/>
              <w:spacing w:after="0"/>
              <w:rPr>
                <w:sz w:val="20"/>
                <w:szCs w:val="20"/>
                <w:color w:val="auto"/>
              </w:rPr>
            </w:pPr>
            <w:r>
              <w:rPr>
                <w:rFonts w:ascii="Arial" w:cs="Arial" w:eastAsia="Arial" w:hAnsi="Arial"/>
                <w:sz w:val="16"/>
                <w:szCs w:val="16"/>
                <w:color w:val="4D5357"/>
              </w:rPr>
              <w:t>James A. J. Nickolas, Roselyn R. Bar,</w:t>
            </w:r>
          </w:p>
        </w:tc>
      </w:tr>
      <w:tr>
        <w:trPr>
          <w:trHeight w:val="215"/>
        </w:trPr>
        <w:tc>
          <w:tcPr>
            <w:tcW w:w="3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980" w:type="dxa"/>
            <w:vAlign w:val="bottom"/>
          </w:tcPr>
          <w:p>
            <w:pPr>
              <w:jc w:val="center"/>
              <w:ind w:left="479"/>
              <w:spacing w:after="0"/>
              <w:rPr>
                <w:sz w:val="20"/>
                <w:szCs w:val="20"/>
                <w:color w:val="auto"/>
              </w:rPr>
            </w:pPr>
            <w:r>
              <w:rPr>
                <w:rFonts w:ascii="Arial" w:cs="Arial" w:eastAsia="Arial" w:hAnsi="Arial"/>
                <w:sz w:val="16"/>
                <w:szCs w:val="16"/>
                <w:color w:val="4D5357"/>
              </w:rPr>
              <w:t>Robert J. Cardin, Michael J. Petro</w:t>
            </w:r>
          </w:p>
        </w:tc>
      </w:tr>
      <w:tr>
        <w:trPr>
          <w:trHeight w:val="29"/>
        </w:trPr>
        <w:tc>
          <w:tcPr>
            <w:tcW w:w="3680" w:type="dxa"/>
            <w:vAlign w:val="bottom"/>
            <w:tcBorders>
              <w:bottom w:val="single" w:sz="8" w:color="4D5357"/>
            </w:tcBorders>
          </w:tcPr>
          <w:p>
            <w:pPr>
              <w:spacing w:after="0"/>
              <w:rPr>
                <w:sz w:val="2"/>
                <w:szCs w:val="2"/>
                <w:color w:val="auto"/>
              </w:rPr>
            </w:pPr>
          </w:p>
        </w:tc>
        <w:tc>
          <w:tcPr>
            <w:tcW w:w="3360" w:type="dxa"/>
            <w:vAlign w:val="bottom"/>
            <w:tcBorders>
              <w:bottom w:val="single" w:sz="8" w:color="4D5357"/>
            </w:tcBorders>
          </w:tcPr>
          <w:p>
            <w:pPr>
              <w:spacing w:after="0"/>
              <w:rPr>
                <w:sz w:val="2"/>
                <w:szCs w:val="2"/>
                <w:color w:val="auto"/>
              </w:rPr>
            </w:pPr>
          </w:p>
        </w:tc>
        <w:tc>
          <w:tcPr>
            <w:tcW w:w="3980" w:type="dxa"/>
            <w:vAlign w:val="bottom"/>
            <w:tcBorders>
              <w:bottom w:val="single" w:sz="8" w:color="4D5357"/>
            </w:tcBorders>
          </w:tcPr>
          <w:p>
            <w:pPr>
              <w:spacing w:after="0"/>
              <w:rPr>
                <w:sz w:val="2"/>
                <w:szCs w:val="2"/>
                <w:color w:val="auto"/>
              </w:rPr>
            </w:pPr>
          </w:p>
        </w:tc>
      </w:tr>
      <w:tr>
        <w:trPr>
          <w:trHeight w:val="222"/>
        </w:trPr>
        <w:tc>
          <w:tcPr>
            <w:tcW w:w="3680" w:type="dxa"/>
            <w:vAlign w:val="bottom"/>
          </w:tcPr>
          <w:p>
            <w:pPr>
              <w:jc w:val="center"/>
              <w:ind w:left="159"/>
              <w:spacing w:after="0"/>
              <w:rPr>
                <w:sz w:val="20"/>
                <w:szCs w:val="20"/>
                <w:color w:val="auto"/>
              </w:rPr>
            </w:pPr>
            <w:r>
              <w:rPr>
                <w:rFonts w:ascii="Arial" w:cs="Arial" w:eastAsia="Arial" w:hAnsi="Arial"/>
                <w:sz w:val="16"/>
                <w:szCs w:val="16"/>
                <w:b w:val="1"/>
                <w:bCs w:val="1"/>
                <w:color w:val="4D5357"/>
              </w:rPr>
              <w:t>2022</w:t>
            </w:r>
          </w:p>
        </w:tc>
        <w:tc>
          <w:tcPr>
            <w:tcW w:w="3360" w:type="dxa"/>
            <w:vAlign w:val="bottom"/>
          </w:tcPr>
          <w:p>
            <w:pPr>
              <w:jc w:val="center"/>
              <w:ind w:left="679"/>
              <w:spacing w:after="0"/>
              <w:rPr>
                <w:sz w:val="20"/>
                <w:szCs w:val="20"/>
                <w:color w:val="auto"/>
              </w:rPr>
            </w:pPr>
            <w:r>
              <w:rPr>
                <w:rFonts w:ascii="Arial" w:cs="Arial" w:eastAsia="Arial" w:hAnsi="Arial"/>
                <w:sz w:val="16"/>
                <w:szCs w:val="16"/>
                <w:color w:val="4D5357"/>
                <w:w w:val="99"/>
              </w:rPr>
              <w:t>C. Howard Nye</w:t>
            </w:r>
          </w:p>
        </w:tc>
        <w:tc>
          <w:tcPr>
            <w:tcW w:w="3980" w:type="dxa"/>
            <w:vAlign w:val="bottom"/>
          </w:tcPr>
          <w:p>
            <w:pPr>
              <w:jc w:val="center"/>
              <w:ind w:left="499"/>
              <w:spacing w:after="0"/>
              <w:rPr>
                <w:sz w:val="20"/>
                <w:szCs w:val="20"/>
                <w:color w:val="auto"/>
              </w:rPr>
            </w:pPr>
            <w:r>
              <w:rPr>
                <w:rFonts w:ascii="Arial" w:cs="Arial" w:eastAsia="Arial" w:hAnsi="Arial"/>
                <w:sz w:val="16"/>
                <w:szCs w:val="16"/>
                <w:color w:val="4D5357"/>
              </w:rPr>
              <w:t>James A. J. Nickolas, Roselyn R. Bar,</w:t>
            </w:r>
          </w:p>
        </w:tc>
      </w:tr>
      <w:tr>
        <w:trPr>
          <w:trHeight w:val="215"/>
        </w:trPr>
        <w:tc>
          <w:tcPr>
            <w:tcW w:w="3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980" w:type="dxa"/>
            <w:vAlign w:val="bottom"/>
          </w:tcPr>
          <w:p>
            <w:pPr>
              <w:jc w:val="center"/>
              <w:ind w:left="499"/>
              <w:spacing w:after="0"/>
              <w:rPr>
                <w:sz w:val="20"/>
                <w:szCs w:val="20"/>
                <w:color w:val="auto"/>
              </w:rPr>
            </w:pPr>
            <w:r>
              <w:rPr>
                <w:rFonts w:ascii="Arial" w:cs="Arial" w:eastAsia="Arial" w:hAnsi="Arial"/>
                <w:sz w:val="16"/>
                <w:szCs w:val="16"/>
                <w:color w:val="4D5357"/>
                <w:w w:val="99"/>
              </w:rPr>
              <w:t>Craig M. LaTorre, John P. Mohr</w:t>
            </w:r>
          </w:p>
        </w:tc>
      </w:tr>
      <w:tr>
        <w:trPr>
          <w:trHeight w:val="29"/>
        </w:trPr>
        <w:tc>
          <w:tcPr>
            <w:tcW w:w="3680" w:type="dxa"/>
            <w:vAlign w:val="bottom"/>
            <w:tcBorders>
              <w:bottom w:val="single" w:sz="8" w:color="4D5357"/>
            </w:tcBorders>
          </w:tcPr>
          <w:p>
            <w:pPr>
              <w:spacing w:after="0"/>
              <w:rPr>
                <w:sz w:val="2"/>
                <w:szCs w:val="2"/>
                <w:color w:val="auto"/>
              </w:rPr>
            </w:pPr>
          </w:p>
        </w:tc>
        <w:tc>
          <w:tcPr>
            <w:tcW w:w="3360" w:type="dxa"/>
            <w:vAlign w:val="bottom"/>
            <w:tcBorders>
              <w:bottom w:val="single" w:sz="8" w:color="4D5357"/>
            </w:tcBorders>
          </w:tcPr>
          <w:p>
            <w:pPr>
              <w:spacing w:after="0"/>
              <w:rPr>
                <w:sz w:val="2"/>
                <w:szCs w:val="2"/>
                <w:color w:val="auto"/>
              </w:rPr>
            </w:pPr>
          </w:p>
        </w:tc>
        <w:tc>
          <w:tcPr>
            <w:tcW w:w="3980" w:type="dxa"/>
            <w:vAlign w:val="bottom"/>
            <w:tcBorders>
              <w:bottom w:val="single" w:sz="8" w:color="4D5357"/>
            </w:tcBorders>
          </w:tcPr>
          <w:p>
            <w:pPr>
              <w:spacing w:after="0"/>
              <w:rPr>
                <w:sz w:val="2"/>
                <w:szCs w:val="2"/>
                <w:color w:val="auto"/>
              </w:rPr>
            </w:pPr>
          </w:p>
        </w:tc>
      </w:tr>
      <w:tr>
        <w:trPr>
          <w:trHeight w:val="222"/>
        </w:trPr>
        <w:tc>
          <w:tcPr>
            <w:tcW w:w="3680" w:type="dxa"/>
            <w:vAlign w:val="bottom"/>
          </w:tcPr>
          <w:p>
            <w:pPr>
              <w:jc w:val="center"/>
              <w:ind w:left="159"/>
              <w:spacing w:after="0"/>
              <w:rPr>
                <w:sz w:val="20"/>
                <w:szCs w:val="20"/>
                <w:color w:val="auto"/>
              </w:rPr>
            </w:pPr>
            <w:r>
              <w:rPr>
                <w:rFonts w:ascii="Arial" w:cs="Arial" w:eastAsia="Arial" w:hAnsi="Arial"/>
                <w:sz w:val="16"/>
                <w:szCs w:val="16"/>
                <w:b w:val="1"/>
                <w:bCs w:val="1"/>
                <w:color w:val="4D5357"/>
              </w:rPr>
              <w:t>2021</w:t>
            </w:r>
          </w:p>
        </w:tc>
        <w:tc>
          <w:tcPr>
            <w:tcW w:w="3360" w:type="dxa"/>
            <w:vAlign w:val="bottom"/>
          </w:tcPr>
          <w:p>
            <w:pPr>
              <w:jc w:val="center"/>
              <w:ind w:left="679"/>
              <w:spacing w:after="0"/>
              <w:rPr>
                <w:sz w:val="20"/>
                <w:szCs w:val="20"/>
                <w:color w:val="auto"/>
              </w:rPr>
            </w:pPr>
            <w:r>
              <w:rPr>
                <w:rFonts w:ascii="Arial" w:cs="Arial" w:eastAsia="Arial" w:hAnsi="Arial"/>
                <w:sz w:val="16"/>
                <w:szCs w:val="16"/>
                <w:color w:val="4D5357"/>
                <w:w w:val="99"/>
              </w:rPr>
              <w:t>C. Howard Nye</w:t>
            </w:r>
          </w:p>
        </w:tc>
        <w:tc>
          <w:tcPr>
            <w:tcW w:w="3980" w:type="dxa"/>
            <w:vAlign w:val="bottom"/>
          </w:tcPr>
          <w:p>
            <w:pPr>
              <w:jc w:val="center"/>
              <w:ind w:left="499"/>
              <w:spacing w:after="0"/>
              <w:rPr>
                <w:sz w:val="20"/>
                <w:szCs w:val="20"/>
                <w:color w:val="auto"/>
              </w:rPr>
            </w:pPr>
            <w:r>
              <w:rPr>
                <w:rFonts w:ascii="Arial" w:cs="Arial" w:eastAsia="Arial" w:hAnsi="Arial"/>
                <w:sz w:val="16"/>
                <w:szCs w:val="16"/>
                <w:color w:val="4D5357"/>
              </w:rPr>
              <w:t>James A. J. Nickolas, Roselyn R. Bar,</w:t>
            </w:r>
          </w:p>
        </w:tc>
      </w:tr>
      <w:tr>
        <w:trPr>
          <w:trHeight w:val="215"/>
        </w:trPr>
        <w:tc>
          <w:tcPr>
            <w:tcW w:w="3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980" w:type="dxa"/>
            <w:vAlign w:val="bottom"/>
          </w:tcPr>
          <w:p>
            <w:pPr>
              <w:jc w:val="center"/>
              <w:ind w:left="499"/>
              <w:spacing w:after="0"/>
              <w:rPr>
                <w:sz w:val="20"/>
                <w:szCs w:val="20"/>
                <w:color w:val="auto"/>
              </w:rPr>
            </w:pPr>
            <w:r>
              <w:rPr>
                <w:rFonts w:ascii="Arial" w:cs="Arial" w:eastAsia="Arial" w:hAnsi="Arial"/>
                <w:sz w:val="16"/>
                <w:szCs w:val="16"/>
                <w:color w:val="4D5357"/>
                <w:w w:val="99"/>
              </w:rPr>
              <w:t>Craig M. LaTorre, John P. Mohr</w:t>
            </w:r>
          </w:p>
        </w:tc>
      </w:tr>
      <w:tr>
        <w:trPr>
          <w:trHeight w:val="29"/>
        </w:trPr>
        <w:tc>
          <w:tcPr>
            <w:tcW w:w="3680" w:type="dxa"/>
            <w:vAlign w:val="bottom"/>
            <w:tcBorders>
              <w:bottom w:val="single" w:sz="8" w:color="4D5357"/>
            </w:tcBorders>
          </w:tcPr>
          <w:p>
            <w:pPr>
              <w:spacing w:after="0"/>
              <w:rPr>
                <w:sz w:val="2"/>
                <w:szCs w:val="2"/>
                <w:color w:val="auto"/>
              </w:rPr>
            </w:pPr>
          </w:p>
        </w:tc>
        <w:tc>
          <w:tcPr>
            <w:tcW w:w="3360" w:type="dxa"/>
            <w:vAlign w:val="bottom"/>
            <w:tcBorders>
              <w:bottom w:val="single" w:sz="8" w:color="4D5357"/>
            </w:tcBorders>
          </w:tcPr>
          <w:p>
            <w:pPr>
              <w:spacing w:after="0"/>
              <w:rPr>
                <w:sz w:val="2"/>
                <w:szCs w:val="2"/>
                <w:color w:val="auto"/>
              </w:rPr>
            </w:pPr>
          </w:p>
        </w:tc>
        <w:tc>
          <w:tcPr>
            <w:tcW w:w="3980" w:type="dxa"/>
            <w:vAlign w:val="bottom"/>
            <w:tcBorders>
              <w:bottom w:val="single" w:sz="8" w:color="4D5357"/>
            </w:tcBorders>
          </w:tcPr>
          <w:p>
            <w:pPr>
              <w:spacing w:after="0"/>
              <w:rPr>
                <w:sz w:val="2"/>
                <w:szCs w:val="2"/>
                <w:color w:val="auto"/>
              </w:rPr>
            </w:pPr>
          </w:p>
        </w:tc>
      </w:tr>
    </w:tbl>
    <w:p>
      <w:pPr>
        <w:spacing w:after="0" w:line="198" w:lineRule="exact"/>
        <w:rPr>
          <w:sz w:val="20"/>
          <w:szCs w:val="20"/>
          <w:color w:val="auto"/>
        </w:rPr>
      </w:pPr>
    </w:p>
    <w:p>
      <w:pPr>
        <w:jc w:val="both"/>
        <w:ind w:left="224" w:right="600" w:hanging="224"/>
        <w:spacing w:after="0" w:line="283" w:lineRule="auto"/>
        <w:tabs>
          <w:tab w:leader="none" w:pos="224" w:val="left"/>
        </w:tabs>
        <w:numPr>
          <w:ilvl w:val="0"/>
          <w:numId w:val="130"/>
        </w:numPr>
        <w:rPr>
          <w:rFonts w:ascii="Arial" w:cs="Arial" w:eastAsia="Arial" w:hAnsi="Arial"/>
          <w:sz w:val="12"/>
          <w:szCs w:val="12"/>
          <w:color w:val="333333"/>
        </w:rPr>
      </w:pPr>
      <w:r>
        <w:rPr>
          <w:rFonts w:ascii="Arial" w:cs="Arial" w:eastAsia="Arial" w:hAnsi="Arial"/>
          <w:sz w:val="12"/>
          <w:szCs w:val="12"/>
          <w:color w:val="333333"/>
        </w:rPr>
        <w:t>The dollar amounts reported for our PEO and NEOs under “Compensation Actually Paid” represent the amount of “Compensation Actually Paid” to the PEO and NEOs, as computed in accordance with Item 402(v) of Regulation S-K. The dollar amounts do not reflect the actual amount of compensation earned by or paid to the PEO or NEOs during the applicable year.</w:t>
      </w:r>
    </w:p>
    <w:p>
      <w:pPr>
        <w:spacing w:after="0" w:line="9" w:lineRule="exact"/>
        <w:rPr>
          <w:rFonts w:ascii="Arial" w:cs="Arial" w:eastAsia="Arial" w:hAnsi="Arial"/>
          <w:sz w:val="12"/>
          <w:szCs w:val="12"/>
          <w:color w:val="333333"/>
        </w:rPr>
      </w:pPr>
    </w:p>
    <w:p>
      <w:pPr>
        <w:ind w:left="224" w:hanging="224"/>
        <w:spacing w:after="0"/>
        <w:tabs>
          <w:tab w:leader="none" w:pos="224" w:val="left"/>
        </w:tabs>
        <w:numPr>
          <w:ilvl w:val="0"/>
          <w:numId w:val="130"/>
        </w:numPr>
        <w:rPr>
          <w:rFonts w:ascii="Arial" w:cs="Arial" w:eastAsia="Arial" w:hAnsi="Arial"/>
          <w:sz w:val="13"/>
          <w:szCs w:val="13"/>
          <w:color w:val="333333"/>
        </w:rPr>
      </w:pPr>
      <w:r>
        <w:rPr>
          <w:rFonts w:ascii="Arial" w:cs="Arial" w:eastAsia="Arial" w:hAnsi="Arial"/>
          <w:sz w:val="13"/>
          <w:szCs w:val="13"/>
          <w:color w:val="333333"/>
        </w:rPr>
        <w:t>For the portion of “Compensation Actually Paid” that is based on year-end stock prices, the following prices were used: for 2025: $622.66; for 2024: $516.50; for 2023: $498.91; for 2022:</w:t>
      </w:r>
    </w:p>
    <w:p>
      <w:pPr>
        <w:ind w:left="224"/>
        <w:spacing w:after="0"/>
        <w:rPr>
          <w:rFonts w:ascii="Arial" w:cs="Arial" w:eastAsia="Arial" w:hAnsi="Arial"/>
          <w:sz w:val="13"/>
          <w:szCs w:val="13"/>
          <w:color w:val="333333"/>
        </w:rPr>
      </w:pPr>
      <w:r>
        <w:rPr>
          <w:rFonts w:ascii="Arial" w:cs="Arial" w:eastAsia="Arial" w:hAnsi="Arial"/>
          <w:sz w:val="13"/>
          <w:szCs w:val="13"/>
          <w:color w:val="333333"/>
        </w:rPr>
        <w:t>$337.97; and for 2021: $440.52.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6995160" cy="6000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ectPr>
          <w:pgSz w:w="11900" w:h="16838" w:orient="portrait"/>
          <w:cols w:equalWidth="0" w:num="1">
            <w:col w:w="11024"/>
          </w:cols>
          <w:pgMar w:left="436" w:top="1230"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89 </w:t>
      </w:r>
      <w:r>
        <w:rPr>
          <w:rFonts w:ascii="Arial" w:cs="Arial" w:eastAsia="Arial" w:hAnsi="Arial"/>
          <w:sz w:val="16"/>
          <w:szCs w:val="16"/>
          <w:color w:val="333333"/>
        </w:rPr>
        <w:t xml:space="preserve">               </w:t>
      </w:r>
    </w:p>
    <w:p>
      <w:pPr>
        <w:sectPr>
          <w:pgSz w:w="11900" w:h="16838" w:orient="portrait"/>
          <w:cols w:equalWidth="0" w:num="3">
            <w:col w:w="3864" w:space="720"/>
            <w:col w:w="4660" w:space="720"/>
            <w:col w:w="1060"/>
          </w:cols>
          <w:pgMar w:left="436" w:top="1230" w:right="4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396"/>
        </w:trPr>
        <w:tc>
          <w:tcPr>
            <w:tcW w:w="200" w:type="dxa"/>
            <w:vAlign w:val="bottom"/>
            <w:shd w:val="clear" w:color="auto" w:fill="4D5357"/>
          </w:tcPr>
          <w:p>
            <w:pPr>
              <w:ind w:left="140"/>
              <w:spacing w:after="0"/>
              <w:rPr>
                <w:sz w:val="20"/>
                <w:szCs w:val="20"/>
                <w:color w:val="auto"/>
              </w:rPr>
            </w:pPr>
            <w:r>
              <w:rPr>
                <w:rFonts w:ascii="Arial" w:cs="Arial" w:eastAsia="Arial" w:hAnsi="Arial"/>
                <w:sz w:val="5"/>
                <w:szCs w:val="5"/>
                <w:b w:val="1"/>
                <w:bCs w:val="1"/>
                <w:color w:val="FFFFFF"/>
                <w:w w:val="79"/>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98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Pay Versus </w:t>
            </w:r>
          </w:p>
        </w:tc>
        <w:tc>
          <w:tcPr>
            <w:tcW w:w="3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2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w w:val="71"/>
              </w:rPr>
              <w:t> </w:t>
            </w:r>
          </w:p>
        </w:tc>
        <w:tc>
          <w:tcPr>
            <w:tcW w:w="14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w w:val="71"/>
              </w:rPr>
              <w:t> </w:t>
            </w:r>
          </w:p>
        </w:tc>
        <w:tc>
          <w:tcPr>
            <w:tcW w:w="98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2"/>
              </w:rPr>
              <w:t>Performance </w:t>
            </w:r>
          </w:p>
        </w:tc>
        <w:tc>
          <w:tcPr>
            <w:tcW w:w="3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51"/>
        </w:trPr>
        <w:tc>
          <w:tcPr>
            <w:tcW w:w="200" w:type="dxa"/>
            <w:vAlign w:val="bottom"/>
            <w:shd w:val="clear" w:color="auto" w:fill="4D5357"/>
          </w:tcPr>
          <w:p>
            <w:pPr>
              <w:spacing w:after="0"/>
              <w:rPr>
                <w:sz w:val="13"/>
                <w:szCs w:val="13"/>
                <w:color w:val="auto"/>
              </w:rPr>
            </w:pPr>
          </w:p>
        </w:tc>
        <w:tc>
          <w:tcPr>
            <w:tcW w:w="140" w:type="dxa"/>
            <w:vAlign w:val="bottom"/>
            <w:shd w:val="clear" w:color="auto" w:fill="4D5357"/>
          </w:tcPr>
          <w:p>
            <w:pPr>
              <w:spacing w:after="0"/>
              <w:rPr>
                <w:sz w:val="13"/>
                <w:szCs w:val="13"/>
                <w:color w:val="auto"/>
              </w:rPr>
            </w:pPr>
          </w:p>
        </w:tc>
        <w:tc>
          <w:tcPr>
            <w:tcW w:w="980" w:type="dxa"/>
            <w:vAlign w:val="bottom"/>
            <w:shd w:val="clear" w:color="auto" w:fill="4D5357"/>
          </w:tcPr>
          <w:p>
            <w:pPr>
              <w:spacing w:after="0"/>
              <w:rPr>
                <w:sz w:val="13"/>
                <w:szCs w:val="13"/>
                <w:color w:val="auto"/>
              </w:rPr>
            </w:pPr>
          </w:p>
        </w:tc>
        <w:tc>
          <w:tcPr>
            <w:tcW w:w="300" w:type="dxa"/>
            <w:vAlign w:val="bottom"/>
            <w:shd w:val="clear" w:color="auto" w:fill="4D5357"/>
          </w:tcPr>
          <w:p>
            <w:pPr>
              <w:spacing w:after="0"/>
              <w:rPr>
                <w:sz w:val="13"/>
                <w:szCs w:val="13"/>
                <w:color w:val="auto"/>
              </w:rPr>
            </w:pPr>
          </w:p>
        </w:tc>
      </w:tr>
    </w:tbl>
    <w:p>
      <w:pPr>
        <w:spacing w:after="0" w:line="131" w:lineRule="exact"/>
        <w:rPr>
          <w:sz w:val="20"/>
          <w:szCs w:val="20"/>
          <w:color w:val="auto"/>
        </w:rPr>
      </w:pPr>
    </w:p>
    <w:p>
      <w:pPr>
        <w:ind w:left="340" w:right="140" w:hanging="224"/>
        <w:spacing w:after="0" w:line="243" w:lineRule="auto"/>
        <w:tabs>
          <w:tab w:leader="none" w:pos="340" w:val="left"/>
        </w:tabs>
        <w:numPr>
          <w:ilvl w:val="0"/>
          <w:numId w:val="131"/>
        </w:numPr>
        <w:rPr>
          <w:rFonts w:ascii="Arial" w:cs="Arial" w:eastAsia="Arial" w:hAnsi="Arial"/>
          <w:sz w:val="13"/>
          <w:szCs w:val="13"/>
          <w:color w:val="333333"/>
        </w:rPr>
      </w:pPr>
      <w:r>
        <w:rPr>
          <w:rFonts w:ascii="Arial" w:cs="Arial" w:eastAsia="Arial" w:hAnsi="Arial"/>
          <w:sz w:val="13"/>
          <w:szCs w:val="13"/>
          <w:color w:val="333333"/>
        </w:rPr>
        <w:t>2025 “Compensation Actually Paid” to the PEO and the average “Compensation Actually Paid” to the NEOs reflect the following adjustments from Total Compensation reported in the Summary Compensation Table:</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Pr>
          <w:p>
            <w:pPr>
              <w:jc w:val="right"/>
              <w:ind w:right="459"/>
              <w:spacing w:after="0"/>
              <w:rPr>
                <w:sz w:val="20"/>
                <w:szCs w:val="20"/>
                <w:color w:val="auto"/>
              </w:rPr>
            </w:pPr>
            <w:r>
              <w:rPr>
                <w:rFonts w:ascii="Arial" w:cs="Arial" w:eastAsia="Arial" w:hAnsi="Arial"/>
                <w:sz w:val="16"/>
                <w:szCs w:val="16"/>
                <w:b w:val="1"/>
                <w:bCs w:val="1"/>
                <w:color w:val="0086CC"/>
              </w:rPr>
              <w:t>AVERAGE FOR</w:t>
            </w:r>
          </w:p>
        </w:tc>
      </w:tr>
      <w:tr>
        <w:trPr>
          <w:trHeight w:val="240"/>
        </w:trPr>
        <w:tc>
          <w:tcPr>
            <w:tcW w:w="7340" w:type="dxa"/>
            <w:vAlign w:val="bottom"/>
            <w:tcBorders>
              <w:bottom w:val="single" w:sz="8" w:color="0086CC"/>
            </w:tcBorders>
          </w:tcPr>
          <w:p>
            <w:pPr>
              <w:spacing w:after="0"/>
              <w:rPr>
                <w:sz w:val="20"/>
                <w:szCs w:val="20"/>
                <w:color w:val="auto"/>
              </w:rPr>
            </w:pPr>
          </w:p>
        </w:tc>
        <w:tc>
          <w:tcPr>
            <w:tcW w:w="1500" w:type="dxa"/>
            <w:vAlign w:val="bottom"/>
            <w:tcBorders>
              <w:bottom w:val="single" w:sz="8" w:color="0086CC"/>
            </w:tcBorders>
          </w:tcPr>
          <w:p>
            <w:pPr>
              <w:jc w:val="right"/>
              <w:ind w:right="599"/>
              <w:spacing w:after="0"/>
              <w:rPr>
                <w:sz w:val="20"/>
                <w:szCs w:val="20"/>
                <w:color w:val="auto"/>
              </w:rPr>
            </w:pPr>
            <w:r>
              <w:rPr>
                <w:rFonts w:ascii="Arial" w:cs="Arial" w:eastAsia="Arial" w:hAnsi="Arial"/>
                <w:sz w:val="16"/>
                <w:szCs w:val="16"/>
                <w:b w:val="1"/>
                <w:bCs w:val="1"/>
                <w:color w:val="0086CC"/>
              </w:rPr>
              <w:t>PEO</w:t>
            </w:r>
          </w:p>
        </w:tc>
        <w:tc>
          <w:tcPr>
            <w:tcW w:w="2180" w:type="dxa"/>
            <w:vAlign w:val="bottom"/>
            <w:tcBorders>
              <w:bottom w:val="single" w:sz="8" w:color="0086CC"/>
            </w:tcBorders>
          </w:tcPr>
          <w:p>
            <w:pPr>
              <w:jc w:val="right"/>
              <w:ind w:right="419"/>
              <w:spacing w:after="0"/>
              <w:rPr>
                <w:sz w:val="20"/>
                <w:szCs w:val="20"/>
                <w:color w:val="auto"/>
              </w:rPr>
            </w:pPr>
            <w:r>
              <w:rPr>
                <w:rFonts w:ascii="Arial" w:cs="Arial" w:eastAsia="Arial" w:hAnsi="Arial"/>
                <w:sz w:val="16"/>
                <w:szCs w:val="16"/>
                <w:b w:val="1"/>
                <w:bCs w:val="1"/>
                <w:color w:val="0086CC"/>
              </w:rPr>
              <w:t>  NON-PEO NEOS</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Total Reported in 2025 Summary Compensation Table (SCT)</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14,264,065</w:t>
            </w:r>
          </w:p>
        </w:tc>
        <w:tc>
          <w:tcPr>
            <w:tcW w:w="2180" w:type="dxa"/>
            <w:vAlign w:val="bottom"/>
            <w:tcBorders>
              <w:bottom w:val="single" w:sz="8" w:color="4D5357"/>
            </w:tcBorders>
          </w:tcPr>
          <w:p>
            <w:pPr>
              <w:jc w:val="right"/>
              <w:ind w:right="619"/>
              <w:spacing w:after="0"/>
              <w:rPr>
                <w:sz w:val="20"/>
                <w:szCs w:val="20"/>
                <w:color w:val="auto"/>
              </w:rPr>
            </w:pPr>
            <w:r>
              <w:rPr>
                <w:rFonts w:ascii="Arial" w:cs="Arial" w:eastAsia="Arial" w:hAnsi="Arial"/>
                <w:sz w:val="16"/>
                <w:szCs w:val="16"/>
                <w:color w:val="4D5357"/>
              </w:rPr>
              <w:t>2,752,942</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Less, Value of Stock Awards Reported in SCT</w:t>
            </w:r>
          </w:p>
        </w:tc>
        <w:tc>
          <w:tcPr>
            <w:tcW w:w="1500" w:type="dxa"/>
            <w:vAlign w:val="bottom"/>
            <w:tcBorders>
              <w:bottom w:val="single" w:sz="8" w:color="4D5357"/>
            </w:tcBorders>
          </w:tcPr>
          <w:p>
            <w:pPr>
              <w:jc w:val="right"/>
              <w:ind w:right="279"/>
              <w:spacing w:after="0"/>
              <w:rPr>
                <w:sz w:val="20"/>
                <w:szCs w:val="20"/>
                <w:color w:val="auto"/>
              </w:rPr>
            </w:pPr>
            <w:r>
              <w:rPr>
                <w:rFonts w:ascii="Arial" w:cs="Arial" w:eastAsia="Arial" w:hAnsi="Arial"/>
                <w:sz w:val="16"/>
                <w:szCs w:val="16"/>
                <w:color w:val="4D5357"/>
              </w:rPr>
              <w:t>(9,428,726)</w:t>
            </w:r>
          </w:p>
        </w:tc>
        <w:tc>
          <w:tcPr>
            <w:tcW w:w="2180" w:type="dxa"/>
            <w:vAlign w:val="bottom"/>
            <w:tcBorders>
              <w:bottom w:val="single" w:sz="8" w:color="4D5357"/>
            </w:tcBorders>
          </w:tcPr>
          <w:p>
            <w:pPr>
              <w:jc w:val="right"/>
              <w:ind w:right="579"/>
              <w:spacing w:after="0"/>
              <w:rPr>
                <w:sz w:val="20"/>
                <w:szCs w:val="20"/>
                <w:color w:val="auto"/>
              </w:rPr>
            </w:pPr>
            <w:r>
              <w:rPr>
                <w:rFonts w:ascii="Arial" w:cs="Arial" w:eastAsia="Arial" w:hAnsi="Arial"/>
                <w:sz w:val="16"/>
                <w:szCs w:val="16"/>
                <w:color w:val="4D5357"/>
              </w:rPr>
              <w:t>(1,347,838)</w:t>
            </w:r>
          </w:p>
        </w:tc>
      </w:tr>
      <w:tr>
        <w:trPr>
          <w:trHeight w:val="264"/>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Less, Change in Pension Value and Non-Qualified Deferred Compensation Earnings in SCT</w:t>
            </w:r>
          </w:p>
        </w:tc>
        <w:tc>
          <w:tcPr>
            <w:tcW w:w="1500" w:type="dxa"/>
            <w:vAlign w:val="bottom"/>
            <w:tcBorders>
              <w:bottom w:val="single" w:sz="8" w:color="4D5357"/>
            </w:tcBorders>
          </w:tcPr>
          <w:p>
            <w:pPr>
              <w:jc w:val="right"/>
              <w:ind w:right="279"/>
              <w:spacing w:after="0"/>
              <w:rPr>
                <w:sz w:val="20"/>
                <w:szCs w:val="20"/>
                <w:color w:val="auto"/>
              </w:rPr>
            </w:pPr>
            <w:r>
              <w:rPr>
                <w:rFonts w:ascii="Arial" w:cs="Arial" w:eastAsia="Arial" w:hAnsi="Arial"/>
                <w:sz w:val="16"/>
                <w:szCs w:val="16"/>
                <w:color w:val="4D5357"/>
              </w:rPr>
              <w:t>(585,757)</w:t>
            </w:r>
          </w:p>
        </w:tc>
        <w:tc>
          <w:tcPr>
            <w:tcW w:w="2180" w:type="dxa"/>
            <w:vAlign w:val="bottom"/>
            <w:tcBorders>
              <w:bottom w:val="single" w:sz="8" w:color="4D5357"/>
            </w:tcBorders>
          </w:tcPr>
          <w:p>
            <w:pPr>
              <w:jc w:val="right"/>
              <w:ind w:right="579"/>
              <w:spacing w:after="0"/>
              <w:rPr>
                <w:sz w:val="20"/>
                <w:szCs w:val="20"/>
                <w:color w:val="auto"/>
              </w:rPr>
            </w:pPr>
            <w:r>
              <w:rPr>
                <w:rFonts w:ascii="Arial" w:cs="Arial" w:eastAsia="Arial" w:hAnsi="Arial"/>
                <w:sz w:val="16"/>
                <w:szCs w:val="16"/>
                <w:color w:val="4D5357"/>
              </w:rPr>
              <w:t>(184,557)</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Plus, Pension Service Cost</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951,002</w:t>
            </w:r>
          </w:p>
        </w:tc>
        <w:tc>
          <w:tcPr>
            <w:tcW w:w="2180" w:type="dxa"/>
            <w:vAlign w:val="bottom"/>
            <w:tcBorders>
              <w:bottom w:val="single" w:sz="8" w:color="4D5357"/>
            </w:tcBorders>
          </w:tcPr>
          <w:p>
            <w:pPr>
              <w:jc w:val="right"/>
              <w:ind w:right="619"/>
              <w:spacing w:after="0"/>
              <w:rPr>
                <w:sz w:val="20"/>
                <w:szCs w:val="20"/>
                <w:color w:val="auto"/>
              </w:rPr>
            </w:pPr>
            <w:r>
              <w:rPr>
                <w:rFonts w:ascii="Arial" w:cs="Arial" w:eastAsia="Arial" w:hAnsi="Arial"/>
                <w:sz w:val="16"/>
                <w:szCs w:val="16"/>
                <w:color w:val="4D5357"/>
              </w:rPr>
              <w:t>134,900</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Plus, Year-End Value of Awards Granted in Fiscal Year that are Unvested and Outstanding</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16,847,810</w:t>
            </w:r>
          </w:p>
        </w:tc>
        <w:tc>
          <w:tcPr>
            <w:tcW w:w="2180" w:type="dxa"/>
            <w:vAlign w:val="bottom"/>
            <w:tcBorders>
              <w:bottom w:val="single" w:sz="8" w:color="4D5357"/>
            </w:tcBorders>
          </w:tcPr>
          <w:p>
            <w:pPr>
              <w:jc w:val="right"/>
              <w:ind w:right="619"/>
              <w:spacing w:after="0"/>
              <w:rPr>
                <w:sz w:val="20"/>
                <w:szCs w:val="20"/>
                <w:color w:val="auto"/>
              </w:rPr>
            </w:pPr>
            <w:r>
              <w:rPr>
                <w:rFonts w:ascii="Arial" w:cs="Arial" w:eastAsia="Arial" w:hAnsi="Arial"/>
                <w:sz w:val="16"/>
                <w:szCs w:val="16"/>
                <w:color w:val="4D5357"/>
              </w:rPr>
              <w:t>2,178,218</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Plus, Change in Fair Value of Prior Year Awards that are Unvested and Outstanding</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1,888,332</w:t>
            </w:r>
          </w:p>
        </w:tc>
        <w:tc>
          <w:tcPr>
            <w:tcW w:w="2180" w:type="dxa"/>
            <w:vAlign w:val="bottom"/>
            <w:tcBorders>
              <w:bottom w:val="single" w:sz="8" w:color="4D5357"/>
            </w:tcBorders>
          </w:tcPr>
          <w:p>
            <w:pPr>
              <w:jc w:val="right"/>
              <w:ind w:right="619"/>
              <w:spacing w:after="0"/>
              <w:rPr>
                <w:sz w:val="20"/>
                <w:szCs w:val="20"/>
                <w:color w:val="auto"/>
              </w:rPr>
            </w:pPr>
            <w:r>
              <w:rPr>
                <w:rFonts w:ascii="Arial" w:cs="Arial" w:eastAsia="Arial" w:hAnsi="Arial"/>
                <w:sz w:val="16"/>
                <w:szCs w:val="16"/>
                <w:color w:val="4D5357"/>
              </w:rPr>
              <w:t>200,843</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Plus, FMV of Awards Granted this Year and that Vested this Year</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187,588</w:t>
            </w:r>
          </w:p>
        </w:tc>
        <w:tc>
          <w:tcPr>
            <w:tcW w:w="2180" w:type="dxa"/>
            <w:vAlign w:val="bottom"/>
            <w:tcBorders>
              <w:bottom w:val="single" w:sz="8" w:color="4D5357"/>
            </w:tcBorders>
          </w:tcPr>
          <w:p>
            <w:pPr>
              <w:jc w:val="right"/>
              <w:ind w:right="619"/>
              <w:spacing w:after="0"/>
              <w:rPr>
                <w:sz w:val="20"/>
                <w:szCs w:val="20"/>
                <w:color w:val="auto"/>
              </w:rPr>
            </w:pPr>
            <w:r>
              <w:rPr>
                <w:rFonts w:ascii="Arial" w:cs="Arial" w:eastAsia="Arial" w:hAnsi="Arial"/>
                <w:sz w:val="16"/>
                <w:szCs w:val="16"/>
                <w:color w:val="4D5357"/>
              </w:rPr>
              <w:t>8,603</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Plus, Change in Fair Value (from Prior Year-End) of Prior Year Awards that Vested this Year</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1,621,699</w:t>
            </w:r>
          </w:p>
        </w:tc>
        <w:tc>
          <w:tcPr>
            <w:tcW w:w="2180" w:type="dxa"/>
            <w:vAlign w:val="bottom"/>
            <w:tcBorders>
              <w:bottom w:val="single" w:sz="8" w:color="4D5357"/>
            </w:tcBorders>
          </w:tcPr>
          <w:p>
            <w:pPr>
              <w:jc w:val="right"/>
              <w:ind w:right="619"/>
              <w:spacing w:after="0"/>
              <w:rPr>
                <w:sz w:val="20"/>
                <w:szCs w:val="20"/>
                <w:color w:val="auto"/>
              </w:rPr>
            </w:pPr>
            <w:r>
              <w:rPr>
                <w:rFonts w:ascii="Arial" w:cs="Arial" w:eastAsia="Arial" w:hAnsi="Arial"/>
                <w:sz w:val="16"/>
                <w:szCs w:val="16"/>
                <w:color w:val="4D5357"/>
              </w:rPr>
              <w:t>46,666</w:t>
            </w:r>
          </w:p>
        </w:tc>
      </w:tr>
      <w:tr>
        <w:trPr>
          <w:trHeight w:val="264"/>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Less, Prior Year Fair Value of Prior Year Awards that Failed to Vest this Year</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w:t>
            </w:r>
          </w:p>
        </w:tc>
        <w:tc>
          <w:tcPr>
            <w:tcW w:w="2180" w:type="dxa"/>
            <w:vAlign w:val="bottom"/>
            <w:tcBorders>
              <w:bottom w:val="single" w:sz="8" w:color="4D5357"/>
            </w:tcBorders>
          </w:tcPr>
          <w:p>
            <w:pPr>
              <w:jc w:val="right"/>
              <w:ind w:right="579"/>
              <w:spacing w:after="0"/>
              <w:rPr>
                <w:sz w:val="20"/>
                <w:szCs w:val="20"/>
                <w:color w:val="auto"/>
              </w:rPr>
            </w:pPr>
            <w:r>
              <w:rPr>
                <w:rFonts w:ascii="Arial" w:cs="Arial" w:eastAsia="Arial" w:hAnsi="Arial"/>
                <w:sz w:val="16"/>
                <w:szCs w:val="16"/>
                <w:color w:val="4D5357"/>
              </w:rPr>
              <w:t>(458,135)</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Total Adjustments</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11,476,948</w:t>
            </w:r>
          </w:p>
        </w:tc>
        <w:tc>
          <w:tcPr>
            <w:tcW w:w="2180" w:type="dxa"/>
            <w:vAlign w:val="bottom"/>
            <w:tcBorders>
              <w:bottom w:val="single" w:sz="8" w:color="4D5357"/>
            </w:tcBorders>
          </w:tcPr>
          <w:p>
            <w:pPr>
              <w:jc w:val="right"/>
              <w:ind w:right="619"/>
              <w:spacing w:after="0"/>
              <w:rPr>
                <w:sz w:val="20"/>
                <w:szCs w:val="20"/>
                <w:color w:val="auto"/>
              </w:rPr>
            </w:pPr>
            <w:r>
              <w:rPr>
                <w:rFonts w:ascii="Arial" w:cs="Arial" w:eastAsia="Arial" w:hAnsi="Arial"/>
                <w:sz w:val="16"/>
                <w:szCs w:val="16"/>
                <w:color w:val="4D5357"/>
              </w:rPr>
              <w:t>578,700</w:t>
            </w:r>
          </w:p>
        </w:tc>
      </w:tr>
      <w:tr>
        <w:trPr>
          <w:trHeight w:val="263"/>
        </w:trPr>
        <w:tc>
          <w:tcPr>
            <w:tcW w:w="734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“Compensation Actually Paid” for Fiscal Year 2025</w:t>
            </w:r>
          </w:p>
        </w:tc>
        <w:tc>
          <w:tcPr>
            <w:tcW w:w="1500" w:type="dxa"/>
            <w:vAlign w:val="bottom"/>
            <w:tcBorders>
              <w:bottom w:val="single" w:sz="8" w:color="4D5357"/>
            </w:tcBorders>
          </w:tcPr>
          <w:p>
            <w:pPr>
              <w:jc w:val="right"/>
              <w:ind w:right="319"/>
              <w:spacing w:after="0"/>
              <w:rPr>
                <w:sz w:val="20"/>
                <w:szCs w:val="20"/>
                <w:color w:val="auto"/>
              </w:rPr>
            </w:pPr>
            <w:r>
              <w:rPr>
                <w:rFonts w:ascii="Arial" w:cs="Arial" w:eastAsia="Arial" w:hAnsi="Arial"/>
                <w:sz w:val="16"/>
                <w:szCs w:val="16"/>
                <w:color w:val="4D5357"/>
              </w:rPr>
              <w:t>25,741,013</w:t>
            </w:r>
          </w:p>
        </w:tc>
        <w:tc>
          <w:tcPr>
            <w:tcW w:w="2180" w:type="dxa"/>
            <w:vAlign w:val="bottom"/>
            <w:tcBorders>
              <w:bottom w:val="single" w:sz="8" w:color="4D5357"/>
            </w:tcBorders>
          </w:tcPr>
          <w:p>
            <w:pPr>
              <w:jc w:val="right"/>
              <w:ind w:right="619"/>
              <w:spacing w:after="0"/>
              <w:rPr>
                <w:sz w:val="20"/>
                <w:szCs w:val="20"/>
                <w:color w:val="auto"/>
              </w:rPr>
            </w:pPr>
            <w:r>
              <w:rPr>
                <w:rFonts w:ascii="Arial" w:cs="Arial" w:eastAsia="Arial" w:hAnsi="Arial"/>
                <w:sz w:val="16"/>
                <w:szCs w:val="16"/>
                <w:color w:val="4D5357"/>
              </w:rPr>
              <w:t>3,331,642</w:t>
            </w:r>
          </w:p>
        </w:tc>
      </w:tr>
    </w:tbl>
    <w:p>
      <w:pPr>
        <w:spacing w:after="0" w:line="198" w:lineRule="exact"/>
        <w:rPr>
          <w:sz w:val="20"/>
          <w:szCs w:val="20"/>
          <w:color w:val="auto"/>
        </w:rPr>
      </w:pPr>
    </w:p>
    <w:p>
      <w:pPr>
        <w:ind w:left="340" w:right="160" w:hanging="224"/>
        <w:spacing w:after="0" w:line="233" w:lineRule="auto"/>
        <w:tabs>
          <w:tab w:leader="none" w:pos="340" w:val="left"/>
        </w:tabs>
        <w:numPr>
          <w:ilvl w:val="0"/>
          <w:numId w:val="132"/>
        </w:numPr>
        <w:rPr>
          <w:rFonts w:ascii="Arial" w:cs="Arial" w:eastAsia="Arial" w:hAnsi="Arial"/>
          <w:sz w:val="13"/>
          <w:szCs w:val="13"/>
          <w:color w:val="333333"/>
        </w:rPr>
      </w:pPr>
      <w:r>
        <w:rPr>
          <w:rFonts w:ascii="Arial" w:cs="Arial" w:eastAsia="Arial" w:hAnsi="Arial"/>
          <w:sz w:val="13"/>
          <w:szCs w:val="13"/>
          <w:color w:val="333333"/>
        </w:rPr>
        <w:t>Company and Peer Group TSR reflects the Company’s peer group (S&amp;P 500 Materials Index) as reflected in our Annual Report on Form 10-K pursuant to Item 201(e) of Regulation S-K for the fiscal year ended December 31, 2025. Each year reflects what the cumulative $100 investment would be, including the reinvestment of dividends, if such amount were invested on December 31, 2020.</w:t>
      </w:r>
    </w:p>
    <w:p>
      <w:pPr>
        <w:spacing w:after="0" w:line="37" w:lineRule="exact"/>
        <w:rPr>
          <w:rFonts w:ascii="Arial" w:cs="Arial" w:eastAsia="Arial" w:hAnsi="Arial"/>
          <w:sz w:val="13"/>
          <w:szCs w:val="13"/>
          <w:color w:val="333333"/>
        </w:rPr>
      </w:pPr>
    </w:p>
    <w:p>
      <w:pPr>
        <w:ind w:left="340" w:right="100" w:hanging="224"/>
        <w:spacing w:after="0" w:line="225" w:lineRule="auto"/>
        <w:tabs>
          <w:tab w:leader="none" w:pos="340" w:val="left"/>
        </w:tabs>
        <w:numPr>
          <w:ilvl w:val="0"/>
          <w:numId w:val="132"/>
        </w:numPr>
        <w:rPr>
          <w:rFonts w:ascii="Arial" w:cs="Arial" w:eastAsia="Arial" w:hAnsi="Arial"/>
          <w:sz w:val="13"/>
          <w:szCs w:val="13"/>
          <w:color w:val="333333"/>
        </w:rPr>
      </w:pPr>
      <w:r>
        <w:rPr>
          <w:rFonts w:ascii="Arial" w:cs="Arial" w:eastAsia="Arial" w:hAnsi="Arial"/>
          <w:sz w:val="13"/>
          <w:szCs w:val="13"/>
          <w:color w:val="333333"/>
        </w:rPr>
        <w:t>Consolidated earnings before interest; income taxes; depreciation, depletion and amortization; earnings/loss from nonconsolidated equity affiliates; acquisition divestiture and integration expense; the impact of selling acquired inventory after its markup to fair value as part of acquisition accounting subject to the limitations described below, nonrecurring gains on divestitures; and noncash asset and portfolio rationalization charge of certain ready mixed concrete operations (Adjusted EBITDA) is an indicator used by the Company and investors to evaluate the Company’s operating performance from period to period. Effective January 1, 2024, transaction expenses and inventory acquisition accounting impacts are only excluded for transactions with consideration of at least $2 billion for the Building Materials business or $200 million for the Specialties business. Adjusted EBITDA was selected as the 2025 “Company-Selected Measure” as defined in Item 402(v). Please see Appendix B for a reconciliation of non-GAAP measures to GAAP measures.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86CC"/>
        </w:rPr>
        <w:t>Financial Performance Measures</w:t>
      </w:r>
    </w:p>
    <w:p>
      <w:pPr>
        <w:spacing w:after="0" w:line="123"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333333"/>
        </w:rPr>
        <w:t>The following table lists on an unranked basis the three financial performance measures that, in the Company’s assessment represent the most important performance measures used to link “Compensation Actually Paid” for our NEOs to Company performance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7003415" cy="6254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003415" cy="625475"/>
                    </a:xfrm>
                    <a:prstGeom prst="rect">
                      <a:avLst/>
                    </a:prstGeom>
                    <a:noFill/>
                  </pic:spPr>
                </pic:pic>
              </a:graphicData>
            </a:graphic>
          </wp:anchor>
        </w:drawing>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6"/>
          <w:szCs w:val="16"/>
          <w:color w:val="333333"/>
        </w:rPr>
        <w:t>Adjusted EBITDA</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333333"/>
        </w:rPr>
        <w:t>rTSR</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333333"/>
        </w:rPr>
        <w:t>Total Revenues</w:t>
      </w: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5911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90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900" w:space="120"/>
            <w:col w:w="8620" w:space="720"/>
            <w:col w:w="780"/>
          </w:cols>
          <w:pgMar w:left="320" w:top="482" w:right="4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9380" w:type="dxa"/>
        <w:tblCellMar>
          <w:top w:w="0" w:type="dxa"/>
          <w:left w:w="0" w:type="dxa"/>
          <w:bottom w:w="0" w:type="dxa"/>
          <w:right w:w="0" w:type="dxa"/>
        </w:tblCellMar>
      </w:tblPr>
      <w:tr>
        <w:trPr>
          <w:trHeight w:val="396"/>
        </w:trPr>
        <w:tc>
          <w:tcPr>
            <w:tcW w:w="380" w:type="dxa"/>
            <w:vAlign w:val="bottom"/>
            <w:shd w:val="clear" w:color="auto" w:fill="4D5357"/>
          </w:tcPr>
          <w:p>
            <w:pPr>
              <w:jc w:val="center"/>
              <w:ind w:left="131"/>
              <w:spacing w:after="0"/>
              <w:rPr>
                <w:sz w:val="20"/>
                <w:szCs w:val="20"/>
                <w:color w:val="auto"/>
              </w:rPr>
            </w:pPr>
            <w:r>
              <w:rPr>
                <w:rFonts w:ascii="Arial" w:cs="Arial" w:eastAsia="Arial" w:hAnsi="Arial"/>
                <w:sz w:val="5"/>
                <w:szCs w:val="5"/>
                <w:b w:val="1"/>
                <w:bCs w:val="1"/>
                <w:color w:val="FFFFFF"/>
                <w:w w:val="79"/>
              </w:rPr>
              <w:t> </w:t>
            </w:r>
          </w:p>
        </w:tc>
        <w:tc>
          <w:tcPr>
            <w:tcW w:w="106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w w:val="91"/>
              </w:rPr>
              <w:t>   Pay Versus </w:t>
            </w:r>
          </w:p>
        </w:tc>
        <w:tc>
          <w:tcPr>
            <w:tcW w:w="32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380" w:type="dxa"/>
            <w:vAlign w:val="bottom"/>
            <w:shd w:val="clear" w:color="auto" w:fill="4D5357"/>
          </w:tcPr>
          <w:p>
            <w:pPr>
              <w:jc w:val="center"/>
              <w:ind w:left="111"/>
              <w:spacing w:after="0"/>
              <w:rPr>
                <w:sz w:val="20"/>
                <w:szCs w:val="20"/>
                <w:color w:val="auto"/>
              </w:rPr>
            </w:pPr>
            <w:r>
              <w:rPr>
                <w:rFonts w:ascii="Arial" w:cs="Arial" w:eastAsia="Arial" w:hAnsi="Arial"/>
                <w:sz w:val="14"/>
                <w:szCs w:val="14"/>
                <w:b w:val="1"/>
                <w:bCs w:val="1"/>
                <w:color w:val="FFFFFF"/>
              </w:rPr>
              <w:t xml:space="preserve">    </w:t>
            </w:r>
          </w:p>
        </w:tc>
        <w:tc>
          <w:tcPr>
            <w:tcW w:w="106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w w:val="92"/>
              </w:rPr>
              <w:t>Performance  </w:t>
            </w:r>
          </w:p>
        </w:tc>
        <w:tc>
          <w:tcPr>
            <w:tcW w:w="320" w:type="dxa"/>
            <w:vAlign w:val="bottom"/>
            <w:shd w:val="clear" w:color="auto" w:fill="4D5357"/>
          </w:tcPr>
          <w:p>
            <w:pPr>
              <w:ind w:left="100"/>
              <w:spacing w:after="0"/>
              <w:rPr>
                <w:sz w:val="20"/>
                <w:szCs w:val="20"/>
                <w:color w:val="auto"/>
              </w:rPr>
            </w:pPr>
            <w:r>
              <w:rPr>
                <w:rFonts w:ascii="Arial" w:cs="Arial" w:eastAsia="Arial" w:hAnsi="Arial"/>
                <w:sz w:val="14"/>
                <w:szCs w:val="14"/>
                <w:b w:val="1"/>
                <w:bCs w:val="1"/>
                <w:color w:val="FFFFFF"/>
              </w:rPr>
              <w:t> </w:t>
            </w:r>
          </w:p>
        </w:tc>
      </w:tr>
      <w:tr>
        <w:trPr>
          <w:trHeight w:val="110"/>
        </w:trPr>
        <w:tc>
          <w:tcPr>
            <w:tcW w:w="380" w:type="dxa"/>
            <w:vAlign w:val="bottom"/>
            <w:shd w:val="clear" w:color="auto" w:fill="4D5357"/>
          </w:tcPr>
          <w:p>
            <w:pPr>
              <w:spacing w:after="0"/>
              <w:rPr>
                <w:sz w:val="9"/>
                <w:szCs w:val="9"/>
                <w:color w:val="auto"/>
              </w:rPr>
            </w:pPr>
          </w:p>
        </w:tc>
        <w:tc>
          <w:tcPr>
            <w:tcW w:w="1060" w:type="dxa"/>
            <w:vAlign w:val="bottom"/>
            <w:shd w:val="clear" w:color="auto" w:fill="4D5357"/>
          </w:tcPr>
          <w:p>
            <w:pPr>
              <w:spacing w:after="0"/>
              <w:rPr>
                <w:sz w:val="9"/>
                <w:szCs w:val="9"/>
                <w:color w:val="auto"/>
              </w:rPr>
            </w:pPr>
          </w:p>
        </w:tc>
        <w:tc>
          <w:tcPr>
            <w:tcW w:w="320" w:type="dxa"/>
            <w:vAlign w:val="bottom"/>
            <w:shd w:val="clear" w:color="auto" w:fill="4D5357"/>
          </w:tcPr>
          <w:p>
            <w:pPr>
              <w:spacing w:after="0"/>
              <w:rPr>
                <w:sz w:val="9"/>
                <w:szCs w:val="9"/>
                <w:color w:val="auto"/>
              </w:rPr>
            </w:pPr>
          </w:p>
        </w:tc>
      </w:tr>
    </w:tbl>
    <w:p>
      <w:pPr>
        <w:spacing w:after="0" w:line="11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86CC"/>
        </w:rPr>
        <w:t>Relationship Between “Compensation Actually Paid” and Performance</w:t>
      </w:r>
    </w:p>
    <w:p>
      <w:pPr>
        <w:spacing w:after="0" w:line="123"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333333"/>
        </w:rPr>
        <w:t>The graphs below show the relationship of “Compensation Actually Paid” to our PEO and other NEOs to (i) Adjusted EBITDA, (ii) the Company’s net income and (iii) TSR of the S&amp;P 500 Materials Index, and the relationship of the Company’s TSR to TSR of the S&amp;P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7029450" cy="67119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029450" cy="671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5911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91 </w:t>
      </w:r>
      <w:r>
        <w:rPr>
          <w:rFonts w:ascii="Arial" w:cs="Arial" w:eastAsia="Arial" w:hAnsi="Arial"/>
          <w:sz w:val="16"/>
          <w:szCs w:val="16"/>
          <w:color w:val="333333"/>
        </w:rPr>
        <w:t xml:space="preserve">               </w:t>
      </w:r>
    </w:p>
    <w:p>
      <w:pPr>
        <w:sectPr>
          <w:pgSz w:w="11900" w:h="16838" w:orient="portrait"/>
          <w:cols w:equalWidth="0" w:num="3">
            <w:col w:w="3980" w:space="720"/>
            <w:col w:w="4660" w:space="720"/>
            <w:col w:w="1060"/>
          </w:cols>
          <w:pgMar w:left="320" w:top="482" w:right="4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355"/>
        </w:trPr>
        <w:tc>
          <w:tcPr>
            <w:tcW w:w="200" w:type="dxa"/>
            <w:vAlign w:val="bottom"/>
            <w:shd w:val="clear" w:color="auto" w:fill="4D5357"/>
          </w:tcPr>
          <w:p>
            <w:pPr>
              <w:ind w:left="140"/>
              <w:spacing w:after="0"/>
              <w:rPr>
                <w:sz w:val="20"/>
                <w:szCs w:val="20"/>
                <w:color w:val="auto"/>
              </w:rPr>
            </w:pPr>
            <w:r>
              <w:rPr>
                <w:rFonts w:ascii="Arial" w:cs="Arial" w:eastAsia="Arial" w:hAnsi="Arial"/>
                <w:sz w:val="5"/>
                <w:szCs w:val="5"/>
                <w:b w:val="1"/>
                <w:bCs w:val="1"/>
                <w:color w:val="FFFFFF"/>
                <w:w w:val="79"/>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98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1"/>
              </w:rPr>
              <w:t>Pay Versus </w:t>
            </w:r>
          </w:p>
        </w:tc>
        <w:tc>
          <w:tcPr>
            <w:tcW w:w="3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6"/>
        </w:trPr>
        <w:tc>
          <w:tcPr>
            <w:tcW w:w="2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w w:val="71"/>
              </w:rPr>
              <w:t> </w:t>
            </w:r>
          </w:p>
        </w:tc>
        <w:tc>
          <w:tcPr>
            <w:tcW w:w="14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w w:val="71"/>
              </w:rPr>
              <w:t> </w:t>
            </w:r>
          </w:p>
        </w:tc>
        <w:tc>
          <w:tcPr>
            <w:tcW w:w="98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2"/>
              </w:rPr>
              <w:t>Performance </w:t>
            </w:r>
          </w:p>
        </w:tc>
        <w:tc>
          <w:tcPr>
            <w:tcW w:w="3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91"/>
        </w:trPr>
        <w:tc>
          <w:tcPr>
            <w:tcW w:w="200" w:type="dxa"/>
            <w:vAlign w:val="bottom"/>
            <w:shd w:val="clear" w:color="auto" w:fill="4D5357"/>
          </w:tcPr>
          <w:p>
            <w:pPr>
              <w:spacing w:after="0"/>
              <w:rPr>
                <w:sz w:val="16"/>
                <w:szCs w:val="16"/>
                <w:color w:val="auto"/>
              </w:rPr>
            </w:pPr>
          </w:p>
        </w:tc>
        <w:tc>
          <w:tcPr>
            <w:tcW w:w="140" w:type="dxa"/>
            <w:vAlign w:val="bottom"/>
            <w:shd w:val="clear" w:color="auto" w:fill="4D5357"/>
          </w:tcPr>
          <w:p>
            <w:pPr>
              <w:spacing w:after="0"/>
              <w:rPr>
                <w:sz w:val="16"/>
                <w:szCs w:val="16"/>
                <w:color w:val="auto"/>
              </w:rPr>
            </w:pPr>
          </w:p>
        </w:tc>
        <w:tc>
          <w:tcPr>
            <w:tcW w:w="980" w:type="dxa"/>
            <w:vAlign w:val="bottom"/>
            <w:shd w:val="clear" w:color="auto" w:fill="4D5357"/>
          </w:tcPr>
          <w:p>
            <w:pPr>
              <w:spacing w:after="0"/>
              <w:rPr>
                <w:sz w:val="16"/>
                <w:szCs w:val="16"/>
                <w:color w:val="auto"/>
              </w:rPr>
            </w:pPr>
          </w:p>
        </w:tc>
        <w:tc>
          <w:tcPr>
            <w:tcW w:w="300" w:type="dxa"/>
            <w:vAlign w:val="bottom"/>
            <w:shd w:val="clear" w:color="auto" w:fill="4D5357"/>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34721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02945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5911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 w:lineRule="exact"/>
        <w:rPr>
          <w:sz w:val="20"/>
          <w:szCs w:val="20"/>
          <w:color w:val="auto"/>
        </w:rPr>
      </w:pPr>
    </w:p>
    <w:p>
      <w:pPr>
        <w:ind w:left="120"/>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92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3">
            <w:col w:w="900" w:space="120"/>
            <w:col w:w="8620" w:space="720"/>
            <w:col w:w="780"/>
          </w:cols>
          <w:pgMar w:left="320" w:top="482" w:right="439" w:bottom="1440"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333333"/>
        </w:rPr>
        <w:t>Public companies are required to provide their shareholders with a periodic opportunity to endorse or not endorse their executive officer pay program and policies. The Board of Directors has elected to do so annually and intends to present the following non-binding resolution for approval by shareholders at the Annual Meeting:</w:t>
      </w:r>
    </w:p>
    <w:p>
      <w:pPr>
        <w:spacing w:after="0" w:line="63" w:lineRule="exact"/>
        <w:rPr>
          <w:sz w:val="20"/>
          <w:szCs w:val="20"/>
          <w:color w:val="auto"/>
        </w:rPr>
      </w:pPr>
    </w:p>
    <w:p>
      <w:pPr>
        <w:ind w:left="440" w:right="100"/>
        <w:spacing w:after="0" w:line="266" w:lineRule="auto"/>
        <w:rPr>
          <w:sz w:val="20"/>
          <w:szCs w:val="20"/>
          <w:color w:val="auto"/>
        </w:rPr>
      </w:pPr>
      <w:r>
        <w:rPr>
          <w:rFonts w:ascii="Arial" w:cs="Arial" w:eastAsia="Arial" w:hAnsi="Arial"/>
          <w:sz w:val="16"/>
          <w:szCs w:val="16"/>
          <w:color w:val="333333"/>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33333"/>
        </w:rPr>
        <w:t>Shareholders are urged to read the Compensation Discussion and Analysis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2025 was appropriate and aligned with 2025 performance and positions us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 The next such vote will occur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316865" cy="3003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16865" cy="300355"/>
                    </a:xfrm>
                    <a:prstGeom prst="rect">
                      <a:avLst/>
                    </a:prstGeom>
                    <a:noFill/>
                  </pic:spPr>
                </pic:pic>
              </a:graphicData>
            </a:graphic>
          </wp:anchor>
        </w:drawing>
      </w:r>
    </w:p>
    <w:p>
      <w:pPr>
        <w:spacing w:after="0" w:line="310" w:lineRule="exact"/>
        <w:rPr>
          <w:sz w:val="20"/>
          <w:szCs w:val="20"/>
          <w:color w:val="auto"/>
        </w:rPr>
      </w:pPr>
    </w:p>
    <w:p>
      <w:pPr>
        <w:ind w:left="760"/>
        <w:spacing w:after="0"/>
        <w:rPr>
          <w:sz w:val="20"/>
          <w:szCs w:val="20"/>
          <w:color w:val="auto"/>
        </w:rPr>
      </w:pPr>
      <w:r>
        <w:rPr>
          <w:rFonts w:ascii="Arial" w:cs="Arial" w:eastAsia="Arial" w:hAnsi="Arial"/>
          <w:sz w:val="16"/>
          <w:szCs w:val="16"/>
          <w:color w:val="0086CC"/>
        </w:rPr>
        <w:t xml:space="preserve">The Board Unanimously Recommends a Vote </w:t>
      </w:r>
      <w:r>
        <w:rPr>
          <w:rFonts w:ascii="Arial" w:cs="Arial" w:eastAsia="Arial" w:hAnsi="Arial"/>
          <w:sz w:val="16"/>
          <w:szCs w:val="16"/>
          <w:b w:val="1"/>
          <w:bCs w:val="1"/>
          <w:color w:val="0086CC"/>
        </w:rPr>
        <w:t>“FOR”</w:t>
      </w:r>
      <w:r>
        <w:rPr>
          <w:rFonts w:ascii="Arial" w:cs="Arial" w:eastAsia="Arial" w:hAnsi="Arial"/>
          <w:sz w:val="16"/>
          <w:szCs w:val="16"/>
          <w:color w:val="0086CC"/>
        </w:rPr>
        <w:t xml:space="preserve"> this Proposal 3</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4D5357"/>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-5715</wp:posOffset>
            </wp:positionV>
            <wp:extent cx="6506210" cy="1289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506210" cy="12890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93 </w:t>
      </w:r>
      <w:r>
        <w:rPr>
          <w:rFonts w:ascii="Arial" w:cs="Arial" w:eastAsia="Arial" w:hAnsi="Arial"/>
          <w:sz w:val="16"/>
          <w:szCs w:val="16"/>
          <w:color w:val="333333"/>
        </w:rPr>
        <w:t xml:space="preserve">               </w:t>
      </w:r>
    </w:p>
    <w:p>
      <w:pPr>
        <w:sectPr>
          <w:pgSz w:w="11900" w:h="16838" w:orient="portrait"/>
          <w:cols w:equalWidth="0" w:num="4">
            <w:col w:w="200" w:space="120"/>
            <w:col w:w="3540" w:space="720"/>
            <w:col w:w="4660" w:space="720"/>
            <w:col w:w="1060"/>
          </w:cols>
          <w:pgMar w:left="440" w:top="1440" w:right="439" w:bottom="1440" w:gutter="0" w:footer="0" w:header="0"/>
          <w:type w:val="continuous"/>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 w:right="180"/>
        <w:spacing w:after="0" w:line="266" w:lineRule="auto"/>
        <w:rPr>
          <w:sz w:val="20"/>
          <w:szCs w:val="20"/>
          <w:color w:val="auto"/>
        </w:rPr>
      </w:pPr>
      <w:r>
        <w:rPr>
          <w:rFonts w:ascii="Arial" w:cs="Arial" w:eastAsia="Arial" w:hAnsi="Arial"/>
          <w:sz w:val="16"/>
          <w:szCs w:val="16"/>
          <w:color w:val="333333"/>
        </w:rPr>
        <w:t>The Board of Directors is requesting that shareholders approve the Amended and Restated Stock-Based Award Plan, which is set forth in its entirety as Appendix C (the “Stock-Based Plan”). The Stock-Based Plan was adopted by the Board of Directors on February 19, 2026, subject to shareholder approval. The principal changes in the Stock-Based Plan are:</w:t>
      </w:r>
    </w:p>
    <w:p>
      <w:pPr>
        <w:spacing w:after="0" w:line="23" w:lineRule="exact"/>
        <w:rPr>
          <w:sz w:val="20"/>
          <w:szCs w:val="20"/>
          <w:color w:val="auto"/>
        </w:rPr>
      </w:pPr>
    </w:p>
    <w:p>
      <w:pPr>
        <w:ind w:left="224" w:hanging="224"/>
        <w:spacing w:after="0"/>
        <w:tabs>
          <w:tab w:leader="none" w:pos="224" w:val="left"/>
        </w:tabs>
        <w:numPr>
          <w:ilvl w:val="0"/>
          <w:numId w:val="133"/>
        </w:numPr>
        <w:rPr>
          <w:rFonts w:ascii="Arial" w:cs="Arial" w:eastAsia="Arial" w:hAnsi="Arial"/>
          <w:sz w:val="16"/>
          <w:szCs w:val="16"/>
          <w:color w:val="333333"/>
        </w:rPr>
      </w:pPr>
      <w:r>
        <w:rPr>
          <w:rFonts w:ascii="Arial" w:cs="Arial" w:eastAsia="Arial" w:hAnsi="Arial"/>
          <w:sz w:val="16"/>
          <w:szCs w:val="16"/>
          <w:color w:val="333333"/>
        </w:rPr>
        <w:t>Adds 1.2 million shares of common stock for issuance under the Stock-Based Plan (the “2026 Share Reserve Increase”);</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33"/>
        </w:numPr>
        <w:rPr>
          <w:rFonts w:ascii="Arial" w:cs="Arial" w:eastAsia="Arial" w:hAnsi="Arial"/>
          <w:sz w:val="16"/>
          <w:szCs w:val="16"/>
          <w:color w:val="333333"/>
        </w:rPr>
      </w:pPr>
      <w:r>
        <w:rPr>
          <w:rFonts w:ascii="Arial" w:cs="Arial" w:eastAsia="Arial" w:hAnsi="Arial"/>
          <w:sz w:val="16"/>
          <w:szCs w:val="16"/>
          <w:color w:val="333333"/>
        </w:rPr>
        <w:t>Eliminates the default “single-trigger” vesting provision; and</w:t>
      </w:r>
    </w:p>
    <w:p>
      <w:pPr>
        <w:spacing w:after="0" w:line="72" w:lineRule="exact"/>
        <w:rPr>
          <w:rFonts w:ascii="Arial" w:cs="Arial" w:eastAsia="Arial" w:hAnsi="Arial"/>
          <w:sz w:val="16"/>
          <w:szCs w:val="16"/>
          <w:color w:val="333333"/>
        </w:rPr>
      </w:pPr>
    </w:p>
    <w:p>
      <w:pPr>
        <w:ind w:left="224" w:right="460" w:hanging="224"/>
        <w:spacing w:after="0" w:line="286" w:lineRule="auto"/>
        <w:tabs>
          <w:tab w:leader="none" w:pos="224" w:val="left"/>
        </w:tabs>
        <w:numPr>
          <w:ilvl w:val="0"/>
          <w:numId w:val="133"/>
        </w:numPr>
        <w:rPr>
          <w:rFonts w:ascii="Arial" w:cs="Arial" w:eastAsia="Arial" w:hAnsi="Arial"/>
          <w:sz w:val="16"/>
          <w:szCs w:val="16"/>
          <w:color w:val="333333"/>
        </w:rPr>
      </w:pPr>
      <w:r>
        <w:rPr>
          <w:rFonts w:ascii="Arial" w:cs="Arial" w:eastAsia="Arial" w:hAnsi="Arial"/>
          <w:sz w:val="16"/>
          <w:szCs w:val="16"/>
          <w:color w:val="333333"/>
        </w:rPr>
        <w:t>Sets limit on total annual compensation for non-employee Directors of $750,000, subject to certain limited exceptions that are subject to a limit of $1,000,000.</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333333"/>
        </w:rPr>
        <w:t>The Board of Directors recommends that the shareholders approve the Stock-Based Plan.</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Why Shareholders Should Vote to Approve the Stock-Based Plan:</w:t>
      </w:r>
    </w:p>
    <w:p>
      <w:pPr>
        <w:spacing w:after="0" w:line="108" w:lineRule="exact"/>
        <w:rPr>
          <w:sz w:val="20"/>
          <w:szCs w:val="20"/>
          <w:color w:val="auto"/>
        </w:rPr>
      </w:pPr>
    </w:p>
    <w:p>
      <w:pPr>
        <w:ind w:left="4" w:right="440"/>
        <w:spacing w:after="0" w:line="266" w:lineRule="auto"/>
        <w:rPr>
          <w:sz w:val="20"/>
          <w:szCs w:val="20"/>
          <w:color w:val="auto"/>
        </w:rPr>
      </w:pPr>
      <w:r>
        <w:rPr>
          <w:rFonts w:ascii="Arial" w:cs="Arial" w:eastAsia="Arial" w:hAnsi="Arial"/>
          <w:sz w:val="16"/>
          <w:szCs w:val="16"/>
          <w:b w:val="1"/>
          <w:bCs w:val="1"/>
          <w:i w:val="1"/>
          <w:iCs w:val="1"/>
          <w:color w:val="333333"/>
        </w:rPr>
        <w:t>Competitive Compensation and Talent Retention</w:t>
      </w:r>
      <w:r>
        <w:rPr>
          <w:rFonts w:ascii="Arial" w:cs="Arial" w:eastAsia="Arial" w:hAnsi="Arial"/>
          <w:sz w:val="16"/>
          <w:szCs w:val="16"/>
          <w:color w:val="333333"/>
        </w:rPr>
        <w:t>. Our success is driven, in part, by our ability to attract, retain and motivate talent across our</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organization. Equity compensation is a central element of our compensation philosophy and an important tool in maintaining market-competitive pay practices for a highly skilled and motivated workforce.</w:t>
      </w:r>
    </w:p>
    <w:p>
      <w:pPr>
        <w:spacing w:after="0" w:line="63" w:lineRule="exact"/>
        <w:rPr>
          <w:sz w:val="20"/>
          <w:szCs w:val="20"/>
          <w:color w:val="auto"/>
        </w:rPr>
      </w:pPr>
    </w:p>
    <w:p>
      <w:pPr>
        <w:ind w:left="4" w:right="120"/>
        <w:spacing w:after="0" w:line="266" w:lineRule="auto"/>
        <w:rPr>
          <w:sz w:val="20"/>
          <w:szCs w:val="20"/>
          <w:color w:val="auto"/>
        </w:rPr>
      </w:pPr>
      <w:r>
        <w:rPr>
          <w:rFonts w:ascii="Arial" w:cs="Arial" w:eastAsia="Arial" w:hAnsi="Arial"/>
          <w:sz w:val="16"/>
          <w:szCs w:val="16"/>
          <w:b w:val="1"/>
          <w:bCs w:val="1"/>
          <w:i w:val="1"/>
          <w:iCs w:val="1"/>
          <w:color w:val="333333"/>
        </w:rPr>
        <w:t>Alignment with Long-Term Shareholder Value</w:t>
      </w:r>
      <w:r>
        <w:rPr>
          <w:rFonts w:ascii="Arial" w:cs="Arial" w:eastAsia="Arial" w:hAnsi="Arial"/>
          <w:sz w:val="16"/>
          <w:szCs w:val="16"/>
          <w:color w:val="333333"/>
        </w:rPr>
        <w:t>. We emphasize equity-based incentives as part of a broader strategy to foster long-term value creation</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and shared economic outcomes between employees and shareholders. This approach, particularly for senior management, reinforces a focus on sustained performance and long-term returns.</w:t>
      </w:r>
    </w:p>
    <w:p>
      <w:pPr>
        <w:spacing w:after="0" w:line="63"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b w:val="1"/>
          <w:bCs w:val="1"/>
          <w:i w:val="1"/>
          <w:iCs w:val="1"/>
          <w:color w:val="333333"/>
        </w:rPr>
        <w:t>Efficient Capital Allocation and Compensation Strategy</w:t>
      </w:r>
      <w:r>
        <w:rPr>
          <w:rFonts w:ascii="Arial" w:cs="Arial" w:eastAsia="Arial" w:hAnsi="Arial"/>
          <w:sz w:val="16"/>
          <w:szCs w:val="16"/>
          <w:color w:val="333333"/>
        </w:rPr>
        <w:t>. The use of equity compensation supports a more efficient allocation of cash while allowing us</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to compete effectively for talent in a highly competitive labor market.</w:t>
      </w:r>
    </w:p>
    <w:p>
      <w:pPr>
        <w:spacing w:after="0" w:line="48" w:lineRule="exact"/>
        <w:rPr>
          <w:sz w:val="20"/>
          <w:szCs w:val="20"/>
          <w:color w:val="auto"/>
        </w:rPr>
      </w:pPr>
    </w:p>
    <w:p>
      <w:pPr>
        <w:ind w:left="4" w:right="260"/>
        <w:spacing w:after="0" w:line="286" w:lineRule="auto"/>
        <w:rPr>
          <w:sz w:val="20"/>
          <w:szCs w:val="20"/>
          <w:color w:val="auto"/>
        </w:rPr>
      </w:pPr>
      <w:r>
        <w:rPr>
          <w:rFonts w:ascii="Arial" w:cs="Arial" w:eastAsia="Arial" w:hAnsi="Arial"/>
          <w:sz w:val="16"/>
          <w:szCs w:val="16"/>
          <w:color w:val="333333"/>
        </w:rPr>
        <w:t>Without the ability to grant equity awards, maintaining a competitive compensation program would likely require higher cash compensation, limiting our financial flexibility and reducing funds available for other corporate purposes.</w:t>
      </w:r>
    </w:p>
    <w:p>
      <w:pPr>
        <w:spacing w:after="0" w:line="48" w:lineRule="exact"/>
        <w:rPr>
          <w:sz w:val="20"/>
          <w:szCs w:val="20"/>
          <w:color w:val="auto"/>
        </w:rPr>
      </w:pPr>
    </w:p>
    <w:p>
      <w:pPr>
        <w:ind w:left="4" w:right="260"/>
        <w:spacing w:after="0" w:line="286" w:lineRule="auto"/>
        <w:rPr>
          <w:sz w:val="20"/>
          <w:szCs w:val="20"/>
          <w:color w:val="auto"/>
        </w:rPr>
      </w:pPr>
      <w:r>
        <w:rPr>
          <w:rFonts w:ascii="Arial" w:cs="Arial" w:eastAsia="Arial" w:hAnsi="Arial"/>
          <w:sz w:val="16"/>
          <w:szCs w:val="16"/>
          <w:b w:val="1"/>
          <w:bCs w:val="1"/>
          <w:i w:val="1"/>
          <w:iCs w:val="1"/>
          <w:color w:val="333333"/>
        </w:rPr>
        <w:t>Disciplined Equity Granting and Dilution Management</w:t>
      </w:r>
      <w:r>
        <w:rPr>
          <w:rFonts w:ascii="Arial" w:cs="Arial" w:eastAsia="Arial" w:hAnsi="Arial"/>
          <w:sz w:val="16"/>
          <w:szCs w:val="16"/>
          <w:color w:val="333333"/>
        </w:rPr>
        <w:t>. Our equity grant practices are disciplined and carefully managed. Over the last three years,</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including vested PSUs, our burn rate has averaged approximately 0.22%, with annual burn rates ranging from 0.21% to 0.23%.</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333333"/>
        </w:rPr>
        <w:t>The Stock-Based Plan reflects best practices in equity compensation</w:t>
      </w:r>
      <w:r>
        <w:rPr>
          <w:rFonts w:ascii="Arial" w:cs="Arial" w:eastAsia="Arial" w:hAnsi="Arial"/>
          <w:sz w:val="18"/>
          <w:szCs w:val="18"/>
          <w:b w:val="1"/>
          <w:bCs w:val="1"/>
          <w:color w:val="333333"/>
        </w:rPr>
        <w:t>.</w:t>
      </w:r>
    </w:p>
    <w:p>
      <w:pPr>
        <w:spacing w:after="0" w:line="122" w:lineRule="exact"/>
        <w:rPr>
          <w:sz w:val="20"/>
          <w:szCs w:val="20"/>
          <w:color w:val="auto"/>
        </w:rPr>
      </w:pPr>
    </w:p>
    <w:p>
      <w:pPr>
        <w:ind w:left="224" w:hanging="224"/>
        <w:spacing w:after="0"/>
        <w:tabs>
          <w:tab w:leader="none" w:pos="224" w:val="left"/>
        </w:tabs>
        <w:numPr>
          <w:ilvl w:val="0"/>
          <w:numId w:val="134"/>
        </w:numPr>
        <w:rPr>
          <w:rFonts w:ascii="Arial" w:cs="Arial" w:eastAsia="Arial" w:hAnsi="Arial"/>
          <w:sz w:val="16"/>
          <w:szCs w:val="16"/>
          <w:color w:val="333333"/>
        </w:rPr>
      </w:pPr>
      <w:r>
        <w:rPr>
          <w:rFonts w:ascii="Arial" w:cs="Arial" w:eastAsia="Arial" w:hAnsi="Arial"/>
          <w:sz w:val="16"/>
          <w:szCs w:val="16"/>
          <w:color w:val="333333"/>
        </w:rPr>
        <w:t>No single-trigger vesting of awards in connection with a change in control</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34"/>
        </w:numPr>
        <w:rPr>
          <w:rFonts w:ascii="Arial" w:cs="Arial" w:eastAsia="Arial" w:hAnsi="Arial"/>
          <w:sz w:val="16"/>
          <w:szCs w:val="16"/>
          <w:color w:val="333333"/>
        </w:rPr>
      </w:pPr>
      <w:r>
        <w:rPr>
          <w:rFonts w:ascii="Arial" w:cs="Arial" w:eastAsia="Arial" w:hAnsi="Arial"/>
          <w:sz w:val="16"/>
          <w:szCs w:val="16"/>
          <w:color w:val="333333"/>
        </w:rPr>
        <w:t>Limits on non-employee director compensation</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34"/>
        </w:numPr>
        <w:rPr>
          <w:rFonts w:ascii="Arial" w:cs="Arial" w:eastAsia="Arial" w:hAnsi="Arial"/>
          <w:sz w:val="16"/>
          <w:szCs w:val="16"/>
          <w:color w:val="333333"/>
        </w:rPr>
      </w:pPr>
      <w:r>
        <w:rPr>
          <w:rFonts w:ascii="Arial" w:cs="Arial" w:eastAsia="Arial" w:hAnsi="Arial"/>
          <w:sz w:val="16"/>
          <w:szCs w:val="16"/>
          <w:color w:val="333333"/>
        </w:rPr>
        <w:t>Administered by the Management Development and Compensation Committee, which is composed solely of independent directors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34"/>
        </w:numPr>
        <w:rPr>
          <w:rFonts w:ascii="Arial" w:cs="Arial" w:eastAsia="Arial" w:hAnsi="Arial"/>
          <w:sz w:val="16"/>
          <w:szCs w:val="16"/>
          <w:color w:val="333333"/>
        </w:rPr>
      </w:pPr>
      <w:r>
        <w:rPr>
          <w:rFonts w:ascii="Arial" w:cs="Arial" w:eastAsia="Arial" w:hAnsi="Arial"/>
          <w:sz w:val="16"/>
          <w:szCs w:val="16"/>
          <w:color w:val="333333"/>
        </w:rPr>
        <w:t>No evergreen feature that would automatically replenish the shares under the Stock-Based Plan</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34"/>
        </w:numPr>
        <w:rPr>
          <w:rFonts w:ascii="Arial" w:cs="Arial" w:eastAsia="Arial" w:hAnsi="Arial"/>
          <w:sz w:val="16"/>
          <w:szCs w:val="16"/>
          <w:color w:val="333333"/>
        </w:rPr>
      </w:pPr>
      <w:r>
        <w:rPr>
          <w:rFonts w:ascii="Arial" w:cs="Arial" w:eastAsia="Arial" w:hAnsi="Arial"/>
          <w:sz w:val="16"/>
          <w:szCs w:val="16"/>
          <w:color w:val="333333"/>
        </w:rPr>
        <w:t>No repricing or backdating of stock options or stock appreciation rights</w:t>
      </w:r>
    </w:p>
    <w:p>
      <w:pPr>
        <w:spacing w:after="0" w:line="72" w:lineRule="exact"/>
        <w:rPr>
          <w:rFonts w:ascii="Arial" w:cs="Arial" w:eastAsia="Arial" w:hAnsi="Arial"/>
          <w:sz w:val="16"/>
          <w:szCs w:val="16"/>
          <w:color w:val="333333"/>
        </w:rPr>
      </w:pPr>
    </w:p>
    <w:p>
      <w:pPr>
        <w:ind w:left="224" w:hanging="224"/>
        <w:spacing w:after="0"/>
        <w:tabs>
          <w:tab w:leader="none" w:pos="224" w:val="left"/>
        </w:tabs>
        <w:numPr>
          <w:ilvl w:val="0"/>
          <w:numId w:val="134"/>
        </w:numPr>
        <w:rPr>
          <w:rFonts w:ascii="Arial" w:cs="Arial" w:eastAsia="Arial" w:hAnsi="Arial"/>
          <w:sz w:val="16"/>
          <w:szCs w:val="16"/>
          <w:color w:val="333333"/>
        </w:rPr>
      </w:pPr>
      <w:r>
        <w:rPr>
          <w:rFonts w:ascii="Arial" w:cs="Arial" w:eastAsia="Arial" w:hAnsi="Arial"/>
          <w:sz w:val="16"/>
          <w:szCs w:val="16"/>
          <w:color w:val="333333"/>
        </w:rPr>
        <w:t>No stock options or stock appreciation rights granted with an exercise price below fair market value</w:t>
      </w:r>
    </w:p>
    <w:p>
      <w:pPr>
        <w:spacing w:after="0" w:line="72" w:lineRule="exact"/>
        <w:rPr>
          <w:rFonts w:ascii="Arial" w:cs="Arial" w:eastAsia="Arial" w:hAnsi="Arial"/>
          <w:sz w:val="16"/>
          <w:szCs w:val="16"/>
          <w:color w:val="333333"/>
        </w:rPr>
      </w:pPr>
    </w:p>
    <w:p>
      <w:pPr>
        <w:ind w:left="224" w:right="20" w:hanging="224"/>
        <w:spacing w:after="0" w:line="286" w:lineRule="auto"/>
        <w:tabs>
          <w:tab w:leader="none" w:pos="224" w:val="left"/>
        </w:tabs>
        <w:numPr>
          <w:ilvl w:val="0"/>
          <w:numId w:val="134"/>
        </w:numPr>
        <w:rPr>
          <w:rFonts w:ascii="Arial" w:cs="Arial" w:eastAsia="Arial" w:hAnsi="Arial"/>
          <w:sz w:val="16"/>
          <w:szCs w:val="16"/>
          <w:color w:val="333333"/>
        </w:rPr>
      </w:pPr>
      <w:r>
        <w:rPr>
          <w:rFonts w:ascii="Arial" w:cs="Arial" w:eastAsia="Arial" w:hAnsi="Arial"/>
          <w:sz w:val="16"/>
          <w:szCs w:val="16"/>
          <w:color w:val="333333"/>
        </w:rPr>
        <w:t>Awards are subject to forfeiture and clawback in accordance with any relevant Company policy, including as the Company’s NYSE-compliant clawback policy</w:t>
      </w:r>
    </w:p>
    <w:p>
      <w:pPr>
        <w:spacing w:after="0" w:line="7" w:lineRule="exact"/>
        <w:rPr>
          <w:rFonts w:ascii="Arial" w:cs="Arial" w:eastAsia="Arial" w:hAnsi="Arial"/>
          <w:sz w:val="16"/>
          <w:szCs w:val="16"/>
          <w:color w:val="333333"/>
        </w:rPr>
      </w:pPr>
    </w:p>
    <w:p>
      <w:pPr>
        <w:ind w:left="224" w:hanging="224"/>
        <w:spacing w:after="0"/>
        <w:tabs>
          <w:tab w:leader="none" w:pos="224" w:val="left"/>
        </w:tabs>
        <w:numPr>
          <w:ilvl w:val="0"/>
          <w:numId w:val="134"/>
        </w:numPr>
        <w:rPr>
          <w:rFonts w:ascii="Arial" w:cs="Arial" w:eastAsia="Arial" w:hAnsi="Arial"/>
          <w:sz w:val="16"/>
          <w:szCs w:val="16"/>
          <w:color w:val="333333"/>
        </w:rPr>
      </w:pPr>
      <w:r>
        <w:rPr>
          <w:rFonts w:ascii="Arial" w:cs="Arial" w:eastAsia="Arial" w:hAnsi="Arial"/>
          <w:sz w:val="16"/>
          <w:szCs w:val="16"/>
          <w:color w:val="333333"/>
        </w:rPr>
        <w:t>Dividends and dividend equivalents on unvested awards are subject to the same vesting conditions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Summary of the Stock-Based Plan</w:t>
      </w:r>
    </w:p>
    <w:p>
      <w:pPr>
        <w:spacing w:after="0" w:line="54" w:lineRule="exact"/>
        <w:rPr>
          <w:sz w:val="20"/>
          <w:szCs w:val="20"/>
          <w:color w:val="auto"/>
        </w:rPr>
      </w:pPr>
    </w:p>
    <w:p>
      <w:pPr>
        <w:ind w:left="4" w:right="140"/>
        <w:spacing w:after="0" w:line="286" w:lineRule="auto"/>
        <w:rPr>
          <w:sz w:val="20"/>
          <w:szCs w:val="20"/>
          <w:color w:val="auto"/>
        </w:rPr>
      </w:pPr>
      <w:r>
        <w:rPr>
          <w:rFonts w:ascii="Arial" w:cs="Arial" w:eastAsia="Arial" w:hAnsi="Arial"/>
          <w:sz w:val="16"/>
          <w:szCs w:val="16"/>
          <w:color w:val="333333"/>
        </w:rPr>
        <w:t>The following is a summary of the terms of the Stock-Based Plan. This summary is qualified in its entirety by reference to the complete text of the Stock-Based Plan which is attached as Appendix C.</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Purpose</w:t>
      </w:r>
    </w:p>
    <w:p>
      <w:pPr>
        <w:spacing w:after="0" w:line="54" w:lineRule="exact"/>
        <w:rPr>
          <w:sz w:val="20"/>
          <w:szCs w:val="20"/>
          <w:color w:val="auto"/>
        </w:rPr>
      </w:pPr>
    </w:p>
    <w:p>
      <w:pPr>
        <w:ind w:left="4" w:right="180"/>
        <w:spacing w:after="0" w:line="286" w:lineRule="auto"/>
        <w:rPr>
          <w:sz w:val="20"/>
          <w:szCs w:val="20"/>
          <w:color w:val="auto"/>
        </w:rPr>
      </w:pPr>
      <w:r>
        <w:rPr>
          <w:rFonts w:ascii="Arial" w:cs="Arial" w:eastAsia="Arial" w:hAnsi="Arial"/>
          <w:sz w:val="16"/>
          <w:szCs w:val="16"/>
          <w:color w:val="333333"/>
        </w:rPr>
        <w:t>The Purpose of the Stock-Based Plan is to benefit Martin Marietta’s shareholders by encouraging high levels of performance by individuals who are key to its success and to enable Martin Marietta to attract, motivate, and retain talented and experienced individuals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1440"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94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1440" w:right="439" w:bottom="1440" w:gutter="0" w:footer="0" w:header="0"/>
          <w:type w:val="continuous"/>
        </w:sectPr>
      </w:pPr>
    </w:p>
    <w:bookmarkStart w:id="101" w:name="page102"/>
    <w:bookmarkEnd w:id="101"/>
    <w:tbl>
      <w:tblPr>
        <w:tblLayout w:type="fixed"/>
        <w:tblInd w:w="6820" w:type="dxa"/>
        <w:tblCellMar>
          <w:top w:w="0" w:type="dxa"/>
          <w:left w:w="0" w:type="dxa"/>
          <w:bottom w:w="0" w:type="dxa"/>
          <w:right w:w="0" w:type="dxa"/>
        </w:tblCellMar>
      </w:tblPr>
      <w:tr>
        <w:trPr>
          <w:trHeight w:val="396"/>
        </w:trPr>
        <w:tc>
          <w:tcPr>
            <w:tcW w:w="1100" w:type="dxa"/>
            <w:vAlign w:val="bottom"/>
            <w:shd w:val="clear" w:color="auto" w:fill="4D5357"/>
          </w:tcPr>
          <w:p>
            <w:pPr>
              <w:ind w:left="840"/>
              <w:spacing w:after="0"/>
              <w:rPr>
                <w:sz w:val="20"/>
                <w:szCs w:val="20"/>
                <w:color w:val="auto"/>
              </w:rPr>
            </w:pPr>
            <w:r>
              <w:rPr>
                <w:rFonts w:ascii="Arial" w:cs="Arial" w:eastAsia="Arial" w:hAnsi="Arial"/>
                <w:sz w:val="14"/>
                <w:szCs w:val="14"/>
                <w:b w:val="1"/>
                <w:bCs w:val="1"/>
                <w:color w:val="FFFFFF"/>
              </w:rPr>
              <w:t xml:space="preserve">    </w:t>
            </w:r>
          </w:p>
        </w:tc>
        <w:tc>
          <w:tcPr>
            <w:tcW w:w="310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PROPOSAL 4 Vote to Approve    </w:t>
            </w:r>
          </w:p>
        </w:tc>
      </w:tr>
      <w:tr>
        <w:trPr>
          <w:trHeight w:val="162"/>
        </w:trPr>
        <w:tc>
          <w:tcPr>
            <w:tcW w:w="4200" w:type="dxa"/>
            <w:vAlign w:val="bottom"/>
            <w:gridSpan w:val="2"/>
            <w:shd w:val="clear" w:color="auto" w:fill="4D5357"/>
          </w:tcPr>
          <w:p>
            <w:pPr>
              <w:ind w:left="420"/>
              <w:spacing w:after="0"/>
              <w:rPr>
                <w:sz w:val="20"/>
                <w:szCs w:val="20"/>
                <w:color w:val="auto"/>
              </w:rPr>
            </w:pPr>
            <w:r>
              <w:rPr>
                <w:rFonts w:ascii="Arial" w:cs="Arial" w:eastAsia="Arial" w:hAnsi="Arial"/>
                <w:sz w:val="14"/>
                <w:szCs w:val="14"/>
                <w:b w:val="1"/>
                <w:bCs w:val="1"/>
                <w:color w:val="FFFFFF"/>
              </w:rPr>
              <w:t xml:space="preserve">      the Martin Marietta Amended and Restated    </w:t>
            </w:r>
          </w:p>
        </w:tc>
      </w:tr>
      <w:tr>
        <w:trPr>
          <w:trHeight w:val="196"/>
        </w:trPr>
        <w:tc>
          <w:tcPr>
            <w:tcW w:w="1100" w:type="dxa"/>
            <w:vAlign w:val="bottom"/>
            <w:shd w:val="clear" w:color="auto" w:fill="4D5357"/>
          </w:tcPr>
          <w:p>
            <w:pPr>
              <w:ind w:left="1020"/>
              <w:spacing w:after="0"/>
              <w:rPr>
                <w:sz w:val="20"/>
                <w:szCs w:val="20"/>
                <w:color w:val="auto"/>
              </w:rPr>
            </w:pPr>
            <w:r>
              <w:rPr>
                <w:rFonts w:ascii="Arial" w:cs="Arial" w:eastAsia="Arial" w:hAnsi="Arial"/>
                <w:sz w:val="8"/>
                <w:szCs w:val="8"/>
                <w:b w:val="1"/>
                <w:bCs w:val="1"/>
                <w:color w:val="FFFFFF"/>
                <w:w w:val="74"/>
              </w:rPr>
              <w:t> </w:t>
            </w:r>
          </w:p>
        </w:tc>
        <w:tc>
          <w:tcPr>
            <w:tcW w:w="31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Stock-Based Award Plan    </w:t>
            </w:r>
          </w:p>
        </w:tc>
      </w:tr>
      <w:tr>
        <w:trPr>
          <w:trHeight w:val="110"/>
        </w:trPr>
        <w:tc>
          <w:tcPr>
            <w:tcW w:w="1100" w:type="dxa"/>
            <w:vAlign w:val="bottom"/>
            <w:shd w:val="clear" w:color="auto" w:fill="4D5357"/>
          </w:tcPr>
          <w:p>
            <w:pPr>
              <w:spacing w:after="0"/>
              <w:rPr>
                <w:sz w:val="9"/>
                <w:szCs w:val="9"/>
                <w:color w:val="auto"/>
              </w:rPr>
            </w:pPr>
          </w:p>
        </w:tc>
        <w:tc>
          <w:tcPr>
            <w:tcW w:w="310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right="160"/>
        <w:spacing w:after="0" w:line="266" w:lineRule="auto"/>
        <w:rPr>
          <w:sz w:val="20"/>
          <w:szCs w:val="20"/>
          <w:color w:val="auto"/>
        </w:rPr>
      </w:pPr>
      <w:r>
        <w:rPr>
          <w:rFonts w:ascii="Arial" w:cs="Arial" w:eastAsia="Arial" w:hAnsi="Arial"/>
          <w:sz w:val="16"/>
          <w:szCs w:val="16"/>
          <w:color w:val="333333"/>
        </w:rPr>
        <w:t>essential to its continued success. This is accomplished by providing such employees, consultants and non-employee Directors an opportunity to obtain or increase their proprietary interest in Martin Marietta’s performance and by providing such persons with additional incentives to remain with Martin Marietta.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Duration</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333333"/>
        </w:rPr>
        <w:t>The Stock-Based Plan will remain in effect until all awards under the plan have been exercised or terminated under the terms of the plan and the applicable awards agreements. However, awards under the Stock-Based Plan may only be granted until the tenth anniversary of most recent shareholder approval of the Stock-Based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Amendments</w:t>
      </w:r>
    </w:p>
    <w:p>
      <w:pPr>
        <w:spacing w:after="0" w:line="5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333333"/>
        </w:rPr>
        <w:t>The Board of Directors may at any time amend, suspend, or discontinue the Stock-Based Plan. The Management Development and Compensation Committee may at any time alter or amend any or all of the award agreements under the Stock-Based Plan to the extent permitted by law. However, any action of the Board of Directors or the Management Development and Compensation Committee that requires shareholder approval pursuant to applicable law will not be effective without such approval.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Historical Award Information</w:t>
      </w:r>
    </w:p>
    <w:p>
      <w:pPr>
        <w:spacing w:after="0" w:line="5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As of April 1, 2026, 491,097 shares are reserved under the Stock-Based Plan, of which 193,309 shares remain available and 297,788 shares are subject to outstanding awards. Assuming the 2026 Share Reserve Increase was effective as of that date, 1,393,309 shares would have been available for equity grants, representing 2.3% of our common stock on a fully diluted basis. The closing price of our common stock on the New York Stock Exchange as of April 1, 2026 was $598.92 per share. The 2026 Share Reserve Increase will be effective upon shareholder approval of the Stock-Based Plan.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333333"/>
        </w:rPr>
        <w:t>The following table sets forth information with respect to stock options and stock appreciation rights previously granted under the Stock-Based Plan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April 1, 2026: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6900" w:type="dxa"/>
            <w:vAlign w:val="bottom"/>
            <w:gridSpan w:val="2"/>
          </w:tcPr>
          <w:p>
            <w:pPr>
              <w:jc w:val="right"/>
              <w:spacing w:after="0"/>
              <w:rPr>
                <w:sz w:val="20"/>
                <w:szCs w:val="20"/>
                <w:color w:val="auto"/>
              </w:rPr>
            </w:pPr>
            <w:r>
              <w:rPr>
                <w:rFonts w:ascii="Arial" w:cs="Arial" w:eastAsia="Arial" w:hAnsi="Arial"/>
                <w:sz w:val="16"/>
                <w:szCs w:val="16"/>
                <w:b w:val="1"/>
                <w:bCs w:val="1"/>
                <w:color w:val="0086CC"/>
              </w:rPr>
              <w:t>NUMBER OF SHARES COVERED BY STOCK OPTIONS OR</w:t>
            </w:r>
          </w:p>
        </w:tc>
      </w:tr>
      <w:tr>
        <w:trPr>
          <w:trHeight w:val="226"/>
        </w:trPr>
        <w:tc>
          <w:tcPr>
            <w:tcW w:w="412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NAME AND POSITION</w:t>
            </w:r>
          </w:p>
        </w:tc>
        <w:tc>
          <w:tcPr>
            <w:tcW w:w="2900" w:type="dxa"/>
            <w:vAlign w:val="bottom"/>
            <w:tcBorders>
              <w:bottom w:val="single" w:sz="8" w:color="0086CC"/>
            </w:tcBorders>
          </w:tcPr>
          <w:p>
            <w:pPr>
              <w:spacing w:after="0"/>
              <w:rPr>
                <w:sz w:val="19"/>
                <w:szCs w:val="19"/>
                <w:color w:val="auto"/>
              </w:rPr>
            </w:pPr>
          </w:p>
        </w:tc>
        <w:tc>
          <w:tcPr>
            <w:tcW w:w="4000" w:type="dxa"/>
            <w:vAlign w:val="bottom"/>
            <w:tcBorders>
              <w:bottom w:val="single" w:sz="8" w:color="0086CC"/>
            </w:tcBorders>
          </w:tcPr>
          <w:p>
            <w:pPr>
              <w:jc w:val="right"/>
              <w:ind w:right="1011"/>
              <w:spacing w:after="0"/>
              <w:rPr>
                <w:sz w:val="20"/>
                <w:szCs w:val="20"/>
                <w:color w:val="auto"/>
              </w:rPr>
            </w:pPr>
            <w:r>
              <w:rPr>
                <w:rFonts w:ascii="Arial" w:cs="Arial" w:eastAsia="Arial" w:hAnsi="Arial"/>
                <w:sz w:val="16"/>
                <w:szCs w:val="16"/>
                <w:b w:val="1"/>
                <w:bCs w:val="1"/>
                <w:color w:val="0086CC"/>
              </w:rPr>
              <w:t>STOCK APPRECIATION RIGHTS</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Dorothy M. Ables</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Sue W. Cole</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19,000</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Gayla J. Delly</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4"/>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Anthony R. Foxx</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John J. Koraleski</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4"/>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Martin J. Lyons</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Mary T. Mack</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 Howard Nye</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124,772</w:t>
            </w:r>
          </w:p>
        </w:tc>
      </w:tr>
      <w:tr>
        <w:trPr>
          <w:trHeight w:val="264"/>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Laree E. Perez</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Thomas H. Pike</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W. Slager</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4"/>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David C. Wajsgras</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Michael J. Petro</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Robert J. Cardin</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4"/>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Jason P. Flynn</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Bradley D. Kohn</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Donald A. McCunniff</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12,553</w:t>
            </w:r>
          </w:p>
        </w:tc>
      </w:tr>
      <w:tr>
        <w:trPr>
          <w:trHeight w:val="264"/>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All non-employee directors as a group</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31,000</w:t>
            </w:r>
          </w:p>
        </w:tc>
      </w:tr>
      <w:tr>
        <w:trPr>
          <w:trHeight w:val="263"/>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All current executive officers as a group</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137,325</w:t>
            </w:r>
          </w:p>
        </w:tc>
      </w:tr>
      <w:tr>
        <w:trPr>
          <w:trHeight w:val="226"/>
        </w:trPr>
        <w:tc>
          <w:tcPr>
            <w:tcW w:w="4120" w:type="dxa"/>
            <w:vAlign w:val="bottom"/>
          </w:tcPr>
          <w:p>
            <w:pPr>
              <w:ind w:left="60"/>
              <w:spacing w:after="0"/>
              <w:rPr>
                <w:sz w:val="20"/>
                <w:szCs w:val="20"/>
                <w:color w:val="auto"/>
              </w:rPr>
            </w:pPr>
            <w:r>
              <w:rPr>
                <w:rFonts w:ascii="Arial" w:cs="Arial" w:eastAsia="Arial" w:hAnsi="Arial"/>
                <w:sz w:val="16"/>
                <w:szCs w:val="16"/>
                <w:b w:val="1"/>
                <w:bCs w:val="1"/>
                <w:color w:val="4D5357"/>
              </w:rPr>
              <w:t>All associates of our named executive officers,</w:t>
            </w:r>
          </w:p>
        </w:tc>
        <w:tc>
          <w:tcPr>
            <w:tcW w:w="29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6"/>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directors and director nominees as a group</w:t>
            </w:r>
          </w:p>
        </w:tc>
        <w:tc>
          <w:tcPr>
            <w:tcW w:w="2900" w:type="dxa"/>
            <w:vAlign w:val="bottom"/>
            <w:tcBorders>
              <w:bottom w:val="single" w:sz="8" w:color="4D5357"/>
            </w:tcBorders>
          </w:tcPr>
          <w:p>
            <w:pPr>
              <w:spacing w:after="0"/>
              <w:rPr>
                <w:sz w:val="19"/>
                <w:szCs w:val="19"/>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3"/>
                <w:szCs w:val="13"/>
                <w:color w:val="4D5357"/>
              </w:rPr>
              <w:t>—</w:t>
            </w:r>
          </w:p>
        </w:tc>
      </w:tr>
      <w:tr>
        <w:trPr>
          <w:trHeight w:val="264"/>
        </w:trPr>
        <w:tc>
          <w:tcPr>
            <w:tcW w:w="41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All employees as a group</w:t>
            </w:r>
          </w:p>
        </w:tc>
        <w:tc>
          <w:tcPr>
            <w:tcW w:w="2900" w:type="dxa"/>
            <w:vAlign w:val="bottom"/>
            <w:tcBorders>
              <w:bottom w:val="single" w:sz="8" w:color="4D5357"/>
            </w:tcBorders>
          </w:tcPr>
          <w:p>
            <w:pPr>
              <w:spacing w:after="0"/>
              <w:rPr>
                <w:sz w:val="22"/>
                <w:szCs w:val="22"/>
                <w:color w:val="auto"/>
              </w:rPr>
            </w:pPr>
          </w:p>
        </w:tc>
        <w:tc>
          <w:tcPr>
            <w:tcW w:w="40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4,348,600</w:t>
            </w:r>
          </w:p>
        </w:tc>
      </w:tr>
      <w:tr>
        <w:trPr>
          <w:trHeight w:val="564"/>
        </w:trPr>
        <w:tc>
          <w:tcPr>
            <w:tcW w:w="4120" w:type="dxa"/>
            <w:vAlign w:val="bottom"/>
          </w:tcPr>
          <w:p>
            <w:pPr>
              <w:spacing w:after="0"/>
              <w:rPr>
                <w:sz w:val="20"/>
                <w:szCs w:val="20"/>
                <w:color w:val="auto"/>
              </w:rPr>
            </w:pPr>
            <w:r>
              <w:rPr>
                <w:rFonts w:ascii="Arial" w:cs="Arial" w:eastAsia="Arial" w:hAnsi="Arial"/>
                <w:sz w:val="16"/>
                <w:szCs w:val="16"/>
                <w:color w:val="333333"/>
              </w:rPr>
              <w:t> </w:t>
            </w:r>
          </w:p>
        </w:tc>
        <w:tc>
          <w:tcPr>
            <w:tcW w:w="29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6"/>
                <w:szCs w:val="16"/>
                <w:color w:val="333333"/>
              </w:rPr>
              <w:t xml:space="preserve">               </w:t>
            </w:r>
          </w:p>
        </w:tc>
        <w:tc>
          <w:tcPr>
            <w:tcW w:w="2900" w:type="dxa"/>
            <w:vAlign w:val="bottom"/>
          </w:tcPr>
          <w:p>
            <w:pPr>
              <w:ind w:left="460"/>
              <w:spacing w:after="0"/>
              <w:rPr>
                <w:sz w:val="20"/>
                <w:szCs w:val="20"/>
                <w:color w:val="auto"/>
              </w:rPr>
            </w:pPr>
            <w:r>
              <w:rPr>
                <w:rFonts w:ascii="Arial" w:cs="Arial" w:eastAsia="Arial" w:hAnsi="Arial"/>
                <w:sz w:val="16"/>
                <w:szCs w:val="16"/>
                <w:b w:val="1"/>
                <w:bCs w:val="1"/>
                <w:color w:val="auto"/>
              </w:rPr>
              <w:t>2026 PROXY STATEMENT</w:t>
            </w:r>
          </w:p>
        </w:tc>
        <w:tc>
          <w:tcPr>
            <w:tcW w:w="4000" w:type="dxa"/>
            <w:vAlign w:val="bottom"/>
          </w:tcPr>
          <w:p>
            <w:pPr>
              <w:jc w:val="right"/>
              <w:spacing w:after="0"/>
              <w:rPr>
                <w:sz w:val="20"/>
                <w:szCs w:val="20"/>
                <w:color w:val="auto"/>
              </w:rPr>
            </w:pPr>
            <w:r>
              <w:rPr>
                <w:rFonts w:ascii="Arial" w:cs="Arial" w:eastAsia="Arial" w:hAnsi="Arial"/>
                <w:sz w:val="16"/>
                <w:szCs w:val="16"/>
                <w:b w:val="1"/>
                <w:bCs w:val="1"/>
                <w:color w:val="0086CC"/>
              </w:rPr>
              <w:t xml:space="preserve">95 </w:t>
            </w:r>
            <w:r>
              <w:rPr>
                <w:rFonts w:ascii="Arial" w:cs="Arial" w:eastAsia="Arial" w:hAnsi="Arial"/>
                <w:sz w:val="16"/>
                <w:szCs w:val="16"/>
                <w:color w:val="333333"/>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995160" cy="6000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bookmarkStart w:id="102" w:name="page103"/>
    <w:bookmarkEnd w:id="102"/>
    <w:tbl>
      <w:tblPr>
        <w:tblLayout w:type="fixed"/>
        <w:tblInd w:w="4" w:type="dxa"/>
        <w:tblCellMar>
          <w:top w:w="0" w:type="dxa"/>
          <w:left w:w="0" w:type="dxa"/>
          <w:bottom w:w="0" w:type="dxa"/>
          <w:right w:w="0" w:type="dxa"/>
        </w:tblCellMar>
      </w:tblPr>
      <w:tr>
        <w:trPr>
          <w:trHeight w:val="274"/>
        </w:trPr>
        <w:tc>
          <w:tcPr>
            <w:tcW w:w="940" w:type="dxa"/>
            <w:vAlign w:val="bottom"/>
            <w:shd w:val="clear" w:color="auto" w:fill="4D5357"/>
          </w:tcPr>
          <w:p>
            <w:pPr>
              <w:ind w:left="700"/>
              <w:spacing w:after="0"/>
              <w:rPr>
                <w:sz w:val="20"/>
                <w:szCs w:val="20"/>
                <w:color w:val="auto"/>
              </w:rPr>
            </w:pPr>
            <w:r>
              <w:rPr>
                <w:rFonts w:ascii="Arial" w:cs="Arial" w:eastAsia="Arial" w:hAnsi="Arial"/>
                <w:sz w:val="14"/>
                <w:szCs w:val="14"/>
                <w:b w:val="1"/>
                <w:bCs w:val="1"/>
                <w:color w:val="FFFFFF"/>
              </w:rPr>
              <w:t xml:space="preserve">    </w:t>
            </w:r>
          </w:p>
        </w:tc>
        <w:tc>
          <w:tcPr>
            <w:tcW w:w="310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xml:space="preserve">PROPOSAL 4 Vote to Approve    </w:t>
            </w:r>
          </w:p>
        </w:tc>
      </w:tr>
      <w:tr>
        <w:trPr>
          <w:trHeight w:val="162"/>
        </w:trPr>
        <w:tc>
          <w:tcPr>
            <w:tcW w:w="4040" w:type="dxa"/>
            <w:vAlign w:val="bottom"/>
            <w:gridSpan w:val="2"/>
            <w:shd w:val="clear" w:color="auto" w:fill="4D5357"/>
          </w:tcPr>
          <w:p>
            <w:pPr>
              <w:ind w:left="280"/>
              <w:spacing w:after="0"/>
              <w:rPr>
                <w:sz w:val="20"/>
                <w:szCs w:val="20"/>
                <w:color w:val="auto"/>
              </w:rPr>
            </w:pPr>
            <w:r>
              <w:rPr>
                <w:rFonts w:ascii="Arial" w:cs="Arial" w:eastAsia="Arial" w:hAnsi="Arial"/>
                <w:sz w:val="14"/>
                <w:szCs w:val="14"/>
                <w:b w:val="1"/>
                <w:bCs w:val="1"/>
                <w:color w:val="FFFFFF"/>
              </w:rPr>
              <w:t xml:space="preserve">      the Martin Marietta Amended and Restated    </w:t>
            </w:r>
          </w:p>
        </w:tc>
      </w:tr>
      <w:tr>
        <w:trPr>
          <w:trHeight w:val="196"/>
        </w:trPr>
        <w:tc>
          <w:tcPr>
            <w:tcW w:w="940" w:type="dxa"/>
            <w:vAlign w:val="bottom"/>
            <w:shd w:val="clear" w:color="auto" w:fill="4D5357"/>
          </w:tcPr>
          <w:p>
            <w:pPr>
              <w:ind w:left="860"/>
              <w:spacing w:after="0"/>
              <w:rPr>
                <w:sz w:val="20"/>
                <w:szCs w:val="20"/>
                <w:color w:val="auto"/>
              </w:rPr>
            </w:pPr>
            <w:r>
              <w:rPr>
                <w:rFonts w:ascii="Arial" w:cs="Arial" w:eastAsia="Arial" w:hAnsi="Arial"/>
                <w:sz w:val="8"/>
                <w:szCs w:val="8"/>
                <w:b w:val="1"/>
                <w:bCs w:val="1"/>
                <w:color w:val="FFFFFF"/>
                <w:w w:val="74"/>
              </w:rPr>
              <w:t> </w:t>
            </w:r>
          </w:p>
        </w:tc>
        <w:tc>
          <w:tcPr>
            <w:tcW w:w="31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Stock-Based Award Plan    </w:t>
            </w:r>
          </w:p>
        </w:tc>
      </w:tr>
      <w:tr>
        <w:trPr>
          <w:trHeight w:val="110"/>
        </w:trPr>
        <w:tc>
          <w:tcPr>
            <w:tcW w:w="940" w:type="dxa"/>
            <w:vAlign w:val="bottom"/>
            <w:shd w:val="clear" w:color="auto" w:fill="4D5357"/>
          </w:tcPr>
          <w:p>
            <w:pPr>
              <w:spacing w:after="0"/>
              <w:rPr>
                <w:sz w:val="9"/>
                <w:szCs w:val="9"/>
                <w:color w:val="auto"/>
              </w:rPr>
            </w:pPr>
          </w:p>
        </w:tc>
        <w:tc>
          <w:tcPr>
            <w:tcW w:w="310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 w:right="340"/>
        <w:spacing w:after="0" w:line="286" w:lineRule="auto"/>
        <w:rPr>
          <w:sz w:val="20"/>
          <w:szCs w:val="20"/>
          <w:color w:val="auto"/>
        </w:rPr>
      </w:pPr>
      <w:r>
        <w:rPr>
          <w:rFonts w:ascii="Arial" w:cs="Arial" w:eastAsia="Arial" w:hAnsi="Arial"/>
          <w:sz w:val="16"/>
          <w:szCs w:val="16"/>
          <w:color w:val="333333"/>
        </w:rPr>
        <w:t>The following table provides information regarding historical awards granted and earned under the current version of the Stock-Based Plan and gross burn rate for each of the last three fiscal years.</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086CC"/>
              </w:rPr>
              <w:t>WEIGHTED</w:t>
            </w:r>
          </w:p>
        </w:tc>
        <w:tc>
          <w:tcPr>
            <w:tcW w:w="1500" w:type="dxa"/>
            <w:vAlign w:val="bottom"/>
          </w:tcPr>
          <w:p>
            <w:pPr>
              <w:spacing w:after="0"/>
              <w:rPr>
                <w:sz w:val="16"/>
                <w:szCs w:val="16"/>
                <w:color w:val="auto"/>
              </w:rPr>
            </w:pPr>
          </w:p>
        </w:tc>
      </w:tr>
      <w:tr>
        <w:trPr>
          <w:trHeight w:val="189"/>
        </w:trPr>
        <w:tc>
          <w:tcPr>
            <w:tcW w:w="2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086CC"/>
              </w:rPr>
              <w:t>AVERAGE</w:t>
            </w:r>
          </w:p>
        </w:tc>
        <w:tc>
          <w:tcPr>
            <w:tcW w:w="1500" w:type="dxa"/>
            <w:vAlign w:val="bottom"/>
          </w:tcPr>
          <w:p>
            <w:pPr>
              <w:spacing w:after="0"/>
              <w:rPr>
                <w:sz w:val="16"/>
                <w:szCs w:val="16"/>
                <w:color w:val="auto"/>
              </w:rPr>
            </w:pPr>
          </w:p>
        </w:tc>
      </w:tr>
      <w:tr>
        <w:trPr>
          <w:trHeight w:val="189"/>
        </w:trPr>
        <w:tc>
          <w:tcPr>
            <w:tcW w:w="2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086CC"/>
              </w:rPr>
              <w:t>COMMON</w:t>
            </w:r>
          </w:p>
        </w:tc>
        <w:tc>
          <w:tcPr>
            <w:tcW w:w="1500" w:type="dxa"/>
            <w:vAlign w:val="bottom"/>
          </w:tcPr>
          <w:p>
            <w:pPr>
              <w:spacing w:after="0"/>
              <w:rPr>
                <w:sz w:val="16"/>
                <w:szCs w:val="16"/>
                <w:color w:val="auto"/>
              </w:rPr>
            </w:pPr>
          </w:p>
        </w:tc>
      </w:tr>
      <w:tr>
        <w:trPr>
          <w:trHeight w:val="189"/>
        </w:trPr>
        <w:tc>
          <w:tcPr>
            <w:tcW w:w="2280" w:type="dxa"/>
            <w:vAlign w:val="bottom"/>
          </w:tcPr>
          <w:p>
            <w:pPr>
              <w:spacing w:after="0"/>
              <w:rPr>
                <w:sz w:val="16"/>
                <w:szCs w:val="16"/>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b w:val="1"/>
                <w:bCs w:val="1"/>
                <w:color w:val="0086CC"/>
              </w:rPr>
              <w:t>GRANTED</w:t>
            </w: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0086CC"/>
              </w:rPr>
              <w:t>GRANTED</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0086CC"/>
              </w:rPr>
              <w:t>EARNED</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0086CC"/>
              </w:rPr>
              <w:t>GRANTED</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086CC"/>
              </w:rPr>
              <w:t>SHARES</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0086CC"/>
              </w:rPr>
              <w:t>GROSS BURN</w:t>
            </w:r>
          </w:p>
        </w:tc>
      </w:tr>
      <w:tr>
        <w:trPr>
          <w:trHeight w:val="230"/>
        </w:trPr>
        <w:tc>
          <w:tcPr>
            <w:tcW w:w="228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FISCAL YEAR</w:t>
            </w:r>
          </w:p>
        </w:tc>
        <w:tc>
          <w:tcPr>
            <w:tcW w:w="2120" w:type="dxa"/>
            <w:vAlign w:val="bottom"/>
            <w:tcBorders>
              <w:bottom w:val="single" w:sz="8" w:color="0086CC"/>
            </w:tcBorders>
          </w:tcPr>
          <w:p>
            <w:pPr>
              <w:jc w:val="right"/>
              <w:ind w:right="219"/>
              <w:spacing w:after="0" w:line="230" w:lineRule="exact"/>
              <w:rPr>
                <w:sz w:val="20"/>
                <w:szCs w:val="20"/>
                <w:color w:val="auto"/>
              </w:rPr>
            </w:pPr>
            <w:r>
              <w:rPr>
                <w:rFonts w:ascii="Arial" w:cs="Arial" w:eastAsia="Arial" w:hAnsi="Arial"/>
                <w:sz w:val="16"/>
                <w:szCs w:val="16"/>
                <w:b w:val="1"/>
                <w:bCs w:val="1"/>
                <w:color w:val="0086CC"/>
              </w:rPr>
              <w:t>RSUS</w:t>
            </w:r>
            <w:r>
              <w:rPr>
                <w:rFonts w:ascii="Arial" w:cs="Arial" w:eastAsia="Arial" w:hAnsi="Arial"/>
                <w:sz w:val="24"/>
                <w:szCs w:val="24"/>
                <w:b w:val="1"/>
                <w:bCs w:val="1"/>
                <w:color w:val="0086CC"/>
                <w:vertAlign w:val="superscript"/>
              </w:rPr>
              <w:t>(1)</w:t>
            </w:r>
          </w:p>
        </w:tc>
        <w:tc>
          <w:tcPr>
            <w:tcW w:w="1160" w:type="dxa"/>
            <w:vAlign w:val="bottom"/>
            <w:tcBorders>
              <w:bottom w:val="single" w:sz="8" w:color="0086CC"/>
            </w:tcBorders>
          </w:tcPr>
          <w:p>
            <w:pPr>
              <w:jc w:val="right"/>
              <w:ind w:right="199"/>
              <w:spacing w:after="0" w:line="230" w:lineRule="exact"/>
              <w:rPr>
                <w:sz w:val="20"/>
                <w:szCs w:val="20"/>
                <w:color w:val="auto"/>
              </w:rPr>
            </w:pPr>
            <w:r>
              <w:rPr>
                <w:rFonts w:ascii="Arial" w:cs="Arial" w:eastAsia="Arial" w:hAnsi="Arial"/>
                <w:sz w:val="16"/>
                <w:szCs w:val="16"/>
                <w:b w:val="1"/>
                <w:bCs w:val="1"/>
                <w:color w:val="0086CC"/>
              </w:rPr>
              <w:t>PSUS</w:t>
            </w:r>
            <w:r>
              <w:rPr>
                <w:rFonts w:ascii="Arial" w:cs="Arial" w:eastAsia="Arial" w:hAnsi="Arial"/>
                <w:sz w:val="24"/>
                <w:szCs w:val="24"/>
                <w:b w:val="1"/>
                <w:bCs w:val="1"/>
                <w:color w:val="0086CC"/>
                <w:vertAlign w:val="superscript"/>
              </w:rPr>
              <w:t>(2)</w:t>
            </w:r>
          </w:p>
        </w:tc>
        <w:tc>
          <w:tcPr>
            <w:tcW w:w="1060" w:type="dxa"/>
            <w:vAlign w:val="bottom"/>
            <w:tcBorders>
              <w:bottom w:val="single" w:sz="8" w:color="0086CC"/>
            </w:tcBorders>
          </w:tcPr>
          <w:p>
            <w:pPr>
              <w:jc w:val="right"/>
              <w:ind w:right="159"/>
              <w:spacing w:after="0" w:line="230" w:lineRule="exact"/>
              <w:rPr>
                <w:sz w:val="20"/>
                <w:szCs w:val="20"/>
                <w:color w:val="auto"/>
              </w:rPr>
            </w:pPr>
            <w:r>
              <w:rPr>
                <w:rFonts w:ascii="Arial" w:cs="Arial" w:eastAsia="Arial" w:hAnsi="Arial"/>
                <w:sz w:val="16"/>
                <w:szCs w:val="16"/>
                <w:b w:val="1"/>
                <w:bCs w:val="1"/>
                <w:color w:val="0086CC"/>
              </w:rPr>
              <w:t>PSUS</w:t>
            </w:r>
            <w:r>
              <w:rPr>
                <w:rFonts w:ascii="Arial" w:cs="Arial" w:eastAsia="Arial" w:hAnsi="Arial"/>
                <w:sz w:val="24"/>
                <w:szCs w:val="24"/>
                <w:b w:val="1"/>
                <w:bCs w:val="1"/>
                <w:color w:val="0086CC"/>
                <w:vertAlign w:val="superscript"/>
              </w:rPr>
              <w:t>(3)</w:t>
            </w:r>
          </w:p>
        </w:tc>
        <w:tc>
          <w:tcPr>
            <w:tcW w:w="1180" w:type="dxa"/>
            <w:vAlign w:val="bottom"/>
            <w:tcBorders>
              <w:bottom w:val="single" w:sz="8" w:color="0086CC"/>
            </w:tcBorders>
          </w:tcPr>
          <w:p>
            <w:pPr>
              <w:jc w:val="right"/>
              <w:ind w:right="379"/>
              <w:spacing w:after="0"/>
              <w:rPr>
                <w:sz w:val="20"/>
                <w:szCs w:val="20"/>
                <w:color w:val="auto"/>
              </w:rPr>
            </w:pPr>
            <w:r>
              <w:rPr>
                <w:rFonts w:ascii="Arial" w:cs="Arial" w:eastAsia="Arial" w:hAnsi="Arial"/>
                <w:sz w:val="16"/>
                <w:szCs w:val="16"/>
                <w:b w:val="1"/>
                <w:bCs w:val="1"/>
                <w:color w:val="0086CC"/>
              </w:rPr>
              <w:t>ISP</w:t>
            </w:r>
          </w:p>
        </w:tc>
        <w:tc>
          <w:tcPr>
            <w:tcW w:w="1720" w:type="dxa"/>
            <w:vAlign w:val="bottom"/>
            <w:tcBorders>
              <w:bottom w:val="single" w:sz="8" w:color="0086CC"/>
            </w:tcBorders>
          </w:tcPr>
          <w:p>
            <w:pPr>
              <w:jc w:val="center"/>
              <w:spacing w:after="0" w:line="230" w:lineRule="exact"/>
              <w:rPr>
                <w:sz w:val="20"/>
                <w:szCs w:val="20"/>
                <w:color w:val="auto"/>
              </w:rPr>
            </w:pPr>
            <w:r>
              <w:rPr>
                <w:rFonts w:ascii="Arial" w:cs="Arial" w:eastAsia="Arial" w:hAnsi="Arial"/>
                <w:sz w:val="16"/>
                <w:szCs w:val="16"/>
                <w:b w:val="1"/>
                <w:bCs w:val="1"/>
                <w:color w:val="0086CC"/>
                <w:w w:val="96"/>
              </w:rPr>
              <w:t>OUTSTANDING</w:t>
            </w:r>
            <w:r>
              <w:rPr>
                <w:rFonts w:ascii="Arial" w:cs="Arial" w:eastAsia="Arial" w:hAnsi="Arial"/>
                <w:sz w:val="24"/>
                <w:szCs w:val="24"/>
                <w:b w:val="1"/>
                <w:bCs w:val="1"/>
                <w:color w:val="0086CC"/>
                <w:w w:val="96"/>
                <w:vertAlign w:val="superscript"/>
              </w:rPr>
              <w:t>(4)</w:t>
            </w:r>
          </w:p>
        </w:tc>
        <w:tc>
          <w:tcPr>
            <w:tcW w:w="1500" w:type="dxa"/>
            <w:vAlign w:val="bottom"/>
            <w:tcBorders>
              <w:bottom w:val="single" w:sz="8" w:color="0086CC"/>
            </w:tcBorders>
          </w:tcPr>
          <w:p>
            <w:pPr>
              <w:jc w:val="right"/>
              <w:ind w:right="399"/>
              <w:spacing w:after="0" w:line="230" w:lineRule="exact"/>
              <w:rPr>
                <w:sz w:val="20"/>
                <w:szCs w:val="20"/>
                <w:color w:val="auto"/>
              </w:rPr>
            </w:pPr>
            <w:r>
              <w:rPr>
                <w:rFonts w:ascii="Arial" w:cs="Arial" w:eastAsia="Arial" w:hAnsi="Arial"/>
                <w:sz w:val="16"/>
                <w:szCs w:val="16"/>
                <w:b w:val="1"/>
                <w:bCs w:val="1"/>
                <w:color w:val="0086CC"/>
              </w:rPr>
              <w:t>RATE</w:t>
            </w:r>
            <w:r>
              <w:rPr>
                <w:rFonts w:ascii="Arial" w:cs="Arial" w:eastAsia="Arial" w:hAnsi="Arial"/>
                <w:sz w:val="24"/>
                <w:szCs w:val="24"/>
                <w:b w:val="1"/>
                <w:bCs w:val="1"/>
                <w:color w:val="0086CC"/>
                <w:vertAlign w:val="superscript"/>
              </w:rPr>
              <w:t>(5)</w:t>
            </w:r>
          </w:p>
        </w:tc>
      </w:tr>
      <w:tr>
        <w:trPr>
          <w:trHeight w:val="260"/>
        </w:trPr>
        <w:tc>
          <w:tcPr>
            <w:tcW w:w="22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2025</w:t>
            </w:r>
          </w:p>
        </w:tc>
        <w:tc>
          <w:tcPr>
            <w:tcW w:w="2120" w:type="dxa"/>
            <w:vAlign w:val="bottom"/>
            <w:tcBorders>
              <w:bottom w:val="single" w:sz="8" w:color="4D5357"/>
            </w:tcBorders>
          </w:tcPr>
          <w:p>
            <w:pPr>
              <w:jc w:val="right"/>
              <w:ind w:right="119"/>
              <w:spacing w:after="0"/>
              <w:rPr>
                <w:sz w:val="20"/>
                <w:szCs w:val="20"/>
                <w:color w:val="auto"/>
              </w:rPr>
            </w:pPr>
            <w:r>
              <w:rPr>
                <w:rFonts w:ascii="Arial" w:cs="Arial" w:eastAsia="Arial" w:hAnsi="Arial"/>
                <w:sz w:val="16"/>
                <w:szCs w:val="16"/>
                <w:color w:val="4D5357"/>
              </w:rPr>
              <w:t>55,701</w:t>
            </w:r>
          </w:p>
        </w:tc>
        <w:tc>
          <w:tcPr>
            <w:tcW w:w="116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77,410</w:t>
            </w:r>
          </w:p>
        </w:tc>
        <w:tc>
          <w:tcPr>
            <w:tcW w:w="106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66,977</w:t>
            </w:r>
          </w:p>
        </w:tc>
        <w:tc>
          <w:tcPr>
            <w:tcW w:w="118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8,234</w:t>
            </w:r>
          </w:p>
        </w:tc>
        <w:tc>
          <w:tcPr>
            <w:tcW w:w="1720" w:type="dxa"/>
            <w:vAlign w:val="bottom"/>
            <w:tcBorders>
              <w:bottom w:val="single" w:sz="8" w:color="4D5357"/>
            </w:tcBorders>
          </w:tcPr>
          <w:p>
            <w:pPr>
              <w:jc w:val="right"/>
              <w:ind w:right="119"/>
              <w:spacing w:after="0"/>
              <w:rPr>
                <w:sz w:val="20"/>
                <w:szCs w:val="20"/>
                <w:color w:val="auto"/>
              </w:rPr>
            </w:pPr>
            <w:r>
              <w:rPr>
                <w:rFonts w:ascii="Arial" w:cs="Arial" w:eastAsia="Arial" w:hAnsi="Arial"/>
                <w:sz w:val="16"/>
                <w:szCs w:val="16"/>
                <w:color w:val="4D5357"/>
              </w:rPr>
              <w:t>60,465,177</w:t>
            </w:r>
          </w:p>
        </w:tc>
        <w:tc>
          <w:tcPr>
            <w:tcW w:w="15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0.23%</w:t>
            </w:r>
          </w:p>
        </w:tc>
      </w:tr>
      <w:tr>
        <w:trPr>
          <w:trHeight w:val="263"/>
        </w:trPr>
        <w:tc>
          <w:tcPr>
            <w:tcW w:w="22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2024</w:t>
            </w:r>
          </w:p>
        </w:tc>
        <w:tc>
          <w:tcPr>
            <w:tcW w:w="2120" w:type="dxa"/>
            <w:vAlign w:val="bottom"/>
            <w:tcBorders>
              <w:bottom w:val="single" w:sz="8" w:color="4D5357"/>
            </w:tcBorders>
          </w:tcPr>
          <w:p>
            <w:pPr>
              <w:jc w:val="right"/>
              <w:ind w:right="119"/>
              <w:spacing w:after="0"/>
              <w:rPr>
                <w:sz w:val="20"/>
                <w:szCs w:val="20"/>
                <w:color w:val="auto"/>
              </w:rPr>
            </w:pPr>
            <w:r>
              <w:rPr>
                <w:rFonts w:ascii="Arial" w:cs="Arial" w:eastAsia="Arial" w:hAnsi="Arial"/>
                <w:sz w:val="16"/>
                <w:szCs w:val="16"/>
                <w:color w:val="4D5357"/>
              </w:rPr>
              <w:t>46,323</w:t>
            </w:r>
          </w:p>
        </w:tc>
        <w:tc>
          <w:tcPr>
            <w:tcW w:w="116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71,391</w:t>
            </w:r>
          </w:p>
        </w:tc>
        <w:tc>
          <w:tcPr>
            <w:tcW w:w="106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81,439</w:t>
            </w:r>
          </w:p>
        </w:tc>
        <w:tc>
          <w:tcPr>
            <w:tcW w:w="118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11,543</w:t>
            </w:r>
          </w:p>
        </w:tc>
        <w:tc>
          <w:tcPr>
            <w:tcW w:w="1720" w:type="dxa"/>
            <w:vAlign w:val="bottom"/>
            <w:tcBorders>
              <w:bottom w:val="single" w:sz="8" w:color="4D5357"/>
            </w:tcBorders>
          </w:tcPr>
          <w:p>
            <w:pPr>
              <w:jc w:val="right"/>
              <w:ind w:right="119"/>
              <w:spacing w:after="0"/>
              <w:rPr>
                <w:sz w:val="20"/>
                <w:szCs w:val="20"/>
                <w:color w:val="auto"/>
              </w:rPr>
            </w:pPr>
            <w:r>
              <w:rPr>
                <w:rFonts w:ascii="Arial" w:cs="Arial" w:eastAsia="Arial" w:hAnsi="Arial"/>
                <w:sz w:val="16"/>
                <w:szCs w:val="16"/>
                <w:color w:val="4D5357"/>
              </w:rPr>
              <w:t>61,388,520</w:t>
            </w:r>
          </w:p>
        </w:tc>
        <w:tc>
          <w:tcPr>
            <w:tcW w:w="15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0.21%</w:t>
            </w:r>
          </w:p>
        </w:tc>
      </w:tr>
      <w:tr>
        <w:trPr>
          <w:trHeight w:val="264"/>
        </w:trPr>
        <w:tc>
          <w:tcPr>
            <w:tcW w:w="22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2023</w:t>
            </w:r>
          </w:p>
        </w:tc>
        <w:tc>
          <w:tcPr>
            <w:tcW w:w="2120" w:type="dxa"/>
            <w:vAlign w:val="bottom"/>
            <w:tcBorders>
              <w:bottom w:val="single" w:sz="8" w:color="4D5357"/>
            </w:tcBorders>
          </w:tcPr>
          <w:p>
            <w:pPr>
              <w:jc w:val="right"/>
              <w:ind w:right="119"/>
              <w:spacing w:after="0"/>
              <w:rPr>
                <w:sz w:val="20"/>
                <w:szCs w:val="20"/>
                <w:color w:val="auto"/>
              </w:rPr>
            </w:pPr>
            <w:r>
              <w:rPr>
                <w:rFonts w:ascii="Arial" w:cs="Arial" w:eastAsia="Arial" w:hAnsi="Arial"/>
                <w:sz w:val="16"/>
                <w:szCs w:val="16"/>
                <w:color w:val="4D5357"/>
              </w:rPr>
              <w:t>60,982</w:t>
            </w:r>
          </w:p>
        </w:tc>
        <w:tc>
          <w:tcPr>
            <w:tcW w:w="116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79,447</w:t>
            </w:r>
          </w:p>
        </w:tc>
        <w:tc>
          <w:tcPr>
            <w:tcW w:w="106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70,370</w:t>
            </w:r>
          </w:p>
        </w:tc>
        <w:tc>
          <w:tcPr>
            <w:tcW w:w="1180" w:type="dxa"/>
            <w:vAlign w:val="bottom"/>
            <w:tcBorders>
              <w:bottom w:val="single" w:sz="8" w:color="4D5357"/>
            </w:tcBorders>
          </w:tcPr>
          <w:p>
            <w:pPr>
              <w:jc w:val="right"/>
              <w:ind w:right="99"/>
              <w:spacing w:after="0"/>
              <w:rPr>
                <w:sz w:val="20"/>
                <w:szCs w:val="20"/>
                <w:color w:val="auto"/>
              </w:rPr>
            </w:pPr>
            <w:r>
              <w:rPr>
                <w:rFonts w:ascii="Arial" w:cs="Arial" w:eastAsia="Arial" w:hAnsi="Arial"/>
                <w:sz w:val="16"/>
                <w:szCs w:val="16"/>
                <w:color w:val="4D5357"/>
              </w:rPr>
              <w:t>4,012</w:t>
            </w:r>
          </w:p>
        </w:tc>
        <w:tc>
          <w:tcPr>
            <w:tcW w:w="1720" w:type="dxa"/>
            <w:vAlign w:val="bottom"/>
            <w:tcBorders>
              <w:bottom w:val="single" w:sz="8" w:color="4D5357"/>
            </w:tcBorders>
          </w:tcPr>
          <w:p>
            <w:pPr>
              <w:jc w:val="right"/>
              <w:ind w:right="119"/>
              <w:spacing w:after="0"/>
              <w:rPr>
                <w:sz w:val="20"/>
                <w:szCs w:val="20"/>
                <w:color w:val="auto"/>
              </w:rPr>
            </w:pPr>
            <w:r>
              <w:rPr>
                <w:rFonts w:ascii="Arial" w:cs="Arial" w:eastAsia="Arial" w:hAnsi="Arial"/>
                <w:sz w:val="16"/>
                <w:szCs w:val="16"/>
                <w:color w:val="4D5357"/>
              </w:rPr>
              <w:t>61,911,629</w:t>
            </w:r>
          </w:p>
        </w:tc>
        <w:tc>
          <w:tcPr>
            <w:tcW w:w="150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0.23%</w:t>
            </w:r>
          </w:p>
        </w:tc>
      </w:tr>
    </w:tbl>
    <w:p>
      <w:pPr>
        <w:spacing w:after="0" w:line="198" w:lineRule="exact"/>
        <w:rPr>
          <w:sz w:val="20"/>
          <w:szCs w:val="20"/>
          <w:color w:val="auto"/>
        </w:rPr>
      </w:pPr>
    </w:p>
    <w:p>
      <w:pPr>
        <w:ind w:left="224" w:hanging="224"/>
        <w:spacing w:after="0"/>
        <w:tabs>
          <w:tab w:leader="none" w:pos="224" w:val="left"/>
        </w:tabs>
        <w:numPr>
          <w:ilvl w:val="0"/>
          <w:numId w:val="135"/>
        </w:numPr>
        <w:rPr>
          <w:rFonts w:ascii="Arial" w:cs="Arial" w:eastAsia="Arial" w:hAnsi="Arial"/>
          <w:sz w:val="13"/>
          <w:szCs w:val="13"/>
          <w:color w:val="333333"/>
        </w:rPr>
      </w:pPr>
      <w:r>
        <w:rPr>
          <w:rFonts w:ascii="Arial" w:cs="Arial" w:eastAsia="Arial" w:hAnsi="Arial"/>
          <w:sz w:val="13"/>
          <w:szCs w:val="13"/>
          <w:color w:val="333333"/>
        </w:rPr>
        <w:t>Reflects number of time-based restricted stock unit awards granted. Does not reflect subsequent forfeitures or cancellations.</w:t>
      </w:r>
    </w:p>
    <w:p>
      <w:pPr>
        <w:spacing w:after="0" w:line="53" w:lineRule="exact"/>
        <w:rPr>
          <w:rFonts w:ascii="Arial" w:cs="Arial" w:eastAsia="Arial" w:hAnsi="Arial"/>
          <w:sz w:val="13"/>
          <w:szCs w:val="13"/>
          <w:color w:val="333333"/>
        </w:rPr>
      </w:pPr>
    </w:p>
    <w:p>
      <w:pPr>
        <w:ind w:left="224" w:hanging="224"/>
        <w:spacing w:after="0"/>
        <w:tabs>
          <w:tab w:leader="none" w:pos="224" w:val="left"/>
        </w:tabs>
        <w:numPr>
          <w:ilvl w:val="0"/>
          <w:numId w:val="135"/>
        </w:numPr>
        <w:rPr>
          <w:rFonts w:ascii="Arial" w:cs="Arial" w:eastAsia="Arial" w:hAnsi="Arial"/>
          <w:sz w:val="13"/>
          <w:szCs w:val="13"/>
          <w:color w:val="333333"/>
        </w:rPr>
      </w:pPr>
      <w:r>
        <w:rPr>
          <w:rFonts w:ascii="Arial" w:cs="Arial" w:eastAsia="Arial" w:hAnsi="Arial"/>
          <w:sz w:val="13"/>
          <w:szCs w:val="13"/>
          <w:color w:val="333333"/>
        </w:rPr>
        <w:t>Reflects performance-based restricted stock units granted assuming maximum level performance.</w:t>
      </w:r>
    </w:p>
    <w:p>
      <w:pPr>
        <w:spacing w:after="0" w:line="53" w:lineRule="exact"/>
        <w:rPr>
          <w:rFonts w:ascii="Arial" w:cs="Arial" w:eastAsia="Arial" w:hAnsi="Arial"/>
          <w:sz w:val="13"/>
          <w:szCs w:val="13"/>
          <w:color w:val="333333"/>
        </w:rPr>
      </w:pPr>
    </w:p>
    <w:p>
      <w:pPr>
        <w:ind w:left="224" w:hanging="224"/>
        <w:spacing w:after="0"/>
        <w:tabs>
          <w:tab w:leader="none" w:pos="224" w:val="left"/>
        </w:tabs>
        <w:numPr>
          <w:ilvl w:val="0"/>
          <w:numId w:val="135"/>
        </w:numPr>
        <w:rPr>
          <w:rFonts w:ascii="Arial" w:cs="Arial" w:eastAsia="Arial" w:hAnsi="Arial"/>
          <w:sz w:val="13"/>
          <w:szCs w:val="13"/>
          <w:color w:val="333333"/>
        </w:rPr>
      </w:pPr>
      <w:r>
        <w:rPr>
          <w:rFonts w:ascii="Arial" w:cs="Arial" w:eastAsia="Arial" w:hAnsi="Arial"/>
          <w:sz w:val="13"/>
          <w:szCs w:val="13"/>
          <w:color w:val="333333"/>
        </w:rPr>
        <w:t>Reflects performance-based restricted stock units earned and vested for each fiscal year.</w:t>
      </w:r>
    </w:p>
    <w:p>
      <w:pPr>
        <w:spacing w:after="0" w:line="53" w:lineRule="exact"/>
        <w:rPr>
          <w:rFonts w:ascii="Arial" w:cs="Arial" w:eastAsia="Arial" w:hAnsi="Arial"/>
          <w:sz w:val="13"/>
          <w:szCs w:val="13"/>
          <w:color w:val="333333"/>
        </w:rPr>
      </w:pPr>
    </w:p>
    <w:p>
      <w:pPr>
        <w:ind w:left="224" w:hanging="224"/>
        <w:spacing w:after="0"/>
        <w:tabs>
          <w:tab w:leader="none" w:pos="224" w:val="left"/>
        </w:tabs>
        <w:numPr>
          <w:ilvl w:val="0"/>
          <w:numId w:val="135"/>
        </w:numPr>
        <w:rPr>
          <w:rFonts w:ascii="Arial" w:cs="Arial" w:eastAsia="Arial" w:hAnsi="Arial"/>
          <w:sz w:val="13"/>
          <w:szCs w:val="13"/>
          <w:color w:val="333333"/>
        </w:rPr>
      </w:pPr>
      <w:r>
        <w:rPr>
          <w:rFonts w:ascii="Arial" w:cs="Arial" w:eastAsia="Arial" w:hAnsi="Arial"/>
          <w:sz w:val="13"/>
          <w:szCs w:val="13"/>
          <w:color w:val="333333"/>
        </w:rPr>
        <w:t>Determined as of the final trading day of the respective fiscal year.</w:t>
      </w:r>
    </w:p>
    <w:p>
      <w:pPr>
        <w:spacing w:after="0" w:line="53" w:lineRule="exact"/>
        <w:rPr>
          <w:rFonts w:ascii="Arial" w:cs="Arial" w:eastAsia="Arial" w:hAnsi="Arial"/>
          <w:sz w:val="13"/>
          <w:szCs w:val="13"/>
          <w:color w:val="333333"/>
        </w:rPr>
      </w:pPr>
    </w:p>
    <w:p>
      <w:pPr>
        <w:ind w:left="224" w:right="140" w:hanging="224"/>
        <w:spacing w:after="0" w:line="243" w:lineRule="auto"/>
        <w:tabs>
          <w:tab w:leader="none" w:pos="224" w:val="left"/>
        </w:tabs>
        <w:numPr>
          <w:ilvl w:val="0"/>
          <w:numId w:val="135"/>
        </w:numPr>
        <w:rPr>
          <w:rFonts w:ascii="Arial" w:cs="Arial" w:eastAsia="Arial" w:hAnsi="Arial"/>
          <w:sz w:val="13"/>
          <w:szCs w:val="13"/>
          <w:color w:val="333333"/>
        </w:rPr>
      </w:pPr>
      <w:r>
        <w:rPr>
          <w:rFonts w:ascii="Arial" w:cs="Arial" w:eastAsia="Arial" w:hAnsi="Arial"/>
          <w:sz w:val="13"/>
          <w:szCs w:val="13"/>
          <w:color w:val="333333"/>
        </w:rPr>
        <w:t>Burn rate is calculated as the total number of shares granted as RSUs and PSUs throughout the year divided by the weighted-average common shares outstanding at fiscal year-end. We have not adjusted the burn rate to take into account any forfeited awards, including PSUs that are not earned, which if taken into account would have reduced the burn rate.</w:t>
      </w:r>
    </w:p>
    <w:p>
      <w:pPr>
        <w:spacing w:after="0" w:line="79"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333333"/>
        </w:rPr>
        <w:t>The potential dilution (or overhang) from the Stock Based-Plan, which would be 2.8% (or 2.7% on a diluted basis), assumes that the 2026 Share Reserve Increase is available to grant, and is calculated as of April 1, 2026 as follows:</w:t>
      </w:r>
    </w:p>
    <w:p>
      <w:pPr>
        <w:spacing w:after="0" w:line="61"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79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SHARES AVAILABLE AND OUTSTANDING</w:t>
            </w:r>
          </w:p>
        </w:tc>
        <w:tc>
          <w:tcPr>
            <w:tcW w:w="3120" w:type="dxa"/>
            <w:vAlign w:val="bottom"/>
            <w:tcBorders>
              <w:bottom w:val="single" w:sz="8" w:color="0086CC"/>
            </w:tcBorders>
          </w:tcPr>
          <w:p>
            <w:pPr>
              <w:jc w:val="right"/>
              <w:ind w:right="139"/>
              <w:spacing w:after="0"/>
              <w:rPr>
                <w:sz w:val="20"/>
                <w:szCs w:val="20"/>
                <w:color w:val="auto"/>
              </w:rPr>
            </w:pPr>
            <w:r>
              <w:rPr>
                <w:rFonts w:ascii="Arial" w:cs="Arial" w:eastAsia="Arial" w:hAnsi="Arial"/>
                <w:sz w:val="16"/>
                <w:szCs w:val="16"/>
                <w:b w:val="1"/>
                <w:bCs w:val="1"/>
                <w:color w:val="0086CC"/>
              </w:rPr>
              <w:t>SHARES</w:t>
            </w:r>
          </w:p>
        </w:tc>
      </w:tr>
      <w:tr>
        <w:trPr>
          <w:trHeight w:val="263"/>
        </w:trPr>
        <w:tc>
          <w:tcPr>
            <w:tcW w:w="79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New shares authorized under the Stock-Based Plan</w:t>
            </w:r>
          </w:p>
        </w:tc>
        <w:tc>
          <w:tcPr>
            <w:tcW w:w="312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1,200,000</w:t>
            </w:r>
          </w:p>
        </w:tc>
      </w:tr>
      <w:tr>
        <w:trPr>
          <w:trHeight w:val="226"/>
        </w:trPr>
        <w:tc>
          <w:tcPr>
            <w:tcW w:w="7900" w:type="dxa"/>
            <w:vAlign w:val="bottom"/>
          </w:tcPr>
          <w:p>
            <w:pPr>
              <w:ind w:left="60"/>
              <w:spacing w:after="0"/>
              <w:rPr>
                <w:sz w:val="20"/>
                <w:szCs w:val="20"/>
                <w:color w:val="auto"/>
              </w:rPr>
            </w:pPr>
            <w:r>
              <w:rPr>
                <w:rFonts w:ascii="Arial" w:cs="Arial" w:eastAsia="Arial" w:hAnsi="Arial"/>
                <w:sz w:val="16"/>
                <w:szCs w:val="16"/>
                <w:b w:val="1"/>
                <w:bCs w:val="1"/>
                <w:color w:val="4D5357"/>
              </w:rPr>
              <w:t>Shares remaining under most recent shareholder approved version of the</w:t>
            </w:r>
          </w:p>
        </w:tc>
        <w:tc>
          <w:tcPr>
            <w:tcW w:w="3120" w:type="dxa"/>
            <w:vAlign w:val="bottom"/>
          </w:tcPr>
          <w:p>
            <w:pPr>
              <w:spacing w:after="0"/>
              <w:rPr>
                <w:sz w:val="19"/>
                <w:szCs w:val="19"/>
                <w:color w:val="auto"/>
              </w:rPr>
            </w:pPr>
          </w:p>
        </w:tc>
      </w:tr>
      <w:tr>
        <w:trPr>
          <w:trHeight w:val="226"/>
        </w:trPr>
        <w:tc>
          <w:tcPr>
            <w:tcW w:w="79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Stock-Based Plan</w:t>
            </w:r>
          </w:p>
        </w:tc>
        <w:tc>
          <w:tcPr>
            <w:tcW w:w="312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193,309</w:t>
            </w:r>
          </w:p>
        </w:tc>
      </w:tr>
      <w:tr>
        <w:trPr>
          <w:trHeight w:val="267"/>
        </w:trPr>
        <w:tc>
          <w:tcPr>
            <w:tcW w:w="7900" w:type="dxa"/>
            <w:vAlign w:val="bottom"/>
            <w:tcBorders>
              <w:bottom w:val="single" w:sz="8" w:color="4D5357"/>
            </w:tcBorders>
          </w:tcPr>
          <w:p>
            <w:pPr>
              <w:ind w:left="60"/>
              <w:spacing w:after="0" w:line="267" w:lineRule="exact"/>
              <w:rPr>
                <w:sz w:val="20"/>
                <w:szCs w:val="20"/>
                <w:color w:val="auto"/>
              </w:rPr>
            </w:pPr>
            <w:r>
              <w:rPr>
                <w:rFonts w:ascii="Arial" w:cs="Arial" w:eastAsia="Arial" w:hAnsi="Arial"/>
                <w:sz w:val="16"/>
                <w:szCs w:val="16"/>
                <w:b w:val="1"/>
                <w:bCs w:val="1"/>
                <w:color w:val="4D5357"/>
              </w:rPr>
              <w:t>Total Shares Available for Grant (A)</w:t>
            </w:r>
            <w:r>
              <w:rPr>
                <w:rFonts w:ascii="Arial" w:cs="Arial" w:eastAsia="Arial" w:hAnsi="Arial"/>
                <w:sz w:val="24"/>
                <w:szCs w:val="24"/>
                <w:b w:val="1"/>
                <w:bCs w:val="1"/>
                <w:color w:val="4D5357"/>
                <w:vertAlign w:val="superscript"/>
              </w:rPr>
              <w:t>(1)</w:t>
            </w:r>
          </w:p>
        </w:tc>
        <w:tc>
          <w:tcPr>
            <w:tcW w:w="312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1,393,309</w:t>
            </w:r>
          </w:p>
        </w:tc>
      </w:tr>
      <w:tr>
        <w:trPr>
          <w:trHeight w:val="263"/>
        </w:trPr>
        <w:tc>
          <w:tcPr>
            <w:tcW w:w="790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Shares underlying outstanding full-value awards</w:t>
            </w:r>
            <w:r>
              <w:rPr>
                <w:rFonts w:ascii="Arial" w:cs="Arial" w:eastAsia="Arial" w:hAnsi="Arial"/>
                <w:sz w:val="24"/>
                <w:szCs w:val="24"/>
                <w:b w:val="1"/>
                <w:bCs w:val="1"/>
                <w:color w:val="4D5357"/>
                <w:vertAlign w:val="superscript"/>
              </w:rPr>
              <w:t>(2)</w:t>
            </w:r>
          </w:p>
        </w:tc>
        <w:tc>
          <w:tcPr>
            <w:tcW w:w="312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297,788</w:t>
            </w:r>
          </w:p>
        </w:tc>
      </w:tr>
      <w:tr>
        <w:trPr>
          <w:trHeight w:val="263"/>
        </w:trPr>
        <w:tc>
          <w:tcPr>
            <w:tcW w:w="7900" w:type="dxa"/>
            <w:vAlign w:val="bottom"/>
            <w:tcBorders>
              <w:bottom w:val="single" w:sz="8" w:color="4D5357"/>
            </w:tcBorders>
          </w:tcPr>
          <w:p>
            <w:pPr>
              <w:ind w:left="60"/>
              <w:spacing w:after="0" w:line="264" w:lineRule="exact"/>
              <w:rPr>
                <w:sz w:val="20"/>
                <w:szCs w:val="20"/>
                <w:color w:val="auto"/>
              </w:rPr>
            </w:pPr>
            <w:r>
              <w:rPr>
                <w:rFonts w:ascii="Arial" w:cs="Arial" w:eastAsia="Arial" w:hAnsi="Arial"/>
                <w:sz w:val="16"/>
                <w:szCs w:val="16"/>
                <w:b w:val="1"/>
                <w:bCs w:val="1"/>
                <w:color w:val="4D5357"/>
              </w:rPr>
              <w:t>Contingent shares underlying outstanding awards</w:t>
            </w:r>
            <w:r>
              <w:rPr>
                <w:rFonts w:ascii="Arial" w:cs="Arial" w:eastAsia="Arial" w:hAnsi="Arial"/>
                <w:sz w:val="24"/>
                <w:szCs w:val="24"/>
                <w:b w:val="1"/>
                <w:bCs w:val="1"/>
                <w:color w:val="4D5357"/>
                <w:vertAlign w:val="superscript"/>
              </w:rPr>
              <w:t>(3)</w:t>
            </w:r>
          </w:p>
        </w:tc>
        <w:tc>
          <w:tcPr>
            <w:tcW w:w="312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w:t>
            </w:r>
          </w:p>
        </w:tc>
      </w:tr>
      <w:tr>
        <w:trPr>
          <w:trHeight w:val="237"/>
        </w:trPr>
        <w:tc>
          <w:tcPr>
            <w:tcW w:w="79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Total Outstanding full-value awards (B)</w:t>
            </w:r>
          </w:p>
        </w:tc>
        <w:tc>
          <w:tcPr>
            <w:tcW w:w="312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297,788</w:t>
            </w:r>
          </w:p>
        </w:tc>
      </w:tr>
      <w:tr>
        <w:trPr>
          <w:trHeight w:val="260"/>
        </w:trPr>
        <w:tc>
          <w:tcPr>
            <w:tcW w:w="79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   Common Shares Outstanding as of April 1, 2026 (C)</w:t>
            </w:r>
          </w:p>
        </w:tc>
        <w:tc>
          <w:tcPr>
            <w:tcW w:w="312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60,045,900</w:t>
            </w:r>
          </w:p>
        </w:tc>
      </w:tr>
      <w:tr>
        <w:trPr>
          <w:trHeight w:val="267"/>
        </w:trPr>
        <w:tc>
          <w:tcPr>
            <w:tcW w:w="7900" w:type="dxa"/>
            <w:vAlign w:val="bottom"/>
            <w:tcBorders>
              <w:bottom w:val="single" w:sz="8" w:color="4D5357"/>
            </w:tcBorders>
          </w:tcPr>
          <w:p>
            <w:pPr>
              <w:ind w:left="60"/>
              <w:spacing w:after="0" w:line="267" w:lineRule="exact"/>
              <w:rPr>
                <w:sz w:val="20"/>
                <w:szCs w:val="20"/>
                <w:color w:val="auto"/>
              </w:rPr>
            </w:pPr>
            <w:r>
              <w:rPr>
                <w:rFonts w:ascii="Arial" w:cs="Arial" w:eastAsia="Arial" w:hAnsi="Arial"/>
                <w:sz w:val="16"/>
                <w:szCs w:val="16"/>
                <w:b w:val="1"/>
                <w:bCs w:val="1"/>
                <w:color w:val="4D5357"/>
              </w:rPr>
              <w:t>Overhang (A+B) / C</w:t>
            </w:r>
            <w:r>
              <w:rPr>
                <w:rFonts w:ascii="Arial" w:cs="Arial" w:eastAsia="Arial" w:hAnsi="Arial"/>
                <w:sz w:val="24"/>
                <w:szCs w:val="24"/>
                <w:b w:val="1"/>
                <w:bCs w:val="1"/>
                <w:color w:val="4D5357"/>
                <w:vertAlign w:val="superscript"/>
              </w:rPr>
              <w:t>(4)</w:t>
            </w:r>
          </w:p>
        </w:tc>
        <w:tc>
          <w:tcPr>
            <w:tcW w:w="31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2.8%</w:t>
            </w:r>
          </w:p>
        </w:tc>
      </w:tr>
      <w:tr>
        <w:trPr>
          <w:trHeight w:val="260"/>
        </w:trPr>
        <w:tc>
          <w:tcPr>
            <w:tcW w:w="79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Diluted overhang (A+B) / (A+B+C)</w:t>
            </w:r>
          </w:p>
        </w:tc>
        <w:tc>
          <w:tcPr>
            <w:tcW w:w="312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2.7%</w:t>
            </w:r>
          </w:p>
        </w:tc>
      </w:tr>
    </w:tbl>
    <w:p>
      <w:pPr>
        <w:spacing w:after="0" w:line="198" w:lineRule="exact"/>
        <w:rPr>
          <w:sz w:val="20"/>
          <w:szCs w:val="20"/>
          <w:color w:val="auto"/>
        </w:rPr>
      </w:pPr>
    </w:p>
    <w:p>
      <w:pPr>
        <w:ind w:left="224" w:hanging="224"/>
        <w:spacing w:after="0"/>
        <w:tabs>
          <w:tab w:leader="none" w:pos="224" w:val="left"/>
        </w:tabs>
        <w:numPr>
          <w:ilvl w:val="0"/>
          <w:numId w:val="136"/>
        </w:numPr>
        <w:rPr>
          <w:rFonts w:ascii="Arial" w:cs="Arial" w:eastAsia="Arial" w:hAnsi="Arial"/>
          <w:sz w:val="13"/>
          <w:szCs w:val="13"/>
          <w:color w:val="333333"/>
        </w:rPr>
      </w:pPr>
      <w:r>
        <w:rPr>
          <w:rFonts w:ascii="Arial" w:cs="Arial" w:eastAsia="Arial" w:hAnsi="Arial"/>
          <w:sz w:val="13"/>
          <w:szCs w:val="13"/>
          <w:color w:val="333333"/>
        </w:rPr>
        <w:t>Shares reflect all plans (whether active or not). There are no outstanding options / SAR awards and thus no shares underlying such awards.</w:t>
      </w:r>
    </w:p>
    <w:p>
      <w:pPr>
        <w:spacing w:after="0" w:line="53" w:lineRule="exact"/>
        <w:rPr>
          <w:rFonts w:ascii="Arial" w:cs="Arial" w:eastAsia="Arial" w:hAnsi="Arial"/>
          <w:sz w:val="13"/>
          <w:szCs w:val="13"/>
          <w:color w:val="333333"/>
        </w:rPr>
      </w:pPr>
    </w:p>
    <w:p>
      <w:pPr>
        <w:ind w:left="224" w:hanging="224"/>
        <w:spacing w:after="0"/>
        <w:tabs>
          <w:tab w:leader="none" w:pos="224" w:val="left"/>
        </w:tabs>
        <w:numPr>
          <w:ilvl w:val="0"/>
          <w:numId w:val="136"/>
        </w:numPr>
        <w:rPr>
          <w:rFonts w:ascii="Arial" w:cs="Arial" w:eastAsia="Arial" w:hAnsi="Arial"/>
          <w:sz w:val="13"/>
          <w:szCs w:val="13"/>
          <w:color w:val="333333"/>
        </w:rPr>
      </w:pPr>
      <w:r>
        <w:rPr>
          <w:rFonts w:ascii="Arial" w:cs="Arial" w:eastAsia="Arial" w:hAnsi="Arial"/>
          <w:sz w:val="13"/>
          <w:szCs w:val="13"/>
          <w:color w:val="333333"/>
        </w:rPr>
        <w:t>Represents RSUs and PSUs assuming target level performance.</w:t>
      </w:r>
    </w:p>
    <w:p>
      <w:pPr>
        <w:spacing w:after="0" w:line="53" w:lineRule="exact"/>
        <w:rPr>
          <w:rFonts w:ascii="Arial" w:cs="Arial" w:eastAsia="Arial" w:hAnsi="Arial"/>
          <w:sz w:val="13"/>
          <w:szCs w:val="13"/>
          <w:color w:val="333333"/>
        </w:rPr>
      </w:pPr>
    </w:p>
    <w:p>
      <w:pPr>
        <w:ind w:left="224" w:hanging="224"/>
        <w:spacing w:after="0"/>
        <w:tabs>
          <w:tab w:leader="none" w:pos="224" w:val="left"/>
        </w:tabs>
        <w:numPr>
          <w:ilvl w:val="0"/>
          <w:numId w:val="136"/>
        </w:numPr>
        <w:rPr>
          <w:rFonts w:ascii="Arial" w:cs="Arial" w:eastAsia="Arial" w:hAnsi="Arial"/>
          <w:sz w:val="13"/>
          <w:szCs w:val="13"/>
          <w:color w:val="333333"/>
        </w:rPr>
      </w:pPr>
      <w:r>
        <w:rPr>
          <w:rFonts w:ascii="Arial" w:cs="Arial" w:eastAsia="Arial" w:hAnsi="Arial"/>
          <w:sz w:val="13"/>
          <w:szCs w:val="13"/>
          <w:color w:val="333333"/>
        </w:rPr>
        <w:t>As of April 1, 2026, no awards have been granted that are contingent on stockholder approval of the Stock-Based Plan.</w:t>
      </w:r>
    </w:p>
    <w:p>
      <w:pPr>
        <w:spacing w:after="0" w:line="53" w:lineRule="exact"/>
        <w:rPr>
          <w:rFonts w:ascii="Arial" w:cs="Arial" w:eastAsia="Arial" w:hAnsi="Arial"/>
          <w:sz w:val="13"/>
          <w:szCs w:val="13"/>
          <w:color w:val="333333"/>
        </w:rPr>
      </w:pPr>
    </w:p>
    <w:p>
      <w:pPr>
        <w:ind w:left="224" w:hanging="224"/>
        <w:spacing w:after="0"/>
        <w:tabs>
          <w:tab w:leader="none" w:pos="224" w:val="left"/>
        </w:tabs>
        <w:numPr>
          <w:ilvl w:val="0"/>
          <w:numId w:val="136"/>
        </w:numPr>
        <w:rPr>
          <w:rFonts w:ascii="Arial" w:cs="Arial" w:eastAsia="Arial" w:hAnsi="Arial"/>
          <w:sz w:val="13"/>
          <w:szCs w:val="13"/>
          <w:color w:val="333333"/>
        </w:rPr>
      </w:pPr>
      <w:r>
        <w:rPr>
          <w:rFonts w:ascii="Arial" w:cs="Arial" w:eastAsia="Arial" w:hAnsi="Arial"/>
          <w:sz w:val="13"/>
          <w:szCs w:val="13"/>
          <w:color w:val="333333"/>
        </w:rPr>
        <w:t>Overhang and diluted overhang are calculated as counting all awards on a 1-to-1 basis.</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Shares to be issued</w:t>
      </w:r>
    </w:p>
    <w:p>
      <w:pPr>
        <w:spacing w:after="0" w:line="54" w:lineRule="exact"/>
        <w:rPr>
          <w:sz w:val="20"/>
          <w:szCs w:val="20"/>
          <w:color w:val="auto"/>
        </w:rPr>
      </w:pPr>
    </w:p>
    <w:p>
      <w:pPr>
        <w:ind w:left="4" w:right="80"/>
        <w:spacing w:after="0" w:line="266" w:lineRule="auto"/>
        <w:rPr>
          <w:sz w:val="20"/>
          <w:szCs w:val="20"/>
          <w:color w:val="auto"/>
        </w:rPr>
      </w:pPr>
      <w:r>
        <w:rPr>
          <w:rFonts w:ascii="Arial" w:cs="Arial" w:eastAsia="Arial" w:hAnsi="Arial"/>
          <w:sz w:val="16"/>
          <w:szCs w:val="16"/>
          <w:color w:val="333333"/>
        </w:rPr>
        <w:t>If this proposal is approved by shareholders, an additional 1.2 million shares will be available for grant and issuance under the Stock-Based Plan. Shares remaining for grant and issuance under the Stock-Based Plan as of April 1, 2026, inclusive of such 1.2 million shares, are reflected above under “Historical Award Information.”</w:t>
      </w:r>
    </w:p>
    <w:p>
      <w:pPr>
        <w:spacing w:after="0" w:line="63" w:lineRule="exact"/>
        <w:rPr>
          <w:sz w:val="20"/>
          <w:szCs w:val="20"/>
          <w:color w:val="auto"/>
        </w:rPr>
      </w:pPr>
    </w:p>
    <w:p>
      <w:pPr>
        <w:ind w:left="4" w:right="20"/>
        <w:spacing w:after="0" w:line="266" w:lineRule="auto"/>
        <w:rPr>
          <w:sz w:val="20"/>
          <w:szCs w:val="20"/>
          <w:color w:val="auto"/>
        </w:rPr>
      </w:pPr>
      <w:r>
        <w:rPr>
          <w:rFonts w:ascii="Arial" w:cs="Arial" w:eastAsia="Arial" w:hAnsi="Arial"/>
          <w:sz w:val="16"/>
          <w:szCs w:val="16"/>
          <w:color w:val="333333"/>
        </w:rPr>
        <w:t>Shares underlying awards that are terminated, canceled or forfeited and shares tendered or withheld in satisfaction of tax withholding obligations in connection with an award once again become available for grant under the Stock-Based Plan. Shares tendered as full or partial payment upon exercise of a non-qualified stock option or to settle a stock appreciation right upon exercise will not become available for grant under the Stock-Based Plan.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Administration</w:t>
      </w:r>
    </w:p>
    <w:p>
      <w:pPr>
        <w:spacing w:after="0" w:line="54"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333333"/>
        </w:rPr>
        <w:t>The Stock-Based Plan and the awards granted under it are administered by a committee of the Board of Directors consisting solely of persons who are “non-employee directors” within the meaning of Rule 16b-3 under the Exchange Act, which is currently the Management Development and Compensation Committee. If the Management Development and Compensation Committee ceases to consist solely of such non-employee directors, then the committee will be another committee of the Board of Directors that satisfies such criteria, unless otherwise determined by the Board of Directors.</w:t>
      </w:r>
    </w:p>
    <w:p>
      <w:pPr>
        <w:spacing w:after="0" w:line="35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96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315" w:right="439" w:bottom="1440" w:gutter="0" w:footer="0" w:header="0"/>
          <w:type w:val="continuous"/>
        </w:sectPr>
      </w:pPr>
    </w:p>
    <w:bookmarkStart w:id="103" w:name="page104"/>
    <w:bookmarkEnd w:id="103"/>
    <w:tbl>
      <w:tblPr>
        <w:tblLayout w:type="fixed"/>
        <w:tblInd w:w="6824" w:type="dxa"/>
        <w:tblCellMar>
          <w:top w:w="0" w:type="dxa"/>
          <w:left w:w="0" w:type="dxa"/>
          <w:bottom w:w="0" w:type="dxa"/>
          <w:right w:w="0" w:type="dxa"/>
        </w:tblCellMar>
      </w:tblPr>
      <w:tr>
        <w:trPr>
          <w:trHeight w:val="396"/>
        </w:trPr>
        <w:tc>
          <w:tcPr>
            <w:tcW w:w="1100" w:type="dxa"/>
            <w:vAlign w:val="bottom"/>
            <w:shd w:val="clear" w:color="auto" w:fill="4D5357"/>
          </w:tcPr>
          <w:p>
            <w:pPr>
              <w:ind w:left="840"/>
              <w:spacing w:after="0"/>
              <w:rPr>
                <w:sz w:val="20"/>
                <w:szCs w:val="20"/>
                <w:color w:val="auto"/>
              </w:rPr>
            </w:pPr>
            <w:r>
              <w:rPr>
                <w:rFonts w:ascii="Arial" w:cs="Arial" w:eastAsia="Arial" w:hAnsi="Arial"/>
                <w:sz w:val="14"/>
                <w:szCs w:val="14"/>
                <w:b w:val="1"/>
                <w:bCs w:val="1"/>
                <w:color w:val="FFFFFF"/>
              </w:rPr>
              <w:t xml:space="preserve">    </w:t>
            </w:r>
          </w:p>
        </w:tc>
        <w:tc>
          <w:tcPr>
            <w:tcW w:w="310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PROPOSAL 4 Vote to Approve    </w:t>
            </w:r>
          </w:p>
        </w:tc>
      </w:tr>
      <w:tr>
        <w:trPr>
          <w:trHeight w:val="162"/>
        </w:trPr>
        <w:tc>
          <w:tcPr>
            <w:tcW w:w="4200" w:type="dxa"/>
            <w:vAlign w:val="bottom"/>
            <w:gridSpan w:val="2"/>
            <w:shd w:val="clear" w:color="auto" w:fill="4D5357"/>
          </w:tcPr>
          <w:p>
            <w:pPr>
              <w:ind w:left="420"/>
              <w:spacing w:after="0"/>
              <w:rPr>
                <w:sz w:val="20"/>
                <w:szCs w:val="20"/>
                <w:color w:val="auto"/>
              </w:rPr>
            </w:pPr>
            <w:r>
              <w:rPr>
                <w:rFonts w:ascii="Arial" w:cs="Arial" w:eastAsia="Arial" w:hAnsi="Arial"/>
                <w:sz w:val="14"/>
                <w:szCs w:val="14"/>
                <w:b w:val="1"/>
                <w:bCs w:val="1"/>
                <w:color w:val="FFFFFF"/>
              </w:rPr>
              <w:t xml:space="preserve">      the Martin Marietta Amended and Restated    </w:t>
            </w:r>
          </w:p>
        </w:tc>
      </w:tr>
      <w:tr>
        <w:trPr>
          <w:trHeight w:val="196"/>
        </w:trPr>
        <w:tc>
          <w:tcPr>
            <w:tcW w:w="1100" w:type="dxa"/>
            <w:vAlign w:val="bottom"/>
            <w:shd w:val="clear" w:color="auto" w:fill="4D5357"/>
          </w:tcPr>
          <w:p>
            <w:pPr>
              <w:ind w:left="1020"/>
              <w:spacing w:after="0"/>
              <w:rPr>
                <w:sz w:val="20"/>
                <w:szCs w:val="20"/>
                <w:color w:val="auto"/>
              </w:rPr>
            </w:pPr>
            <w:r>
              <w:rPr>
                <w:rFonts w:ascii="Arial" w:cs="Arial" w:eastAsia="Arial" w:hAnsi="Arial"/>
                <w:sz w:val="8"/>
                <w:szCs w:val="8"/>
                <w:b w:val="1"/>
                <w:bCs w:val="1"/>
                <w:color w:val="FFFFFF"/>
                <w:w w:val="74"/>
              </w:rPr>
              <w:t> </w:t>
            </w:r>
          </w:p>
        </w:tc>
        <w:tc>
          <w:tcPr>
            <w:tcW w:w="31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Stock-Based Award Plan    </w:t>
            </w:r>
          </w:p>
        </w:tc>
      </w:tr>
      <w:tr>
        <w:trPr>
          <w:trHeight w:val="151"/>
        </w:trPr>
        <w:tc>
          <w:tcPr>
            <w:tcW w:w="1100" w:type="dxa"/>
            <w:vAlign w:val="bottom"/>
            <w:shd w:val="clear" w:color="auto" w:fill="4D5357"/>
          </w:tcPr>
          <w:p>
            <w:pPr>
              <w:spacing w:after="0"/>
              <w:rPr>
                <w:sz w:val="13"/>
                <w:szCs w:val="13"/>
                <w:color w:val="auto"/>
              </w:rPr>
            </w:pPr>
          </w:p>
        </w:tc>
        <w:tc>
          <w:tcPr>
            <w:tcW w:w="3100" w:type="dxa"/>
            <w:vAlign w:val="bottom"/>
            <w:shd w:val="clear" w:color="auto" w:fill="4D5357"/>
          </w:tcPr>
          <w:p>
            <w:pPr>
              <w:spacing w:after="0"/>
              <w:rPr>
                <w:sz w:val="13"/>
                <w:szCs w:val="13"/>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 w:right="20"/>
        <w:spacing w:after="0" w:line="254" w:lineRule="auto"/>
        <w:rPr>
          <w:sz w:val="20"/>
          <w:szCs w:val="20"/>
          <w:color w:val="auto"/>
        </w:rPr>
      </w:pPr>
      <w:r>
        <w:rPr>
          <w:rFonts w:ascii="Arial" w:cs="Arial" w:eastAsia="Arial" w:hAnsi="Arial"/>
          <w:sz w:val="16"/>
          <w:szCs w:val="16"/>
          <w:color w:val="333333"/>
        </w:rPr>
        <w:t>The Stock-Based Plan delegates to the Management Development and Compensation Committee the ability to, among other things, (i) determine the employees or other service providers who will be eligible for and granted awards, (ii) determine the terms and conditions of awards; (iii) determine the level of achievement of performance requirements; (iv) establish rules and regulations relating to the Stock-Based Plan; (v) interpret the Stock-Based Plan; and (vi) make any determination and take any action deemed necessary or desirable for the administration of the Stock-Based Plan. All questions of interpretation with respect to the Stock-Based Plan and the terms of any award agreements will be determined by the Management Development and Compensation Committee, and its determination will be final, conclusive and binding upon all parties in interest.</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Participants and Eligibility</w:t>
      </w:r>
    </w:p>
    <w:p>
      <w:pPr>
        <w:spacing w:after="0" w:line="54" w:lineRule="exact"/>
        <w:rPr>
          <w:sz w:val="20"/>
          <w:szCs w:val="20"/>
          <w:color w:val="auto"/>
        </w:rPr>
      </w:pPr>
    </w:p>
    <w:p>
      <w:pPr>
        <w:ind w:left="4" w:right="40"/>
        <w:spacing w:after="0" w:line="266" w:lineRule="auto"/>
        <w:rPr>
          <w:sz w:val="20"/>
          <w:szCs w:val="20"/>
          <w:color w:val="auto"/>
        </w:rPr>
      </w:pPr>
      <w:r>
        <w:rPr>
          <w:rFonts w:ascii="Arial" w:cs="Arial" w:eastAsia="Arial" w:hAnsi="Arial"/>
          <w:sz w:val="16"/>
          <w:szCs w:val="16"/>
          <w:color w:val="333333"/>
        </w:rPr>
        <w:t>Any employee or consultant of Martin Marietta or its subsidiaries and any non-employee Director may receive an award under the Stock-Based Plan. As of December 31, 2025, there are approximately 9,500 employees and approximately 300 consultants of Martin Marietta and its subsidiaries and nine non-employee Directors who may be eligible to participate in the Stock-Based Plan.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Certain Adjustments</w:t>
      </w:r>
    </w:p>
    <w:p>
      <w:pPr>
        <w:spacing w:after="0" w:line="54" w:lineRule="exact"/>
        <w:rPr>
          <w:sz w:val="20"/>
          <w:szCs w:val="20"/>
          <w:color w:val="auto"/>
        </w:rPr>
      </w:pPr>
    </w:p>
    <w:p>
      <w:pPr>
        <w:ind w:left="4" w:right="120"/>
        <w:spacing w:after="0" w:line="266" w:lineRule="auto"/>
        <w:rPr>
          <w:sz w:val="20"/>
          <w:szCs w:val="20"/>
          <w:color w:val="auto"/>
        </w:rPr>
      </w:pPr>
      <w:r>
        <w:rPr>
          <w:rFonts w:ascii="Arial" w:cs="Arial" w:eastAsia="Arial" w:hAnsi="Arial"/>
          <w:sz w:val="16"/>
          <w:szCs w:val="16"/>
          <w:color w:val="333333"/>
        </w:rPr>
        <w:t>The share limitations under the Stock-Based Plan, as well as the terms of outstanding awards, are subject to adjustment as the Management Development and Compensation Committee deems equitable or appropriate in connection with certain changes in the capitalization of Martin Marietta or certain other transactions affecting the shares.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Stock Options and Stock Appreciation Rights</w:t>
      </w:r>
    </w:p>
    <w:p>
      <w:pPr>
        <w:spacing w:after="0" w:line="54"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333333"/>
        </w:rPr>
        <w:t>The Management Development and Compensation Committee may grant to a participant incentive stock options that qualify under Section 422 of the Code, options which do not qualify as incentive stock options (“non-qualified options”), or a combination thereof. However, to the extent that the aggregate fair market value (determined at the time of grant) of the shares subject to incentive stock options which are exercisable by a participant for the first time during a calendar year would exceed $100,000, the excess will instead be treated as non-qualified options. The Management Development and Compensation Committee may also grant to a participant stock appreciation rights, which entitles the participant to receive, upon its exercise, a payment equal to (i) the excess of the fair market value of a share on the exercise date over the base price of the stock appreciation right, multiplied by (ii) the number of shares with respect to which the stock appreciation right is exercised.</w:t>
      </w:r>
    </w:p>
    <w:p>
      <w:pPr>
        <w:spacing w:after="0" w:line="73" w:lineRule="exact"/>
        <w:rPr>
          <w:sz w:val="20"/>
          <w:szCs w:val="20"/>
          <w:color w:val="auto"/>
        </w:rPr>
      </w:pPr>
    </w:p>
    <w:p>
      <w:pPr>
        <w:ind w:left="4" w:right="260"/>
        <w:spacing w:after="0" w:line="256" w:lineRule="auto"/>
        <w:rPr>
          <w:sz w:val="20"/>
          <w:szCs w:val="20"/>
          <w:color w:val="auto"/>
        </w:rPr>
      </w:pPr>
      <w:r>
        <w:rPr>
          <w:rFonts w:ascii="Arial" w:cs="Arial" w:eastAsia="Arial" w:hAnsi="Arial"/>
          <w:sz w:val="16"/>
          <w:szCs w:val="16"/>
          <w:color w:val="333333"/>
        </w:rPr>
        <w:t>The terms and conditions of stock option and stock appreciation rights, including the quantity, exercise price, base price, vesting periods, and other conditions on exercise, will be determined by the Management Development and Compensation Committee. Options and stock appreciation rights generally will have a term of ten years, except that the option or stock appreciation right may expire earlier upon a participant’s termination of services (which includes the participant’s death, permanent disability, or retirement, a termination due to a reduction in force, or other termination) as set forth in the Stock-Based Plan and in the participant’s award agreement.</w:t>
      </w:r>
    </w:p>
    <w:p>
      <w:pPr>
        <w:spacing w:after="0" w:line="72" w:lineRule="exact"/>
        <w:rPr>
          <w:sz w:val="20"/>
          <w:szCs w:val="20"/>
          <w:color w:val="auto"/>
        </w:rPr>
      </w:pPr>
    </w:p>
    <w:p>
      <w:pPr>
        <w:ind w:left="4" w:right="140"/>
        <w:spacing w:after="0" w:line="254" w:lineRule="auto"/>
        <w:rPr>
          <w:sz w:val="20"/>
          <w:szCs w:val="20"/>
          <w:color w:val="auto"/>
        </w:rPr>
      </w:pPr>
      <w:r>
        <w:rPr>
          <w:rFonts w:ascii="Arial" w:cs="Arial" w:eastAsia="Arial" w:hAnsi="Arial"/>
          <w:sz w:val="16"/>
          <w:szCs w:val="16"/>
          <w:color w:val="333333"/>
        </w:rPr>
        <w:t>The exercise price for stock options and the base price for stock appreciation rights will be determined by the Management Development and Compensation Committee at its discretion, provided that the exercise price or base price per share will be at least equal to 100% of the fair market value of a share on the date when the stock option or stock appreciation right is granted. Payment for shares on the exercise of stock options may be made in cash or, in the discretion of the Management Development and Compensation Committee, by the tender of shares, a combination of cash and shares or through such other means as the Management Development and Compensation Committee determines are consistent with the purposes of the Stock-Based Plan and applicable law.</w:t>
      </w:r>
    </w:p>
    <w:p>
      <w:pPr>
        <w:spacing w:after="0" w:line="74" w:lineRule="exact"/>
        <w:rPr>
          <w:sz w:val="20"/>
          <w:szCs w:val="20"/>
          <w:color w:val="auto"/>
        </w:rPr>
      </w:pPr>
    </w:p>
    <w:p>
      <w:pPr>
        <w:jc w:val="both"/>
        <w:ind w:left="4" w:right="40"/>
        <w:spacing w:after="0" w:line="253" w:lineRule="auto"/>
        <w:rPr>
          <w:sz w:val="20"/>
          <w:szCs w:val="20"/>
          <w:color w:val="auto"/>
        </w:rPr>
      </w:pPr>
      <w:r>
        <w:rPr>
          <w:rFonts w:ascii="Arial" w:cs="Arial" w:eastAsia="Arial" w:hAnsi="Arial"/>
          <w:sz w:val="16"/>
          <w:szCs w:val="16"/>
          <w:color w:val="333333"/>
        </w:rPr>
        <w:t>Other than as provided in the adjustment provisions of the Stock-Based Plan, without shareholder approval, (i) no stock option or stock appreciation right may be amended to reduce its exercise price or base price without shareholder approval, (ii) no stock option or stock appreciation right may be granted in exchange for the cancellation or surrender of a stock option, stock appreciation right, or other award having a lower exercise price or base price, and</w:t>
      </w:r>
    </w:p>
    <w:p>
      <w:pPr>
        <w:spacing w:after="0" w:line="1" w:lineRule="exact"/>
        <w:rPr>
          <w:sz w:val="20"/>
          <w:szCs w:val="20"/>
          <w:color w:val="auto"/>
        </w:rPr>
      </w:pPr>
    </w:p>
    <w:p>
      <w:pPr>
        <w:ind w:left="4" w:right="40" w:hanging="4"/>
        <w:spacing w:after="0" w:line="251" w:lineRule="auto"/>
        <w:tabs>
          <w:tab w:leader="none" w:pos="265" w:val="left"/>
        </w:tabs>
        <w:numPr>
          <w:ilvl w:val="0"/>
          <w:numId w:val="137"/>
        </w:numPr>
        <w:rPr>
          <w:rFonts w:ascii="Arial" w:cs="Arial" w:eastAsia="Arial" w:hAnsi="Arial"/>
          <w:sz w:val="16"/>
          <w:szCs w:val="16"/>
          <w:color w:val="333333"/>
        </w:rPr>
      </w:pPr>
      <w:r>
        <w:rPr>
          <w:rFonts w:ascii="Arial" w:cs="Arial" w:eastAsia="Arial" w:hAnsi="Arial"/>
          <w:sz w:val="16"/>
          <w:szCs w:val="16"/>
          <w:color w:val="333333"/>
        </w:rPr>
        <w:t>no stock option may be granted with an automatic reload feature whereby Martin Marietta is obligated to grant a new award under the Stock-Based Plan upon the exercise of the stock option. In addition, no action may be taken without shareholder approval with respect to a stock option or stock appreciation right that may be treated as a repricing under the rules and regulations of the New York Stock Exchange. In no event will Martin Marietta pay cash or other consideration for stock options or stock appreciation rights where at the time of payment the exercise price or base price is less than the fair market value of a share.</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33333"/>
        </w:rPr>
        <w:t>Restricted Stock and Restricted Stock Units</w:t>
      </w:r>
    </w:p>
    <w:p>
      <w:pPr>
        <w:spacing w:after="0" w:line="54" w:lineRule="exact"/>
        <w:rPr>
          <w:sz w:val="20"/>
          <w:szCs w:val="20"/>
          <w:color w:val="auto"/>
        </w:rPr>
      </w:pPr>
    </w:p>
    <w:p>
      <w:pPr>
        <w:ind w:left="4" w:right="220"/>
        <w:spacing w:after="0" w:line="259" w:lineRule="auto"/>
        <w:rPr>
          <w:sz w:val="20"/>
          <w:szCs w:val="20"/>
          <w:color w:val="auto"/>
        </w:rPr>
      </w:pPr>
      <w:r>
        <w:rPr>
          <w:rFonts w:ascii="Arial" w:cs="Arial" w:eastAsia="Arial" w:hAnsi="Arial"/>
          <w:sz w:val="16"/>
          <w:szCs w:val="16"/>
          <w:color w:val="333333"/>
        </w:rPr>
        <w:t>The Management Development and Compensation Committee may award to a participant shares subject to restrictions on transfer and/or such other restrictions or incidents of ownership as the Management Development and Compensation Committee may determine or restricted stock units that represents an unfunded and unsecured promise to deliver shares, cash, other securities or property, subject to the satisfaction of the applicable vesting conditions.</w:t>
      </w:r>
    </w:p>
    <w:p>
      <w:pPr>
        <w:spacing w:after="0" w:line="35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97 </w:t>
      </w:r>
      <w:r>
        <w:rPr>
          <w:rFonts w:ascii="Arial" w:cs="Arial" w:eastAsia="Arial" w:hAnsi="Arial"/>
          <w:sz w:val="16"/>
          <w:szCs w:val="16"/>
          <w:color w:val="333333"/>
        </w:rPr>
        <w:t xml:space="preserve">               </w:t>
      </w:r>
    </w:p>
    <w:p>
      <w:pPr>
        <w:sectPr>
          <w:pgSz w:w="11900" w:h="16838" w:orient="portrait"/>
          <w:cols w:equalWidth="0" w:num="4">
            <w:col w:w="204" w:space="120"/>
            <w:col w:w="3540" w:space="720"/>
            <w:col w:w="4660" w:space="720"/>
            <w:col w:w="1060"/>
          </w:cols>
          <w:pgMar w:left="436" w:top="315" w:right="4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47"/>
        </w:trPr>
        <w:tc>
          <w:tcPr>
            <w:tcW w:w="960" w:type="dxa"/>
            <w:vAlign w:val="bottom"/>
            <w:shd w:val="clear" w:color="auto" w:fill="4D5357"/>
          </w:tcPr>
          <w:p>
            <w:pPr>
              <w:ind w:left="700"/>
              <w:spacing w:after="0"/>
              <w:rPr>
                <w:sz w:val="20"/>
                <w:szCs w:val="20"/>
                <w:color w:val="auto"/>
              </w:rPr>
            </w:pPr>
            <w:r>
              <w:rPr>
                <w:rFonts w:ascii="Arial" w:cs="Arial" w:eastAsia="Arial" w:hAnsi="Arial"/>
                <w:sz w:val="14"/>
                <w:szCs w:val="14"/>
                <w:b w:val="1"/>
                <w:bCs w:val="1"/>
                <w:color w:val="FFFFFF"/>
              </w:rPr>
              <w:t xml:space="preserve">    </w:t>
            </w:r>
          </w:p>
        </w:tc>
        <w:tc>
          <w:tcPr>
            <w:tcW w:w="308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PROPOSAL 4 Vote to Approve    </w:t>
            </w:r>
          </w:p>
        </w:tc>
      </w:tr>
      <w:tr>
        <w:trPr>
          <w:trHeight w:val="162"/>
        </w:trPr>
        <w:tc>
          <w:tcPr>
            <w:tcW w:w="4040" w:type="dxa"/>
            <w:vAlign w:val="bottom"/>
            <w:gridSpan w:val="2"/>
            <w:shd w:val="clear" w:color="auto" w:fill="4D5357"/>
          </w:tcPr>
          <w:p>
            <w:pPr>
              <w:ind w:left="280"/>
              <w:spacing w:after="0"/>
              <w:rPr>
                <w:sz w:val="20"/>
                <w:szCs w:val="20"/>
                <w:color w:val="auto"/>
              </w:rPr>
            </w:pPr>
            <w:r>
              <w:rPr>
                <w:rFonts w:ascii="Arial" w:cs="Arial" w:eastAsia="Arial" w:hAnsi="Arial"/>
                <w:sz w:val="14"/>
                <w:szCs w:val="14"/>
                <w:b w:val="1"/>
                <w:bCs w:val="1"/>
                <w:color w:val="FFFFFF"/>
              </w:rPr>
              <w:t xml:space="preserve">      the Martin Marietta Amended and Restated    </w:t>
            </w:r>
          </w:p>
        </w:tc>
      </w:tr>
      <w:tr>
        <w:trPr>
          <w:trHeight w:val="196"/>
        </w:trPr>
        <w:tc>
          <w:tcPr>
            <w:tcW w:w="960" w:type="dxa"/>
            <w:vAlign w:val="bottom"/>
            <w:shd w:val="clear" w:color="auto" w:fill="4D5357"/>
          </w:tcPr>
          <w:p>
            <w:pPr>
              <w:ind w:left="880"/>
              <w:spacing w:after="0"/>
              <w:rPr>
                <w:sz w:val="20"/>
                <w:szCs w:val="20"/>
                <w:color w:val="auto"/>
              </w:rPr>
            </w:pPr>
            <w:r>
              <w:rPr>
                <w:rFonts w:ascii="Arial" w:cs="Arial" w:eastAsia="Arial" w:hAnsi="Arial"/>
                <w:sz w:val="8"/>
                <w:szCs w:val="8"/>
                <w:b w:val="1"/>
                <w:bCs w:val="1"/>
                <w:color w:val="FFFFFF"/>
                <w:w w:val="74"/>
              </w:rPr>
              <w:t> </w:t>
            </w:r>
          </w:p>
        </w:tc>
        <w:tc>
          <w:tcPr>
            <w:tcW w:w="308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Stock-Based Award Plan    </w:t>
            </w:r>
          </w:p>
        </w:tc>
      </w:tr>
      <w:tr>
        <w:trPr>
          <w:trHeight w:val="137"/>
        </w:trPr>
        <w:tc>
          <w:tcPr>
            <w:tcW w:w="960" w:type="dxa"/>
            <w:vAlign w:val="bottom"/>
            <w:shd w:val="clear" w:color="auto" w:fill="4D5357"/>
          </w:tcPr>
          <w:p>
            <w:pPr>
              <w:spacing w:after="0"/>
              <w:rPr>
                <w:sz w:val="11"/>
                <w:szCs w:val="11"/>
                <w:color w:val="auto"/>
              </w:rPr>
            </w:pPr>
          </w:p>
        </w:tc>
        <w:tc>
          <w:tcPr>
            <w:tcW w:w="3080" w:type="dxa"/>
            <w:vAlign w:val="bottom"/>
            <w:shd w:val="clear" w:color="auto" w:fill="4D5357"/>
          </w:tcPr>
          <w:p>
            <w:pPr>
              <w:spacing w:after="0"/>
              <w:rPr>
                <w:sz w:val="11"/>
                <w:szCs w:val="1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both"/>
        <w:ind w:right="60"/>
        <w:spacing w:after="0" w:line="266" w:lineRule="auto"/>
        <w:rPr>
          <w:sz w:val="20"/>
          <w:szCs w:val="20"/>
          <w:color w:val="auto"/>
        </w:rPr>
      </w:pPr>
      <w:r>
        <w:rPr>
          <w:rFonts w:ascii="Arial" w:cs="Arial" w:eastAsia="Arial" w:hAnsi="Arial"/>
          <w:sz w:val="16"/>
          <w:szCs w:val="16"/>
          <w:color w:val="333333"/>
        </w:rPr>
        <w:t>Each restricted stock unit will be granted with respect to a specified number of shares (or a number of shares determined pursuant to a specified formula) or will have a cash value equal to the fair market value of such number of shares. Restricted stock units will be settled in cash, shares, other securities or other property upon vesting or at such other time or upon such other event as specified in the applicable award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Performance-based Awards, Cash-based Awards and Other Stock-Based Awards</w:t>
      </w:r>
    </w:p>
    <w:p>
      <w:pPr>
        <w:spacing w:after="0" w:line="5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333333"/>
        </w:rPr>
        <w:t>The Management Development and Compensation Committee may provide that the vesting, settlement payment of an award, or any portion thereof, is based in whole or in part on one or more performance requirements selected by the Management Development and Compensation Committee. The Management Development and Compensation Committee will determine the extent to which any such performance requirements have been achieved and the amount payable under the award prior to vesting, settlement or payment.</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333333"/>
        </w:rPr>
        <w:t>The Management Development and Compensation Committee may grant participants cash incentive awards that are settled in cash, the value of which is determined by the Management Development and Compensation Committee and is not based on the fair market value of shares. The Management Development and Compensation Committee may also award to a participant other awards that (i) provide the participant with any other right to purchase or receive shares, or (ii) otherwise relate to shares (including, but not limited to phantom securities or dividend equivalents) (collectively, “other stock-based awards”). Other stock-based awards will be in a form determined by the Management Development and Compensation Committee, but will not be inconsistent with the terms and purposes of the Stock-Based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Non-Employee Director Compensation Limitations.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333333"/>
        </w:rPr>
        <w:t>Non-employee Directors may not be paid or granted, in any fiscal year, cash compensation and equity awards with an aggregate value greater than</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333333"/>
        </w:rPr>
        <w:t>$750,000. The value of equity awards will be determined based on their grant date fair value. The foregoing limitations will be increased to $1,000,000 for a non-employee Director in a fiscal year in which such non-employee director receives (i) a one-time initial equity grant upon such Director’s initial appointment to the Board of Directors or (ii) compensation provided in extraordinary circumstances and only if such Director did not participate in the decision to award such compensation or any other contemporaneous compensation decisions involving other non-employee Directors. For the avoidance of doubt, compensation paid to a non-employee Director in their capacity other than as a Director, e.g., an employee or consulting role, will not be subject to the foregoing limitation. Compensation that is deferred will be counted towards the foregoing limit for the year in which it is granted.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Minimum Vesting Periods</w:t>
      </w:r>
    </w:p>
    <w:p>
      <w:pPr>
        <w:spacing w:after="0" w:line="5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333333"/>
        </w:rPr>
        <w:t>Except in the case of awards made in connection with non-employee Directors or the recruitment of new employees (including new officers), or as otherwise provided in the Stock-Based Plan, or otherwise provided by the award agreement in connection with retirement, disability, or death of the holder, awards granted under the Stock-Based Plan (other than cash-based awards) will vest not earlier than one year from the grant date of the award. The Management Development and Compensation Committee may grant awards covering up to 5% of the total share reserve (subject to adjustment) that are not subject to this minimum vesting requirement. In addition, the Management Development and Compensation Committee may, in its discretion, waive all or a portion of any remaining vesting or exercisability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Award Agreements</w:t>
      </w:r>
    </w:p>
    <w:p>
      <w:pPr>
        <w:spacing w:after="0" w:line="5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33333"/>
        </w:rPr>
        <w:t>Each award granted under the Stock-Based Plan will be evidenced by an award agreement that will set forth the number of shares subject to the award and such other terms and conditions applicable to the award as determined by the Management Development and Compensation Committee. Award agreements may also contain the following terms, except to the extent prohibited by the Stock-Based Plan: (i) a provision describing the treatment of an award in the event of a participant’s retirement, disability, death, or other termination of employment or service with Martin Marietta; (ii) a provision that the participant will have no rights as a shareholder under an award until the date the participant becomes the holder of record; (iii) a provision requiring the withholding of applicable taxes required by law from all amounts paid in satisfaction of an award; (iv) a provision stating that no award is enforceable until the award agreement has been signed by the participant and the Chair, the Chief Executive Officer or the General Counsel or any other individual with the authority to grant awards under the Stock-Based Plan (in each case or his or her delegate); (v) the permitted methods of exercising and paying the exercise price with respect to an award; (vi) the vesting conditions applicable to an award; (vii) provisions permitting or requiring the surrender of outstanding awards or securities held by the participant to exercise or realize rights under awards or for the grant of new awards; (viii) provisions providing for dividend equivalents (provided that such equivalents will be paid no earlier than the lapsing of restrictions applicable to the award); and (ix) such other terms as are necessary and appropriate to effect an award.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Change in Control</w:t>
      </w:r>
    </w:p>
    <w:p>
      <w:pPr>
        <w:spacing w:after="0" w:line="5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333333"/>
        </w:rPr>
        <w:t>The Stock-Based Plan provides that if, in connection with a change in control, the surviving or successor entity assumes, substitutes for, or continues outstanding awards, the awards generally will remain outstanding in accordance with their terms and will not vest solely as a</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98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315" w:right="439" w:bottom="1440" w:gutter="0" w:footer="0" w:header="0"/>
          <w:type w:val="continuous"/>
        </w:sectPr>
      </w:pPr>
    </w:p>
    <w:bookmarkStart w:id="105" w:name="page106"/>
    <w:bookmarkEnd w:id="105"/>
    <w:tbl>
      <w:tblPr>
        <w:tblLayout w:type="fixed"/>
        <w:tblInd w:w="6820" w:type="dxa"/>
        <w:tblCellMar>
          <w:top w:w="0" w:type="dxa"/>
          <w:left w:w="0" w:type="dxa"/>
          <w:bottom w:w="0" w:type="dxa"/>
          <w:right w:w="0" w:type="dxa"/>
        </w:tblCellMar>
      </w:tblPr>
      <w:tr>
        <w:trPr>
          <w:trHeight w:val="274"/>
        </w:trPr>
        <w:tc>
          <w:tcPr>
            <w:tcW w:w="1100" w:type="dxa"/>
            <w:vAlign w:val="bottom"/>
            <w:shd w:val="clear" w:color="auto" w:fill="4D5357"/>
          </w:tcPr>
          <w:p>
            <w:pPr>
              <w:ind w:left="840"/>
              <w:spacing w:after="0"/>
              <w:rPr>
                <w:sz w:val="20"/>
                <w:szCs w:val="20"/>
                <w:color w:val="auto"/>
              </w:rPr>
            </w:pPr>
            <w:r>
              <w:rPr>
                <w:rFonts w:ascii="Arial" w:cs="Arial" w:eastAsia="Arial" w:hAnsi="Arial"/>
                <w:sz w:val="14"/>
                <w:szCs w:val="14"/>
                <w:b w:val="1"/>
                <w:bCs w:val="1"/>
                <w:color w:val="FFFFFF"/>
              </w:rPr>
              <w:t xml:space="preserve">    </w:t>
            </w:r>
          </w:p>
        </w:tc>
        <w:tc>
          <w:tcPr>
            <w:tcW w:w="310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PROPOSAL 4 Vote to Approve    </w:t>
            </w:r>
          </w:p>
        </w:tc>
      </w:tr>
      <w:tr>
        <w:trPr>
          <w:trHeight w:val="162"/>
        </w:trPr>
        <w:tc>
          <w:tcPr>
            <w:tcW w:w="4200" w:type="dxa"/>
            <w:vAlign w:val="bottom"/>
            <w:gridSpan w:val="2"/>
            <w:shd w:val="clear" w:color="auto" w:fill="4D5357"/>
          </w:tcPr>
          <w:p>
            <w:pPr>
              <w:ind w:left="420"/>
              <w:spacing w:after="0"/>
              <w:rPr>
                <w:sz w:val="20"/>
                <w:szCs w:val="20"/>
                <w:color w:val="auto"/>
              </w:rPr>
            </w:pPr>
            <w:r>
              <w:rPr>
                <w:rFonts w:ascii="Arial" w:cs="Arial" w:eastAsia="Arial" w:hAnsi="Arial"/>
                <w:sz w:val="14"/>
                <w:szCs w:val="14"/>
                <w:b w:val="1"/>
                <w:bCs w:val="1"/>
                <w:color w:val="FFFFFF"/>
              </w:rPr>
              <w:t xml:space="preserve">      the Martin Marietta Amended and Restated    </w:t>
            </w:r>
          </w:p>
        </w:tc>
      </w:tr>
      <w:tr>
        <w:trPr>
          <w:trHeight w:val="196"/>
        </w:trPr>
        <w:tc>
          <w:tcPr>
            <w:tcW w:w="1100" w:type="dxa"/>
            <w:vAlign w:val="bottom"/>
            <w:shd w:val="clear" w:color="auto" w:fill="4D5357"/>
          </w:tcPr>
          <w:p>
            <w:pPr>
              <w:ind w:left="1020"/>
              <w:spacing w:after="0"/>
              <w:rPr>
                <w:sz w:val="20"/>
                <w:szCs w:val="20"/>
                <w:color w:val="auto"/>
              </w:rPr>
            </w:pPr>
            <w:r>
              <w:rPr>
                <w:rFonts w:ascii="Arial" w:cs="Arial" w:eastAsia="Arial" w:hAnsi="Arial"/>
                <w:sz w:val="8"/>
                <w:szCs w:val="8"/>
                <w:b w:val="1"/>
                <w:bCs w:val="1"/>
                <w:color w:val="FFFFFF"/>
                <w:w w:val="74"/>
              </w:rPr>
              <w:t> </w:t>
            </w:r>
          </w:p>
        </w:tc>
        <w:tc>
          <w:tcPr>
            <w:tcW w:w="310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Stock-Based Award Plan    </w:t>
            </w:r>
          </w:p>
        </w:tc>
      </w:tr>
      <w:tr>
        <w:trPr>
          <w:trHeight w:val="110"/>
        </w:trPr>
        <w:tc>
          <w:tcPr>
            <w:tcW w:w="1100" w:type="dxa"/>
            <w:vAlign w:val="bottom"/>
            <w:shd w:val="clear" w:color="auto" w:fill="4D5357"/>
          </w:tcPr>
          <w:p>
            <w:pPr>
              <w:spacing w:after="0"/>
              <w:rPr>
                <w:sz w:val="9"/>
                <w:szCs w:val="9"/>
                <w:color w:val="auto"/>
              </w:rPr>
            </w:pPr>
          </w:p>
        </w:tc>
        <w:tc>
          <w:tcPr>
            <w:tcW w:w="310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right="80"/>
        <w:spacing w:after="0" w:line="256" w:lineRule="auto"/>
        <w:rPr>
          <w:sz w:val="20"/>
          <w:szCs w:val="20"/>
          <w:color w:val="auto"/>
        </w:rPr>
      </w:pPr>
      <w:r>
        <w:rPr>
          <w:rFonts w:ascii="Arial" w:cs="Arial" w:eastAsia="Arial" w:hAnsi="Arial"/>
          <w:sz w:val="16"/>
          <w:szCs w:val="16"/>
          <w:color w:val="333333"/>
        </w:rPr>
        <w:t>result of the change in control. An award will be considered assumed or substituted if it provides the holder with the right to receive consideration of substantially equivalent value to that received by Martin Marietta’s shareholders in the transaction. If a participant’s employment or service is terminated without cause (or, if applicable, for good reason) within two years following a change in control, the assumed or substituted awards will vest in full, with any performance conditions deemed satisfied at the greater of target and actual performance through the date of the change in control, as determined by the Management Development and Compensation Committee.</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If provision is not made for the assumption, substitution, or continuation of an award in connection with a change in control, the award generally will vest in full immediately prior to the change in control with any performance conditions deemed satisfied at the greater of target and actual performance through the date of the change in control, as determined by the Management Development and Compensation Committee. Stock options and stock appreciation rights will become exercisable, and other awards will generally be settled as soon as practicable following vesting, although the Management Development and Compensation Committee retains discretion to provide for the cash-out or cancellation of options and stock appreciation rights instead. In the event stock options and stock appreciation rights are cashed-out or canceled, stock options and stock appreciation rights with an exercise price equal to or exceeding the fair market value of a share in the change in control would be canceled for no consideration.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Clawback</w:t>
      </w:r>
    </w:p>
    <w:p>
      <w:pPr>
        <w:spacing w:after="0" w:line="5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333333"/>
        </w:rPr>
        <w:t>An award held by a participant will be cancelled if such participant, without the consent of Martin Marietta, violates any policy relating to the recovery of compensation granted, paid, delivered, awarded, or otherwise provided to any participant as such policy is in effect on the date of grant of the applicable award or, to the extent necessary to address the requirements of applicable law. In addition, to the extent provided in any such policy, (i) a participant will forfeit any gain realized on the vesting or exercise of an award if the participant engages in any activity referred to in the preceding sentence, or (ii) a participant must repay the gain to Martin Marietta realized under a previously paid award subject to performance requirements if a financial restatement reduces the amount that would have been earned under such award.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Federal Income Tax Consequences</w:t>
      </w:r>
    </w:p>
    <w:p>
      <w:pPr>
        <w:spacing w:after="0" w:line="5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333333"/>
        </w:rPr>
        <w:t>The following is a summary of the principal federal income tax consequences of awards that may be granted under the Stock-Based Plan under present tax law. This summary is not intended to be exhaustive and, among other things, does not describe state, local, or foreign tax consequences.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Stock Options</w:t>
      </w:r>
    </w:p>
    <w:p>
      <w:pPr>
        <w:spacing w:after="0" w:line="5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333333"/>
        </w:rPr>
        <w:t>No tax is incurred by the participant, and no amount is deductible by Martin Marietta, upon the grant of a stock option, whether it is a nonqualified stock option or an incentive stock option. At the time of exercise of a nonqualified option, the difference between the exercise price and the fair market value of a share will constitute ordinary income to the participant. Martin Marietta will be allowed a deduction equal to the amount of ordinary income recognized by the participant.</w:t>
      </w:r>
    </w:p>
    <w:p>
      <w:pPr>
        <w:spacing w:after="0" w:line="70"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333333"/>
        </w:rPr>
        <w:t>In the case of incentive stock options, although no income is recognized upon exercise by the participant and Martin Marietta is not entitled to a deduction, the excess of the fair market value of a share on the date of exercise over the exercise price is counted in determining the participant’s alternative minimum taxable income. If the participant does not dispose of the shares acquired on the exercise of an incentive stock option within one year after their receipt and within two years after the grant of the incentive stock option, gain or loss recognized on the disposition of the shares will be treated as long-term capital gain or loss. In the event of an earlier disposition of shares acquired upon the exercise of an incentive stock option, the participant may recognize ordinary income, and if so, Martin Marietta will be entitled to a deduction in the same amount.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Stock Appreciation Rights</w:t>
      </w:r>
    </w:p>
    <w:p>
      <w:pPr>
        <w:spacing w:after="0" w:line="5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333333"/>
        </w:rPr>
        <w:t>The participant will not recognize any income at the time of the grant of a stock appreciation right. Upon the exercise of a stock appreciation right, the cash received will constitute ordinary income to the participant. Martin Marietta will be entitled to a deduction in the amount of such income at the time of exercise.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Restricted Stock</w:t>
      </w:r>
    </w:p>
    <w:p>
      <w:pPr>
        <w:spacing w:after="0" w:line="5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333333"/>
        </w:rPr>
        <w:t>A participant normally will not recognize taxable income upon an award of restricted shares, and Martin Marietta will not be entitled to a deduction until the lapse of the applicable restrictions. Upon the lapse of the restrictions, the participant will recognize ordinary taxable income in an amount equal to the fair market value of a share as to which the restrictions have lapsed, and Martin Marietta will be entitled to a deduction in the same amount. However, a participant may elect under Section 83(b) of the Code to recognize taxable ordinary income in the year the restricted shares are awarded in an amount equal to the fair market value of the shares at that time, determined without regard to the restrictions. In such event, Martin Marietta will then be entitled to a deduction in the same amount.</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99 </w:t>
      </w:r>
      <w:r>
        <w:rPr>
          <w:rFonts w:ascii="Arial" w:cs="Arial" w:eastAsia="Arial" w:hAnsi="Arial"/>
          <w:sz w:val="16"/>
          <w:szCs w:val="16"/>
          <w:color w:val="333333"/>
        </w:rPr>
        <w:t xml:space="preserve">               </w:t>
      </w:r>
    </w:p>
    <w:p>
      <w:pPr>
        <w:sectPr>
          <w:pgSz w:w="11900" w:h="16838" w:orient="portrait"/>
          <w:cols w:equalWidth="0" w:num="4">
            <w:col w:w="200" w:space="120"/>
            <w:col w:w="3540" w:space="720"/>
            <w:col w:w="4660" w:space="720"/>
            <w:col w:w="1060"/>
          </w:cols>
          <w:pgMar w:left="440" w:top="315" w:right="4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74"/>
        </w:trPr>
        <w:tc>
          <w:tcPr>
            <w:tcW w:w="960" w:type="dxa"/>
            <w:vAlign w:val="bottom"/>
            <w:shd w:val="clear" w:color="auto" w:fill="4D5357"/>
          </w:tcPr>
          <w:p>
            <w:pPr>
              <w:ind w:left="700"/>
              <w:spacing w:after="0"/>
              <w:rPr>
                <w:sz w:val="20"/>
                <w:szCs w:val="20"/>
                <w:color w:val="auto"/>
              </w:rPr>
            </w:pPr>
            <w:r>
              <w:rPr>
                <w:rFonts w:ascii="Arial" w:cs="Arial" w:eastAsia="Arial" w:hAnsi="Arial"/>
                <w:sz w:val="14"/>
                <w:szCs w:val="14"/>
                <w:b w:val="1"/>
                <w:bCs w:val="1"/>
                <w:color w:val="FFFFFF"/>
              </w:rPr>
              <w:t xml:space="preserve">    </w:t>
            </w:r>
          </w:p>
        </w:tc>
        <w:tc>
          <w:tcPr>
            <w:tcW w:w="308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PROPOSAL 4 Vote to Approve    </w:t>
            </w:r>
          </w:p>
        </w:tc>
      </w:tr>
      <w:tr>
        <w:trPr>
          <w:trHeight w:val="162"/>
        </w:trPr>
        <w:tc>
          <w:tcPr>
            <w:tcW w:w="4040" w:type="dxa"/>
            <w:vAlign w:val="bottom"/>
            <w:gridSpan w:val="2"/>
            <w:shd w:val="clear" w:color="auto" w:fill="4D5357"/>
          </w:tcPr>
          <w:p>
            <w:pPr>
              <w:ind w:left="280"/>
              <w:spacing w:after="0"/>
              <w:rPr>
                <w:sz w:val="20"/>
                <w:szCs w:val="20"/>
                <w:color w:val="auto"/>
              </w:rPr>
            </w:pPr>
            <w:r>
              <w:rPr>
                <w:rFonts w:ascii="Arial" w:cs="Arial" w:eastAsia="Arial" w:hAnsi="Arial"/>
                <w:sz w:val="14"/>
                <w:szCs w:val="14"/>
                <w:b w:val="1"/>
                <w:bCs w:val="1"/>
                <w:color w:val="FFFFFF"/>
              </w:rPr>
              <w:t xml:space="preserve">      the Martin Marietta Amended and Restated    </w:t>
            </w:r>
          </w:p>
        </w:tc>
      </w:tr>
      <w:tr>
        <w:trPr>
          <w:trHeight w:val="196"/>
        </w:trPr>
        <w:tc>
          <w:tcPr>
            <w:tcW w:w="960" w:type="dxa"/>
            <w:vAlign w:val="bottom"/>
            <w:shd w:val="clear" w:color="auto" w:fill="4D5357"/>
          </w:tcPr>
          <w:p>
            <w:pPr>
              <w:ind w:left="880"/>
              <w:spacing w:after="0"/>
              <w:rPr>
                <w:sz w:val="20"/>
                <w:szCs w:val="20"/>
                <w:color w:val="auto"/>
              </w:rPr>
            </w:pPr>
            <w:r>
              <w:rPr>
                <w:rFonts w:ascii="Arial" w:cs="Arial" w:eastAsia="Arial" w:hAnsi="Arial"/>
                <w:sz w:val="8"/>
                <w:szCs w:val="8"/>
                <w:b w:val="1"/>
                <w:bCs w:val="1"/>
                <w:color w:val="FFFFFF"/>
                <w:w w:val="74"/>
              </w:rPr>
              <w:t> </w:t>
            </w:r>
          </w:p>
        </w:tc>
        <w:tc>
          <w:tcPr>
            <w:tcW w:w="308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xml:space="preserve">   Stock-Based Award Plan    </w:t>
            </w:r>
          </w:p>
        </w:tc>
      </w:tr>
      <w:tr>
        <w:trPr>
          <w:trHeight w:val="110"/>
        </w:trPr>
        <w:tc>
          <w:tcPr>
            <w:tcW w:w="960" w:type="dxa"/>
            <w:vAlign w:val="bottom"/>
            <w:shd w:val="clear" w:color="auto" w:fill="4D5357"/>
          </w:tcPr>
          <w:p>
            <w:pPr>
              <w:spacing w:after="0"/>
              <w:rPr>
                <w:sz w:val="9"/>
                <w:szCs w:val="9"/>
                <w:color w:val="auto"/>
              </w:rPr>
            </w:pPr>
          </w:p>
        </w:tc>
        <w:tc>
          <w:tcPr>
            <w:tcW w:w="308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right="200"/>
        <w:spacing w:after="0" w:line="286" w:lineRule="auto"/>
        <w:rPr>
          <w:sz w:val="20"/>
          <w:szCs w:val="20"/>
          <w:color w:val="auto"/>
        </w:rPr>
      </w:pPr>
      <w:r>
        <w:rPr>
          <w:rFonts w:ascii="Arial" w:cs="Arial" w:eastAsia="Arial" w:hAnsi="Arial"/>
          <w:sz w:val="16"/>
          <w:szCs w:val="16"/>
          <w:color w:val="333333"/>
        </w:rPr>
        <w:t>Any gain or loss subsequently recognized by the participant will be a short-term or long-term capital gain or loss, depending on how long the shares are held by the participant.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Restricted Stock Units</w:t>
      </w:r>
    </w:p>
    <w:p>
      <w:pPr>
        <w:spacing w:after="0" w:line="5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333333"/>
        </w:rPr>
        <w:t>A participant normally will not recognize taxable income upon an award of restricted stock units. Upon the lapse of the restrictions and the issuance of the earned shares, the participant will recognize ordinary taxable income in an amount equal to the fair market value of the shares or the amount of cash received and Martin Marietta will be entitled to a deduction in the same amount.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Performance Awards and Other Stock-Based Awards</w:t>
      </w:r>
    </w:p>
    <w:p>
      <w:pPr>
        <w:spacing w:after="0" w:line="52"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333333"/>
        </w:rPr>
        <w:t>Normally, a participant will not recognize taxable income upon the award of such grants. Subsequently, when the conditions and requirements for the grants have been satisfied and the payment determined, any cash received and the fair market value of any shares received will constitute ordinary income to the participant. Martin Marietta will then be entitled to a deduction in the same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Plan Benefits</w:t>
      </w:r>
    </w:p>
    <w:p>
      <w:pPr>
        <w:spacing w:after="0" w:line="5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33333"/>
        </w:rPr>
        <w:t>It is not presently possible to determine the dollar value of payments that may be made or the number of awards that may be granted under the Stock-Based Plan in the future, or the individuals who may be selected for such awards because awards under the Stock-Based Plan are made at the discretion of the Management Development and Compensation Committee. In 2025, the non-employee Directors and the named executive officers were granted awards as set forth in, respectively, the non-employee Director Compensation Table for 2025 and the Grants of Plan-Based Awards Table in 2025 on pages 35 and 78 of this Proxy Statement.</w:t>
      </w:r>
    </w:p>
    <w:p>
      <w:pPr>
        <w:spacing w:after="0" w:line="124"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Vote Required</w:t>
      </w:r>
    </w:p>
    <w:p>
      <w:pPr>
        <w:spacing w:after="0" w:line="6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333333"/>
        </w:rPr>
        <w:t>The approval of the Stock-Based Plan requires the affirmative vote of a majority of the votes cast on the proposal at the Annual Meeting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325755" cy="3003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6"/>
          <w:szCs w:val="16"/>
          <w:color w:val="0086CC"/>
        </w:rPr>
        <w:t xml:space="preserve">The Board Unanimously Recommends a Vote </w:t>
      </w:r>
      <w:r>
        <w:rPr>
          <w:rFonts w:ascii="Arial" w:cs="Arial" w:eastAsia="Arial" w:hAnsi="Arial"/>
          <w:sz w:val="16"/>
          <w:szCs w:val="16"/>
          <w:b w:val="1"/>
          <w:bCs w:val="1"/>
          <w:color w:val="0086CC"/>
        </w:rPr>
        <w:t>“FOR”</w:t>
      </w:r>
      <w:r>
        <w:rPr>
          <w:rFonts w:ascii="Arial" w:cs="Arial" w:eastAsia="Arial" w:hAnsi="Arial"/>
          <w:sz w:val="16"/>
          <w:szCs w:val="16"/>
          <w:color w:val="0086CC"/>
        </w:rPr>
        <w:t xml:space="preserve"> this Proposal 4</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4D5357"/>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1905</wp:posOffset>
            </wp:positionV>
            <wp:extent cx="6506210" cy="1289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506210" cy="1289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100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315" w:right="439" w:bottom="1440" w:gutter="0" w:footer="0" w:header="0"/>
          <w:type w:val="continuous"/>
        </w:sectPr>
      </w:pPr>
    </w:p>
    <w:bookmarkStart w:id="107" w:name="page108"/>
    <w:bookmarkEnd w:id="107"/>
    <w:p>
      <w:pPr>
        <w:ind w:left="4" w:right="580"/>
        <w:spacing w:after="0" w:line="282" w:lineRule="auto"/>
        <w:rPr>
          <w:sz w:val="20"/>
          <w:szCs w:val="20"/>
          <w:color w:val="auto"/>
        </w:rPr>
      </w:pPr>
      <w:r>
        <w:rPr>
          <w:rFonts w:ascii="Arial" w:cs="Arial" w:eastAsia="Arial" w:hAnsi="Arial"/>
          <w:sz w:val="68"/>
          <w:szCs w:val="68"/>
          <w:color w:val="0086CC"/>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Securities Authorized for Issuance Under Equity Compensation Plans</w:t>
      </w:r>
    </w:p>
    <w:p>
      <w:pPr>
        <w:spacing w:after="0" w:line="10" w:lineRule="exact"/>
        <w:rPr>
          <w:sz w:val="20"/>
          <w:szCs w:val="20"/>
          <w:color w:val="auto"/>
        </w:rPr>
      </w:pPr>
    </w:p>
    <w:p>
      <w:pPr>
        <w:ind w:left="4" w:right="220"/>
        <w:spacing w:after="0" w:line="253" w:lineRule="auto"/>
        <w:rPr>
          <w:sz w:val="20"/>
          <w:szCs w:val="20"/>
          <w:color w:val="auto"/>
        </w:rPr>
      </w:pPr>
      <w:r>
        <w:rPr>
          <w:rFonts w:ascii="Arial" w:cs="Arial" w:eastAsia="Arial" w:hAnsi="Arial"/>
          <w:sz w:val="16"/>
          <w:szCs w:val="16"/>
          <w:color w:val="333333"/>
        </w:rPr>
        <w:t>The following table shows information as of December 31, 2025 regarding Martin Marietta’s compensation plans that allow Martin Marietta to issue its equity securities. Martin Marietta’s equity compensation plans consist of the Amended and Restated Martin Marietta Materials, Inc. Common Stock Purchase Plan for Directors (the Directors’ Plan), the Stock-Based Award Plan, the Martin Marietta Materials, Inc. Amended and Restated Stock-Based Award Plan (the Stock-Based Award Plan), under which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Equity Compensation Plan Information</w:t>
      </w:r>
    </w:p>
    <w:p>
      <w:pPr>
        <w:spacing w:after="0" w:line="258"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00" w:type="dxa"/>
            <w:vAlign w:val="bottom"/>
          </w:tcPr>
          <w:p>
            <w:pPr>
              <w:jc w:val="center"/>
              <w:ind w:left="339"/>
              <w:spacing w:after="0"/>
              <w:rPr>
                <w:sz w:val="20"/>
                <w:szCs w:val="20"/>
                <w:color w:val="auto"/>
              </w:rPr>
            </w:pPr>
            <w:r>
              <w:rPr>
                <w:rFonts w:ascii="Arial" w:cs="Arial" w:eastAsia="Arial" w:hAnsi="Arial"/>
                <w:sz w:val="16"/>
                <w:szCs w:val="16"/>
                <w:b w:val="1"/>
                <w:bCs w:val="1"/>
                <w:color w:val="0086CC"/>
              </w:rPr>
              <w:t>NUMBER OF SECURITIES</w:t>
            </w:r>
          </w:p>
        </w:tc>
      </w:tr>
      <w:tr>
        <w:trPr>
          <w:trHeight w:val="189"/>
        </w:trPr>
        <w:tc>
          <w:tcPr>
            <w:tcW w:w="262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0086CC"/>
              </w:rPr>
              <w:t>NUMBER OF SECURITIES</w:t>
            </w:r>
          </w:p>
        </w:tc>
        <w:tc>
          <w:tcPr>
            <w:tcW w:w="2840" w:type="dxa"/>
            <w:vAlign w:val="bottom"/>
          </w:tcPr>
          <w:p>
            <w:pPr>
              <w:spacing w:after="0"/>
              <w:rPr>
                <w:sz w:val="16"/>
                <w:szCs w:val="16"/>
                <w:color w:val="auto"/>
              </w:rPr>
            </w:pPr>
          </w:p>
        </w:tc>
        <w:tc>
          <w:tcPr>
            <w:tcW w:w="2700" w:type="dxa"/>
            <w:vAlign w:val="bottom"/>
          </w:tcPr>
          <w:p>
            <w:pPr>
              <w:jc w:val="center"/>
              <w:ind w:left="339"/>
              <w:spacing w:after="0"/>
              <w:rPr>
                <w:sz w:val="20"/>
                <w:szCs w:val="20"/>
                <w:color w:val="auto"/>
              </w:rPr>
            </w:pPr>
            <w:r>
              <w:rPr>
                <w:rFonts w:ascii="Arial" w:cs="Arial" w:eastAsia="Arial" w:hAnsi="Arial"/>
                <w:sz w:val="16"/>
                <w:szCs w:val="16"/>
                <w:b w:val="1"/>
                <w:bCs w:val="1"/>
                <w:color w:val="0086CC"/>
                <w:w w:val="99"/>
              </w:rPr>
              <w:t>REMAINING AVAILABLE FOR</w:t>
            </w:r>
          </w:p>
        </w:tc>
      </w:tr>
      <w:tr>
        <w:trPr>
          <w:trHeight w:val="189"/>
        </w:trPr>
        <w:tc>
          <w:tcPr>
            <w:tcW w:w="262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0086CC"/>
              </w:rPr>
              <w:t>TO BE ISSUED UPON</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0086CC"/>
              </w:rPr>
              <w:t>WEIGHTED-AVERAGE</w:t>
            </w:r>
          </w:p>
        </w:tc>
        <w:tc>
          <w:tcPr>
            <w:tcW w:w="2700" w:type="dxa"/>
            <w:vAlign w:val="bottom"/>
          </w:tcPr>
          <w:p>
            <w:pPr>
              <w:jc w:val="center"/>
              <w:ind w:left="339"/>
              <w:spacing w:after="0"/>
              <w:rPr>
                <w:sz w:val="20"/>
                <w:szCs w:val="20"/>
                <w:color w:val="auto"/>
              </w:rPr>
            </w:pPr>
            <w:r>
              <w:rPr>
                <w:rFonts w:ascii="Arial" w:cs="Arial" w:eastAsia="Arial" w:hAnsi="Arial"/>
                <w:sz w:val="16"/>
                <w:szCs w:val="16"/>
                <w:b w:val="1"/>
                <w:bCs w:val="1"/>
                <w:color w:val="0086CC"/>
              </w:rPr>
              <w:t>FUTURE ISSUANCE UNDER</w:t>
            </w:r>
          </w:p>
        </w:tc>
      </w:tr>
      <w:tr>
        <w:trPr>
          <w:trHeight w:val="189"/>
        </w:trPr>
        <w:tc>
          <w:tcPr>
            <w:tcW w:w="262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0086CC"/>
              </w:rPr>
              <w:t>EXERCISE OF</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0086CC"/>
              </w:rPr>
              <w:t>EXERCISE PRICE OF</w:t>
            </w:r>
          </w:p>
        </w:tc>
        <w:tc>
          <w:tcPr>
            <w:tcW w:w="2700" w:type="dxa"/>
            <w:vAlign w:val="bottom"/>
          </w:tcPr>
          <w:p>
            <w:pPr>
              <w:jc w:val="center"/>
              <w:ind w:left="339"/>
              <w:spacing w:after="0"/>
              <w:rPr>
                <w:sz w:val="20"/>
                <w:szCs w:val="20"/>
                <w:color w:val="auto"/>
              </w:rPr>
            </w:pPr>
            <w:r>
              <w:rPr>
                <w:rFonts w:ascii="Arial" w:cs="Arial" w:eastAsia="Arial" w:hAnsi="Arial"/>
                <w:sz w:val="16"/>
                <w:szCs w:val="16"/>
                <w:b w:val="1"/>
                <w:bCs w:val="1"/>
                <w:color w:val="0086CC"/>
              </w:rPr>
              <w:t>EQUITY COMPENSATION</w:t>
            </w:r>
          </w:p>
        </w:tc>
      </w:tr>
      <w:tr>
        <w:trPr>
          <w:trHeight w:val="189"/>
        </w:trPr>
        <w:tc>
          <w:tcPr>
            <w:tcW w:w="262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0086CC"/>
              </w:rPr>
              <w:t>OUTSTANDING OPTIONS,</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0086CC"/>
              </w:rPr>
              <w:t>OUTSTANDING OPTIONS,</w:t>
            </w:r>
          </w:p>
        </w:tc>
        <w:tc>
          <w:tcPr>
            <w:tcW w:w="2700" w:type="dxa"/>
            <w:vAlign w:val="bottom"/>
          </w:tcPr>
          <w:p>
            <w:pPr>
              <w:jc w:val="center"/>
              <w:ind w:left="339"/>
              <w:spacing w:after="0"/>
              <w:rPr>
                <w:sz w:val="20"/>
                <w:szCs w:val="20"/>
                <w:color w:val="auto"/>
              </w:rPr>
            </w:pPr>
            <w:r>
              <w:rPr>
                <w:rFonts w:ascii="Arial" w:cs="Arial" w:eastAsia="Arial" w:hAnsi="Arial"/>
                <w:sz w:val="16"/>
                <w:szCs w:val="16"/>
                <w:b w:val="1"/>
                <w:bCs w:val="1"/>
                <w:color w:val="0086CC"/>
              </w:rPr>
              <w:t>PLANS (EXCLUDING</w:t>
            </w:r>
          </w:p>
        </w:tc>
      </w:tr>
      <w:tr>
        <w:trPr>
          <w:trHeight w:val="189"/>
        </w:trPr>
        <w:tc>
          <w:tcPr>
            <w:tcW w:w="262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0086CC"/>
              </w:rPr>
              <w:t>WARRANTS, AND</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0086CC"/>
              </w:rPr>
              <w:t>WARRANTS, AND</w:t>
            </w:r>
          </w:p>
        </w:tc>
        <w:tc>
          <w:tcPr>
            <w:tcW w:w="2700" w:type="dxa"/>
            <w:vAlign w:val="bottom"/>
          </w:tcPr>
          <w:p>
            <w:pPr>
              <w:jc w:val="center"/>
              <w:ind w:left="339"/>
              <w:spacing w:after="0"/>
              <w:rPr>
                <w:sz w:val="20"/>
                <w:szCs w:val="20"/>
                <w:color w:val="auto"/>
              </w:rPr>
            </w:pPr>
            <w:r>
              <w:rPr>
                <w:rFonts w:ascii="Arial" w:cs="Arial" w:eastAsia="Arial" w:hAnsi="Arial"/>
                <w:sz w:val="16"/>
                <w:szCs w:val="16"/>
                <w:b w:val="1"/>
                <w:bCs w:val="1"/>
                <w:color w:val="0086CC"/>
              </w:rPr>
              <w:t>SECURITIES REFLECTED IN</w:t>
            </w:r>
          </w:p>
        </w:tc>
      </w:tr>
      <w:tr>
        <w:trPr>
          <w:trHeight w:val="189"/>
        </w:trPr>
        <w:tc>
          <w:tcPr>
            <w:tcW w:w="262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6"/>
                <w:szCs w:val="16"/>
                <w:b w:val="1"/>
                <w:bCs w:val="1"/>
                <w:color w:val="0086CC"/>
              </w:rPr>
              <w:t>RIGHTS</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0086CC"/>
              </w:rPr>
              <w:t>RIGHTS</w:t>
            </w:r>
          </w:p>
        </w:tc>
        <w:tc>
          <w:tcPr>
            <w:tcW w:w="2700" w:type="dxa"/>
            <w:vAlign w:val="bottom"/>
          </w:tcPr>
          <w:p>
            <w:pPr>
              <w:jc w:val="center"/>
              <w:ind w:left="319"/>
              <w:spacing w:after="0"/>
              <w:rPr>
                <w:sz w:val="20"/>
                <w:szCs w:val="20"/>
                <w:color w:val="auto"/>
              </w:rPr>
            </w:pPr>
            <w:r>
              <w:rPr>
                <w:rFonts w:ascii="Arial" w:cs="Arial" w:eastAsia="Arial" w:hAnsi="Arial"/>
                <w:sz w:val="16"/>
                <w:szCs w:val="16"/>
                <w:b w:val="1"/>
                <w:bCs w:val="1"/>
                <w:color w:val="0086CC"/>
              </w:rPr>
              <w:t>COLUMN (A)</w:t>
            </w:r>
          </w:p>
        </w:tc>
      </w:tr>
      <w:tr>
        <w:trPr>
          <w:trHeight w:val="244"/>
        </w:trPr>
        <w:tc>
          <w:tcPr>
            <w:tcW w:w="262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PLAN CATEGORY</w:t>
            </w:r>
          </w:p>
        </w:tc>
        <w:tc>
          <w:tcPr>
            <w:tcW w:w="2860" w:type="dxa"/>
            <w:vAlign w:val="bottom"/>
            <w:tcBorders>
              <w:bottom w:val="single" w:sz="8" w:color="0086CC"/>
            </w:tcBorders>
          </w:tcPr>
          <w:p>
            <w:pPr>
              <w:jc w:val="center"/>
              <w:spacing w:after="0"/>
              <w:rPr>
                <w:sz w:val="20"/>
                <w:szCs w:val="20"/>
                <w:color w:val="auto"/>
              </w:rPr>
            </w:pPr>
            <w:r>
              <w:rPr>
                <w:rFonts w:ascii="Arial" w:cs="Arial" w:eastAsia="Arial" w:hAnsi="Arial"/>
                <w:sz w:val="16"/>
                <w:szCs w:val="16"/>
                <w:b w:val="1"/>
                <w:bCs w:val="1"/>
                <w:color w:val="0086CC"/>
                <w:w w:val="98"/>
              </w:rPr>
              <w:t>(A)</w:t>
            </w:r>
          </w:p>
        </w:tc>
        <w:tc>
          <w:tcPr>
            <w:tcW w:w="2840" w:type="dxa"/>
            <w:vAlign w:val="bottom"/>
            <w:tcBorders>
              <w:bottom w:val="single" w:sz="8" w:color="0086CC"/>
            </w:tcBorders>
          </w:tcPr>
          <w:p>
            <w:pPr>
              <w:jc w:val="center"/>
              <w:spacing w:after="0" w:line="243" w:lineRule="exact"/>
              <w:rPr>
                <w:sz w:val="20"/>
                <w:szCs w:val="20"/>
                <w:color w:val="auto"/>
              </w:rPr>
            </w:pPr>
            <w:r>
              <w:rPr>
                <w:rFonts w:ascii="Arial" w:cs="Arial" w:eastAsia="Arial" w:hAnsi="Arial"/>
                <w:sz w:val="16"/>
                <w:szCs w:val="16"/>
                <w:b w:val="1"/>
                <w:bCs w:val="1"/>
                <w:color w:val="0086CC"/>
                <w:w w:val="96"/>
              </w:rPr>
              <w:t>(B)</w:t>
            </w:r>
            <w:r>
              <w:rPr>
                <w:rFonts w:ascii="Arial" w:cs="Arial" w:eastAsia="Arial" w:hAnsi="Arial"/>
                <w:sz w:val="24"/>
                <w:szCs w:val="24"/>
                <w:b w:val="1"/>
                <w:bCs w:val="1"/>
                <w:color w:val="0086CC"/>
                <w:w w:val="96"/>
                <w:vertAlign w:val="superscript"/>
              </w:rPr>
              <w:t>2</w:t>
            </w:r>
          </w:p>
        </w:tc>
        <w:tc>
          <w:tcPr>
            <w:tcW w:w="2700" w:type="dxa"/>
            <w:vAlign w:val="bottom"/>
            <w:tcBorders>
              <w:bottom w:val="single" w:sz="8" w:color="0086CC"/>
            </w:tcBorders>
          </w:tcPr>
          <w:p>
            <w:pPr>
              <w:jc w:val="center"/>
              <w:ind w:left="339"/>
              <w:spacing w:after="0"/>
              <w:rPr>
                <w:sz w:val="20"/>
                <w:szCs w:val="20"/>
                <w:color w:val="auto"/>
              </w:rPr>
            </w:pPr>
            <w:r>
              <w:rPr>
                <w:rFonts w:ascii="Arial" w:cs="Arial" w:eastAsia="Arial" w:hAnsi="Arial"/>
                <w:sz w:val="16"/>
                <w:szCs w:val="16"/>
                <w:b w:val="1"/>
                <w:bCs w:val="1"/>
                <w:color w:val="0086CC"/>
              </w:rPr>
              <w:t>(C)</w:t>
            </w:r>
          </w:p>
        </w:tc>
      </w:tr>
      <w:tr>
        <w:trPr>
          <w:trHeight w:val="222"/>
        </w:trPr>
        <w:tc>
          <w:tcPr>
            <w:tcW w:w="2620" w:type="dxa"/>
            <w:vAlign w:val="bottom"/>
          </w:tcPr>
          <w:p>
            <w:pPr>
              <w:ind w:left="60"/>
              <w:spacing w:after="0"/>
              <w:rPr>
                <w:sz w:val="20"/>
                <w:szCs w:val="20"/>
                <w:color w:val="auto"/>
              </w:rPr>
            </w:pPr>
            <w:r>
              <w:rPr>
                <w:rFonts w:ascii="Arial" w:cs="Arial" w:eastAsia="Arial" w:hAnsi="Arial"/>
                <w:sz w:val="16"/>
                <w:szCs w:val="16"/>
                <w:b w:val="1"/>
                <w:bCs w:val="1"/>
                <w:color w:val="4D5357"/>
              </w:rPr>
              <w:t>Equity compensation plans</w:t>
            </w:r>
          </w:p>
        </w:tc>
        <w:tc>
          <w:tcPr>
            <w:tcW w:w="28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30"/>
        </w:trPr>
        <w:tc>
          <w:tcPr>
            <w:tcW w:w="26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approved by shareholders</w:t>
            </w:r>
          </w:p>
        </w:tc>
        <w:tc>
          <w:tcPr>
            <w:tcW w:w="2860" w:type="dxa"/>
            <w:vAlign w:val="bottom"/>
            <w:tcBorders>
              <w:bottom w:val="single" w:sz="8" w:color="4D5357"/>
            </w:tcBorders>
          </w:tcPr>
          <w:p>
            <w:pPr>
              <w:jc w:val="right"/>
              <w:ind w:right="819"/>
              <w:spacing w:after="0" w:line="230" w:lineRule="exact"/>
              <w:rPr>
                <w:sz w:val="20"/>
                <w:szCs w:val="20"/>
                <w:color w:val="auto"/>
              </w:rPr>
            </w:pPr>
            <w:r>
              <w:rPr>
                <w:rFonts w:ascii="Arial" w:cs="Arial" w:eastAsia="Arial" w:hAnsi="Arial"/>
                <w:sz w:val="16"/>
                <w:szCs w:val="16"/>
                <w:color w:val="4D5357"/>
              </w:rPr>
              <w:t>270,386</w:t>
            </w:r>
            <w:r>
              <w:rPr>
                <w:rFonts w:ascii="Arial" w:cs="Arial" w:eastAsia="Arial" w:hAnsi="Arial"/>
                <w:sz w:val="24"/>
                <w:szCs w:val="24"/>
                <w:color w:val="4D5357"/>
                <w:vertAlign w:val="superscript"/>
              </w:rPr>
              <w:t>1</w:t>
            </w:r>
          </w:p>
        </w:tc>
        <w:tc>
          <w:tcPr>
            <w:tcW w:w="284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$419.06</w:t>
            </w:r>
          </w:p>
        </w:tc>
        <w:tc>
          <w:tcPr>
            <w:tcW w:w="2700" w:type="dxa"/>
            <w:vAlign w:val="bottom"/>
            <w:tcBorders>
              <w:bottom w:val="single" w:sz="8" w:color="4D5357"/>
            </w:tcBorders>
          </w:tcPr>
          <w:p>
            <w:pPr>
              <w:jc w:val="right"/>
              <w:ind w:right="599"/>
              <w:spacing w:after="0" w:line="230" w:lineRule="exact"/>
              <w:rPr>
                <w:sz w:val="20"/>
                <w:szCs w:val="20"/>
                <w:color w:val="auto"/>
              </w:rPr>
            </w:pPr>
            <w:r>
              <w:rPr>
                <w:rFonts w:ascii="Arial" w:cs="Arial" w:eastAsia="Arial" w:hAnsi="Arial"/>
                <w:sz w:val="16"/>
                <w:szCs w:val="16"/>
                <w:color w:val="4D5357"/>
              </w:rPr>
              <w:t>621,056</w:t>
            </w:r>
            <w:r>
              <w:rPr>
                <w:rFonts w:ascii="Arial" w:cs="Arial" w:eastAsia="Arial" w:hAnsi="Arial"/>
                <w:sz w:val="24"/>
                <w:szCs w:val="24"/>
                <w:color w:val="4D5357"/>
                <w:vertAlign w:val="superscript"/>
              </w:rPr>
              <w:t>3</w:t>
            </w:r>
          </w:p>
        </w:tc>
      </w:tr>
      <w:tr>
        <w:trPr>
          <w:trHeight w:val="222"/>
        </w:trPr>
        <w:tc>
          <w:tcPr>
            <w:tcW w:w="2620" w:type="dxa"/>
            <w:vAlign w:val="bottom"/>
          </w:tcPr>
          <w:p>
            <w:pPr>
              <w:ind w:left="60"/>
              <w:spacing w:after="0"/>
              <w:rPr>
                <w:sz w:val="20"/>
                <w:szCs w:val="20"/>
                <w:color w:val="auto"/>
              </w:rPr>
            </w:pPr>
            <w:r>
              <w:rPr>
                <w:rFonts w:ascii="Arial" w:cs="Arial" w:eastAsia="Arial" w:hAnsi="Arial"/>
                <w:sz w:val="16"/>
                <w:szCs w:val="16"/>
                <w:b w:val="1"/>
                <w:bCs w:val="1"/>
                <w:color w:val="4D5357"/>
              </w:rPr>
              <w:t>Equity compensation plans</w:t>
            </w:r>
          </w:p>
        </w:tc>
        <w:tc>
          <w:tcPr>
            <w:tcW w:w="28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189"/>
        </w:trPr>
        <w:tc>
          <w:tcPr>
            <w:tcW w:w="2620" w:type="dxa"/>
            <w:vAlign w:val="bottom"/>
          </w:tcPr>
          <w:p>
            <w:pPr>
              <w:ind w:left="60"/>
              <w:spacing w:after="0"/>
              <w:rPr>
                <w:sz w:val="20"/>
                <w:szCs w:val="20"/>
                <w:color w:val="auto"/>
              </w:rPr>
            </w:pPr>
            <w:r>
              <w:rPr>
                <w:rFonts w:ascii="Arial" w:cs="Arial" w:eastAsia="Arial" w:hAnsi="Arial"/>
                <w:sz w:val="16"/>
                <w:szCs w:val="16"/>
                <w:b w:val="1"/>
                <w:bCs w:val="1"/>
                <w:color w:val="4D5357"/>
              </w:rPr>
              <w:t>not approved by</w:t>
            </w:r>
          </w:p>
        </w:tc>
        <w:tc>
          <w:tcPr>
            <w:tcW w:w="2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30"/>
        </w:trPr>
        <w:tc>
          <w:tcPr>
            <w:tcW w:w="26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shareholders</w:t>
            </w:r>
          </w:p>
        </w:tc>
        <w:tc>
          <w:tcPr>
            <w:tcW w:w="2860" w:type="dxa"/>
            <w:vAlign w:val="bottom"/>
            <w:tcBorders>
              <w:bottom w:val="single" w:sz="8" w:color="4D5357"/>
            </w:tcBorders>
          </w:tcPr>
          <w:p>
            <w:pPr>
              <w:jc w:val="right"/>
              <w:ind w:right="819"/>
              <w:spacing w:after="0" w:line="230" w:lineRule="exact"/>
              <w:rPr>
                <w:sz w:val="20"/>
                <w:szCs w:val="20"/>
                <w:color w:val="auto"/>
              </w:rPr>
            </w:pPr>
            <w:r>
              <w:rPr>
                <w:rFonts w:ascii="Arial" w:cs="Arial" w:eastAsia="Arial" w:hAnsi="Arial"/>
                <w:sz w:val="16"/>
                <w:szCs w:val="16"/>
                <w:color w:val="4D5357"/>
              </w:rPr>
              <w:t>0</w:t>
            </w:r>
            <w:r>
              <w:rPr>
                <w:rFonts w:ascii="Arial" w:cs="Arial" w:eastAsia="Arial" w:hAnsi="Arial"/>
                <w:sz w:val="24"/>
                <w:szCs w:val="24"/>
                <w:color w:val="4D5357"/>
                <w:vertAlign w:val="superscript"/>
              </w:rPr>
              <w:t>2</w:t>
            </w:r>
          </w:p>
        </w:tc>
        <w:tc>
          <w:tcPr>
            <w:tcW w:w="284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0</w:t>
            </w:r>
          </w:p>
        </w:tc>
        <w:tc>
          <w:tcPr>
            <w:tcW w:w="2700" w:type="dxa"/>
            <w:vAlign w:val="bottom"/>
            <w:tcBorders>
              <w:bottom w:val="single" w:sz="8" w:color="4D5357"/>
            </w:tcBorders>
          </w:tcPr>
          <w:p>
            <w:pPr>
              <w:jc w:val="right"/>
              <w:ind w:right="679"/>
              <w:spacing w:after="0"/>
              <w:rPr>
                <w:sz w:val="20"/>
                <w:szCs w:val="20"/>
                <w:color w:val="auto"/>
              </w:rPr>
            </w:pPr>
            <w:r>
              <w:rPr>
                <w:rFonts w:ascii="Arial" w:cs="Arial" w:eastAsia="Arial" w:hAnsi="Arial"/>
                <w:sz w:val="16"/>
                <w:szCs w:val="16"/>
                <w:color w:val="4D5357"/>
              </w:rPr>
              <w:t>0</w:t>
            </w:r>
          </w:p>
        </w:tc>
      </w:tr>
      <w:tr>
        <w:trPr>
          <w:trHeight w:val="260"/>
        </w:trPr>
        <w:tc>
          <w:tcPr>
            <w:tcW w:w="26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TOTAL</w:t>
            </w:r>
          </w:p>
        </w:tc>
        <w:tc>
          <w:tcPr>
            <w:tcW w:w="2860" w:type="dxa"/>
            <w:vAlign w:val="bottom"/>
            <w:tcBorders>
              <w:bottom w:val="single" w:sz="8" w:color="4D5357"/>
            </w:tcBorders>
          </w:tcPr>
          <w:p>
            <w:pPr>
              <w:jc w:val="right"/>
              <w:ind w:right="899"/>
              <w:spacing w:after="0"/>
              <w:rPr>
                <w:sz w:val="20"/>
                <w:szCs w:val="20"/>
                <w:color w:val="auto"/>
              </w:rPr>
            </w:pPr>
            <w:r>
              <w:rPr>
                <w:rFonts w:ascii="Arial" w:cs="Arial" w:eastAsia="Arial" w:hAnsi="Arial"/>
                <w:sz w:val="16"/>
                <w:szCs w:val="16"/>
                <w:color w:val="4D5357"/>
              </w:rPr>
              <w:t>270,386</w:t>
            </w:r>
          </w:p>
        </w:tc>
        <w:tc>
          <w:tcPr>
            <w:tcW w:w="2840" w:type="dxa"/>
            <w:vAlign w:val="bottom"/>
            <w:tcBorders>
              <w:bottom w:val="single" w:sz="8" w:color="4D5357"/>
            </w:tcBorders>
          </w:tcPr>
          <w:p>
            <w:pPr>
              <w:jc w:val="right"/>
              <w:ind w:right="939"/>
              <w:spacing w:after="0"/>
              <w:rPr>
                <w:sz w:val="20"/>
                <w:szCs w:val="20"/>
                <w:color w:val="auto"/>
              </w:rPr>
            </w:pPr>
            <w:r>
              <w:rPr>
                <w:rFonts w:ascii="Arial" w:cs="Arial" w:eastAsia="Arial" w:hAnsi="Arial"/>
                <w:sz w:val="16"/>
                <w:szCs w:val="16"/>
                <w:color w:val="4D5357"/>
              </w:rPr>
              <w:t>$419.06</w:t>
            </w:r>
          </w:p>
        </w:tc>
        <w:tc>
          <w:tcPr>
            <w:tcW w:w="2700" w:type="dxa"/>
            <w:vAlign w:val="bottom"/>
            <w:tcBorders>
              <w:bottom w:val="single" w:sz="8" w:color="4D5357"/>
            </w:tcBorders>
          </w:tcPr>
          <w:p>
            <w:pPr>
              <w:jc w:val="right"/>
              <w:ind w:right="679"/>
              <w:spacing w:after="0"/>
              <w:rPr>
                <w:sz w:val="20"/>
                <w:szCs w:val="20"/>
                <w:color w:val="auto"/>
              </w:rPr>
            </w:pPr>
            <w:r>
              <w:rPr>
                <w:rFonts w:ascii="Arial" w:cs="Arial" w:eastAsia="Arial" w:hAnsi="Arial"/>
                <w:sz w:val="16"/>
                <w:szCs w:val="16"/>
                <w:color w:val="4D5357"/>
              </w:rPr>
              <w:t>621,056</w:t>
            </w:r>
          </w:p>
        </w:tc>
      </w:tr>
    </w:tbl>
    <w:p>
      <w:pPr>
        <w:spacing w:after="0" w:line="198" w:lineRule="exact"/>
        <w:rPr>
          <w:sz w:val="20"/>
          <w:szCs w:val="20"/>
          <w:color w:val="auto"/>
        </w:rPr>
      </w:pPr>
    </w:p>
    <w:p>
      <w:pPr>
        <w:ind w:left="224" w:right="20" w:hanging="224"/>
        <w:spacing w:after="0" w:line="233" w:lineRule="auto"/>
        <w:tabs>
          <w:tab w:leader="none" w:pos="224" w:val="left"/>
        </w:tabs>
        <w:numPr>
          <w:ilvl w:val="0"/>
          <w:numId w:val="138"/>
        </w:numPr>
        <w:rPr>
          <w:rFonts w:ascii="Arial" w:cs="Arial" w:eastAsia="Arial" w:hAnsi="Arial"/>
          <w:sz w:val="13"/>
          <w:szCs w:val="13"/>
          <w:color w:val="333333"/>
        </w:rPr>
      </w:pPr>
      <w:r>
        <w:rPr>
          <w:rFonts w:ascii="Arial" w:cs="Arial" w:eastAsia="Arial" w:hAnsi="Arial"/>
          <w:sz w:val="13"/>
          <w:szCs w:val="13"/>
          <w:color w:val="333333"/>
        </w:rPr>
        <w:t>Includes 251,364 restricted stock units that have a $0 exercise price; and 19,022 stock units granted in accordance with the Incentive Stock Plan that are credited to participants at an average weighted cost of $419.06. The restricted stock units and stock units granted in accordance with the Incentive Stock Plan represent Martin Marietta’s obligation to issue shares in the future subject to certain conditions in accordance with the Stock-Based Award Plan.</w:t>
      </w:r>
    </w:p>
    <w:p>
      <w:pPr>
        <w:spacing w:after="0" w:line="37" w:lineRule="exact"/>
        <w:rPr>
          <w:sz w:val="20"/>
          <w:szCs w:val="20"/>
          <w:color w:val="auto"/>
        </w:rPr>
      </w:pPr>
    </w:p>
    <w:p>
      <w:pPr>
        <w:ind w:left="224" w:hanging="224"/>
        <w:spacing w:after="0"/>
        <w:tabs>
          <w:tab w:leader="none" w:pos="224" w:val="left"/>
        </w:tabs>
        <w:numPr>
          <w:ilvl w:val="0"/>
          <w:numId w:val="139"/>
        </w:numPr>
        <w:rPr>
          <w:rFonts w:ascii="Arial" w:cs="Arial" w:eastAsia="Arial" w:hAnsi="Arial"/>
          <w:sz w:val="13"/>
          <w:szCs w:val="13"/>
          <w:color w:val="333333"/>
        </w:rPr>
      </w:pPr>
      <w:r>
        <w:rPr>
          <w:rFonts w:ascii="Arial" w:cs="Arial" w:eastAsia="Arial" w:hAnsi="Arial"/>
          <w:sz w:val="13"/>
          <w:szCs w:val="13"/>
          <w:color w:val="333333"/>
        </w:rPr>
        <w:t>The weighted-average exercise price does not take into account the restricted stock units and stock units for which there is no exercise price.</w:t>
      </w:r>
    </w:p>
    <w:p>
      <w:pPr>
        <w:spacing w:after="0" w:line="53" w:lineRule="exact"/>
        <w:rPr>
          <w:sz w:val="20"/>
          <w:szCs w:val="20"/>
          <w:color w:val="auto"/>
        </w:rPr>
      </w:pPr>
    </w:p>
    <w:p>
      <w:pPr>
        <w:ind w:left="224" w:right="80" w:hanging="224"/>
        <w:spacing w:after="0" w:line="226" w:lineRule="auto"/>
        <w:tabs>
          <w:tab w:leader="none" w:pos="224" w:val="left"/>
        </w:tabs>
        <w:numPr>
          <w:ilvl w:val="0"/>
          <w:numId w:val="140"/>
        </w:numPr>
        <w:rPr>
          <w:rFonts w:ascii="Arial" w:cs="Arial" w:eastAsia="Arial" w:hAnsi="Arial"/>
          <w:sz w:val="13"/>
          <w:szCs w:val="13"/>
          <w:color w:val="333333"/>
        </w:rPr>
      </w:pPr>
      <w:r>
        <w:rPr>
          <w:rFonts w:ascii="Arial" w:cs="Arial" w:eastAsia="Arial" w:hAnsi="Arial"/>
          <w:sz w:val="13"/>
          <w:szCs w:val="13"/>
          <w:color w:val="333333"/>
        </w:rPr>
        <w:t>Includes shares of Martin Marietta’s common stock available for issuance (other than those reported in column (a)) under Martin Marietta’s equity compensation plans as of December 31, 2025 in the following amounts: Directors’ Plan (131,238 shares), Stock-Based Award Plan (281,843 shares), and Achievement Plan (207,975 shares). Also excludes Texas Industries Inc. stock-based award plans (1,897,770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the Achievement Plan since 2000.</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Description of the TXI Legacy Plan</w:t>
      </w:r>
    </w:p>
    <w:p>
      <w:pPr>
        <w:spacing w:after="0" w:line="123" w:lineRule="exact"/>
        <w:rPr>
          <w:sz w:val="20"/>
          <w:szCs w:val="20"/>
          <w:color w:val="auto"/>
        </w:rPr>
      </w:pPr>
    </w:p>
    <w:p>
      <w:pPr>
        <w:ind w:left="4" w:right="200"/>
        <w:spacing w:after="0" w:line="266" w:lineRule="auto"/>
        <w:rPr>
          <w:sz w:val="20"/>
          <w:szCs w:val="20"/>
          <w:color w:val="auto"/>
        </w:rPr>
      </w:pPr>
      <w:r>
        <w:rPr>
          <w:rFonts w:ascii="Arial" w:cs="Arial" w:eastAsia="Arial" w:hAnsi="Arial"/>
          <w:sz w:val="16"/>
          <w:szCs w:val="16"/>
          <w:color w:val="333333"/>
        </w:rPr>
        <w:t>On July 1, 2014, in conjunction with the merger of TXI into a wholly-owned subsidiary of Martin Marietta, the Company assumed the TXI 2004 Omnibus Equity Compensation Plan (TXI Legacy Plan) and TXI’s Management Deferred Compensation Plan (the TXI DC Plan) and shares available for future issuance under the TXI Legacy Plan and the TXI DC Plan following the merger.</w:t>
      </w:r>
    </w:p>
    <w:p>
      <w:pPr>
        <w:spacing w:after="0" w:line="63"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6"/>
          <w:szCs w:val="16"/>
          <w:color w:val="333333"/>
        </w:rPr>
        <w:t>The TXI Legacy Plan became effective as of July 11, 2012 and terminated on July 11, 2022. All legacy employees of TXI and its affiliates and subsidiaries were eligible to receive awards. However, no further awards were granted under the TXI Legacy Plan, as indicated by management in connection with the approval by shareholders of the Amended and Restated Stock-Based Award Plan on May 19, 2017.</w:t>
      </w:r>
    </w:p>
    <w:p>
      <w:pPr>
        <w:spacing w:after="0" w:line="63" w:lineRule="exact"/>
        <w:rPr>
          <w:sz w:val="20"/>
          <w:szCs w:val="20"/>
          <w:color w:val="auto"/>
        </w:rPr>
      </w:pPr>
    </w:p>
    <w:p>
      <w:pPr>
        <w:ind w:left="4" w:right="180"/>
        <w:spacing w:after="0" w:line="286" w:lineRule="auto"/>
        <w:rPr>
          <w:sz w:val="20"/>
          <w:szCs w:val="20"/>
          <w:color w:val="auto"/>
        </w:rPr>
      </w:pPr>
      <w:r>
        <w:rPr>
          <w:rFonts w:ascii="Arial" w:cs="Arial" w:eastAsia="Arial" w:hAnsi="Arial"/>
          <w:sz w:val="16"/>
          <w:szCs w:val="16"/>
          <w:color w:val="333333"/>
        </w:rPr>
        <w:t>If Martin Marietta is dissolved or liquidated, or if substantially all of its assets are sold or there is a merger or consolidation and the acquiring or surviving entity does not substitute equivalent awards for the awards then outstanding, each award granted under the TXI</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263"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101 </w:t>
      </w:r>
      <w:r>
        <w:rPr>
          <w:rFonts w:ascii="Arial" w:cs="Arial" w:eastAsia="Arial" w:hAnsi="Arial"/>
          <w:sz w:val="16"/>
          <w:szCs w:val="16"/>
          <w:color w:val="333333"/>
        </w:rPr>
        <w:t xml:space="preserve">               </w:t>
      </w:r>
    </w:p>
    <w:p>
      <w:pPr>
        <w:sectPr>
          <w:pgSz w:w="11900" w:h="16838" w:orient="portrait"/>
          <w:cols w:equalWidth="0" w:num="4">
            <w:col w:w="204" w:space="120"/>
            <w:col w:w="3540" w:space="720"/>
            <w:col w:w="4560" w:space="720"/>
            <w:col w:w="1160"/>
          </w:cols>
          <w:pgMar w:left="436" w:top="263" w:right="4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74"/>
        </w:trPr>
        <w:tc>
          <w:tcPr>
            <w:tcW w:w="380" w:type="dxa"/>
            <w:vAlign w:val="bottom"/>
            <w:shd w:val="clear" w:color="auto" w:fill="4D5357"/>
          </w:tcPr>
          <w:p>
            <w:pPr>
              <w:ind w:left="280"/>
              <w:spacing w:after="0"/>
              <w:rPr>
                <w:sz w:val="20"/>
                <w:szCs w:val="20"/>
                <w:color w:val="auto"/>
              </w:rPr>
            </w:pPr>
            <w:r>
              <w:rPr>
                <w:rFonts w:ascii="Arial" w:cs="Arial" w:eastAsia="Arial" w:hAnsi="Arial"/>
                <w:sz w:val="11"/>
                <w:szCs w:val="11"/>
                <w:b w:val="1"/>
                <w:bCs w:val="1"/>
                <w:color w:val="FFFFFF"/>
                <w:w w:val="72"/>
              </w:rPr>
              <w:t> </w:t>
            </w:r>
          </w:p>
        </w:tc>
        <w:tc>
          <w:tcPr>
            <w:tcW w:w="140" w:type="dxa"/>
            <w:vAlign w:val="bottom"/>
            <w:shd w:val="clear" w:color="auto" w:fill="4D5357"/>
          </w:tcPr>
          <w:p>
            <w:pPr>
              <w:ind w:left="40"/>
              <w:spacing w:after="0"/>
              <w:rPr>
                <w:sz w:val="20"/>
                <w:szCs w:val="20"/>
                <w:color w:val="auto"/>
              </w:rPr>
            </w:pPr>
            <w:r>
              <w:rPr>
                <w:rFonts w:ascii="Arial" w:cs="Arial" w:eastAsia="Arial" w:hAnsi="Arial"/>
                <w:sz w:val="11"/>
                <w:szCs w:val="11"/>
                <w:b w:val="1"/>
                <w:bCs w:val="1"/>
                <w:color w:val="FFFFFF"/>
                <w:w w:val="72"/>
              </w:rPr>
              <w:t> </w:t>
            </w:r>
          </w:p>
        </w:tc>
        <w:tc>
          <w:tcPr>
            <w:tcW w:w="16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6"/>
              </w:rPr>
              <w:t>Securities Authorized </w:t>
            </w:r>
          </w:p>
        </w:tc>
        <w:tc>
          <w:tcPr>
            <w:tcW w:w="50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r>
      <w:tr>
        <w:trPr>
          <w:trHeight w:val="162"/>
        </w:trPr>
        <w:tc>
          <w:tcPr>
            <w:tcW w:w="380" w:type="dxa"/>
            <w:vAlign w:val="bottom"/>
            <w:shd w:val="clear" w:color="auto" w:fill="4D5357"/>
          </w:tcPr>
          <w:p>
            <w:pPr>
              <w:ind w:left="120"/>
              <w:spacing w:after="0"/>
              <w:rPr>
                <w:sz w:val="20"/>
                <w:szCs w:val="20"/>
                <w:color w:val="auto"/>
              </w:rPr>
            </w:pPr>
            <w:r>
              <w:rPr>
                <w:rFonts w:ascii="Arial" w:cs="Arial" w:eastAsia="Arial" w:hAnsi="Arial"/>
                <w:sz w:val="14"/>
                <w:szCs w:val="14"/>
                <w:b w:val="1"/>
                <w:bCs w:val="1"/>
                <w:color w:val="FFFFFF"/>
              </w:rPr>
              <w:t xml:space="preserve">    </w:t>
            </w:r>
          </w:p>
        </w:tc>
        <w:tc>
          <w:tcPr>
            <w:tcW w:w="2240" w:type="dxa"/>
            <w:vAlign w:val="bottom"/>
            <w:gridSpan w:val="3"/>
            <w:shd w:val="clear" w:color="auto" w:fill="4D5357"/>
          </w:tcPr>
          <w:p>
            <w:pPr>
              <w:ind w:left="40"/>
              <w:spacing w:after="0"/>
              <w:rPr>
                <w:sz w:val="20"/>
                <w:szCs w:val="20"/>
                <w:color w:val="auto"/>
              </w:rPr>
            </w:pPr>
            <w:r>
              <w:rPr>
                <w:rFonts w:ascii="Arial" w:cs="Arial" w:eastAsia="Arial" w:hAnsi="Arial"/>
                <w:sz w:val="14"/>
                <w:szCs w:val="14"/>
                <w:b w:val="1"/>
                <w:bCs w:val="1"/>
                <w:color w:val="FFFFFF"/>
              </w:rPr>
              <w:t xml:space="preserve">for Issuance Under Equity    </w:t>
            </w:r>
          </w:p>
        </w:tc>
      </w:tr>
      <w:tr>
        <w:trPr>
          <w:trHeight w:val="196"/>
        </w:trPr>
        <w:tc>
          <w:tcPr>
            <w:tcW w:w="380" w:type="dxa"/>
            <w:vAlign w:val="bottom"/>
            <w:shd w:val="clear" w:color="auto" w:fill="4D5357"/>
          </w:tcPr>
          <w:p>
            <w:pPr>
              <w:ind w:left="300"/>
              <w:spacing w:after="0"/>
              <w:rPr>
                <w:sz w:val="20"/>
                <w:szCs w:val="20"/>
                <w:color w:val="auto"/>
              </w:rPr>
            </w:pPr>
            <w:r>
              <w:rPr>
                <w:rFonts w:ascii="Arial" w:cs="Arial" w:eastAsia="Arial" w:hAnsi="Arial"/>
                <w:sz w:val="8"/>
                <w:szCs w:val="8"/>
                <w:b w:val="1"/>
                <w:bCs w:val="1"/>
                <w:color w:val="FFFFFF"/>
                <w:w w:val="74"/>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160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5"/>
              </w:rPr>
              <w:t>Compensation Plans </w:t>
            </w:r>
          </w:p>
        </w:tc>
        <w:tc>
          <w:tcPr>
            <w:tcW w:w="50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w:t>
            </w:r>
          </w:p>
        </w:tc>
      </w:tr>
      <w:tr>
        <w:trPr>
          <w:trHeight w:val="110"/>
        </w:trPr>
        <w:tc>
          <w:tcPr>
            <w:tcW w:w="380" w:type="dxa"/>
            <w:vAlign w:val="bottom"/>
            <w:shd w:val="clear" w:color="auto" w:fill="4D5357"/>
          </w:tcPr>
          <w:p>
            <w:pPr>
              <w:spacing w:after="0"/>
              <w:rPr>
                <w:sz w:val="9"/>
                <w:szCs w:val="9"/>
                <w:color w:val="auto"/>
              </w:rPr>
            </w:pPr>
          </w:p>
        </w:tc>
        <w:tc>
          <w:tcPr>
            <w:tcW w:w="140" w:type="dxa"/>
            <w:vAlign w:val="bottom"/>
            <w:shd w:val="clear" w:color="auto" w:fill="4D5357"/>
          </w:tcPr>
          <w:p>
            <w:pPr>
              <w:spacing w:after="0"/>
              <w:rPr>
                <w:sz w:val="9"/>
                <w:szCs w:val="9"/>
                <w:color w:val="auto"/>
              </w:rPr>
            </w:pPr>
          </w:p>
        </w:tc>
        <w:tc>
          <w:tcPr>
            <w:tcW w:w="1600" w:type="dxa"/>
            <w:vAlign w:val="bottom"/>
            <w:shd w:val="clear" w:color="auto" w:fill="4D5357"/>
          </w:tcPr>
          <w:p>
            <w:pPr>
              <w:spacing w:after="0"/>
              <w:rPr>
                <w:sz w:val="9"/>
                <w:szCs w:val="9"/>
                <w:color w:val="auto"/>
              </w:rPr>
            </w:pPr>
          </w:p>
        </w:tc>
        <w:tc>
          <w:tcPr>
            <w:tcW w:w="50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both"/>
        <w:ind w:right="120"/>
        <w:spacing w:after="0" w:line="266" w:lineRule="auto"/>
        <w:rPr>
          <w:sz w:val="20"/>
          <w:szCs w:val="20"/>
          <w:color w:val="auto"/>
        </w:rPr>
      </w:pPr>
      <w:r>
        <w:rPr>
          <w:rFonts w:ascii="Arial" w:cs="Arial" w:eastAsia="Arial" w:hAnsi="Arial"/>
          <w:sz w:val="16"/>
          <w:szCs w:val="16"/>
          <w:color w:val="333333"/>
        </w:rPr>
        <w:t>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w:t>
      </w:r>
    </w:p>
    <w:p>
      <w:pPr>
        <w:spacing w:after="0" w:line="116"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Description of the TXI Deferred Compensation Plan</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The TXI DC Plan became effective as of July 11, 2012 and terminated on July 11, 2022. Key management legacy employees of TXI, its subsidiaries and its affiliates were eligible to participate in the TXI DC Plan. Under the terms of the TXI DC Plan, participants may elect each year to defer all or a portion of their eligible compensation received during that year. However, no further awards were granted under the TXI DC Plan, as indicated by management in connection with the approval by shareholders of the Stock-Based Award Plan on May 19, 2017.</w:t>
      </w:r>
    </w:p>
    <w:p>
      <w:pPr>
        <w:spacing w:after="0" w:line="70"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333333"/>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102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315" w:right="439" w:bottom="1440" w:gutter="0" w:footer="0" w:header="0"/>
          <w:type w:val="continuous"/>
        </w:sectPr>
      </w:pPr>
    </w:p>
    <w:bookmarkStart w:id="109" w:name="page110"/>
    <w:bookmarkEnd w:id="109"/>
    <w:p>
      <w:pPr>
        <w:ind w:left="4" w:right="2840"/>
        <w:spacing w:after="0" w:line="274" w:lineRule="auto"/>
        <w:rPr>
          <w:sz w:val="20"/>
          <w:szCs w:val="20"/>
          <w:color w:val="auto"/>
        </w:rPr>
      </w:pPr>
      <w:r>
        <w:rPr>
          <w:rFonts w:ascii="Arial" w:cs="Arial" w:eastAsia="Arial" w:hAnsi="Arial"/>
          <w:sz w:val="68"/>
          <w:szCs w:val="68"/>
          <w:color w:val="0086CC"/>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Annual Meeting and Voting Information</w:t>
      </w:r>
    </w:p>
    <w:p>
      <w:pPr>
        <w:spacing w:after="0" w:line="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What is the purpose of the Annual Meeting?</w:t>
      </w:r>
    </w:p>
    <w:p>
      <w:pPr>
        <w:spacing w:after="0" w:line="123" w:lineRule="exact"/>
        <w:rPr>
          <w:sz w:val="20"/>
          <w:szCs w:val="20"/>
          <w:color w:val="auto"/>
        </w:rPr>
      </w:pPr>
    </w:p>
    <w:p>
      <w:pPr>
        <w:ind w:left="4" w:right="180"/>
        <w:spacing w:after="0" w:line="266" w:lineRule="auto"/>
        <w:rPr>
          <w:sz w:val="20"/>
          <w:szCs w:val="20"/>
          <w:color w:val="auto"/>
        </w:rPr>
      </w:pPr>
      <w:r>
        <w:rPr>
          <w:rFonts w:ascii="Arial" w:cs="Arial" w:eastAsia="Arial" w:hAnsi="Arial"/>
          <w:sz w:val="16"/>
          <w:szCs w:val="16"/>
          <w:color w:val="333333"/>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44" w:lineRule="exact"/>
        <w:rPr>
          <w:sz w:val="20"/>
          <w:szCs w:val="20"/>
          <w:color w:val="auto"/>
        </w:rPr>
      </w:pPr>
    </w:p>
    <w:p>
      <w:pPr>
        <w:ind w:left="4" w:right="540"/>
        <w:spacing w:after="0" w:line="296" w:lineRule="auto"/>
        <w:rPr>
          <w:sz w:val="20"/>
          <w:szCs w:val="20"/>
          <w:color w:val="auto"/>
        </w:rPr>
      </w:pPr>
      <w:r>
        <w:rPr>
          <w:rFonts w:ascii="Arial" w:cs="Arial" w:eastAsia="Arial" w:hAnsi="Arial"/>
          <w:sz w:val="16"/>
          <w:szCs w:val="16"/>
          <w:color w:val="333333"/>
        </w:rPr>
        <w:t xml:space="preserve">Whether or not you plan to attend the meeting, we encourage you to date, sign, and return your proxy in the enclosed envelope or electronically as instructed in the notice of this Proxy Statement and below under </w:t>
      </w:r>
      <w:r>
        <w:rPr>
          <w:rFonts w:ascii="Arial" w:cs="Arial" w:eastAsia="Arial" w:hAnsi="Arial"/>
          <w:sz w:val="16"/>
          <w:szCs w:val="16"/>
          <w:b w:val="1"/>
          <w:bCs w:val="1"/>
          <w:color w:val="333333"/>
        </w:rPr>
        <w:t>How do I vote?</w:t>
      </w:r>
    </w:p>
    <w:p>
      <w:pPr>
        <w:spacing w:after="0" w:line="84"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Who is entitled to vote at the meeting?</w:t>
      </w:r>
    </w:p>
    <w:p>
      <w:pPr>
        <w:spacing w:after="0" w:line="123" w:lineRule="exact"/>
        <w:rPr>
          <w:sz w:val="20"/>
          <w:szCs w:val="20"/>
          <w:color w:val="auto"/>
        </w:rPr>
      </w:pPr>
    </w:p>
    <w:p>
      <w:pPr>
        <w:ind w:left="4" w:right="380"/>
        <w:spacing w:after="0" w:line="266" w:lineRule="auto"/>
        <w:rPr>
          <w:sz w:val="20"/>
          <w:szCs w:val="20"/>
          <w:color w:val="auto"/>
        </w:rPr>
      </w:pPr>
      <w:r>
        <w:rPr>
          <w:rFonts w:ascii="Arial" w:cs="Arial" w:eastAsia="Arial" w:hAnsi="Arial"/>
          <w:sz w:val="16"/>
          <w:szCs w:val="16"/>
          <w:color w:val="333333"/>
        </w:rPr>
        <w:t>Only shareholders of record at the close of business on March 6, 2026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What are the voting rights of the holders of Martin Marietta common stock?</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Each share of Martin Marietta common stock is entitled to one vote on each matter considered at the meeting.</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Who can attend the meeting?</w:t>
      </w:r>
    </w:p>
    <w:p>
      <w:pPr>
        <w:spacing w:after="0" w:line="123" w:lineRule="exact"/>
        <w:rPr>
          <w:sz w:val="20"/>
          <w:szCs w:val="20"/>
          <w:color w:val="auto"/>
        </w:rPr>
      </w:pPr>
    </w:p>
    <w:p>
      <w:pPr>
        <w:ind w:left="4" w:right="240"/>
        <w:spacing w:after="0" w:line="286" w:lineRule="auto"/>
        <w:rPr>
          <w:sz w:val="20"/>
          <w:szCs w:val="20"/>
          <w:color w:val="auto"/>
        </w:rPr>
      </w:pPr>
      <w:r>
        <w:rPr>
          <w:rFonts w:ascii="Arial" w:cs="Arial" w:eastAsia="Arial" w:hAnsi="Arial"/>
          <w:sz w:val="16"/>
          <w:szCs w:val="16"/>
          <w:color w:val="333333"/>
        </w:rPr>
        <w:t>All shareholders as of the record date, or their duly appointed proxies, beneficial owners presenting satisfactory evidence of ownership as of the record date, and invited guests of Martin Marietta may attend the meeting.</w:t>
      </w:r>
    </w:p>
    <w:p>
      <w:pPr>
        <w:spacing w:after="0" w:line="100"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What constitutes a quorum?</w:t>
      </w:r>
    </w:p>
    <w:p>
      <w:pPr>
        <w:spacing w:after="0" w:line="123" w:lineRule="exact"/>
        <w:rPr>
          <w:sz w:val="20"/>
          <w:szCs w:val="20"/>
          <w:color w:val="auto"/>
        </w:rPr>
      </w:pPr>
    </w:p>
    <w:p>
      <w:pPr>
        <w:ind w:left="4" w:right="20"/>
        <w:spacing w:after="0" w:line="266" w:lineRule="auto"/>
        <w:rPr>
          <w:sz w:val="20"/>
          <w:szCs w:val="20"/>
          <w:color w:val="auto"/>
        </w:rPr>
      </w:pPr>
      <w:r>
        <w:rPr>
          <w:rFonts w:ascii="Arial" w:cs="Arial" w:eastAsia="Arial" w:hAnsi="Arial"/>
          <w:sz w:val="16"/>
          <w:szCs w:val="16"/>
          <w:color w:val="333333"/>
        </w:rPr>
        <w:t>The presence at the meeting, in person or by proxy, of the holders of a majority of the common stock outstanding on the record date constitutes a quorum, permitting shareholders to take action at the meeting. On March 6, 2026, there were 60,256,208 shares outstanding of Martin Marietta’s common stock, $.01 par value per share, and each share of common stock is entitled to one vote per share.</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Who will oversee the voting results?</w:t>
      </w:r>
    </w:p>
    <w:p>
      <w:pPr>
        <w:spacing w:after="0" w:line="123" w:lineRule="exact"/>
        <w:rPr>
          <w:sz w:val="20"/>
          <w:szCs w:val="20"/>
          <w:color w:val="auto"/>
        </w:rPr>
      </w:pPr>
    </w:p>
    <w:p>
      <w:pPr>
        <w:ind w:left="4" w:right="160"/>
        <w:spacing w:after="0" w:line="266" w:lineRule="auto"/>
        <w:rPr>
          <w:sz w:val="20"/>
          <w:szCs w:val="20"/>
          <w:color w:val="auto"/>
        </w:rPr>
      </w:pPr>
      <w:r>
        <w:rPr>
          <w:rFonts w:ascii="Arial" w:cs="Arial" w:eastAsia="Arial" w:hAnsi="Arial"/>
          <w:sz w:val="16"/>
          <w:szCs w:val="16"/>
          <w:color w:val="333333"/>
        </w:rPr>
        <w:t>Votes cast by proxy or in person at the Annual Meeting will be tabulated by an independent inspector of election appointed by Martin Marietta’s Board of Directors for the Annual Meeting.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How do I vote?</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333333"/>
        </w:rPr>
        <w:t>Registered shareholders</w:t>
      </w:r>
      <w:r>
        <w:rPr>
          <w:rFonts w:ascii="Arial" w:cs="Arial" w:eastAsia="Arial" w:hAnsi="Arial"/>
          <w:sz w:val="16"/>
          <w:szCs w:val="16"/>
          <w:color w:val="333333"/>
        </w:rPr>
        <w:t>: Registered shareholders have four voting options:</w:t>
      </w:r>
    </w:p>
    <w:p>
      <w:pPr>
        <w:spacing w:after="0" w:line="127" w:lineRule="exact"/>
        <w:rPr>
          <w:sz w:val="20"/>
          <w:szCs w:val="20"/>
          <w:color w:val="auto"/>
        </w:rPr>
      </w:pPr>
    </w:p>
    <w:p>
      <w:pPr>
        <w:ind w:left="224" w:hanging="224"/>
        <w:spacing w:after="0"/>
        <w:tabs>
          <w:tab w:leader="none" w:pos="224" w:val="left"/>
        </w:tabs>
        <w:numPr>
          <w:ilvl w:val="0"/>
          <w:numId w:val="141"/>
        </w:numPr>
        <w:rPr>
          <w:rFonts w:ascii="Arial" w:cs="Arial" w:eastAsia="Arial" w:hAnsi="Arial"/>
          <w:sz w:val="16"/>
          <w:szCs w:val="16"/>
          <w:color w:val="333333"/>
        </w:rPr>
      </w:pPr>
      <w:r>
        <w:rPr>
          <w:rFonts w:ascii="Arial" w:cs="Arial" w:eastAsia="Arial" w:hAnsi="Arial"/>
          <w:sz w:val="16"/>
          <w:szCs w:val="16"/>
          <w:color w:val="333333"/>
        </w:rPr>
        <w:t>over the Internet at the internet address shown on the enclosed Proxy Card;</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141"/>
        </w:numPr>
        <w:rPr>
          <w:rFonts w:ascii="Arial" w:cs="Arial" w:eastAsia="Arial" w:hAnsi="Arial"/>
          <w:sz w:val="16"/>
          <w:szCs w:val="16"/>
          <w:color w:val="333333"/>
        </w:rPr>
      </w:pPr>
      <w:r>
        <w:rPr>
          <w:rFonts w:ascii="Arial" w:cs="Arial" w:eastAsia="Arial" w:hAnsi="Arial"/>
          <w:sz w:val="16"/>
          <w:szCs w:val="16"/>
          <w:color w:val="333333"/>
        </w:rPr>
        <w:t>by telephone through the number shown on the enclosed Proxy Card;</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141"/>
        </w:numPr>
        <w:rPr>
          <w:rFonts w:ascii="Arial" w:cs="Arial" w:eastAsia="Arial" w:hAnsi="Arial"/>
          <w:sz w:val="16"/>
          <w:szCs w:val="16"/>
          <w:color w:val="333333"/>
        </w:rPr>
      </w:pPr>
      <w:r>
        <w:rPr>
          <w:rFonts w:ascii="Arial" w:cs="Arial" w:eastAsia="Arial" w:hAnsi="Arial"/>
          <w:sz w:val="16"/>
          <w:szCs w:val="16"/>
          <w:color w:val="333333"/>
        </w:rPr>
        <w:t>by completing, signing, dating and returning the enclosed Proxy Card by mail; or</w:t>
      </w:r>
    </w:p>
    <w:p>
      <w:pPr>
        <w:spacing w:after="0" w:line="126" w:lineRule="exact"/>
        <w:rPr>
          <w:rFonts w:ascii="Arial" w:cs="Arial" w:eastAsia="Arial" w:hAnsi="Arial"/>
          <w:sz w:val="16"/>
          <w:szCs w:val="16"/>
          <w:color w:val="333333"/>
        </w:rPr>
      </w:pPr>
    </w:p>
    <w:p>
      <w:pPr>
        <w:ind w:left="224" w:hanging="224"/>
        <w:spacing w:after="0"/>
        <w:tabs>
          <w:tab w:leader="none" w:pos="224" w:val="left"/>
        </w:tabs>
        <w:numPr>
          <w:ilvl w:val="0"/>
          <w:numId w:val="141"/>
        </w:numPr>
        <w:rPr>
          <w:rFonts w:ascii="Arial" w:cs="Arial" w:eastAsia="Arial" w:hAnsi="Arial"/>
          <w:sz w:val="16"/>
          <w:szCs w:val="16"/>
          <w:color w:val="333333"/>
        </w:rPr>
      </w:pPr>
      <w:r>
        <w:rPr>
          <w:rFonts w:ascii="Arial" w:cs="Arial" w:eastAsia="Arial" w:hAnsi="Arial"/>
          <w:sz w:val="16"/>
          <w:szCs w:val="16"/>
          <w:color w:val="333333"/>
        </w:rPr>
        <w:t>in person at the meeting.</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5911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4"/>
          </w:cols>
          <w:pgMar w:left="436" w:top="263"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103 </w:t>
      </w:r>
      <w:r>
        <w:rPr>
          <w:rFonts w:ascii="Arial" w:cs="Arial" w:eastAsia="Arial" w:hAnsi="Arial"/>
          <w:sz w:val="16"/>
          <w:szCs w:val="16"/>
          <w:color w:val="333333"/>
        </w:rPr>
        <w:t xml:space="preserve">               </w:t>
      </w:r>
    </w:p>
    <w:p>
      <w:pPr>
        <w:sectPr>
          <w:pgSz w:w="11900" w:h="16838" w:orient="portrait"/>
          <w:cols w:equalWidth="0" w:num="4">
            <w:col w:w="44" w:space="120"/>
            <w:col w:w="3700" w:space="720"/>
            <w:col w:w="4560" w:space="720"/>
            <w:col w:w="1160"/>
          </w:cols>
          <w:pgMar w:left="436" w:top="263" w:right="439" w:bottom="1440" w:gutter="0" w:footer="0" w:header="0"/>
          <w:type w:val="continuous"/>
        </w:sectPr>
      </w:pPr>
    </w:p>
    <w:bookmarkStart w:id="110" w:name="page111"/>
    <w:bookmarkEnd w:id="110"/>
    <w:tbl>
      <w:tblPr>
        <w:tblLayout w:type="fixed"/>
        <w:tblInd w:w="4" w:type="dxa"/>
        <w:tblCellMar>
          <w:top w:w="0" w:type="dxa"/>
          <w:left w:w="0" w:type="dxa"/>
          <w:bottom w:w="0" w:type="dxa"/>
          <w:right w:w="0" w:type="dxa"/>
        </w:tblCellMar>
      </w:tblPr>
      <w:tr>
        <w:trPr>
          <w:trHeight w:val="355"/>
        </w:trPr>
        <w:tc>
          <w:tcPr>
            <w:tcW w:w="280" w:type="dxa"/>
            <w:vAlign w:val="bottom"/>
            <w:shd w:val="clear" w:color="auto" w:fill="4D5357"/>
          </w:tcPr>
          <w:p>
            <w:pPr>
              <w:ind w:left="180"/>
              <w:spacing w:after="0"/>
              <w:rPr>
                <w:sz w:val="20"/>
                <w:szCs w:val="20"/>
                <w:color w:val="auto"/>
              </w:rPr>
            </w:pPr>
            <w:r>
              <w:rPr>
                <w:rFonts w:ascii="Arial" w:cs="Arial" w:eastAsia="Arial" w:hAnsi="Arial"/>
                <w:sz w:val="11"/>
                <w:szCs w:val="11"/>
                <w:b w:val="1"/>
                <w:bCs w:val="1"/>
                <w:color w:val="FFFFFF"/>
                <w:w w:val="72"/>
              </w:rPr>
              <w:t> </w:t>
            </w:r>
          </w:p>
        </w:tc>
        <w:tc>
          <w:tcPr>
            <w:tcW w:w="16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w w:val="71"/>
              </w:rPr>
              <w:t> </w:t>
            </w:r>
          </w:p>
        </w:tc>
        <w:tc>
          <w:tcPr>
            <w:tcW w:w="146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5"/>
              </w:rPr>
              <w:t>Annual Meeting and </w:t>
            </w:r>
          </w:p>
        </w:tc>
        <w:tc>
          <w:tcPr>
            <w:tcW w:w="40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r>
      <w:tr>
        <w:trPr>
          <w:trHeight w:val="196"/>
        </w:trPr>
        <w:tc>
          <w:tcPr>
            <w:tcW w:w="280" w:type="dxa"/>
            <w:vAlign w:val="bottom"/>
            <w:shd w:val="clear" w:color="auto" w:fill="4D5357"/>
          </w:tcPr>
          <w:p>
            <w:pPr>
              <w:ind w:left="220"/>
              <w:spacing w:after="0"/>
              <w:rPr>
                <w:sz w:val="20"/>
                <w:szCs w:val="20"/>
                <w:color w:val="auto"/>
              </w:rPr>
            </w:pPr>
            <w:r>
              <w:rPr>
                <w:rFonts w:ascii="Arial" w:cs="Arial" w:eastAsia="Arial" w:hAnsi="Arial"/>
                <w:sz w:val="5"/>
                <w:szCs w:val="5"/>
                <w:b w:val="1"/>
                <w:bCs w:val="1"/>
                <w:color w:val="FFFFFF"/>
                <w:w w:val="79"/>
              </w:rPr>
              <w:t> </w:t>
            </w:r>
          </w:p>
        </w:tc>
        <w:tc>
          <w:tcPr>
            <w:tcW w:w="160" w:type="dxa"/>
            <w:vAlign w:val="bottom"/>
            <w:shd w:val="clear" w:color="auto" w:fill="4D5357"/>
          </w:tcPr>
          <w:p>
            <w:pPr>
              <w:ind w:left="80"/>
              <w:spacing w:after="0"/>
              <w:rPr>
                <w:sz w:val="20"/>
                <w:szCs w:val="20"/>
                <w:color w:val="auto"/>
              </w:rPr>
            </w:pPr>
            <w:r>
              <w:rPr>
                <w:rFonts w:ascii="Arial" w:cs="Arial" w:eastAsia="Arial" w:hAnsi="Arial"/>
                <w:sz w:val="8"/>
                <w:szCs w:val="8"/>
                <w:b w:val="1"/>
                <w:bCs w:val="1"/>
                <w:color w:val="FFFFFF"/>
                <w:w w:val="74"/>
              </w:rPr>
              <w:t> </w:t>
            </w:r>
          </w:p>
        </w:tc>
        <w:tc>
          <w:tcPr>
            <w:tcW w:w="146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5"/>
              </w:rPr>
              <w:t>Voting Information </w:t>
            </w:r>
          </w:p>
        </w:tc>
        <w:tc>
          <w:tcPr>
            <w:tcW w:w="4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1"/>
        </w:trPr>
        <w:tc>
          <w:tcPr>
            <w:tcW w:w="280" w:type="dxa"/>
            <w:vAlign w:val="bottom"/>
            <w:shd w:val="clear" w:color="auto" w:fill="4D5357"/>
          </w:tcPr>
          <w:p>
            <w:pPr>
              <w:spacing w:after="0"/>
              <w:rPr>
                <w:sz w:val="16"/>
                <w:szCs w:val="16"/>
                <w:color w:val="auto"/>
              </w:rPr>
            </w:pPr>
          </w:p>
        </w:tc>
        <w:tc>
          <w:tcPr>
            <w:tcW w:w="160" w:type="dxa"/>
            <w:vAlign w:val="bottom"/>
            <w:shd w:val="clear" w:color="auto" w:fill="4D5357"/>
          </w:tcPr>
          <w:p>
            <w:pPr>
              <w:spacing w:after="0"/>
              <w:rPr>
                <w:sz w:val="16"/>
                <w:szCs w:val="16"/>
                <w:color w:val="auto"/>
              </w:rPr>
            </w:pPr>
          </w:p>
        </w:tc>
        <w:tc>
          <w:tcPr>
            <w:tcW w:w="1460" w:type="dxa"/>
            <w:vAlign w:val="bottom"/>
            <w:shd w:val="clear" w:color="auto" w:fill="4D5357"/>
          </w:tcPr>
          <w:p>
            <w:pPr>
              <w:spacing w:after="0"/>
              <w:rPr>
                <w:sz w:val="16"/>
                <w:szCs w:val="16"/>
                <w:color w:val="auto"/>
              </w:rPr>
            </w:pPr>
          </w:p>
        </w:tc>
        <w:tc>
          <w:tcPr>
            <w:tcW w:w="400" w:type="dxa"/>
            <w:vAlign w:val="bottom"/>
            <w:shd w:val="clear" w:color="auto" w:fill="4D5357"/>
          </w:tcPr>
          <w:p>
            <w:pPr>
              <w:spacing w:after="0"/>
              <w:rPr>
                <w:sz w:val="16"/>
                <w:szCs w:val="16"/>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 w:right="80"/>
        <w:spacing w:after="0" w:line="286" w:lineRule="auto"/>
        <w:rPr>
          <w:sz w:val="20"/>
          <w:szCs w:val="20"/>
          <w:color w:val="auto"/>
        </w:rPr>
      </w:pPr>
      <w:r>
        <w:rPr>
          <w:rFonts w:ascii="Arial" w:cs="Arial" w:eastAsia="Arial" w:hAnsi="Arial"/>
          <w:sz w:val="16"/>
          <w:szCs w:val="16"/>
          <w:color w:val="333333"/>
        </w:rPr>
        <w:t>Even if you plan to attend the meeting, we encourage you to vote your shares by submitting your proxy. If you choose to vote your shares at the meeting, please bring proof of stock ownership and proof of your identity for entrance to the meeting.</w:t>
      </w:r>
    </w:p>
    <w:p>
      <w:pPr>
        <w:spacing w:after="0" w:line="156" w:lineRule="exact"/>
        <w:rPr>
          <w:sz w:val="20"/>
          <w:szCs w:val="20"/>
          <w:color w:val="auto"/>
        </w:rPr>
      </w:pPr>
    </w:p>
    <w:p>
      <w:pPr>
        <w:ind w:left="4" w:right="20"/>
        <w:spacing w:after="0" w:line="262" w:lineRule="auto"/>
        <w:rPr>
          <w:sz w:val="20"/>
          <w:szCs w:val="20"/>
          <w:color w:val="auto"/>
        </w:rPr>
      </w:pPr>
      <w:r>
        <w:rPr>
          <w:rFonts w:ascii="Arial" w:cs="Arial" w:eastAsia="Arial" w:hAnsi="Arial"/>
          <w:sz w:val="16"/>
          <w:szCs w:val="16"/>
          <w:i w:val="1"/>
          <w:iCs w:val="1"/>
          <w:color w:val="333333"/>
        </w:rPr>
        <w:t xml:space="preserve">Beneficial shareholders: </w:t>
      </w:r>
      <w:r>
        <w:rPr>
          <w:rFonts w:ascii="Arial" w:cs="Arial" w:eastAsia="Arial" w:hAnsi="Arial"/>
          <w:sz w:val="16"/>
          <w:szCs w:val="16"/>
          <w:color w:val="333333"/>
        </w:rPr>
        <w:t>If you hold your Martin Marietta shares in street name, your ability to vote by internet or telephone depends on the voting process</w:t>
      </w:r>
      <w:r>
        <w:rPr>
          <w:rFonts w:ascii="Arial" w:cs="Arial" w:eastAsia="Arial" w:hAnsi="Arial"/>
          <w:sz w:val="16"/>
          <w:szCs w:val="16"/>
          <w:i w:val="1"/>
          <w:iCs w:val="1"/>
          <w:color w:val="333333"/>
        </w:rPr>
        <w:t xml:space="preserve"> </w:t>
      </w:r>
      <w:r>
        <w:rPr>
          <w:rFonts w:ascii="Arial" w:cs="Arial" w:eastAsia="Arial" w:hAnsi="Arial"/>
          <w:sz w:val="16"/>
          <w:szCs w:val="16"/>
          <w:color w:val="333333"/>
        </w:rPr>
        <w:t>of the bank, broker or other nominee through which you hold the shares. Please follow their directions carefully. If you want to vote at the meeting, you must request a legal proxy from your bank, broker or other nominee and present that proxy, together with proof of your identity, for entrance to the meeting.</w:t>
      </w:r>
    </w:p>
    <w:p>
      <w:pPr>
        <w:spacing w:after="0" w:line="369" w:lineRule="exact"/>
        <w:rPr>
          <w:sz w:val="20"/>
          <w:szCs w:val="20"/>
          <w:color w:val="auto"/>
        </w:rPr>
      </w:pPr>
    </w:p>
    <w:p>
      <w:pPr>
        <w:jc w:val="both"/>
        <w:ind w:left="4" w:right="400"/>
        <w:spacing w:after="0" w:line="266" w:lineRule="auto"/>
        <w:rPr>
          <w:sz w:val="20"/>
          <w:szCs w:val="20"/>
          <w:color w:val="auto"/>
        </w:rPr>
      </w:pPr>
      <w:r>
        <w:rPr>
          <w:rFonts w:ascii="Arial" w:cs="Arial" w:eastAsia="Arial" w:hAnsi="Arial"/>
          <w:sz w:val="16"/>
          <w:szCs w:val="16"/>
          <w:color w:val="333333"/>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What can I do if I change my mind after I vote my shares?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color w:val="333333"/>
        </w:rPr>
        <w:t>Even if you have submitted your vote, you may revoke your proxy and change your vote at any time before voting begins at the Annual Meeting.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333333"/>
        </w:rPr>
        <w:t xml:space="preserve">Registered shareholders: </w:t>
      </w:r>
      <w:r>
        <w:rPr>
          <w:rFonts w:ascii="Arial" w:cs="Arial" w:eastAsia="Arial" w:hAnsi="Arial"/>
          <w:sz w:val="16"/>
          <w:szCs w:val="16"/>
          <w:color w:val="333333"/>
        </w:rPr>
        <w:t>Registered shareholders may change their votes in one of two ways:</w:t>
      </w:r>
    </w:p>
    <w:p>
      <w:pPr>
        <w:spacing w:after="0" w:line="73" w:lineRule="exact"/>
        <w:rPr>
          <w:sz w:val="20"/>
          <w:szCs w:val="20"/>
          <w:color w:val="auto"/>
        </w:rPr>
      </w:pPr>
    </w:p>
    <w:p>
      <w:pPr>
        <w:ind w:left="224" w:hanging="224"/>
        <w:spacing w:after="0"/>
        <w:tabs>
          <w:tab w:leader="none" w:pos="224" w:val="left"/>
        </w:tabs>
        <w:numPr>
          <w:ilvl w:val="0"/>
          <w:numId w:val="142"/>
        </w:numPr>
        <w:rPr>
          <w:rFonts w:ascii="Arial" w:cs="Arial" w:eastAsia="Arial" w:hAnsi="Arial"/>
          <w:sz w:val="16"/>
          <w:szCs w:val="16"/>
          <w:color w:val="333333"/>
        </w:rPr>
      </w:pPr>
      <w:r>
        <w:rPr>
          <w:rFonts w:ascii="Arial" w:cs="Arial" w:eastAsia="Arial" w:hAnsi="Arial"/>
          <w:sz w:val="16"/>
          <w:szCs w:val="16"/>
          <w:color w:val="333333"/>
        </w:rPr>
        <w:t>by voting on a later date by telephone or over the Internet (only your last dated Proxy Card or telephone or Internet vote is counted); or</w:t>
      </w:r>
    </w:p>
    <w:p>
      <w:pPr>
        <w:spacing w:after="0" w:line="126" w:lineRule="exact"/>
        <w:rPr>
          <w:rFonts w:ascii="Arial" w:cs="Arial" w:eastAsia="Arial" w:hAnsi="Arial"/>
          <w:sz w:val="16"/>
          <w:szCs w:val="16"/>
          <w:color w:val="333333"/>
        </w:rPr>
      </w:pPr>
    </w:p>
    <w:p>
      <w:pPr>
        <w:ind w:left="224" w:right="180" w:hanging="224"/>
        <w:spacing w:after="0" w:line="286" w:lineRule="auto"/>
        <w:tabs>
          <w:tab w:leader="none" w:pos="224" w:val="left"/>
        </w:tabs>
        <w:numPr>
          <w:ilvl w:val="0"/>
          <w:numId w:val="142"/>
        </w:numPr>
        <w:rPr>
          <w:rFonts w:ascii="Arial" w:cs="Arial" w:eastAsia="Arial" w:hAnsi="Arial"/>
          <w:sz w:val="16"/>
          <w:szCs w:val="16"/>
          <w:color w:val="333333"/>
        </w:rPr>
      </w:pPr>
      <w:r>
        <w:rPr>
          <w:rFonts w:ascii="Arial" w:cs="Arial" w:eastAsia="Arial" w:hAnsi="Arial"/>
          <w:sz w:val="16"/>
          <w:szCs w:val="16"/>
          <w:color w:val="333333"/>
        </w:rPr>
        <w:t>by delivering a later dated Proxy Card to our Secretary, either prior to or at the meeting; or by voting your shares in person at the meeting. In order to vote your shares at the meeting, you must specifically revoke a previously submitted proxy.</w:t>
      </w:r>
    </w:p>
    <w:p>
      <w:pPr>
        <w:spacing w:after="0" w:line="156" w:lineRule="exact"/>
        <w:rPr>
          <w:sz w:val="20"/>
          <w:szCs w:val="20"/>
          <w:color w:val="auto"/>
        </w:rPr>
      </w:pPr>
    </w:p>
    <w:p>
      <w:pPr>
        <w:ind w:left="4" w:right="360"/>
        <w:spacing w:after="0" w:line="286" w:lineRule="auto"/>
        <w:rPr>
          <w:sz w:val="20"/>
          <w:szCs w:val="20"/>
          <w:color w:val="auto"/>
        </w:rPr>
      </w:pPr>
      <w:r>
        <w:rPr>
          <w:rFonts w:ascii="Arial" w:cs="Arial" w:eastAsia="Arial" w:hAnsi="Arial"/>
          <w:sz w:val="16"/>
          <w:szCs w:val="16"/>
          <w:i w:val="1"/>
          <w:iCs w:val="1"/>
          <w:color w:val="333333"/>
        </w:rPr>
        <w:t xml:space="preserve">Beneficial shareholders: </w:t>
      </w:r>
      <w:r>
        <w:rPr>
          <w:rFonts w:ascii="Arial" w:cs="Arial" w:eastAsia="Arial" w:hAnsi="Arial"/>
          <w:sz w:val="16"/>
          <w:szCs w:val="16"/>
          <w:color w:val="333333"/>
        </w:rPr>
        <w:t>If you hold your shares in street name, you should contact your bank, broker or other nominee to find out how to revoke your</w:t>
      </w:r>
      <w:r>
        <w:rPr>
          <w:rFonts w:ascii="Arial" w:cs="Arial" w:eastAsia="Arial" w:hAnsi="Arial"/>
          <w:sz w:val="16"/>
          <w:szCs w:val="16"/>
          <w:i w:val="1"/>
          <w:iCs w:val="1"/>
          <w:color w:val="333333"/>
        </w:rPr>
        <w:t xml:space="preserve"> </w:t>
      </w:r>
      <w:r>
        <w:rPr>
          <w:rFonts w:ascii="Arial" w:cs="Arial" w:eastAsia="Arial" w:hAnsi="Arial"/>
          <w:sz w:val="16"/>
          <w:szCs w:val="16"/>
          <w:color w:val="333333"/>
        </w:rPr>
        <w:t>proxy.</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How do I vote my 401(k) shares?</w:t>
      </w:r>
    </w:p>
    <w:p>
      <w:pPr>
        <w:spacing w:after="0" w:line="123"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333333"/>
        </w:rPr>
        <w:t>Each participant in Martin Marietta’s Savings and Investment Plan holding shares of Martin Marietta under that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22" w:lineRule="exact"/>
        <w:rPr>
          <w:sz w:val="20"/>
          <w:szCs w:val="20"/>
          <w:color w:val="auto"/>
        </w:rPr>
      </w:pPr>
    </w:p>
    <w:p>
      <w:pPr>
        <w:ind w:left="4" w:right="440"/>
        <w:spacing w:after="0" w:line="287" w:lineRule="auto"/>
        <w:rPr>
          <w:sz w:val="20"/>
          <w:szCs w:val="20"/>
          <w:color w:val="auto"/>
        </w:rPr>
      </w:pPr>
      <w:r>
        <w:rPr>
          <w:rFonts w:ascii="Arial" w:cs="Arial" w:eastAsia="Arial" w:hAnsi="Arial"/>
          <w:sz w:val="27"/>
          <w:szCs w:val="27"/>
          <w:b w:val="1"/>
          <w:bCs w:val="1"/>
          <w:color w:val="0086CC"/>
        </w:rPr>
        <w:t>Will my broker vote my shares for me if I do not give voting instructions? What are “broker non-votes”?</w:t>
      </w:r>
    </w:p>
    <w:p>
      <w:pPr>
        <w:spacing w:after="0" w:line="2" w:lineRule="exact"/>
        <w:rPr>
          <w:sz w:val="20"/>
          <w:szCs w:val="20"/>
          <w:color w:val="auto"/>
        </w:rPr>
      </w:pPr>
    </w:p>
    <w:p>
      <w:pPr>
        <w:ind w:left="4" w:right="80"/>
        <w:spacing w:after="0" w:line="251" w:lineRule="auto"/>
        <w:rPr>
          <w:sz w:val="20"/>
          <w:szCs w:val="20"/>
          <w:color w:val="auto"/>
        </w:rPr>
      </w:pPr>
      <w:r>
        <w:rPr>
          <w:rFonts w:ascii="Arial" w:cs="Arial" w:eastAsia="Arial" w:hAnsi="Arial"/>
          <w:sz w:val="16"/>
          <w:szCs w:val="16"/>
          <w:color w:val="333333"/>
        </w:rPr>
        <w:t>Brokers holding shares for beneficial owners must vote those shares according to the specific instructions they receive from the beneficial owners. If specific instructions are not received, brokers may generally vote these shares at their discretion. However, the NYSE rules preclude brokers from exercising their voting discretion on certain proposals, such as the election of Directors and executive compensation and equity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the approval on an advisory basis of the compensation of our named executive officers, and the approval of the amended and restated Stock-Based Award Plan,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0086CC"/>
        </w:rPr>
        <w:t>What vote is required to approve each item?</w:t>
      </w:r>
    </w:p>
    <w:p>
      <w:pPr>
        <w:spacing w:after="0" w:line="123"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333333"/>
        </w:rPr>
        <w:t>Martin Marietta amended its Articles of Incorporation following the 2013 Annual Meeting of Shareholders to provide for majority voting in the election of Directors. As a result, in an uncontested Director election (i.e., an election where the only nominees are those proposed by our Board of Directors, such as at the 2026 Annual Meeting), Directors are elected by a majority of the votes cast by holders of our common stock present in person or by proxy at the meeting. For purposes of uncontested Director elections, a majority of votes cast</w:t>
      </w:r>
    </w:p>
    <w:p>
      <w:pPr>
        <w:spacing w:after="0" w:line="367"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6000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315"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104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4" w:space="120"/>
            <w:col w:w="460" w:space="120"/>
            <w:col w:w="8620" w:space="720"/>
            <w:col w:w="780"/>
          </w:cols>
          <w:pgMar w:left="436" w:top="315" w:right="439" w:bottom="1440" w:gutter="0" w:footer="0" w:header="0"/>
          <w:type w:val="continuous"/>
        </w:sectPr>
      </w:pPr>
    </w:p>
    <w:bookmarkStart w:id="111" w:name="page112"/>
    <w:bookmarkEnd w:id="111"/>
    <w:tbl>
      <w:tblPr>
        <w:tblLayout w:type="fixed"/>
        <w:tblInd w:w="8600" w:type="dxa"/>
        <w:tblCellMar>
          <w:top w:w="0" w:type="dxa"/>
          <w:left w:w="0" w:type="dxa"/>
          <w:bottom w:w="0" w:type="dxa"/>
          <w:right w:w="0" w:type="dxa"/>
        </w:tblCellMar>
      </w:tblPr>
      <w:tr>
        <w:trPr>
          <w:trHeight w:val="274"/>
        </w:trPr>
        <w:tc>
          <w:tcPr>
            <w:tcW w:w="400" w:type="dxa"/>
            <w:vAlign w:val="bottom"/>
            <w:shd w:val="clear" w:color="auto" w:fill="4D5357"/>
          </w:tcPr>
          <w:p>
            <w:pPr>
              <w:ind w:left="280"/>
              <w:spacing w:after="0"/>
              <w:rPr>
                <w:sz w:val="20"/>
                <w:szCs w:val="20"/>
                <w:color w:val="auto"/>
              </w:rPr>
            </w:pPr>
            <w:r>
              <w:rPr>
                <w:rFonts w:ascii="Arial" w:cs="Arial" w:eastAsia="Arial" w:hAnsi="Arial"/>
                <w:sz w:val="14"/>
                <w:szCs w:val="14"/>
                <w:b w:val="1"/>
                <w:bCs w:val="1"/>
                <w:color w:val="FFFFFF"/>
                <w:w w:val="71"/>
              </w:rPr>
              <w:t> </w:t>
            </w:r>
          </w:p>
        </w:tc>
        <w:tc>
          <w:tcPr>
            <w:tcW w:w="140" w:type="dxa"/>
            <w:vAlign w:val="bottom"/>
            <w:shd w:val="clear" w:color="auto" w:fill="4D5357"/>
          </w:tcPr>
          <w:p>
            <w:pPr>
              <w:ind w:left="40"/>
              <w:spacing w:after="0"/>
              <w:rPr>
                <w:sz w:val="20"/>
                <w:szCs w:val="20"/>
                <w:color w:val="auto"/>
              </w:rPr>
            </w:pPr>
            <w:r>
              <w:rPr>
                <w:rFonts w:ascii="Arial" w:cs="Arial" w:eastAsia="Arial" w:hAnsi="Arial"/>
                <w:sz w:val="11"/>
                <w:szCs w:val="11"/>
                <w:b w:val="1"/>
                <w:bCs w:val="1"/>
                <w:color w:val="FFFFFF"/>
                <w:w w:val="72"/>
              </w:rPr>
              <w:t> </w:t>
            </w:r>
          </w:p>
        </w:tc>
        <w:tc>
          <w:tcPr>
            <w:tcW w:w="146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6"/>
              </w:rPr>
              <w:t>Annual Meeting and </w:t>
            </w:r>
          </w:p>
        </w:tc>
        <w:tc>
          <w:tcPr>
            <w:tcW w:w="420" w:type="dxa"/>
            <w:vAlign w:val="bottom"/>
            <w:shd w:val="clear" w:color="auto" w:fill="4D5357"/>
          </w:tcPr>
          <w:p>
            <w:pPr>
              <w:ind w:left="80"/>
              <w:spacing w:after="0"/>
              <w:rPr>
                <w:sz w:val="20"/>
                <w:szCs w:val="20"/>
                <w:color w:val="auto"/>
              </w:rPr>
            </w:pPr>
            <w:r>
              <w:rPr>
                <w:rFonts w:ascii="Arial" w:cs="Arial" w:eastAsia="Arial" w:hAnsi="Arial"/>
                <w:sz w:val="14"/>
                <w:szCs w:val="14"/>
                <w:b w:val="1"/>
                <w:bCs w:val="1"/>
                <w:color w:val="FFFFFF"/>
              </w:rPr>
              <w:t> </w:t>
            </w:r>
          </w:p>
        </w:tc>
      </w:tr>
      <w:tr>
        <w:trPr>
          <w:trHeight w:val="196"/>
        </w:trPr>
        <w:tc>
          <w:tcPr>
            <w:tcW w:w="400" w:type="dxa"/>
            <w:vAlign w:val="bottom"/>
            <w:shd w:val="clear" w:color="auto" w:fill="4D5357"/>
          </w:tcPr>
          <w:p>
            <w:pPr>
              <w:ind w:left="340"/>
              <w:spacing w:after="0"/>
              <w:rPr>
                <w:sz w:val="20"/>
                <w:szCs w:val="20"/>
                <w:color w:val="auto"/>
              </w:rPr>
            </w:pPr>
            <w:r>
              <w:rPr>
                <w:rFonts w:ascii="Arial" w:cs="Arial" w:eastAsia="Arial" w:hAnsi="Arial"/>
                <w:sz w:val="5"/>
                <w:szCs w:val="5"/>
                <w:b w:val="1"/>
                <w:bCs w:val="1"/>
                <w:color w:val="FFFFFF"/>
                <w:w w:val="79"/>
              </w:rPr>
              <w:t> </w:t>
            </w:r>
          </w:p>
        </w:tc>
        <w:tc>
          <w:tcPr>
            <w:tcW w:w="140" w:type="dxa"/>
            <w:vAlign w:val="bottom"/>
            <w:shd w:val="clear" w:color="auto" w:fill="4D5357"/>
          </w:tcPr>
          <w:p>
            <w:pPr>
              <w:ind w:left="80"/>
              <w:spacing w:after="0"/>
              <w:rPr>
                <w:sz w:val="20"/>
                <w:szCs w:val="20"/>
                <w:color w:val="auto"/>
              </w:rPr>
            </w:pPr>
            <w:r>
              <w:rPr>
                <w:rFonts w:ascii="Arial" w:cs="Arial" w:eastAsia="Arial" w:hAnsi="Arial"/>
                <w:sz w:val="5"/>
                <w:szCs w:val="5"/>
                <w:b w:val="1"/>
                <w:bCs w:val="1"/>
                <w:color w:val="FFFFFF"/>
                <w:w w:val="79"/>
              </w:rPr>
              <w:t> </w:t>
            </w:r>
          </w:p>
        </w:tc>
        <w:tc>
          <w:tcPr>
            <w:tcW w:w="146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5"/>
              </w:rPr>
              <w:t>Voting Information </w:t>
            </w:r>
          </w:p>
        </w:tc>
        <w:tc>
          <w:tcPr>
            <w:tcW w:w="42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rPr>
              <w:t> </w:t>
            </w:r>
          </w:p>
        </w:tc>
      </w:tr>
      <w:tr>
        <w:trPr>
          <w:trHeight w:val="110"/>
        </w:trPr>
        <w:tc>
          <w:tcPr>
            <w:tcW w:w="400" w:type="dxa"/>
            <w:vAlign w:val="bottom"/>
            <w:shd w:val="clear" w:color="auto" w:fill="4D5357"/>
          </w:tcPr>
          <w:p>
            <w:pPr>
              <w:spacing w:after="0"/>
              <w:rPr>
                <w:sz w:val="9"/>
                <w:szCs w:val="9"/>
                <w:color w:val="auto"/>
              </w:rPr>
            </w:pPr>
          </w:p>
        </w:tc>
        <w:tc>
          <w:tcPr>
            <w:tcW w:w="140" w:type="dxa"/>
            <w:vAlign w:val="bottom"/>
            <w:shd w:val="clear" w:color="auto" w:fill="4D5357"/>
          </w:tcPr>
          <w:p>
            <w:pPr>
              <w:spacing w:after="0"/>
              <w:rPr>
                <w:sz w:val="9"/>
                <w:szCs w:val="9"/>
                <w:color w:val="auto"/>
              </w:rPr>
            </w:pPr>
          </w:p>
        </w:tc>
        <w:tc>
          <w:tcPr>
            <w:tcW w:w="1460" w:type="dxa"/>
            <w:vAlign w:val="bottom"/>
            <w:shd w:val="clear" w:color="auto" w:fill="4D5357"/>
          </w:tcPr>
          <w:p>
            <w:pPr>
              <w:spacing w:after="0"/>
              <w:rPr>
                <w:sz w:val="9"/>
                <w:szCs w:val="9"/>
                <w:color w:val="auto"/>
              </w:rPr>
            </w:pPr>
          </w:p>
        </w:tc>
        <w:tc>
          <w:tcPr>
            <w:tcW w:w="420" w:type="dxa"/>
            <w:vAlign w:val="bottom"/>
            <w:shd w:val="clear" w:color="auto" w:fill="4D5357"/>
          </w:tcPr>
          <w:p>
            <w:pPr>
              <w:spacing w:after="0"/>
              <w:rPr>
                <w:sz w:val="9"/>
                <w:szCs w:val="9"/>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right="440"/>
        <w:spacing w:after="0" w:line="286" w:lineRule="auto"/>
        <w:rPr>
          <w:sz w:val="20"/>
          <w:szCs w:val="20"/>
          <w:color w:val="auto"/>
        </w:rPr>
      </w:pPr>
      <w:r>
        <w:rPr>
          <w:rFonts w:ascii="Arial" w:cs="Arial" w:eastAsia="Arial" w:hAnsi="Arial"/>
          <w:sz w:val="16"/>
          <w:szCs w:val="16"/>
          <w:color w:val="333333"/>
        </w:rPr>
        <w:t>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15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333333"/>
        </w:rPr>
        <w:t>Under North Carolina law, if an incumbent director is not re-elected at an Annual Meeting, then, even though his or her term has expired, the incumbent director continues to serve in office as a holdover director until his or her successor is elected or until there is a decrease in the number of directors.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33333"/>
        </w:rPr>
        <w:t>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Approval of the Stock-Based Award Plan requires the affirmative vote of a majority of the votes cast on the proposal at the Annual Meeting in person or by proxy, For purposes of approval of the Stock-Based Award Plan, a majority of votes cast means that the number of votes cast “for” approval of the Stock-Based Award Plan exceeds the number of votes cast “against” approval of the Stock-Based Award Plan. Abstentions and broker non-votes will not be counted as votes cast with respect to approval of the Stock-Based Award Plan and will have no effect on the outcome of the vote on that matter.</w:t>
      </w:r>
    </w:p>
    <w:p>
      <w:pPr>
        <w:spacing w:after="0" w:line="13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333333"/>
        </w:rPr>
        <w:t>The ratification of the selection of independent auditors, the advisory vote to approve the compensation of the named executive officers, and any other proposal presented at the meeting, will be approved if more votes are cast by proxy or in person in favor of such proposal than are cast against it.</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333333"/>
        </w:rPr>
        <w:t>Abstentions and broker non-votes, if any, will not be counted “for” or “against” any of these proposals, but will be counted for the purpose of determining whether a quorum exists.</w:t>
      </w:r>
    </w:p>
    <w:p>
      <w:pPr>
        <w:spacing w:after="0" w:line="100"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What is required to attend the meeting?</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Attendance at the Annual Meeting will be limited to our shareholders as of the record date of March 6, 2026 and their proxies. If you are a shareholder and plan to attend the Annual Meeting and your shares are held in street name (for example, if your shares are held through an account maintained by a bank or securities broker), you must present evidence of your stock ownership as of March 6, 2026 in order to be admitted to the Annual Meeting. You can obtain this evidence from your bank or brokerage firm. If your shares are held in street name as of March 6, 2026 and you intend to vote your shares at the Annual Meeting, you must also request a legal proxy appointment from your bank, broker or other nominee and present that proxy appointment at the Annual Meeting’s registration desk. Whether you are a registered shareholder, your shares are held in street name, or you are a duly authorized proxy for a shareholder, a government-issued identification will be required to obtain admittance to the Annual Meeting.</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333333"/>
        </w:rPr>
        <w:t>We speak to almost all of our largest shareholders each year and we rarely have any shareholders in attendance at our Annual Meeting. For these reasons, we currently intend to hold the Annual Meeting in person at our corporate headquarters. In the event that alternative arrangements for the Annual Meeting are required, we intend to promptly advise our shareholders. Please monitor our website, https://ir.martinmarietta.com/events-presentations, for updated information if you are planning to attend the Annual Meeting. To assist with logistical planning for the Annual Meeting, we request that shareholders planning on attending the Annual Meeting notify us by email at corporatesecretary@martinmarietta.com. Providing such notice is not required for attendance at the Annual Meeting and is requested solely to assist in our planning.</w:t>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Where can I find voting results for the Annual Meeting?</w:t>
      </w:r>
    </w:p>
    <w:p>
      <w:pPr>
        <w:spacing w:after="0" w:line="12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333333"/>
        </w:rPr>
        <w:t>We will announce preliminary voting results at the conclusion of the meeting and publish final results in a Current Report on Form 8-K filed with the SEC within four business days after the Annual Meeting.</w:t>
      </w:r>
    </w:p>
    <w:p>
      <w:pPr>
        <w:spacing w:after="0" w:line="100"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Where can I find out more information about Martin Marietta?</w:t>
      </w:r>
    </w:p>
    <w:p>
      <w:pPr>
        <w:spacing w:after="0" w:line="123"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333333"/>
        </w:rPr>
        <w:t xml:space="preserve">We maintain a website at </w:t>
      </w:r>
      <w:r>
        <w:rPr>
          <w:rFonts w:ascii="Arial" w:cs="Arial" w:eastAsia="Arial" w:hAnsi="Arial"/>
          <w:sz w:val="16"/>
          <w:szCs w:val="16"/>
          <w:i w:val="1"/>
          <w:iCs w:val="1"/>
          <w:color w:val="333333"/>
        </w:rPr>
        <w:t>www.martinmarietta.com</w:t>
      </w:r>
      <w:r>
        <w:rPr>
          <w:rFonts w:ascii="Arial" w:cs="Arial" w:eastAsia="Arial" w:hAnsi="Arial"/>
          <w:sz w:val="16"/>
          <w:szCs w:val="16"/>
          <w:color w:val="333333"/>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 xml:space="preserve">105 </w:t>
      </w:r>
      <w:r>
        <w:rPr>
          <w:rFonts w:ascii="Arial" w:cs="Arial" w:eastAsia="Arial" w:hAnsi="Arial"/>
          <w:sz w:val="16"/>
          <w:szCs w:val="16"/>
          <w:color w:val="333333"/>
        </w:rPr>
        <w:t xml:space="preserve">               </w:t>
      </w:r>
    </w:p>
    <w:p>
      <w:pPr>
        <w:sectPr>
          <w:pgSz w:w="11900" w:h="16838" w:orient="portrait"/>
          <w:cols w:equalWidth="0" w:num="4">
            <w:col w:w="200" w:space="120"/>
            <w:col w:w="3540" w:space="720"/>
            <w:col w:w="4560" w:space="720"/>
            <w:col w:w="1160"/>
          </w:cols>
          <w:pgMar w:left="440" w:top="315" w:right="4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355"/>
        </w:trPr>
        <w:tc>
          <w:tcPr>
            <w:tcW w:w="280" w:type="dxa"/>
            <w:vAlign w:val="bottom"/>
            <w:shd w:val="clear" w:color="auto" w:fill="4D5357"/>
          </w:tcPr>
          <w:p>
            <w:pPr>
              <w:ind w:left="180"/>
              <w:spacing w:after="0"/>
              <w:rPr>
                <w:sz w:val="20"/>
                <w:szCs w:val="20"/>
                <w:color w:val="auto"/>
              </w:rPr>
            </w:pPr>
            <w:r>
              <w:rPr>
                <w:rFonts w:ascii="Arial" w:cs="Arial" w:eastAsia="Arial" w:hAnsi="Arial"/>
                <w:sz w:val="11"/>
                <w:szCs w:val="11"/>
                <w:b w:val="1"/>
                <w:bCs w:val="1"/>
                <w:color w:val="FFFFFF"/>
                <w:w w:val="72"/>
              </w:rPr>
              <w:t> </w:t>
            </w:r>
          </w:p>
        </w:tc>
        <w:tc>
          <w:tcPr>
            <w:tcW w:w="160" w:type="dxa"/>
            <w:vAlign w:val="bottom"/>
            <w:shd w:val="clear" w:color="auto" w:fill="4D5357"/>
          </w:tcPr>
          <w:p>
            <w:pPr>
              <w:ind w:left="40"/>
              <w:spacing w:after="0"/>
              <w:rPr>
                <w:sz w:val="20"/>
                <w:szCs w:val="20"/>
                <w:color w:val="auto"/>
              </w:rPr>
            </w:pPr>
            <w:r>
              <w:rPr>
                <w:rFonts w:ascii="Arial" w:cs="Arial" w:eastAsia="Arial" w:hAnsi="Arial"/>
                <w:sz w:val="14"/>
                <w:szCs w:val="14"/>
                <w:b w:val="1"/>
                <w:bCs w:val="1"/>
                <w:color w:val="FFFFFF"/>
                <w:w w:val="71"/>
              </w:rPr>
              <w:t> </w:t>
            </w:r>
          </w:p>
        </w:tc>
        <w:tc>
          <w:tcPr>
            <w:tcW w:w="146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5"/>
              </w:rPr>
              <w:t>Annual Meeting and </w:t>
            </w:r>
          </w:p>
        </w:tc>
        <w:tc>
          <w:tcPr>
            <w:tcW w:w="400" w:type="dxa"/>
            <w:vAlign w:val="bottom"/>
            <w:shd w:val="clear" w:color="auto" w:fill="4D5357"/>
          </w:tcPr>
          <w:p>
            <w:pPr>
              <w:ind w:left="60"/>
              <w:spacing w:after="0"/>
              <w:rPr>
                <w:sz w:val="20"/>
                <w:szCs w:val="20"/>
                <w:color w:val="auto"/>
              </w:rPr>
            </w:pPr>
            <w:r>
              <w:rPr>
                <w:rFonts w:ascii="Arial" w:cs="Arial" w:eastAsia="Arial" w:hAnsi="Arial"/>
                <w:sz w:val="14"/>
                <w:szCs w:val="14"/>
                <w:b w:val="1"/>
                <w:bCs w:val="1"/>
                <w:color w:val="FFFFFF"/>
              </w:rPr>
              <w:t> </w:t>
            </w:r>
          </w:p>
        </w:tc>
      </w:tr>
      <w:tr>
        <w:trPr>
          <w:trHeight w:val="196"/>
        </w:trPr>
        <w:tc>
          <w:tcPr>
            <w:tcW w:w="280" w:type="dxa"/>
            <w:vAlign w:val="bottom"/>
            <w:shd w:val="clear" w:color="auto" w:fill="4D5357"/>
          </w:tcPr>
          <w:p>
            <w:pPr>
              <w:ind w:left="220"/>
              <w:spacing w:after="0"/>
              <w:rPr>
                <w:sz w:val="20"/>
                <w:szCs w:val="20"/>
                <w:color w:val="auto"/>
              </w:rPr>
            </w:pPr>
            <w:r>
              <w:rPr>
                <w:rFonts w:ascii="Arial" w:cs="Arial" w:eastAsia="Arial" w:hAnsi="Arial"/>
                <w:sz w:val="5"/>
                <w:szCs w:val="5"/>
                <w:b w:val="1"/>
                <w:bCs w:val="1"/>
                <w:color w:val="FFFFFF"/>
                <w:w w:val="79"/>
              </w:rPr>
              <w:t> </w:t>
            </w:r>
          </w:p>
        </w:tc>
        <w:tc>
          <w:tcPr>
            <w:tcW w:w="160" w:type="dxa"/>
            <w:vAlign w:val="bottom"/>
            <w:shd w:val="clear" w:color="auto" w:fill="4D5357"/>
          </w:tcPr>
          <w:p>
            <w:pPr>
              <w:ind w:left="80"/>
              <w:spacing w:after="0"/>
              <w:rPr>
                <w:sz w:val="20"/>
                <w:szCs w:val="20"/>
                <w:color w:val="auto"/>
              </w:rPr>
            </w:pPr>
            <w:r>
              <w:rPr>
                <w:rFonts w:ascii="Arial" w:cs="Arial" w:eastAsia="Arial" w:hAnsi="Arial"/>
                <w:sz w:val="8"/>
                <w:szCs w:val="8"/>
                <w:b w:val="1"/>
                <w:bCs w:val="1"/>
                <w:color w:val="FFFFFF"/>
                <w:w w:val="74"/>
              </w:rPr>
              <w:t> </w:t>
            </w:r>
          </w:p>
        </w:tc>
        <w:tc>
          <w:tcPr>
            <w:tcW w:w="1460" w:type="dxa"/>
            <w:vAlign w:val="bottom"/>
            <w:shd w:val="clear" w:color="auto" w:fill="4D5357"/>
          </w:tcPr>
          <w:p>
            <w:pPr>
              <w:jc w:val="center"/>
              <w:spacing w:after="0"/>
              <w:rPr>
                <w:sz w:val="20"/>
                <w:szCs w:val="20"/>
                <w:color w:val="auto"/>
              </w:rPr>
            </w:pPr>
            <w:r>
              <w:rPr>
                <w:rFonts w:ascii="Arial" w:cs="Arial" w:eastAsia="Arial" w:hAnsi="Arial"/>
                <w:sz w:val="14"/>
                <w:szCs w:val="14"/>
                <w:b w:val="1"/>
                <w:bCs w:val="1"/>
                <w:color w:val="FFFFFF"/>
                <w:w w:val="95"/>
              </w:rPr>
              <w:t>Voting Information </w:t>
            </w:r>
          </w:p>
        </w:tc>
        <w:tc>
          <w:tcPr>
            <w:tcW w:w="400" w:type="dxa"/>
            <w:vAlign w:val="bottom"/>
            <w:shd w:val="clear" w:color="auto" w:fill="4D5357"/>
          </w:tcPr>
          <w:p>
            <w:pPr>
              <w:ind w:left="20"/>
              <w:spacing w:after="0"/>
              <w:rPr>
                <w:sz w:val="20"/>
                <w:szCs w:val="20"/>
                <w:color w:val="auto"/>
              </w:rPr>
            </w:pPr>
            <w:r>
              <w:rPr>
                <w:rFonts w:ascii="Arial" w:cs="Arial" w:eastAsia="Arial" w:hAnsi="Arial"/>
                <w:sz w:val="14"/>
                <w:szCs w:val="14"/>
                <w:b w:val="1"/>
                <w:bCs w:val="1"/>
                <w:color w:val="FFFFFF"/>
              </w:rPr>
              <w:t> </w:t>
            </w:r>
          </w:p>
        </w:tc>
      </w:tr>
      <w:tr>
        <w:trPr>
          <w:trHeight w:val="191"/>
        </w:trPr>
        <w:tc>
          <w:tcPr>
            <w:tcW w:w="280" w:type="dxa"/>
            <w:vAlign w:val="bottom"/>
            <w:shd w:val="clear" w:color="auto" w:fill="4D5357"/>
          </w:tcPr>
          <w:p>
            <w:pPr>
              <w:spacing w:after="0"/>
              <w:rPr>
                <w:sz w:val="16"/>
                <w:szCs w:val="16"/>
                <w:color w:val="auto"/>
              </w:rPr>
            </w:pPr>
          </w:p>
        </w:tc>
        <w:tc>
          <w:tcPr>
            <w:tcW w:w="160" w:type="dxa"/>
            <w:vAlign w:val="bottom"/>
            <w:shd w:val="clear" w:color="auto" w:fill="4D5357"/>
          </w:tcPr>
          <w:p>
            <w:pPr>
              <w:spacing w:after="0"/>
              <w:rPr>
                <w:sz w:val="16"/>
                <w:szCs w:val="16"/>
                <w:color w:val="auto"/>
              </w:rPr>
            </w:pPr>
          </w:p>
        </w:tc>
        <w:tc>
          <w:tcPr>
            <w:tcW w:w="1460" w:type="dxa"/>
            <w:vAlign w:val="bottom"/>
            <w:shd w:val="clear" w:color="auto" w:fill="4D5357"/>
          </w:tcPr>
          <w:p>
            <w:pPr>
              <w:spacing w:after="0"/>
              <w:rPr>
                <w:sz w:val="16"/>
                <w:szCs w:val="16"/>
                <w:color w:val="auto"/>
              </w:rPr>
            </w:pPr>
          </w:p>
        </w:tc>
        <w:tc>
          <w:tcPr>
            <w:tcW w:w="400" w:type="dxa"/>
            <w:vAlign w:val="bottom"/>
            <w:shd w:val="clear" w:color="auto" w:fill="4D5357"/>
          </w:tcPr>
          <w:p>
            <w:pPr>
              <w:spacing w:after="0"/>
              <w:rPr>
                <w:sz w:val="16"/>
                <w:szCs w:val="16"/>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right="80"/>
        <w:spacing w:after="0" w:line="259" w:lineRule="auto"/>
        <w:rPr>
          <w:sz w:val="20"/>
          <w:szCs w:val="20"/>
          <w:color w:val="auto"/>
        </w:rPr>
      </w:pPr>
      <w:r>
        <w:rPr>
          <w:rFonts w:ascii="Arial" w:cs="Arial" w:eastAsia="Arial" w:hAnsi="Arial"/>
          <w:sz w:val="16"/>
          <w:szCs w:val="16"/>
          <w:color w:val="333333"/>
        </w:rPr>
        <w:t>Governance Guidelines, as well as our Code of Ethical Business Conduct are all available through the website. Alternatively, our shareholders and other interested parties may obtain, without charge, copies of all of these documents by writing to the Corporate Secretary, Martin Marietta, 4123 Parklake Avenue, Raleigh, NC 27612. Please note that the information contained on Martin Marietta’s website is not incorporated by reference in, or considered to be a part of, this document.</w:t>
      </w:r>
    </w:p>
    <w:p>
      <w:pPr>
        <w:spacing w:after="0" w:line="122"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Who is paying for this Proxy Statement?</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6"/>
          <w:szCs w:val="16"/>
          <w:color w:val="333333"/>
        </w:rPr>
        <w:t>The entire cost of preparing, assembling, printing, and mailing the Notice of Meeting, this Proxy Statement, and proxies, and the cost of soliciting proxies relating to the meeting, if any, has been or will be paid by Martin Marietta. In addition to use of the mail, proxies may be solicited by Directors, officers, and other regular employees of Martin Marietta by telephone, facsimile, or personal solicitation, and no additional compensation will be paid to such individuals. Martin Marietta will use the services of Morrow Sodali LLC, 470 West Avenue, Stamford, CT 06902, a professional soliciting organization, to assist in obtaining in person or by proxy shareholder votes. Martin Marietta estimates its expenses for solicitation services will not exceed $10,000. Martin Marietta will, if requested, reimburse banks, brokerage houses and other custodians, nominees and certain fiduciaries for their reasonable expenses incurred in mailing proxy materials to their principals.</w:t>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Incorporation by Reference</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The Audit Committee Report on page 45 and the Management Development and Compensation Committee Report on page 46 do not constitute soliciting material and should not be deemed filed or incorporated by reference into any other filing by Martin Marietta under the Securities Act of 1933 or the Exchange Act, or 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Shareholders’ Proposals for 2027 Annual Meeting</w:t>
      </w:r>
    </w:p>
    <w:p>
      <w:pPr>
        <w:spacing w:after="0" w:line="12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333333"/>
        </w:rPr>
        <w:t>Proposals by shareholders intended to be presented at the 2027 Annual Meeting of Shareholders of Martin Marietta must be received by the Secretary of Martin Marietta no later than December 16, 2026 in order to be included in the Proxy Statement and on the Proxy Card that will be solicited by the Board of Directors in connection with that meeting. The inclusion of any proposal will be subject to applicable rules of the SEC. In addition, the Bylaws of Martin Marietta establish an advance notice requirement for any proposal of business to be considered at an Annual Meeting, including the nomination of any person for election as Director. In general, written notice must be received by the Secretary of Martin Marietta at its principal executive office, 4123 Parklake Avenue, Raleigh, North Carolina 27612,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2027 Annual Meeting, proposals must be received by the Secretary of Martin Marietta no earlier than January 15, 2027 and no later than February 14, 2027.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Our Bylaws provide a proxy access right to permit a shareholder, or a group of up to 20 shareholders, owning at least 3% of our outstanding common stock continuously for at least three years, to nominate and include in our proxy materials director nominees constituting up to 25% of the Board of Directors or two Directors, whichever is greater, provided that the shareholder(s) and the nominee(s) satisfy the requirements specified in our Bylaws. Under our Bylaws, compliant notice of proxy access Director nominations for the 2027 Annual Meeting must be submitted to the Corporate Secretary of Martin Marietta no earlier than November 16, 2026 and no later than December 16, 2026. The notice must contain the information required by the Bylaws. Any shareholder desiring a copy of the Bylaws of Martin Marietta will be furnished one without charge upon written request to the Secretary of Martin Marietta at its principal executive office, 4123 Parklake Avenue, Raleigh, North Carolina 27612.</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86CC"/>
        </w:rPr>
        <w:t>Martin Marietta Materials, Inc.</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333333"/>
        </w:rPr>
        <w:t>April 15,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106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315" w:right="439" w:bottom="1440" w:gutter="0" w:footer="0" w:header="0"/>
          <w:type w:val="continuous"/>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Martin Marietta</w:t>
      </w:r>
    </w:p>
    <w:p>
      <w:pPr>
        <w:spacing w:after="0" w:line="44"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Guidelines for Potential New Board Members</w:t>
      </w:r>
    </w:p>
    <w:p>
      <w:pPr>
        <w:spacing w:after="0" w:line="102" w:lineRule="exact"/>
        <w:rPr>
          <w:sz w:val="20"/>
          <w:szCs w:val="20"/>
          <w:color w:val="auto"/>
        </w:rPr>
      </w:pPr>
    </w:p>
    <w:p>
      <w:pPr>
        <w:ind w:left="4" w:right="40"/>
        <w:spacing w:after="0" w:line="252" w:lineRule="auto"/>
        <w:rPr>
          <w:sz w:val="20"/>
          <w:szCs w:val="20"/>
          <w:color w:val="auto"/>
        </w:rPr>
      </w:pPr>
      <w:r>
        <w:rPr>
          <w:rFonts w:ascii="Arial" w:cs="Arial" w:eastAsia="Arial" w:hAnsi="Arial"/>
          <w:sz w:val="16"/>
          <w:szCs w:val="16"/>
          <w:i w:val="1"/>
          <w:iCs w:val="1"/>
          <w:u w:val="single" w:color="auto"/>
          <w:color w:val="333333"/>
        </w:rPr>
        <w:t>Preamble</w:t>
      </w:r>
      <w:r>
        <w:rPr>
          <w:rFonts w:ascii="Arial" w:cs="Arial" w:eastAsia="Arial" w:hAnsi="Arial"/>
          <w:sz w:val="16"/>
          <w:szCs w:val="16"/>
          <w:i w:val="1"/>
          <w:iCs w:val="1"/>
          <w:color w:val="333333"/>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279" w:lineRule="exact"/>
        <w:rPr>
          <w:sz w:val="20"/>
          <w:szCs w:val="20"/>
          <w:color w:val="auto"/>
        </w:rPr>
      </w:pPr>
    </w:p>
    <w:p>
      <w:pPr>
        <w:ind w:left="424" w:hanging="424"/>
        <w:spacing w:after="0"/>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Candidates should have a long-term history of the highest integrity and should ascribe fully to the ethics program of Martin Marietta.</w:t>
      </w:r>
    </w:p>
    <w:p>
      <w:pPr>
        <w:spacing w:after="0" w:line="126" w:lineRule="exact"/>
        <w:rPr>
          <w:rFonts w:ascii="Arial" w:cs="Arial" w:eastAsia="Arial" w:hAnsi="Arial"/>
          <w:sz w:val="16"/>
          <w:szCs w:val="16"/>
          <w:color w:val="333333"/>
        </w:rPr>
      </w:pPr>
    </w:p>
    <w:p>
      <w:pPr>
        <w:ind w:left="424" w:hanging="424"/>
        <w:spacing w:after="0"/>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Candidates should be experienced, seasoned and have mature business judgment. It would be desirable if they are still active in their careers.</w:t>
      </w:r>
    </w:p>
    <w:p>
      <w:pPr>
        <w:spacing w:after="0" w:line="126" w:lineRule="exact"/>
        <w:rPr>
          <w:rFonts w:ascii="Arial" w:cs="Arial" w:eastAsia="Arial" w:hAnsi="Arial"/>
          <w:sz w:val="16"/>
          <w:szCs w:val="16"/>
          <w:color w:val="333333"/>
        </w:rPr>
      </w:pPr>
    </w:p>
    <w:p>
      <w:pPr>
        <w:ind w:left="424" w:hanging="424"/>
        <w:spacing w:after="0"/>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Consideration should be given to matching the geographic base of the candidate with the geographic coverage of Martin Marietta.</w:t>
      </w:r>
    </w:p>
    <w:p>
      <w:pPr>
        <w:spacing w:after="0" w:line="126" w:lineRule="exact"/>
        <w:rPr>
          <w:rFonts w:ascii="Arial" w:cs="Arial" w:eastAsia="Arial" w:hAnsi="Arial"/>
          <w:sz w:val="16"/>
          <w:szCs w:val="16"/>
          <w:color w:val="333333"/>
        </w:rPr>
      </w:pPr>
    </w:p>
    <w:p>
      <w:pPr>
        <w:ind w:left="424" w:right="200" w:hanging="424"/>
        <w:spacing w:after="0" w:line="286" w:lineRule="auto"/>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61" w:lineRule="exact"/>
        <w:rPr>
          <w:rFonts w:ascii="Arial" w:cs="Arial" w:eastAsia="Arial" w:hAnsi="Arial"/>
          <w:sz w:val="16"/>
          <w:szCs w:val="16"/>
          <w:color w:val="333333"/>
        </w:rPr>
      </w:pPr>
    </w:p>
    <w:p>
      <w:pPr>
        <w:ind w:left="424" w:right="580" w:hanging="424"/>
        <w:spacing w:after="0" w:line="286" w:lineRule="auto"/>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Generally, candidates should not come from firms or companies that are significant sellers or buyers of goods and services to or from Martin Marietta.</w:t>
      </w:r>
    </w:p>
    <w:p>
      <w:pPr>
        <w:spacing w:after="0" w:line="61" w:lineRule="exact"/>
        <w:rPr>
          <w:rFonts w:ascii="Arial" w:cs="Arial" w:eastAsia="Arial" w:hAnsi="Arial"/>
          <w:sz w:val="16"/>
          <w:szCs w:val="16"/>
          <w:color w:val="333333"/>
        </w:rPr>
      </w:pPr>
    </w:p>
    <w:p>
      <w:pPr>
        <w:ind w:left="424" w:right="60" w:hanging="424"/>
        <w:spacing w:after="0" w:line="266" w:lineRule="auto"/>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Corporate Governance Guidelines.</w:t>
      </w:r>
    </w:p>
    <w:p>
      <w:pPr>
        <w:spacing w:after="0" w:line="76" w:lineRule="exact"/>
        <w:rPr>
          <w:rFonts w:ascii="Arial" w:cs="Arial" w:eastAsia="Arial" w:hAnsi="Arial"/>
          <w:sz w:val="16"/>
          <w:szCs w:val="16"/>
          <w:color w:val="333333"/>
        </w:rPr>
      </w:pPr>
    </w:p>
    <w:p>
      <w:pPr>
        <w:ind w:left="424" w:right="40" w:hanging="424"/>
        <w:spacing w:after="0" w:line="266" w:lineRule="auto"/>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76" w:lineRule="exact"/>
        <w:rPr>
          <w:rFonts w:ascii="Arial" w:cs="Arial" w:eastAsia="Arial" w:hAnsi="Arial"/>
          <w:sz w:val="16"/>
          <w:szCs w:val="16"/>
          <w:color w:val="333333"/>
        </w:rPr>
      </w:pPr>
    </w:p>
    <w:p>
      <w:pPr>
        <w:ind w:left="424" w:right="140" w:hanging="424"/>
        <w:spacing w:after="0" w:line="266" w:lineRule="auto"/>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76" w:lineRule="exact"/>
        <w:rPr>
          <w:rFonts w:ascii="Arial" w:cs="Arial" w:eastAsia="Arial" w:hAnsi="Arial"/>
          <w:sz w:val="16"/>
          <w:szCs w:val="16"/>
          <w:color w:val="333333"/>
        </w:rPr>
      </w:pPr>
    </w:p>
    <w:p>
      <w:pPr>
        <w:ind w:left="424" w:hanging="424"/>
        <w:spacing w:after="0"/>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Public company experience is highly desirable.</w:t>
      </w:r>
    </w:p>
    <w:p>
      <w:pPr>
        <w:spacing w:after="0" w:line="126" w:lineRule="exact"/>
        <w:rPr>
          <w:rFonts w:ascii="Arial" w:cs="Arial" w:eastAsia="Arial" w:hAnsi="Arial"/>
          <w:sz w:val="16"/>
          <w:szCs w:val="16"/>
          <w:color w:val="333333"/>
        </w:rPr>
      </w:pPr>
    </w:p>
    <w:p>
      <w:pPr>
        <w:ind w:left="424" w:right="280" w:hanging="424"/>
        <w:spacing w:after="0" w:line="286" w:lineRule="auto"/>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Candidates from education or nonprofit organizations will be considered where there is a specific priority need identified by the Board and where such a candidate can add value.</w:t>
      </w:r>
    </w:p>
    <w:p>
      <w:pPr>
        <w:spacing w:after="0" w:line="61" w:lineRule="exact"/>
        <w:rPr>
          <w:rFonts w:ascii="Arial" w:cs="Arial" w:eastAsia="Arial" w:hAnsi="Arial"/>
          <w:sz w:val="16"/>
          <w:szCs w:val="16"/>
          <w:color w:val="333333"/>
        </w:rPr>
      </w:pPr>
    </w:p>
    <w:p>
      <w:pPr>
        <w:ind w:left="424" w:right="460" w:hanging="424"/>
        <w:spacing w:after="0" w:line="286" w:lineRule="auto"/>
        <w:tabs>
          <w:tab w:leader="none" w:pos="424" w:val="left"/>
        </w:tabs>
        <w:numPr>
          <w:ilvl w:val="0"/>
          <w:numId w:val="143"/>
        </w:numPr>
        <w:rPr>
          <w:rFonts w:ascii="Arial" w:cs="Arial" w:eastAsia="Arial" w:hAnsi="Arial"/>
          <w:sz w:val="16"/>
          <w:szCs w:val="16"/>
          <w:color w:val="333333"/>
        </w:rPr>
      </w:pPr>
      <w:r>
        <w:rPr>
          <w:rFonts w:ascii="Arial" w:cs="Arial" w:eastAsia="Arial" w:hAnsi="Arial"/>
          <w:sz w:val="16"/>
          <w:szCs w:val="16"/>
          <w:color w:val="333333"/>
        </w:rPr>
        <w:t>Board candidates ideally would serve on no more than three for-profit boards inclusive of Martin Marietta Materials to assure adequate time to discharge the duties of a Board member.</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6000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4"/>
          </w:cols>
          <w:pgMar w:left="436" w:top="1440" w:right="439" w:bottom="1440" w:gutter="0" w:footer="0" w:header="0"/>
        </w:sectPr>
      </w:pP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A-1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5">
            <w:col w:w="204" w:space="120"/>
            <w:col w:w="3540" w:space="720"/>
            <w:col w:w="4580" w:space="720"/>
            <w:col w:w="260" w:space="100"/>
            <w:col w:w="780"/>
          </w:cols>
          <w:pgMar w:left="436" w:top="1440" w:right="439" w:bottom="1440" w:gutter="0" w:footer="0" w:header="0"/>
          <w:type w:val="continuous"/>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Non-GAAP Measures</w:t>
      </w:r>
    </w:p>
    <w:p>
      <w:pPr>
        <w:spacing w:after="0" w:line="21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333333"/>
        </w:rPr>
        <w:t>Non-GAAP financial measures disclosed by management are provided as additional information to investors in order to provide them with an alternative method for assessing our financial condition and operating results, and are often requested by investors. These measures are not in accordance with, or a substitute for, generally accepted accounting principles (GAAP) and may be different from or inconsistent with non-GAAP financial measures used by other companies. Earnings before interest; income taxes; depreciation, depletion and amortization expense; the earnings / loss from nonconsolidated equity affiliates; acquisition, divestiture and integration expenses; the impact of selling acquired inventory after its markup to fair value as part of acquisition accounting; nonrecurring gain or loss on divestitures; and asset and portfolio rationalization charge (Adjusted EBITDA) is an indicator used by the Company and investors to evaluate the Company’s operating performance period to period. Effective January 1, 2024, the Company has elected to add back, for purposes of its Adjusted EBITDA calculation, acquisition, divestiture and integration expenses and inventory acquisition accounting impacts only for transactions with consideration of at least $2 billion for the Building Materials business or $200 million for the Specialties business.</w:t>
      </w:r>
    </w:p>
    <w:p>
      <w:pPr>
        <w:spacing w:after="0" w:line="14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Adjusted EBITDA is a widely accepted financial indicator of a company’s ability to service and/or incur indebtedness. Adjusted EBITDA is not defined by GAAP and, as such, should not be construed as an alternative to earnings from operations, net earnings or operating cash flow. The following presents a reconciliation of net earnings from continuing operations attributable to Martin Marietta to consolidated Adjusted EBITDA from continuing operations for the years ended December 31, 2025, and 2024.</w:t>
      </w:r>
    </w:p>
    <w:p>
      <w:pPr>
        <w:spacing w:after="0" w:line="1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Adjusted EBITDA and EBITDA Margin for years ended December 31: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(DOLLARS IN MILLIONS)</w:t>
            </w:r>
          </w:p>
        </w:tc>
        <w:tc>
          <w:tcPr>
            <w:tcW w:w="4520" w:type="dxa"/>
            <w:vAlign w:val="bottom"/>
            <w:tcBorders>
              <w:bottom w:val="single" w:sz="8" w:color="0086CC"/>
            </w:tcBorders>
          </w:tcPr>
          <w:p>
            <w:pPr>
              <w:spacing w:after="0"/>
              <w:rPr>
                <w:sz w:val="19"/>
                <w:szCs w:val="19"/>
                <w:color w:val="auto"/>
              </w:rPr>
            </w:pPr>
          </w:p>
        </w:tc>
        <w:tc>
          <w:tcPr>
            <w:tcW w:w="1320" w:type="dxa"/>
            <w:vAlign w:val="bottom"/>
            <w:tcBorders>
              <w:bottom w:val="single" w:sz="8" w:color="0086CC"/>
            </w:tcBorders>
            <w:gridSpan w:val="2"/>
          </w:tcPr>
          <w:p>
            <w:pPr>
              <w:jc w:val="right"/>
              <w:ind w:right="259"/>
              <w:spacing w:after="0"/>
              <w:rPr>
                <w:sz w:val="20"/>
                <w:szCs w:val="20"/>
                <w:color w:val="auto"/>
              </w:rPr>
            </w:pPr>
            <w:r>
              <w:rPr>
                <w:rFonts w:ascii="Arial" w:cs="Arial" w:eastAsia="Arial" w:hAnsi="Arial"/>
                <w:sz w:val="16"/>
                <w:szCs w:val="16"/>
                <w:b w:val="1"/>
                <w:bCs w:val="1"/>
                <w:color w:val="0086CC"/>
              </w:rPr>
              <w:t>2025</w:t>
            </w:r>
          </w:p>
        </w:tc>
        <w:tc>
          <w:tcPr>
            <w:tcW w:w="880" w:type="dxa"/>
            <w:vAlign w:val="bottom"/>
            <w:tcBorders>
              <w:bottom w:val="single" w:sz="8" w:color="0086CC"/>
            </w:tcBorders>
          </w:tcPr>
          <w:p>
            <w:pPr>
              <w:jc w:val="right"/>
              <w:ind w:right="239"/>
              <w:spacing w:after="0"/>
              <w:rPr>
                <w:sz w:val="20"/>
                <w:szCs w:val="20"/>
                <w:color w:val="auto"/>
              </w:rPr>
            </w:pPr>
            <w:r>
              <w:rPr>
                <w:rFonts w:ascii="Arial" w:cs="Arial" w:eastAsia="Arial" w:hAnsi="Arial"/>
                <w:sz w:val="16"/>
                <w:szCs w:val="16"/>
                <w:b w:val="1"/>
                <w:bCs w:val="1"/>
                <w:color w:val="0086CC"/>
              </w:rPr>
              <w:t>2024</w:t>
            </w:r>
          </w:p>
        </w:tc>
      </w:tr>
      <w:tr>
        <w:trPr>
          <w:trHeight w:val="264"/>
        </w:trPr>
        <w:tc>
          <w:tcPr>
            <w:tcW w:w="8820" w:type="dxa"/>
            <w:vAlign w:val="bottom"/>
            <w:tcBorders>
              <w:bottom w:val="single" w:sz="8" w:color="4D5357"/>
            </w:tcBorders>
            <w:gridSpan w:val="2"/>
          </w:tcPr>
          <w:p>
            <w:pPr>
              <w:ind w:left="60"/>
              <w:spacing w:after="0"/>
              <w:rPr>
                <w:sz w:val="20"/>
                <w:szCs w:val="20"/>
                <w:color w:val="auto"/>
              </w:rPr>
            </w:pPr>
            <w:r>
              <w:rPr>
                <w:rFonts w:ascii="Arial" w:cs="Arial" w:eastAsia="Arial" w:hAnsi="Arial"/>
                <w:sz w:val="16"/>
                <w:szCs w:val="16"/>
                <w:b w:val="1"/>
                <w:bCs w:val="1"/>
                <w:color w:val="4D5357"/>
              </w:rPr>
              <w:t>Net earnings from continuing operations attributable to Martin Marietta</w:t>
            </w:r>
          </w:p>
        </w:tc>
        <w:tc>
          <w:tcPr>
            <w:tcW w:w="64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990</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$ 1,815</w:t>
            </w:r>
          </w:p>
        </w:tc>
      </w:tr>
      <w:tr>
        <w:trPr>
          <w:trHeight w:val="260"/>
        </w:trPr>
        <w:tc>
          <w:tcPr>
            <w:tcW w:w="4300" w:type="dxa"/>
            <w:vAlign w:val="bottom"/>
          </w:tcPr>
          <w:p>
            <w:pPr>
              <w:ind w:left="60"/>
              <w:spacing w:after="0"/>
              <w:rPr>
                <w:sz w:val="20"/>
                <w:szCs w:val="20"/>
                <w:color w:val="auto"/>
              </w:rPr>
            </w:pPr>
            <w:r>
              <w:rPr>
                <w:rFonts w:ascii="Arial" w:cs="Arial" w:eastAsia="Arial" w:hAnsi="Arial"/>
                <w:sz w:val="16"/>
                <w:szCs w:val="16"/>
                <w:b w:val="1"/>
                <w:bCs w:val="1"/>
                <w:color w:val="4D5357"/>
              </w:rPr>
              <w:t>Add back (deduct):</w:t>
            </w:r>
          </w:p>
        </w:tc>
        <w:tc>
          <w:tcPr>
            <w:tcW w:w="4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
        </w:trPr>
        <w:tc>
          <w:tcPr>
            <w:tcW w:w="4300" w:type="dxa"/>
            <w:vAlign w:val="bottom"/>
            <w:tcBorders>
              <w:bottom w:val="single" w:sz="8" w:color="4D5357"/>
            </w:tcBorders>
          </w:tcPr>
          <w:p>
            <w:pPr>
              <w:spacing w:after="0" w:line="20" w:lineRule="exact"/>
              <w:rPr>
                <w:sz w:val="1"/>
                <w:szCs w:val="1"/>
                <w:color w:val="auto"/>
              </w:rPr>
            </w:pPr>
          </w:p>
        </w:tc>
        <w:tc>
          <w:tcPr>
            <w:tcW w:w="4520" w:type="dxa"/>
            <w:vAlign w:val="bottom"/>
            <w:tcBorders>
              <w:bottom w:val="single" w:sz="8" w:color="4D5357"/>
            </w:tcBorders>
          </w:tcPr>
          <w:p>
            <w:pPr>
              <w:spacing w:after="0" w:line="20" w:lineRule="exact"/>
              <w:rPr>
                <w:sz w:val="1"/>
                <w:szCs w:val="1"/>
                <w:color w:val="auto"/>
              </w:rPr>
            </w:pPr>
          </w:p>
        </w:tc>
        <w:tc>
          <w:tcPr>
            <w:tcW w:w="640" w:type="dxa"/>
            <w:vAlign w:val="bottom"/>
            <w:tcBorders>
              <w:bottom w:val="single" w:sz="8" w:color="4D5357"/>
            </w:tcBorders>
          </w:tcPr>
          <w:p>
            <w:pPr>
              <w:spacing w:after="0" w:line="20" w:lineRule="exact"/>
              <w:rPr>
                <w:sz w:val="1"/>
                <w:szCs w:val="1"/>
                <w:color w:val="auto"/>
              </w:rPr>
            </w:pPr>
          </w:p>
        </w:tc>
        <w:tc>
          <w:tcPr>
            <w:tcW w:w="680" w:type="dxa"/>
            <w:vAlign w:val="bottom"/>
            <w:tcBorders>
              <w:bottom w:val="single" w:sz="8" w:color="4D5357"/>
            </w:tcBorders>
          </w:tcPr>
          <w:p>
            <w:pPr>
              <w:spacing w:after="0" w:line="20" w:lineRule="exact"/>
              <w:rPr>
                <w:sz w:val="1"/>
                <w:szCs w:val="1"/>
                <w:color w:val="auto"/>
              </w:rPr>
            </w:pPr>
          </w:p>
        </w:tc>
        <w:tc>
          <w:tcPr>
            <w:tcW w:w="880" w:type="dxa"/>
            <w:vAlign w:val="bottom"/>
            <w:tcBorders>
              <w:bottom w:val="single" w:sz="8" w:color="4D5357"/>
            </w:tcBorders>
          </w:tcPr>
          <w:p>
            <w:pPr>
              <w:spacing w:after="0" w:line="20" w:lineRule="exact"/>
              <w:rPr>
                <w:sz w:val="1"/>
                <w:szCs w:val="1"/>
                <w:color w:val="auto"/>
              </w:rPr>
            </w:pPr>
          </w:p>
        </w:tc>
      </w:tr>
      <w:tr>
        <w:trPr>
          <w:trHeight w:val="260"/>
        </w:trPr>
        <w:tc>
          <w:tcPr>
            <w:tcW w:w="4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Interest expense, net of interest income</w:t>
            </w:r>
          </w:p>
        </w:tc>
        <w:tc>
          <w:tcPr>
            <w:tcW w:w="4520" w:type="dxa"/>
            <w:vAlign w:val="bottom"/>
            <w:tcBorders>
              <w:bottom w:val="single" w:sz="8" w:color="4D5357"/>
            </w:tcBorders>
          </w:tcPr>
          <w:p>
            <w:pPr>
              <w:spacing w:after="0"/>
              <w:rPr>
                <w:sz w:val="22"/>
                <w:szCs w:val="22"/>
                <w:color w:val="auto"/>
              </w:rPr>
            </w:pPr>
          </w:p>
        </w:tc>
        <w:tc>
          <w:tcPr>
            <w:tcW w:w="640" w:type="dxa"/>
            <w:vAlign w:val="bottom"/>
            <w:tcBorders>
              <w:bottom w:val="single" w:sz="8" w:color="4D5357"/>
            </w:tcBorders>
          </w:tcPr>
          <w:p>
            <w:pPr>
              <w:spacing w:after="0"/>
              <w:rPr>
                <w:sz w:val="22"/>
                <w:szCs w:val="22"/>
                <w:color w:val="auto"/>
              </w:rPr>
            </w:pP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220</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128</w:t>
            </w:r>
          </w:p>
        </w:tc>
      </w:tr>
      <w:tr>
        <w:trPr>
          <w:trHeight w:val="263"/>
        </w:trPr>
        <w:tc>
          <w:tcPr>
            <w:tcW w:w="4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Income tax expense for controlling interests</w:t>
            </w:r>
          </w:p>
        </w:tc>
        <w:tc>
          <w:tcPr>
            <w:tcW w:w="4520" w:type="dxa"/>
            <w:vAlign w:val="bottom"/>
            <w:tcBorders>
              <w:bottom w:val="single" w:sz="8" w:color="4D5357"/>
            </w:tcBorders>
          </w:tcPr>
          <w:p>
            <w:pPr>
              <w:spacing w:after="0"/>
              <w:rPr>
                <w:sz w:val="22"/>
                <w:szCs w:val="22"/>
                <w:color w:val="auto"/>
              </w:rPr>
            </w:pPr>
          </w:p>
        </w:tc>
        <w:tc>
          <w:tcPr>
            <w:tcW w:w="640" w:type="dxa"/>
            <w:vAlign w:val="bottom"/>
            <w:tcBorders>
              <w:bottom w:val="single" w:sz="8" w:color="4D5357"/>
            </w:tcBorders>
          </w:tcPr>
          <w:p>
            <w:pPr>
              <w:spacing w:after="0"/>
              <w:rPr>
                <w:sz w:val="22"/>
                <w:szCs w:val="22"/>
                <w:color w:val="auto"/>
              </w:rPr>
            </w:pP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236</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549</w:t>
            </w:r>
          </w:p>
        </w:tc>
      </w:tr>
      <w:tr>
        <w:trPr>
          <w:trHeight w:val="264"/>
        </w:trPr>
        <w:tc>
          <w:tcPr>
            <w:tcW w:w="8820" w:type="dxa"/>
            <w:vAlign w:val="bottom"/>
            <w:tcBorders>
              <w:bottom w:val="single" w:sz="8" w:color="4D5357"/>
            </w:tcBorders>
            <w:gridSpan w:val="2"/>
          </w:tcPr>
          <w:p>
            <w:pPr>
              <w:ind w:left="60"/>
              <w:spacing w:after="0"/>
              <w:rPr>
                <w:sz w:val="20"/>
                <w:szCs w:val="20"/>
                <w:color w:val="auto"/>
              </w:rPr>
            </w:pPr>
            <w:r>
              <w:rPr>
                <w:rFonts w:ascii="Arial" w:cs="Arial" w:eastAsia="Arial" w:hAnsi="Arial"/>
                <w:sz w:val="16"/>
                <w:szCs w:val="16"/>
                <w:b w:val="1"/>
                <w:bCs w:val="1"/>
                <w:color w:val="4D5357"/>
              </w:rPr>
              <w:t>Depreciation, depletion and amortization expense and earnings/loss from nonconsolidated equity affiliates</w:t>
            </w:r>
          </w:p>
        </w:tc>
        <w:tc>
          <w:tcPr>
            <w:tcW w:w="640" w:type="dxa"/>
            <w:vAlign w:val="bottom"/>
            <w:tcBorders>
              <w:bottom w:val="single" w:sz="8" w:color="4D5357"/>
            </w:tcBorders>
          </w:tcPr>
          <w:p>
            <w:pPr>
              <w:spacing w:after="0"/>
              <w:rPr>
                <w:sz w:val="22"/>
                <w:szCs w:val="22"/>
                <w:color w:val="auto"/>
              </w:rPr>
            </w:pP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581</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500</w:t>
            </w:r>
          </w:p>
        </w:tc>
      </w:tr>
      <w:tr>
        <w:trPr>
          <w:trHeight w:val="263"/>
        </w:trPr>
        <w:tc>
          <w:tcPr>
            <w:tcW w:w="4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Acquisition, divestiture and integration expenses</w:t>
            </w:r>
          </w:p>
        </w:tc>
        <w:tc>
          <w:tcPr>
            <w:tcW w:w="4520" w:type="dxa"/>
            <w:vAlign w:val="bottom"/>
            <w:tcBorders>
              <w:bottom w:val="single" w:sz="8" w:color="4D5357"/>
            </w:tcBorders>
          </w:tcPr>
          <w:p>
            <w:pPr>
              <w:spacing w:after="0"/>
              <w:rPr>
                <w:sz w:val="22"/>
                <w:szCs w:val="22"/>
                <w:color w:val="auto"/>
              </w:rPr>
            </w:pPr>
          </w:p>
        </w:tc>
        <w:tc>
          <w:tcPr>
            <w:tcW w:w="640" w:type="dxa"/>
            <w:vAlign w:val="bottom"/>
            <w:tcBorders>
              <w:bottom w:val="single" w:sz="8" w:color="4D5357"/>
            </w:tcBorders>
          </w:tcPr>
          <w:p>
            <w:pPr>
              <w:spacing w:after="0"/>
              <w:rPr>
                <w:sz w:val="22"/>
                <w:szCs w:val="22"/>
                <w:color w:val="auto"/>
              </w:rPr>
            </w:pP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12</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40</w:t>
            </w:r>
          </w:p>
        </w:tc>
      </w:tr>
      <w:tr>
        <w:trPr>
          <w:trHeight w:val="263"/>
        </w:trPr>
        <w:tc>
          <w:tcPr>
            <w:tcW w:w="8820" w:type="dxa"/>
            <w:vAlign w:val="bottom"/>
            <w:tcBorders>
              <w:bottom w:val="single" w:sz="8" w:color="4D5357"/>
            </w:tcBorders>
            <w:gridSpan w:val="2"/>
          </w:tcPr>
          <w:p>
            <w:pPr>
              <w:ind w:left="60"/>
              <w:spacing w:after="0"/>
              <w:rPr>
                <w:sz w:val="20"/>
                <w:szCs w:val="20"/>
                <w:color w:val="auto"/>
              </w:rPr>
            </w:pPr>
            <w:r>
              <w:rPr>
                <w:rFonts w:ascii="Arial" w:cs="Arial" w:eastAsia="Arial" w:hAnsi="Arial"/>
                <w:sz w:val="16"/>
                <w:szCs w:val="16"/>
                <w:b w:val="1"/>
                <w:bCs w:val="1"/>
                <w:color w:val="4D5357"/>
              </w:rPr>
              <w:t>Impact of selling acquired inventory after markup to fair value as part of acquisition accounting</w:t>
            </w:r>
          </w:p>
        </w:tc>
        <w:tc>
          <w:tcPr>
            <w:tcW w:w="640" w:type="dxa"/>
            <w:vAlign w:val="bottom"/>
            <w:tcBorders>
              <w:bottom w:val="single" w:sz="8" w:color="4D5357"/>
            </w:tcBorders>
          </w:tcPr>
          <w:p>
            <w:pPr>
              <w:spacing w:after="0"/>
              <w:rPr>
                <w:sz w:val="22"/>
                <w:szCs w:val="22"/>
                <w:color w:val="auto"/>
              </w:rPr>
            </w:pP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5</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20</w:t>
            </w:r>
          </w:p>
        </w:tc>
      </w:tr>
      <w:tr>
        <w:trPr>
          <w:trHeight w:val="274"/>
        </w:trPr>
        <w:tc>
          <w:tcPr>
            <w:tcW w:w="4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Nonrecurring gain on divestiture</w:t>
            </w:r>
          </w:p>
        </w:tc>
        <w:tc>
          <w:tcPr>
            <w:tcW w:w="4520" w:type="dxa"/>
            <w:vAlign w:val="bottom"/>
            <w:tcBorders>
              <w:bottom w:val="single" w:sz="8" w:color="4D5357"/>
            </w:tcBorders>
          </w:tcPr>
          <w:p>
            <w:pPr>
              <w:spacing w:after="0"/>
              <w:rPr>
                <w:sz w:val="23"/>
                <w:szCs w:val="23"/>
                <w:color w:val="auto"/>
              </w:rPr>
            </w:pPr>
          </w:p>
        </w:tc>
        <w:tc>
          <w:tcPr>
            <w:tcW w:w="640" w:type="dxa"/>
            <w:vAlign w:val="bottom"/>
            <w:tcBorders>
              <w:bottom w:val="single" w:sz="8" w:color="4D5357"/>
            </w:tcBorders>
          </w:tcPr>
          <w:p>
            <w:pPr>
              <w:spacing w:after="0"/>
              <w:rPr>
                <w:sz w:val="23"/>
                <w:szCs w:val="23"/>
                <w:color w:val="auto"/>
              </w:rPr>
            </w:pPr>
          </w:p>
        </w:tc>
        <w:tc>
          <w:tcPr>
            <w:tcW w:w="680" w:type="dxa"/>
            <w:vAlign w:val="bottom"/>
            <w:tcBorders>
              <w:bottom w:val="single" w:sz="8" w:color="4D5357"/>
            </w:tcBorders>
          </w:tcPr>
          <w:p>
            <w:pPr>
              <w:spacing w:after="0"/>
              <w:rPr>
                <w:sz w:val="23"/>
                <w:szCs w:val="23"/>
                <w:color w:val="auto"/>
              </w:rPr>
            </w:pPr>
          </w:p>
        </w:tc>
        <w:tc>
          <w:tcPr>
            <w:tcW w:w="880" w:type="dxa"/>
            <w:vAlign w:val="bottom"/>
            <w:tcBorders>
              <w:bottom w:val="single" w:sz="8" w:color="4D5357"/>
            </w:tcBorders>
          </w:tcPr>
          <w:p>
            <w:pPr>
              <w:jc w:val="right"/>
              <w:ind w:right="79"/>
              <w:spacing w:after="0"/>
              <w:rPr>
                <w:sz w:val="20"/>
                <w:szCs w:val="20"/>
                <w:color w:val="auto"/>
              </w:rPr>
            </w:pPr>
            <w:r>
              <w:rPr>
                <w:rFonts w:ascii="Arial" w:cs="Arial" w:eastAsia="Arial" w:hAnsi="Arial"/>
                <w:sz w:val="16"/>
                <w:szCs w:val="16"/>
                <w:color w:val="4D5357"/>
              </w:rPr>
              <w:t>(1,331)</w:t>
            </w:r>
          </w:p>
        </w:tc>
      </w:tr>
      <w:tr>
        <w:trPr>
          <w:trHeight w:val="266"/>
        </w:trPr>
        <w:tc>
          <w:tcPr>
            <w:tcW w:w="4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Asset and portfolio rationalization charge</w:t>
            </w:r>
          </w:p>
        </w:tc>
        <w:tc>
          <w:tcPr>
            <w:tcW w:w="4520" w:type="dxa"/>
            <w:vAlign w:val="bottom"/>
            <w:tcBorders>
              <w:bottom w:val="single" w:sz="8" w:color="4D5357"/>
            </w:tcBorders>
          </w:tcPr>
          <w:p>
            <w:pPr>
              <w:spacing w:after="0"/>
              <w:rPr>
                <w:sz w:val="23"/>
                <w:szCs w:val="23"/>
                <w:color w:val="auto"/>
              </w:rPr>
            </w:pPr>
          </w:p>
        </w:tc>
        <w:tc>
          <w:tcPr>
            <w:tcW w:w="640" w:type="dxa"/>
            <w:vAlign w:val="bottom"/>
            <w:tcBorders>
              <w:bottom w:val="single" w:sz="8" w:color="4D5357"/>
            </w:tcBorders>
          </w:tcPr>
          <w:p>
            <w:pPr>
              <w:spacing w:after="0"/>
              <w:rPr>
                <w:sz w:val="23"/>
                <w:szCs w:val="23"/>
                <w:color w:val="auto"/>
              </w:rPr>
            </w:pP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rPr>
              <w:t>21</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50</w:t>
            </w:r>
          </w:p>
        </w:tc>
      </w:tr>
      <w:tr>
        <w:trPr>
          <w:trHeight w:val="264"/>
        </w:trPr>
        <w:tc>
          <w:tcPr>
            <w:tcW w:w="4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Adjusted EBITDA from continuing operations</w:t>
            </w:r>
          </w:p>
        </w:tc>
        <w:tc>
          <w:tcPr>
            <w:tcW w:w="4520" w:type="dxa"/>
            <w:vAlign w:val="bottom"/>
            <w:tcBorders>
              <w:bottom w:val="single" w:sz="8" w:color="4D5357"/>
            </w:tcBorders>
          </w:tcPr>
          <w:p>
            <w:pPr>
              <w:spacing w:after="0"/>
              <w:rPr>
                <w:sz w:val="22"/>
                <w:szCs w:val="22"/>
                <w:color w:val="auto"/>
              </w:rPr>
            </w:pPr>
          </w:p>
        </w:tc>
        <w:tc>
          <w:tcPr>
            <w:tcW w:w="64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w w:val="99"/>
              </w:rPr>
              <w:t>2,065</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$ 1,771</w:t>
            </w:r>
          </w:p>
        </w:tc>
      </w:tr>
      <w:tr>
        <w:trPr>
          <w:trHeight w:val="263"/>
        </w:trPr>
        <w:tc>
          <w:tcPr>
            <w:tcW w:w="4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Revenues from continuing operations</w:t>
            </w:r>
          </w:p>
        </w:tc>
        <w:tc>
          <w:tcPr>
            <w:tcW w:w="4520" w:type="dxa"/>
            <w:vAlign w:val="bottom"/>
            <w:tcBorders>
              <w:bottom w:val="single" w:sz="8" w:color="4D5357"/>
            </w:tcBorders>
          </w:tcPr>
          <w:p>
            <w:pPr>
              <w:spacing w:after="0"/>
              <w:rPr>
                <w:sz w:val="22"/>
                <w:szCs w:val="22"/>
                <w:color w:val="auto"/>
              </w:rPr>
            </w:pPr>
          </w:p>
        </w:tc>
        <w:tc>
          <w:tcPr>
            <w:tcW w:w="64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680" w:type="dxa"/>
            <w:vAlign w:val="bottom"/>
            <w:tcBorders>
              <w:bottom w:val="single" w:sz="8" w:color="4D5357"/>
            </w:tcBorders>
          </w:tcPr>
          <w:p>
            <w:pPr>
              <w:jc w:val="right"/>
              <w:ind w:right="179"/>
              <w:spacing w:after="0"/>
              <w:rPr>
                <w:sz w:val="20"/>
                <w:szCs w:val="20"/>
                <w:color w:val="auto"/>
              </w:rPr>
            </w:pPr>
            <w:r>
              <w:rPr>
                <w:rFonts w:ascii="Arial" w:cs="Arial" w:eastAsia="Arial" w:hAnsi="Arial"/>
                <w:sz w:val="16"/>
                <w:szCs w:val="16"/>
                <w:color w:val="4D5357"/>
                <w:w w:val="99"/>
              </w:rPr>
              <w:t>6,150</w:t>
            </w:r>
          </w:p>
        </w:tc>
        <w:tc>
          <w:tcPr>
            <w:tcW w:w="880" w:type="dxa"/>
            <w:vAlign w:val="bottom"/>
            <w:tcBorders>
              <w:bottom w:val="single" w:sz="8" w:color="4D5357"/>
            </w:tcBorders>
          </w:tcPr>
          <w:p>
            <w:pPr>
              <w:jc w:val="right"/>
              <w:ind w:right="139"/>
              <w:spacing w:after="0"/>
              <w:rPr>
                <w:sz w:val="20"/>
                <w:szCs w:val="20"/>
                <w:color w:val="auto"/>
              </w:rPr>
            </w:pPr>
            <w:r>
              <w:rPr>
                <w:rFonts w:ascii="Arial" w:cs="Arial" w:eastAsia="Arial" w:hAnsi="Arial"/>
                <w:sz w:val="16"/>
                <w:szCs w:val="16"/>
                <w:color w:val="4D5357"/>
              </w:rPr>
              <w:t>$ 5,662</w:t>
            </w:r>
          </w:p>
        </w:tc>
      </w:tr>
      <w:tr>
        <w:trPr>
          <w:trHeight w:val="263"/>
        </w:trPr>
        <w:tc>
          <w:tcPr>
            <w:tcW w:w="430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Adjusted EBITDA margin for continuing operations</w:t>
            </w:r>
          </w:p>
        </w:tc>
        <w:tc>
          <w:tcPr>
            <w:tcW w:w="4520" w:type="dxa"/>
            <w:vAlign w:val="bottom"/>
            <w:tcBorders>
              <w:bottom w:val="single" w:sz="8" w:color="4D5357"/>
            </w:tcBorders>
          </w:tcPr>
          <w:p>
            <w:pPr>
              <w:spacing w:after="0"/>
              <w:rPr>
                <w:sz w:val="22"/>
                <w:szCs w:val="22"/>
                <w:color w:val="auto"/>
              </w:rPr>
            </w:pPr>
          </w:p>
        </w:tc>
        <w:tc>
          <w:tcPr>
            <w:tcW w:w="640" w:type="dxa"/>
            <w:vAlign w:val="bottom"/>
            <w:tcBorders>
              <w:bottom w:val="single" w:sz="8" w:color="4D5357"/>
            </w:tcBorders>
          </w:tcPr>
          <w:p>
            <w:pPr>
              <w:spacing w:after="0"/>
              <w:rPr>
                <w:sz w:val="22"/>
                <w:szCs w:val="22"/>
                <w:color w:val="auto"/>
              </w:rPr>
            </w:pPr>
          </w:p>
        </w:tc>
        <w:tc>
          <w:tcPr>
            <w:tcW w:w="6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33.6%</w:t>
            </w:r>
          </w:p>
        </w:tc>
        <w:tc>
          <w:tcPr>
            <w:tcW w:w="8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31.3%</w:t>
            </w:r>
          </w:p>
        </w:tc>
      </w:tr>
      <w:tr>
        <w:trPr>
          <w:trHeight w:val="564"/>
        </w:trPr>
        <w:tc>
          <w:tcPr>
            <w:tcW w:w="4300" w:type="dxa"/>
            <w:vAlign w:val="bottom"/>
          </w:tcPr>
          <w:p>
            <w:pPr>
              <w:spacing w:after="0"/>
              <w:rPr>
                <w:sz w:val="20"/>
                <w:szCs w:val="20"/>
                <w:color w:val="auto"/>
              </w:rPr>
            </w:pPr>
            <w:r>
              <w:rPr>
                <w:rFonts w:ascii="Arial" w:cs="Arial" w:eastAsia="Arial" w:hAnsi="Arial"/>
                <w:sz w:val="16"/>
                <w:szCs w:val="16"/>
                <w:color w:val="333333"/>
              </w:rPr>
              <w:t> </w:t>
            </w:r>
          </w:p>
        </w:tc>
        <w:tc>
          <w:tcPr>
            <w:tcW w:w="4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6"/>
                <w:szCs w:val="16"/>
                <w:color w:val="333333"/>
              </w:rPr>
              <w:t xml:space="preserve">               </w:t>
            </w:r>
          </w:p>
        </w:tc>
        <w:tc>
          <w:tcPr>
            <w:tcW w:w="4520" w:type="dxa"/>
            <w:vAlign w:val="bottom"/>
          </w:tcPr>
          <w:p>
            <w:pPr>
              <w:ind w:left="280"/>
              <w:spacing w:after="0"/>
              <w:rPr>
                <w:sz w:val="20"/>
                <w:szCs w:val="20"/>
                <w:color w:val="auto"/>
              </w:rPr>
            </w:pPr>
            <w:r>
              <w:rPr>
                <w:rFonts w:ascii="Arial" w:cs="Arial" w:eastAsia="Arial" w:hAnsi="Arial"/>
                <w:sz w:val="16"/>
                <w:szCs w:val="16"/>
                <w:b w:val="1"/>
                <w:bCs w:val="1"/>
                <w:color w:val="auto"/>
              </w:rPr>
              <w:t>2026 PROXY STATEMENT</w:t>
            </w:r>
          </w:p>
        </w:tc>
        <w:tc>
          <w:tcPr>
            <w:tcW w:w="6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0086CC"/>
              </w:rPr>
              <w:t xml:space="preserve">B-1 </w:t>
            </w:r>
            <w:r>
              <w:rPr>
                <w:rFonts w:ascii="Arial" w:cs="Arial" w:eastAsia="Arial" w:hAnsi="Arial"/>
                <w:sz w:val="16"/>
                <w:szCs w:val="16"/>
                <w:color w:val="333333"/>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6995160" cy="6000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15" w:name="page116"/>
    <w:bookmarkEnd w:id="115"/>
    <w:p>
      <w:pPr>
        <w:ind w:left="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968375" cy="4718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68375" cy="471805"/>
                    </a:xfrm>
                    <a:prstGeom prst="rect">
                      <a:avLst/>
                    </a:prstGeom>
                    <a:noFill/>
                  </pic:spPr>
                </pic:pic>
              </a:graphicData>
            </a:graphic>
          </wp:anchor>
        </w:drawing>
        <w:t xml:space="preserve">     Appendix B    </w:t>
      </w:r>
    </w:p>
    <w:p>
      <w:pPr>
        <w:spacing w:after="0" w:line="200" w:lineRule="exact"/>
        <w:rPr>
          <w:sz w:val="20"/>
          <w:szCs w:val="20"/>
          <w:color w:val="auto"/>
        </w:rPr>
      </w:pPr>
    </w:p>
    <w:p>
      <w:pPr>
        <w:spacing w:after="0" w:line="24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333333"/>
        </w:rPr>
        <w:t>The following presents a reconciliation of the Company Selected Measure of Consolidated Adjusted EBITDA on Page 89 for Pay for Performance for the years ended December 31, 2025, 2024, 2023,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(DOLLARS IN MILLIONS)</w:t>
            </w:r>
          </w:p>
        </w:tc>
        <w:tc>
          <w:tcPr>
            <w:tcW w:w="660" w:type="dxa"/>
            <w:vAlign w:val="bottom"/>
            <w:tcBorders>
              <w:bottom w:val="single" w:sz="8" w:color="0086CC"/>
            </w:tcBorders>
          </w:tcPr>
          <w:p>
            <w:pPr>
              <w:jc w:val="right"/>
              <w:ind w:right="79"/>
              <w:spacing w:after="0"/>
              <w:rPr>
                <w:sz w:val="20"/>
                <w:szCs w:val="20"/>
                <w:color w:val="auto"/>
              </w:rPr>
            </w:pPr>
            <w:r>
              <w:rPr>
                <w:rFonts w:ascii="Arial" w:cs="Arial" w:eastAsia="Arial" w:hAnsi="Arial"/>
                <w:sz w:val="16"/>
                <w:szCs w:val="16"/>
                <w:b w:val="1"/>
                <w:bCs w:val="1"/>
                <w:color w:val="0086CC"/>
              </w:rPr>
              <w:t>2025</w:t>
            </w:r>
          </w:p>
        </w:tc>
        <w:tc>
          <w:tcPr>
            <w:tcW w:w="780" w:type="dxa"/>
            <w:vAlign w:val="bottom"/>
            <w:tcBorders>
              <w:bottom w:val="single" w:sz="8" w:color="0086CC"/>
            </w:tcBorders>
          </w:tcPr>
          <w:p>
            <w:pPr>
              <w:jc w:val="right"/>
              <w:ind w:right="159"/>
              <w:spacing w:after="0"/>
              <w:rPr>
                <w:sz w:val="20"/>
                <w:szCs w:val="20"/>
                <w:color w:val="auto"/>
              </w:rPr>
            </w:pPr>
            <w:r>
              <w:rPr>
                <w:rFonts w:ascii="Arial" w:cs="Arial" w:eastAsia="Arial" w:hAnsi="Arial"/>
                <w:sz w:val="16"/>
                <w:szCs w:val="16"/>
                <w:b w:val="1"/>
                <w:bCs w:val="1"/>
                <w:color w:val="0086CC"/>
              </w:rPr>
              <w:t>2024</w:t>
            </w:r>
          </w:p>
        </w:tc>
        <w:tc>
          <w:tcPr>
            <w:tcW w:w="680" w:type="dxa"/>
            <w:vAlign w:val="bottom"/>
            <w:tcBorders>
              <w:bottom w:val="single" w:sz="8" w:color="0086CC"/>
            </w:tcBorders>
          </w:tcPr>
          <w:p>
            <w:pPr>
              <w:jc w:val="right"/>
              <w:ind w:right="79"/>
              <w:spacing w:after="0"/>
              <w:rPr>
                <w:sz w:val="20"/>
                <w:szCs w:val="20"/>
                <w:color w:val="auto"/>
              </w:rPr>
            </w:pPr>
            <w:r>
              <w:rPr>
                <w:rFonts w:ascii="Arial" w:cs="Arial" w:eastAsia="Arial" w:hAnsi="Arial"/>
                <w:sz w:val="16"/>
                <w:szCs w:val="16"/>
                <w:b w:val="1"/>
                <w:bCs w:val="1"/>
                <w:color w:val="0086CC"/>
              </w:rPr>
              <w:t>2023</w:t>
            </w:r>
          </w:p>
        </w:tc>
        <w:tc>
          <w:tcPr>
            <w:tcW w:w="720" w:type="dxa"/>
            <w:vAlign w:val="bottom"/>
            <w:tcBorders>
              <w:bottom w:val="single" w:sz="8" w:color="0086CC"/>
            </w:tcBorders>
            <w:gridSpan w:val="2"/>
          </w:tcPr>
          <w:p>
            <w:pPr>
              <w:jc w:val="right"/>
              <w:ind w:right="119"/>
              <w:spacing w:after="0"/>
              <w:rPr>
                <w:sz w:val="20"/>
                <w:szCs w:val="20"/>
                <w:color w:val="auto"/>
              </w:rPr>
            </w:pPr>
            <w:r>
              <w:rPr>
                <w:rFonts w:ascii="Arial" w:cs="Arial" w:eastAsia="Arial" w:hAnsi="Arial"/>
                <w:sz w:val="16"/>
                <w:szCs w:val="16"/>
                <w:b w:val="1"/>
                <w:bCs w:val="1"/>
                <w:color w:val="0086CC"/>
              </w:rPr>
              <w:t>2022</w:t>
            </w:r>
          </w:p>
        </w:tc>
        <w:tc>
          <w:tcPr>
            <w:tcW w:w="660" w:type="dxa"/>
            <w:vAlign w:val="bottom"/>
            <w:tcBorders>
              <w:bottom w:val="single" w:sz="8" w:color="0086CC"/>
            </w:tcBorders>
            <w:gridSpan w:val="2"/>
          </w:tcPr>
          <w:p>
            <w:pPr>
              <w:jc w:val="right"/>
              <w:ind w:right="59"/>
              <w:spacing w:after="0"/>
              <w:rPr>
                <w:sz w:val="20"/>
                <w:szCs w:val="20"/>
                <w:color w:val="auto"/>
              </w:rPr>
            </w:pPr>
            <w:r>
              <w:rPr>
                <w:rFonts w:ascii="Arial" w:cs="Arial" w:eastAsia="Arial" w:hAnsi="Arial"/>
                <w:sz w:val="16"/>
                <w:szCs w:val="16"/>
                <w:b w:val="1"/>
                <w:bCs w:val="1"/>
                <w:color w:val="0086CC"/>
              </w:rPr>
              <w:t>2021</w:t>
            </w:r>
          </w:p>
        </w:tc>
      </w:tr>
      <w:tr>
        <w:trPr>
          <w:trHeight w:val="264"/>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Net earnings attributable to Martin Marietta</w:t>
            </w:r>
          </w:p>
        </w:tc>
        <w:tc>
          <w:tcPr>
            <w:tcW w:w="6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$ 1,137</w:t>
            </w:r>
          </w:p>
        </w:tc>
        <w:tc>
          <w:tcPr>
            <w:tcW w:w="78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$ 1,995</w:t>
            </w:r>
          </w:p>
        </w:tc>
        <w:tc>
          <w:tcPr>
            <w:tcW w:w="6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$ 1,168</w:t>
            </w:r>
          </w:p>
        </w:tc>
        <w:tc>
          <w:tcPr>
            <w:tcW w:w="1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54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867</w:t>
            </w:r>
          </w:p>
        </w:tc>
        <w:tc>
          <w:tcPr>
            <w:tcW w:w="1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4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703</w:t>
            </w:r>
          </w:p>
        </w:tc>
      </w:tr>
      <w:tr>
        <w:trPr>
          <w:trHeight w:val="260"/>
        </w:trPr>
        <w:tc>
          <w:tcPr>
            <w:tcW w:w="7520" w:type="dxa"/>
            <w:vAlign w:val="bottom"/>
          </w:tcPr>
          <w:p>
            <w:pPr>
              <w:ind w:left="60"/>
              <w:spacing w:after="0"/>
              <w:rPr>
                <w:sz w:val="20"/>
                <w:szCs w:val="20"/>
                <w:color w:val="auto"/>
              </w:rPr>
            </w:pPr>
            <w:r>
              <w:rPr>
                <w:rFonts w:ascii="Arial" w:cs="Arial" w:eastAsia="Arial" w:hAnsi="Arial"/>
                <w:sz w:val="16"/>
                <w:szCs w:val="16"/>
                <w:b w:val="1"/>
                <w:bCs w:val="1"/>
                <w:color w:val="4D5357"/>
              </w:rPr>
              <w:t>Add back:</w:t>
            </w: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1"/>
        </w:trPr>
        <w:tc>
          <w:tcPr>
            <w:tcW w:w="7520" w:type="dxa"/>
            <w:vAlign w:val="bottom"/>
            <w:tcBorders>
              <w:bottom w:val="single" w:sz="8" w:color="4D5357"/>
            </w:tcBorders>
          </w:tcPr>
          <w:p>
            <w:pPr>
              <w:spacing w:after="0" w:line="20" w:lineRule="exact"/>
              <w:rPr>
                <w:sz w:val="1"/>
                <w:szCs w:val="1"/>
                <w:color w:val="auto"/>
              </w:rPr>
            </w:pPr>
          </w:p>
        </w:tc>
        <w:tc>
          <w:tcPr>
            <w:tcW w:w="660" w:type="dxa"/>
            <w:vAlign w:val="bottom"/>
            <w:tcBorders>
              <w:bottom w:val="single" w:sz="8" w:color="4D5357"/>
            </w:tcBorders>
          </w:tcPr>
          <w:p>
            <w:pPr>
              <w:spacing w:after="0" w:line="20" w:lineRule="exact"/>
              <w:rPr>
                <w:sz w:val="1"/>
                <w:szCs w:val="1"/>
                <w:color w:val="auto"/>
              </w:rPr>
            </w:pPr>
          </w:p>
        </w:tc>
        <w:tc>
          <w:tcPr>
            <w:tcW w:w="780" w:type="dxa"/>
            <w:vAlign w:val="bottom"/>
            <w:tcBorders>
              <w:bottom w:val="single" w:sz="8" w:color="4D5357"/>
            </w:tcBorders>
          </w:tcPr>
          <w:p>
            <w:pPr>
              <w:spacing w:after="0" w:line="20" w:lineRule="exact"/>
              <w:rPr>
                <w:sz w:val="1"/>
                <w:szCs w:val="1"/>
                <w:color w:val="auto"/>
              </w:rPr>
            </w:pPr>
          </w:p>
        </w:tc>
        <w:tc>
          <w:tcPr>
            <w:tcW w:w="680" w:type="dxa"/>
            <w:vAlign w:val="bottom"/>
            <w:tcBorders>
              <w:bottom w:val="single" w:sz="8" w:color="4D5357"/>
            </w:tcBorders>
          </w:tcPr>
          <w:p>
            <w:pPr>
              <w:spacing w:after="0" w:line="20" w:lineRule="exact"/>
              <w:rPr>
                <w:sz w:val="1"/>
                <w:szCs w:val="1"/>
                <w:color w:val="auto"/>
              </w:rPr>
            </w:pPr>
          </w:p>
        </w:tc>
        <w:tc>
          <w:tcPr>
            <w:tcW w:w="180" w:type="dxa"/>
            <w:vAlign w:val="bottom"/>
            <w:tcBorders>
              <w:bottom w:val="single" w:sz="8" w:color="4D5357"/>
            </w:tcBorders>
          </w:tcPr>
          <w:p>
            <w:pPr>
              <w:spacing w:after="0" w:line="20" w:lineRule="exact"/>
              <w:rPr>
                <w:sz w:val="1"/>
                <w:szCs w:val="1"/>
                <w:color w:val="auto"/>
              </w:rPr>
            </w:pPr>
          </w:p>
        </w:tc>
        <w:tc>
          <w:tcPr>
            <w:tcW w:w="540" w:type="dxa"/>
            <w:vAlign w:val="bottom"/>
            <w:tcBorders>
              <w:bottom w:val="single" w:sz="8" w:color="4D5357"/>
            </w:tcBorders>
          </w:tcPr>
          <w:p>
            <w:pPr>
              <w:spacing w:after="0" w:line="20" w:lineRule="exact"/>
              <w:rPr>
                <w:sz w:val="1"/>
                <w:szCs w:val="1"/>
                <w:color w:val="auto"/>
              </w:rPr>
            </w:pPr>
          </w:p>
        </w:tc>
        <w:tc>
          <w:tcPr>
            <w:tcW w:w="180" w:type="dxa"/>
            <w:vAlign w:val="bottom"/>
            <w:tcBorders>
              <w:bottom w:val="single" w:sz="8" w:color="4D5357"/>
            </w:tcBorders>
          </w:tcPr>
          <w:p>
            <w:pPr>
              <w:spacing w:after="0" w:line="20" w:lineRule="exact"/>
              <w:rPr>
                <w:sz w:val="1"/>
                <w:szCs w:val="1"/>
                <w:color w:val="auto"/>
              </w:rPr>
            </w:pPr>
          </w:p>
        </w:tc>
        <w:tc>
          <w:tcPr>
            <w:tcW w:w="480" w:type="dxa"/>
            <w:vAlign w:val="bottom"/>
            <w:tcBorders>
              <w:bottom w:val="single" w:sz="8" w:color="4D5357"/>
            </w:tcBorders>
          </w:tcPr>
          <w:p>
            <w:pPr>
              <w:spacing w:after="0" w:line="20" w:lineRule="exact"/>
              <w:rPr>
                <w:sz w:val="1"/>
                <w:szCs w:val="1"/>
                <w:color w:val="auto"/>
              </w:rPr>
            </w:pPr>
          </w:p>
        </w:tc>
      </w:tr>
      <w:tr>
        <w:trPr>
          <w:trHeight w:val="260"/>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Interest expense, net of interest income</w:t>
            </w:r>
          </w:p>
        </w:tc>
        <w:tc>
          <w:tcPr>
            <w:tcW w:w="6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220</w:t>
            </w:r>
          </w:p>
        </w:tc>
        <w:tc>
          <w:tcPr>
            <w:tcW w:w="78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128</w:t>
            </w:r>
          </w:p>
        </w:tc>
        <w:tc>
          <w:tcPr>
            <w:tcW w:w="6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119</w:t>
            </w:r>
          </w:p>
        </w:tc>
        <w:tc>
          <w:tcPr>
            <w:tcW w:w="180" w:type="dxa"/>
            <w:vAlign w:val="bottom"/>
            <w:tcBorders>
              <w:bottom w:val="single" w:sz="8" w:color="4D5357"/>
            </w:tcBorders>
          </w:tcPr>
          <w:p>
            <w:pPr>
              <w:spacing w:after="0"/>
              <w:rPr>
                <w:sz w:val="22"/>
                <w:szCs w:val="22"/>
                <w:color w:val="auto"/>
              </w:rPr>
            </w:pPr>
          </w:p>
        </w:tc>
        <w:tc>
          <w:tcPr>
            <w:tcW w:w="54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155</w:t>
            </w:r>
          </w:p>
        </w:tc>
        <w:tc>
          <w:tcPr>
            <w:tcW w:w="180" w:type="dxa"/>
            <w:vAlign w:val="bottom"/>
            <w:tcBorders>
              <w:bottom w:val="single" w:sz="8" w:color="4D5357"/>
            </w:tcBorders>
          </w:tcPr>
          <w:p>
            <w:pPr>
              <w:spacing w:after="0"/>
              <w:rPr>
                <w:sz w:val="22"/>
                <w:szCs w:val="22"/>
                <w:color w:val="auto"/>
              </w:rPr>
            </w:pPr>
          </w:p>
        </w:tc>
        <w:tc>
          <w:tcPr>
            <w:tcW w:w="4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142</w:t>
            </w:r>
          </w:p>
        </w:tc>
      </w:tr>
      <w:tr>
        <w:trPr>
          <w:trHeight w:val="263"/>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Income tax expense for noncontrolling interests</w:t>
            </w:r>
          </w:p>
        </w:tc>
        <w:tc>
          <w:tcPr>
            <w:tcW w:w="6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278</w:t>
            </w:r>
          </w:p>
        </w:tc>
        <w:tc>
          <w:tcPr>
            <w:tcW w:w="78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600</w:t>
            </w:r>
          </w:p>
        </w:tc>
        <w:tc>
          <w:tcPr>
            <w:tcW w:w="6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283</w:t>
            </w:r>
          </w:p>
        </w:tc>
        <w:tc>
          <w:tcPr>
            <w:tcW w:w="180" w:type="dxa"/>
            <w:vAlign w:val="bottom"/>
            <w:tcBorders>
              <w:bottom w:val="single" w:sz="8" w:color="4D5357"/>
            </w:tcBorders>
          </w:tcPr>
          <w:p>
            <w:pPr>
              <w:spacing w:after="0"/>
              <w:rPr>
                <w:sz w:val="22"/>
                <w:szCs w:val="22"/>
                <w:color w:val="auto"/>
              </w:rPr>
            </w:pPr>
          </w:p>
        </w:tc>
        <w:tc>
          <w:tcPr>
            <w:tcW w:w="54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240</w:t>
            </w:r>
          </w:p>
        </w:tc>
        <w:tc>
          <w:tcPr>
            <w:tcW w:w="180" w:type="dxa"/>
            <w:vAlign w:val="bottom"/>
            <w:tcBorders>
              <w:bottom w:val="single" w:sz="8" w:color="4D5357"/>
            </w:tcBorders>
          </w:tcPr>
          <w:p>
            <w:pPr>
              <w:spacing w:after="0"/>
              <w:rPr>
                <w:sz w:val="22"/>
                <w:szCs w:val="22"/>
                <w:color w:val="auto"/>
              </w:rPr>
            </w:pPr>
          </w:p>
        </w:tc>
        <w:tc>
          <w:tcPr>
            <w:tcW w:w="4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153</w:t>
            </w:r>
          </w:p>
        </w:tc>
      </w:tr>
      <w:tr>
        <w:trPr>
          <w:trHeight w:val="226"/>
        </w:trPr>
        <w:tc>
          <w:tcPr>
            <w:tcW w:w="7520" w:type="dxa"/>
            <w:vAlign w:val="bottom"/>
          </w:tcPr>
          <w:p>
            <w:pPr>
              <w:ind w:left="60"/>
              <w:spacing w:after="0"/>
              <w:rPr>
                <w:sz w:val="20"/>
                <w:szCs w:val="20"/>
                <w:color w:val="auto"/>
              </w:rPr>
            </w:pPr>
            <w:r>
              <w:rPr>
                <w:rFonts w:ascii="Arial" w:cs="Arial" w:eastAsia="Arial" w:hAnsi="Arial"/>
                <w:sz w:val="16"/>
                <w:szCs w:val="16"/>
                <w:b w:val="1"/>
                <w:bCs w:val="1"/>
                <w:color w:val="4D5357"/>
              </w:rPr>
              <w:t>Depreciation, depletion and amortization expense and earnings / loss from nonconsolidated</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6"/>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equity affiliates</w:t>
            </w:r>
          </w:p>
        </w:tc>
        <w:tc>
          <w:tcPr>
            <w:tcW w:w="6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624</w:t>
            </w:r>
          </w:p>
        </w:tc>
        <w:tc>
          <w:tcPr>
            <w:tcW w:w="78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564</w:t>
            </w:r>
          </w:p>
        </w:tc>
        <w:tc>
          <w:tcPr>
            <w:tcW w:w="6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505</w:t>
            </w:r>
          </w:p>
        </w:tc>
        <w:tc>
          <w:tcPr>
            <w:tcW w:w="180" w:type="dxa"/>
            <w:vAlign w:val="bottom"/>
            <w:tcBorders>
              <w:bottom w:val="single" w:sz="8" w:color="4D5357"/>
            </w:tcBorders>
          </w:tcPr>
          <w:p>
            <w:pPr>
              <w:spacing w:after="0"/>
              <w:rPr>
                <w:sz w:val="19"/>
                <w:szCs w:val="19"/>
                <w:color w:val="auto"/>
              </w:rPr>
            </w:pPr>
          </w:p>
        </w:tc>
        <w:tc>
          <w:tcPr>
            <w:tcW w:w="54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497</w:t>
            </w:r>
          </w:p>
        </w:tc>
        <w:tc>
          <w:tcPr>
            <w:tcW w:w="180" w:type="dxa"/>
            <w:vAlign w:val="bottom"/>
            <w:tcBorders>
              <w:bottom w:val="single" w:sz="8" w:color="4D5357"/>
            </w:tcBorders>
          </w:tcPr>
          <w:p>
            <w:pPr>
              <w:spacing w:after="0"/>
              <w:rPr>
                <w:sz w:val="19"/>
                <w:szCs w:val="19"/>
                <w:color w:val="auto"/>
              </w:rPr>
            </w:pPr>
          </w:p>
        </w:tc>
        <w:tc>
          <w:tcPr>
            <w:tcW w:w="4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443</w:t>
            </w:r>
          </w:p>
        </w:tc>
      </w:tr>
      <w:tr>
        <w:trPr>
          <w:trHeight w:val="263"/>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Acquisition, integration and divestiture expenses</w:t>
            </w:r>
          </w:p>
        </w:tc>
        <w:tc>
          <w:tcPr>
            <w:tcW w:w="6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17</w:t>
            </w:r>
          </w:p>
        </w:tc>
        <w:tc>
          <w:tcPr>
            <w:tcW w:w="78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40</w:t>
            </w:r>
          </w:p>
        </w:tc>
        <w:tc>
          <w:tcPr>
            <w:tcW w:w="6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12</w:t>
            </w:r>
          </w:p>
        </w:tc>
        <w:tc>
          <w:tcPr>
            <w:tcW w:w="180" w:type="dxa"/>
            <w:vAlign w:val="bottom"/>
            <w:tcBorders>
              <w:bottom w:val="single" w:sz="8" w:color="4D5357"/>
            </w:tcBorders>
          </w:tcPr>
          <w:p>
            <w:pPr>
              <w:spacing w:after="0"/>
              <w:rPr>
                <w:sz w:val="22"/>
                <w:szCs w:val="22"/>
                <w:color w:val="auto"/>
              </w:rPr>
            </w:pPr>
          </w:p>
        </w:tc>
        <w:tc>
          <w:tcPr>
            <w:tcW w:w="54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9</w:t>
            </w:r>
          </w:p>
        </w:tc>
        <w:tc>
          <w:tcPr>
            <w:tcW w:w="180" w:type="dxa"/>
            <w:vAlign w:val="bottom"/>
            <w:tcBorders>
              <w:bottom w:val="single" w:sz="8" w:color="4D5357"/>
            </w:tcBorders>
          </w:tcPr>
          <w:p>
            <w:pPr>
              <w:spacing w:after="0"/>
              <w:rPr>
                <w:sz w:val="22"/>
                <w:szCs w:val="22"/>
                <w:color w:val="auto"/>
              </w:rPr>
            </w:pPr>
          </w:p>
        </w:tc>
        <w:tc>
          <w:tcPr>
            <w:tcW w:w="4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58</w:t>
            </w:r>
          </w:p>
        </w:tc>
      </w:tr>
      <w:tr>
        <w:trPr>
          <w:trHeight w:val="274"/>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Nonrecurring (gain) / loss on divestitures</w:t>
            </w:r>
          </w:p>
        </w:tc>
        <w:tc>
          <w:tcPr>
            <w:tcW w:w="660" w:type="dxa"/>
            <w:vAlign w:val="bottom"/>
            <w:tcBorders>
              <w:bottom w:val="single" w:sz="8" w:color="4D5357"/>
            </w:tcBorders>
          </w:tcPr>
          <w:p>
            <w:pPr>
              <w:spacing w:after="0"/>
              <w:rPr>
                <w:sz w:val="23"/>
                <w:szCs w:val="23"/>
                <w:color w:val="auto"/>
              </w:rPr>
            </w:pPr>
          </w:p>
        </w:tc>
        <w:tc>
          <w:tcPr>
            <w:tcW w:w="7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(1,331)</w:t>
            </w:r>
          </w:p>
        </w:tc>
        <w:tc>
          <w:tcPr>
            <w:tcW w:w="6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24</w:t>
            </w:r>
          </w:p>
        </w:tc>
        <w:tc>
          <w:tcPr>
            <w:tcW w:w="180" w:type="dxa"/>
            <w:vAlign w:val="bottom"/>
            <w:tcBorders>
              <w:bottom w:val="single" w:sz="8" w:color="4D5357"/>
            </w:tcBorders>
          </w:tcPr>
          <w:p>
            <w:pPr>
              <w:spacing w:after="0"/>
              <w:rPr>
                <w:sz w:val="23"/>
                <w:szCs w:val="23"/>
                <w:color w:val="auto"/>
              </w:rPr>
            </w:pPr>
          </w:p>
        </w:tc>
        <w:tc>
          <w:tcPr>
            <w:tcW w:w="54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(151)</w:t>
            </w:r>
          </w:p>
        </w:tc>
        <w:tc>
          <w:tcPr>
            <w:tcW w:w="180" w:type="dxa"/>
            <w:vAlign w:val="bottom"/>
            <w:tcBorders>
              <w:bottom w:val="single" w:sz="8" w:color="4D5357"/>
            </w:tcBorders>
          </w:tcPr>
          <w:p>
            <w:pPr>
              <w:spacing w:after="0"/>
              <w:rPr>
                <w:sz w:val="23"/>
                <w:szCs w:val="23"/>
                <w:color w:val="auto"/>
              </w:rPr>
            </w:pPr>
          </w:p>
        </w:tc>
        <w:tc>
          <w:tcPr>
            <w:tcW w:w="480" w:type="dxa"/>
            <w:vAlign w:val="bottom"/>
            <w:tcBorders>
              <w:bottom w:val="single" w:sz="8" w:color="4D5357"/>
            </w:tcBorders>
          </w:tcPr>
          <w:p>
            <w:pPr>
              <w:spacing w:after="0"/>
              <w:rPr>
                <w:sz w:val="23"/>
                <w:szCs w:val="23"/>
                <w:color w:val="auto"/>
              </w:rPr>
            </w:pPr>
          </w:p>
        </w:tc>
      </w:tr>
      <w:tr>
        <w:trPr>
          <w:trHeight w:val="277"/>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Impact of selling acquired inventory after mark up to fair value as part of acquisition accounting</w:t>
            </w:r>
          </w:p>
        </w:tc>
        <w:tc>
          <w:tcPr>
            <w:tcW w:w="6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5</w:t>
            </w:r>
          </w:p>
        </w:tc>
        <w:tc>
          <w:tcPr>
            <w:tcW w:w="78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20</w:t>
            </w:r>
          </w:p>
        </w:tc>
        <w:tc>
          <w:tcPr>
            <w:tcW w:w="680" w:type="dxa"/>
            <w:vAlign w:val="bottom"/>
            <w:tcBorders>
              <w:bottom w:val="single" w:sz="8" w:color="4D5357"/>
            </w:tcBorders>
          </w:tcPr>
          <w:p>
            <w:pPr>
              <w:spacing w:after="0"/>
              <w:rPr>
                <w:sz w:val="24"/>
                <w:szCs w:val="24"/>
                <w:color w:val="auto"/>
              </w:rPr>
            </w:pPr>
          </w:p>
        </w:tc>
        <w:tc>
          <w:tcPr>
            <w:tcW w:w="180" w:type="dxa"/>
            <w:vAlign w:val="bottom"/>
            <w:tcBorders>
              <w:bottom w:val="single" w:sz="8" w:color="4D5357"/>
            </w:tcBorders>
          </w:tcPr>
          <w:p>
            <w:pPr>
              <w:spacing w:after="0"/>
              <w:rPr>
                <w:sz w:val="24"/>
                <w:szCs w:val="24"/>
                <w:color w:val="auto"/>
              </w:rPr>
            </w:pPr>
          </w:p>
        </w:tc>
        <w:tc>
          <w:tcPr>
            <w:tcW w:w="540" w:type="dxa"/>
            <w:vAlign w:val="bottom"/>
            <w:tcBorders>
              <w:bottom w:val="single" w:sz="8" w:color="4D5357"/>
            </w:tcBorders>
          </w:tcPr>
          <w:p>
            <w:pPr>
              <w:spacing w:after="0"/>
              <w:rPr>
                <w:sz w:val="24"/>
                <w:szCs w:val="24"/>
                <w:color w:val="auto"/>
              </w:rPr>
            </w:pPr>
          </w:p>
        </w:tc>
        <w:tc>
          <w:tcPr>
            <w:tcW w:w="180" w:type="dxa"/>
            <w:vAlign w:val="bottom"/>
            <w:tcBorders>
              <w:bottom w:val="single" w:sz="8" w:color="4D5357"/>
            </w:tcBorders>
          </w:tcPr>
          <w:p>
            <w:pPr>
              <w:spacing w:after="0"/>
              <w:rPr>
                <w:sz w:val="24"/>
                <w:szCs w:val="24"/>
                <w:color w:val="auto"/>
              </w:rPr>
            </w:pPr>
          </w:p>
        </w:tc>
        <w:tc>
          <w:tcPr>
            <w:tcW w:w="4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34</w:t>
            </w:r>
          </w:p>
        </w:tc>
      </w:tr>
      <w:tr>
        <w:trPr>
          <w:trHeight w:val="277"/>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Asset and portfolio rationalization charge</w:t>
            </w:r>
          </w:p>
        </w:tc>
        <w:tc>
          <w:tcPr>
            <w:tcW w:w="6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21</w:t>
            </w:r>
          </w:p>
        </w:tc>
        <w:tc>
          <w:tcPr>
            <w:tcW w:w="78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50</w:t>
            </w:r>
          </w:p>
        </w:tc>
        <w:tc>
          <w:tcPr>
            <w:tcW w:w="680" w:type="dxa"/>
            <w:vAlign w:val="bottom"/>
            <w:tcBorders>
              <w:bottom w:val="single" w:sz="8" w:color="4D5357"/>
            </w:tcBorders>
          </w:tcPr>
          <w:p>
            <w:pPr>
              <w:spacing w:after="0"/>
              <w:rPr>
                <w:sz w:val="24"/>
                <w:szCs w:val="24"/>
                <w:color w:val="auto"/>
              </w:rPr>
            </w:pPr>
          </w:p>
        </w:tc>
        <w:tc>
          <w:tcPr>
            <w:tcW w:w="180" w:type="dxa"/>
            <w:vAlign w:val="bottom"/>
            <w:tcBorders>
              <w:bottom w:val="single" w:sz="8" w:color="4D5357"/>
            </w:tcBorders>
          </w:tcPr>
          <w:p>
            <w:pPr>
              <w:spacing w:after="0"/>
              <w:rPr>
                <w:sz w:val="24"/>
                <w:szCs w:val="24"/>
                <w:color w:val="auto"/>
              </w:rPr>
            </w:pPr>
          </w:p>
        </w:tc>
        <w:tc>
          <w:tcPr>
            <w:tcW w:w="540" w:type="dxa"/>
            <w:vAlign w:val="bottom"/>
            <w:tcBorders>
              <w:bottom w:val="single" w:sz="8" w:color="4D5357"/>
            </w:tcBorders>
          </w:tcPr>
          <w:p>
            <w:pPr>
              <w:spacing w:after="0"/>
              <w:rPr>
                <w:sz w:val="24"/>
                <w:szCs w:val="24"/>
                <w:color w:val="auto"/>
              </w:rPr>
            </w:pPr>
          </w:p>
        </w:tc>
        <w:tc>
          <w:tcPr>
            <w:tcW w:w="180" w:type="dxa"/>
            <w:vAlign w:val="bottom"/>
            <w:tcBorders>
              <w:bottom w:val="single" w:sz="8" w:color="4D5357"/>
            </w:tcBorders>
          </w:tcPr>
          <w:p>
            <w:pPr>
              <w:spacing w:after="0"/>
              <w:rPr>
                <w:sz w:val="24"/>
                <w:szCs w:val="24"/>
                <w:color w:val="auto"/>
              </w:rPr>
            </w:pPr>
          </w:p>
        </w:tc>
        <w:tc>
          <w:tcPr>
            <w:tcW w:w="480" w:type="dxa"/>
            <w:vAlign w:val="bottom"/>
            <w:tcBorders>
              <w:bottom w:val="single" w:sz="8" w:color="4D5357"/>
            </w:tcBorders>
          </w:tcPr>
          <w:p>
            <w:pPr>
              <w:spacing w:after="0"/>
              <w:rPr>
                <w:sz w:val="24"/>
                <w:szCs w:val="24"/>
                <w:color w:val="auto"/>
              </w:rPr>
            </w:pPr>
          </w:p>
        </w:tc>
      </w:tr>
      <w:tr>
        <w:trPr>
          <w:trHeight w:val="266"/>
        </w:trPr>
        <w:tc>
          <w:tcPr>
            <w:tcW w:w="752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Adjusted EBITDA for Pay for Performance</w:t>
            </w:r>
          </w:p>
        </w:tc>
        <w:tc>
          <w:tcPr>
            <w:tcW w:w="6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$ 2,302</w:t>
            </w:r>
          </w:p>
        </w:tc>
        <w:tc>
          <w:tcPr>
            <w:tcW w:w="78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rPr>
              <w:t>$ 2,066</w:t>
            </w:r>
          </w:p>
        </w:tc>
        <w:tc>
          <w:tcPr>
            <w:tcW w:w="6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$ 2,111</w:t>
            </w:r>
          </w:p>
        </w:tc>
        <w:tc>
          <w:tcPr>
            <w:tcW w:w="1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540" w:type="dxa"/>
            <w:vAlign w:val="bottom"/>
            <w:tcBorders>
              <w:bottom w:val="single" w:sz="8" w:color="4D5357"/>
            </w:tcBorders>
          </w:tcPr>
          <w:p>
            <w:pPr>
              <w:jc w:val="right"/>
              <w:ind w:right="59"/>
              <w:spacing w:after="0"/>
              <w:rPr>
                <w:sz w:val="20"/>
                <w:szCs w:val="20"/>
                <w:color w:val="auto"/>
              </w:rPr>
            </w:pPr>
            <w:r>
              <w:rPr>
                <w:rFonts w:ascii="Arial" w:cs="Arial" w:eastAsia="Arial" w:hAnsi="Arial"/>
                <w:sz w:val="16"/>
                <w:szCs w:val="16"/>
                <w:color w:val="4D5357"/>
                <w:w w:val="94"/>
              </w:rPr>
              <w:t>1,617</w:t>
            </w:r>
          </w:p>
        </w:tc>
        <w:tc>
          <w:tcPr>
            <w:tcW w:w="1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4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w w:val="99"/>
              </w:rPr>
              <w:t>1,533</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Net Debt-to-Consolidated Adjusted EBITDA</w:t>
      </w:r>
    </w:p>
    <w:p>
      <w:pPr>
        <w:spacing w:after="0" w:line="134" w:lineRule="exact"/>
        <w:rPr>
          <w:sz w:val="20"/>
          <w:szCs w:val="20"/>
          <w:color w:val="auto"/>
        </w:rPr>
      </w:pPr>
    </w:p>
    <w:p>
      <w:pPr>
        <w:jc w:val="both"/>
        <w:ind w:right="500"/>
        <w:spacing w:after="0" w:line="266" w:lineRule="auto"/>
        <w:rPr>
          <w:sz w:val="20"/>
          <w:szCs w:val="20"/>
          <w:color w:val="auto"/>
        </w:rPr>
      </w:pPr>
      <w:r>
        <w:rPr>
          <w:rFonts w:ascii="Arial" w:cs="Arial" w:eastAsia="Arial" w:hAnsi="Arial"/>
          <w:sz w:val="16"/>
          <w:szCs w:val="16"/>
          <w:color w:val="333333"/>
        </w:rPr>
        <w:t>Management uses the Company’s consolidated net debt-to-consolidated Adjusted EBITDA for the trailing twelve months to assess the Company’s capacity for additional borrowings. The following calculation as of December 31, 2025 is not intended to be a substitute for the Company’s leverage covenant under its credit facility: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780" w:type="dxa"/>
            <w:vAlign w:val="bottom"/>
            <w:tcBorders>
              <w:bottom w:val="single" w:sz="8" w:color="0086CC"/>
            </w:tcBorders>
          </w:tcPr>
          <w:p>
            <w:pPr>
              <w:ind w:left="60"/>
              <w:spacing w:after="0"/>
              <w:rPr>
                <w:sz w:val="20"/>
                <w:szCs w:val="20"/>
                <w:color w:val="auto"/>
              </w:rPr>
            </w:pPr>
            <w:r>
              <w:rPr>
                <w:rFonts w:ascii="Arial" w:cs="Arial" w:eastAsia="Arial" w:hAnsi="Arial"/>
                <w:sz w:val="16"/>
                <w:szCs w:val="16"/>
                <w:b w:val="1"/>
                <w:bCs w:val="1"/>
                <w:color w:val="0086CC"/>
              </w:rPr>
              <w:t>(DOLLARS IN MILLIONS)</w:t>
            </w:r>
          </w:p>
        </w:tc>
        <w:tc>
          <w:tcPr>
            <w:tcW w:w="460" w:type="dxa"/>
            <w:vAlign w:val="bottom"/>
            <w:tcBorders>
              <w:bottom w:val="single" w:sz="8" w:color="0086CC"/>
            </w:tcBorders>
          </w:tcPr>
          <w:p>
            <w:pPr>
              <w:spacing w:after="0"/>
              <w:rPr>
                <w:sz w:val="19"/>
                <w:szCs w:val="19"/>
                <w:color w:val="auto"/>
              </w:rPr>
            </w:pPr>
          </w:p>
        </w:tc>
        <w:tc>
          <w:tcPr>
            <w:tcW w:w="780" w:type="dxa"/>
            <w:vAlign w:val="bottom"/>
            <w:tcBorders>
              <w:bottom w:val="single" w:sz="8" w:color="0086CC"/>
            </w:tcBorders>
          </w:tcPr>
          <w:p>
            <w:pPr>
              <w:jc w:val="right"/>
              <w:ind w:right="239"/>
              <w:spacing w:after="0"/>
              <w:rPr>
                <w:sz w:val="20"/>
                <w:szCs w:val="20"/>
                <w:color w:val="auto"/>
              </w:rPr>
            </w:pPr>
            <w:r>
              <w:rPr>
                <w:rFonts w:ascii="Arial" w:cs="Arial" w:eastAsia="Arial" w:hAnsi="Arial"/>
                <w:sz w:val="16"/>
                <w:szCs w:val="16"/>
                <w:b w:val="1"/>
                <w:bCs w:val="1"/>
                <w:color w:val="0086CC"/>
              </w:rPr>
              <w:t>2025</w:t>
            </w:r>
          </w:p>
        </w:tc>
      </w:tr>
      <w:tr>
        <w:trPr>
          <w:trHeight w:val="263"/>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Consolidated net earnings attributable to Martin Marietta</w:t>
            </w:r>
          </w:p>
        </w:tc>
        <w:tc>
          <w:tcPr>
            <w:tcW w:w="4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1,137</w:t>
            </w:r>
          </w:p>
        </w:tc>
      </w:tr>
      <w:tr>
        <w:trPr>
          <w:trHeight w:val="260"/>
        </w:trPr>
        <w:tc>
          <w:tcPr>
            <w:tcW w:w="9780" w:type="dxa"/>
            <w:vAlign w:val="bottom"/>
          </w:tcPr>
          <w:p>
            <w:pPr>
              <w:ind w:left="60"/>
              <w:spacing w:after="0"/>
              <w:rPr>
                <w:sz w:val="20"/>
                <w:szCs w:val="20"/>
                <w:color w:val="auto"/>
              </w:rPr>
            </w:pPr>
            <w:r>
              <w:rPr>
                <w:rFonts w:ascii="Arial" w:cs="Arial" w:eastAsia="Arial" w:hAnsi="Arial"/>
                <w:sz w:val="16"/>
                <w:szCs w:val="16"/>
                <w:b w:val="1"/>
                <w:bCs w:val="1"/>
                <w:color w:val="4D5357"/>
              </w:rPr>
              <w:t>Add back:</w:t>
            </w: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
        </w:trPr>
        <w:tc>
          <w:tcPr>
            <w:tcW w:w="9780" w:type="dxa"/>
            <w:vAlign w:val="bottom"/>
            <w:tcBorders>
              <w:bottom w:val="single" w:sz="8" w:color="4D5357"/>
            </w:tcBorders>
          </w:tcPr>
          <w:p>
            <w:pPr>
              <w:spacing w:after="0" w:line="20" w:lineRule="exact"/>
              <w:rPr>
                <w:sz w:val="1"/>
                <w:szCs w:val="1"/>
                <w:color w:val="auto"/>
              </w:rPr>
            </w:pPr>
          </w:p>
        </w:tc>
        <w:tc>
          <w:tcPr>
            <w:tcW w:w="460" w:type="dxa"/>
            <w:vAlign w:val="bottom"/>
            <w:tcBorders>
              <w:bottom w:val="single" w:sz="8" w:color="4D5357"/>
            </w:tcBorders>
          </w:tcPr>
          <w:p>
            <w:pPr>
              <w:spacing w:after="0" w:line="20" w:lineRule="exact"/>
              <w:rPr>
                <w:sz w:val="1"/>
                <w:szCs w:val="1"/>
                <w:color w:val="auto"/>
              </w:rPr>
            </w:pPr>
          </w:p>
        </w:tc>
        <w:tc>
          <w:tcPr>
            <w:tcW w:w="780" w:type="dxa"/>
            <w:vAlign w:val="bottom"/>
            <w:tcBorders>
              <w:bottom w:val="single" w:sz="8" w:color="4D5357"/>
            </w:tcBorders>
          </w:tcPr>
          <w:p>
            <w:pPr>
              <w:spacing w:after="0" w:line="20" w:lineRule="exact"/>
              <w:rPr>
                <w:sz w:val="1"/>
                <w:szCs w:val="1"/>
                <w:color w:val="auto"/>
              </w:rPr>
            </w:pPr>
          </w:p>
        </w:tc>
      </w:tr>
      <w:tr>
        <w:trPr>
          <w:trHeight w:val="260"/>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Interest expense, net of interest income</w:t>
            </w:r>
          </w:p>
        </w:tc>
        <w:tc>
          <w:tcPr>
            <w:tcW w:w="460" w:type="dxa"/>
            <w:vAlign w:val="bottom"/>
            <w:tcBorders>
              <w:bottom w:val="single" w:sz="8" w:color="4D5357"/>
            </w:tcBorders>
          </w:tcPr>
          <w:p>
            <w:pPr>
              <w:spacing w:after="0"/>
              <w:rPr>
                <w:sz w:val="22"/>
                <w:szCs w:val="22"/>
                <w:color w:val="auto"/>
              </w:rPr>
            </w:pP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220</w:t>
            </w:r>
          </w:p>
        </w:tc>
      </w:tr>
      <w:tr>
        <w:trPr>
          <w:trHeight w:val="263"/>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Income tax expense for controlling interests</w:t>
            </w:r>
          </w:p>
        </w:tc>
        <w:tc>
          <w:tcPr>
            <w:tcW w:w="460" w:type="dxa"/>
            <w:vAlign w:val="bottom"/>
            <w:tcBorders>
              <w:bottom w:val="single" w:sz="8" w:color="4D5357"/>
            </w:tcBorders>
          </w:tcPr>
          <w:p>
            <w:pPr>
              <w:spacing w:after="0"/>
              <w:rPr>
                <w:sz w:val="22"/>
                <w:szCs w:val="22"/>
                <w:color w:val="auto"/>
              </w:rPr>
            </w:pP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278</w:t>
            </w:r>
          </w:p>
        </w:tc>
      </w:tr>
      <w:tr>
        <w:trPr>
          <w:trHeight w:val="264"/>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Depreciation, depletion and amortization expense and earnings/loss from nonconsolidated equity affiliates</w:t>
            </w:r>
          </w:p>
        </w:tc>
        <w:tc>
          <w:tcPr>
            <w:tcW w:w="460" w:type="dxa"/>
            <w:vAlign w:val="bottom"/>
            <w:tcBorders>
              <w:bottom w:val="single" w:sz="8" w:color="4D5357"/>
            </w:tcBorders>
          </w:tcPr>
          <w:p>
            <w:pPr>
              <w:spacing w:after="0"/>
              <w:rPr>
                <w:sz w:val="22"/>
                <w:szCs w:val="22"/>
                <w:color w:val="auto"/>
              </w:rPr>
            </w:pP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624</w:t>
            </w:r>
          </w:p>
        </w:tc>
      </w:tr>
      <w:tr>
        <w:trPr>
          <w:trHeight w:val="263"/>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Acquisition, divestiture and integration expenses</w:t>
            </w:r>
          </w:p>
        </w:tc>
        <w:tc>
          <w:tcPr>
            <w:tcW w:w="460" w:type="dxa"/>
            <w:vAlign w:val="bottom"/>
            <w:tcBorders>
              <w:bottom w:val="single" w:sz="8" w:color="4D5357"/>
            </w:tcBorders>
          </w:tcPr>
          <w:p>
            <w:pPr>
              <w:spacing w:after="0"/>
              <w:rPr>
                <w:sz w:val="22"/>
                <w:szCs w:val="22"/>
                <w:color w:val="auto"/>
              </w:rPr>
            </w:pP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17</w:t>
            </w:r>
          </w:p>
        </w:tc>
      </w:tr>
      <w:tr>
        <w:trPr>
          <w:trHeight w:val="263"/>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Impact of selling acquired inventory after its markup to fair value as part of acquisition accounting</w:t>
            </w:r>
          </w:p>
        </w:tc>
        <w:tc>
          <w:tcPr>
            <w:tcW w:w="460" w:type="dxa"/>
            <w:vAlign w:val="bottom"/>
            <w:tcBorders>
              <w:bottom w:val="single" w:sz="8" w:color="4D5357"/>
            </w:tcBorders>
          </w:tcPr>
          <w:p>
            <w:pPr>
              <w:spacing w:after="0"/>
              <w:rPr>
                <w:sz w:val="22"/>
                <w:szCs w:val="22"/>
                <w:color w:val="auto"/>
              </w:rPr>
            </w:pP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5</w:t>
            </w:r>
          </w:p>
        </w:tc>
      </w:tr>
      <w:tr>
        <w:trPr>
          <w:trHeight w:val="264"/>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Asset and portfolio rationalization charge</w:t>
            </w:r>
          </w:p>
        </w:tc>
        <w:tc>
          <w:tcPr>
            <w:tcW w:w="460" w:type="dxa"/>
            <w:vAlign w:val="bottom"/>
            <w:tcBorders>
              <w:bottom w:val="single" w:sz="8" w:color="4D5357"/>
            </w:tcBorders>
          </w:tcPr>
          <w:p>
            <w:pPr>
              <w:spacing w:after="0"/>
              <w:rPr>
                <w:sz w:val="22"/>
                <w:szCs w:val="22"/>
                <w:color w:val="auto"/>
              </w:rPr>
            </w:pP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21</w:t>
            </w:r>
          </w:p>
        </w:tc>
      </w:tr>
      <w:tr>
        <w:trPr>
          <w:trHeight w:val="263"/>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Consolidated Adjusted EBITDA for the twelve months ended December 31</w:t>
            </w:r>
          </w:p>
        </w:tc>
        <w:tc>
          <w:tcPr>
            <w:tcW w:w="4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2,302</w:t>
            </w:r>
          </w:p>
        </w:tc>
      </w:tr>
      <w:tr>
        <w:trPr>
          <w:trHeight w:val="264"/>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Consolidated debt at December 31</w:t>
            </w:r>
          </w:p>
        </w:tc>
        <w:tc>
          <w:tcPr>
            <w:tcW w:w="4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5,323</w:t>
            </w:r>
          </w:p>
        </w:tc>
      </w:tr>
      <w:tr>
        <w:trPr>
          <w:trHeight w:val="263"/>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Less: Unrestricted cash at December 31</w:t>
            </w:r>
          </w:p>
        </w:tc>
        <w:tc>
          <w:tcPr>
            <w:tcW w:w="460" w:type="dxa"/>
            <w:vAlign w:val="bottom"/>
            <w:tcBorders>
              <w:bottom w:val="single" w:sz="8" w:color="4D5357"/>
            </w:tcBorders>
          </w:tcPr>
          <w:p>
            <w:pPr>
              <w:spacing w:after="0"/>
              <w:rPr>
                <w:sz w:val="22"/>
                <w:szCs w:val="22"/>
                <w:color w:val="auto"/>
              </w:rPr>
            </w:pPr>
          </w:p>
        </w:tc>
        <w:tc>
          <w:tcPr>
            <w:tcW w:w="78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(67)</w:t>
            </w:r>
          </w:p>
        </w:tc>
      </w:tr>
      <w:tr>
        <w:trPr>
          <w:trHeight w:val="263"/>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Consolidated net debt at December 31</w:t>
            </w:r>
          </w:p>
        </w:tc>
        <w:tc>
          <w:tcPr>
            <w:tcW w:w="460" w:type="dxa"/>
            <w:vAlign w:val="bottom"/>
            <w:tcBorders>
              <w:bottom w:val="single" w:sz="8" w:color="4D5357"/>
            </w:tcBorders>
          </w:tcPr>
          <w:p>
            <w:pPr>
              <w:jc w:val="right"/>
              <w:spacing w:after="0"/>
              <w:rPr>
                <w:sz w:val="20"/>
                <w:szCs w:val="20"/>
                <w:color w:val="auto"/>
              </w:rPr>
            </w:pPr>
            <w:r>
              <w:rPr>
                <w:rFonts w:ascii="Arial" w:cs="Arial" w:eastAsia="Arial" w:hAnsi="Arial"/>
                <w:sz w:val="16"/>
                <w:szCs w:val="16"/>
                <w:color w:val="4D5357"/>
              </w:rPr>
              <w:t>$</w:t>
            </w:r>
          </w:p>
        </w:tc>
        <w:tc>
          <w:tcPr>
            <w:tcW w:w="780" w:type="dxa"/>
            <w:vAlign w:val="bottom"/>
            <w:tcBorders>
              <w:bottom w:val="single" w:sz="8" w:color="4D5357"/>
            </w:tcBorders>
          </w:tcPr>
          <w:p>
            <w:pPr>
              <w:jc w:val="right"/>
              <w:ind w:right="39"/>
              <w:spacing w:after="0"/>
              <w:rPr>
                <w:sz w:val="20"/>
                <w:szCs w:val="20"/>
                <w:color w:val="auto"/>
              </w:rPr>
            </w:pPr>
            <w:r>
              <w:rPr>
                <w:rFonts w:ascii="Arial" w:cs="Arial" w:eastAsia="Arial" w:hAnsi="Arial"/>
                <w:sz w:val="16"/>
                <w:szCs w:val="16"/>
                <w:color w:val="4D5357"/>
              </w:rPr>
              <w:t>5,256</w:t>
            </w:r>
          </w:p>
        </w:tc>
      </w:tr>
      <w:tr>
        <w:trPr>
          <w:trHeight w:val="264"/>
        </w:trPr>
        <w:tc>
          <w:tcPr>
            <w:tcW w:w="9780" w:type="dxa"/>
            <w:vAlign w:val="bottom"/>
            <w:tcBorders>
              <w:bottom w:val="single" w:sz="8" w:color="4D5357"/>
            </w:tcBorders>
          </w:tcPr>
          <w:p>
            <w:pPr>
              <w:ind w:left="60"/>
              <w:spacing w:after="0"/>
              <w:rPr>
                <w:sz w:val="20"/>
                <w:szCs w:val="20"/>
                <w:color w:val="auto"/>
              </w:rPr>
            </w:pPr>
            <w:r>
              <w:rPr>
                <w:rFonts w:ascii="Arial" w:cs="Arial" w:eastAsia="Arial" w:hAnsi="Arial"/>
                <w:sz w:val="16"/>
                <w:szCs w:val="16"/>
                <w:b w:val="1"/>
                <w:bCs w:val="1"/>
                <w:color w:val="4D5357"/>
              </w:rPr>
              <w:t>Consolidated net debt-to-consolidated EBITDA at December 31 for trailing-twelve months Consolidated Adjusted EBITDA</w:t>
            </w:r>
          </w:p>
        </w:tc>
        <w:tc>
          <w:tcPr>
            <w:tcW w:w="460" w:type="dxa"/>
            <w:vAlign w:val="bottom"/>
            <w:tcBorders>
              <w:bottom w:val="single" w:sz="8" w:color="4D5357"/>
            </w:tcBorders>
          </w:tcPr>
          <w:p>
            <w:pPr>
              <w:spacing w:after="0"/>
              <w:rPr>
                <w:sz w:val="22"/>
                <w:szCs w:val="22"/>
                <w:color w:val="auto"/>
              </w:rPr>
            </w:pPr>
          </w:p>
        </w:tc>
        <w:tc>
          <w:tcPr>
            <w:tcW w:w="780" w:type="dxa"/>
            <w:vAlign w:val="bottom"/>
            <w:tcBorders>
              <w:bottom w:val="single" w:sz="8" w:color="4D5357"/>
            </w:tcBorders>
          </w:tcPr>
          <w:p>
            <w:pPr>
              <w:spacing w:after="0"/>
              <w:rPr>
                <w:sz w:val="20"/>
                <w:szCs w:val="20"/>
                <w:color w:val="auto"/>
              </w:rPr>
            </w:pPr>
            <w:r>
              <w:rPr>
                <w:rFonts w:ascii="Arial" w:cs="Arial" w:eastAsia="Arial" w:hAnsi="Arial"/>
                <w:sz w:val="16"/>
                <w:szCs w:val="16"/>
                <w:color w:val="4D5357"/>
              </w:rPr>
              <w:t>2.3 times</w:t>
            </w:r>
          </w:p>
        </w:tc>
      </w:tr>
      <w:tr>
        <w:trPr>
          <w:trHeight w:val="577"/>
        </w:trPr>
        <w:tc>
          <w:tcPr>
            <w:tcW w:w="9780" w:type="dxa"/>
            <w:vAlign w:val="bottom"/>
          </w:tcPr>
          <w:p>
            <w:pPr>
              <w:spacing w:after="0"/>
              <w:rPr>
                <w:sz w:val="20"/>
                <w:szCs w:val="20"/>
                <w:color w:val="auto"/>
              </w:rPr>
            </w:pPr>
            <w:r>
              <w:rPr>
                <w:rFonts w:ascii="Arial" w:cs="Arial" w:eastAsia="Arial" w:hAnsi="Arial"/>
                <w:sz w:val="16"/>
                <w:szCs w:val="16"/>
                <w:color w:val="333333"/>
              </w:rPr>
              <w:t> </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9780" w:type="dxa"/>
            <w:vAlign w:val="bottom"/>
          </w:tcPr>
          <w:p>
            <w:pPr>
              <w:spacing w:after="0"/>
              <w:rPr>
                <w:sz w:val="20"/>
                <w:szCs w:val="20"/>
                <w:color w:val="auto"/>
              </w:rPr>
            </w:pPr>
            <w:r>
              <w:rPr>
                <w:rFonts w:ascii="Arial" w:cs="Arial" w:eastAsia="Arial" w:hAnsi="Arial"/>
                <w:sz w:val="16"/>
                <w:szCs w:val="16"/>
                <w:color w:val="333333"/>
              </w:rPr>
              <w:t xml:space="preserve">                 </w:t>
            </w:r>
            <w:r>
              <w:rPr>
                <w:rFonts w:ascii="Arial" w:cs="Arial" w:eastAsia="Arial" w:hAnsi="Arial"/>
                <w:sz w:val="16"/>
                <w:szCs w:val="16"/>
                <w:b w:val="1"/>
                <w:bCs w:val="1"/>
                <w:color w:val="0086CC"/>
              </w:rPr>
              <w:t>B-2</w:t>
            </w:r>
          </w:p>
        </w:tc>
        <w:tc>
          <w:tcPr>
            <w:tcW w:w="4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6"/>
                <w:szCs w:val="16"/>
                <w:color w:val="333333"/>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6995160" cy="6000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89" w:right="439" w:bottom="1440" w:gutter="0" w:footer="0" w:header="0"/>
        </w:sectPr>
      </w:pPr>
    </w:p>
    <w:bookmarkStart w:id="116" w:name="page117"/>
    <w:bookmarkEnd w:id="116"/>
    <w:p>
      <w:pPr>
        <w:ind w:left="95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200025</wp:posOffset>
            </wp:positionV>
            <wp:extent cx="1045845" cy="4546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45845" cy="454660"/>
                    </a:xfrm>
                    <a:prstGeom prst="rect">
                      <a:avLst/>
                    </a:prstGeom>
                    <a:noFill/>
                  </pic:spPr>
                </pic:pic>
              </a:graphicData>
            </a:graphic>
          </wp:anchor>
        </w:drawing>
        <w:t xml:space="preserve">     Appendix B 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Cautionary Statement</w:t>
      </w:r>
    </w:p>
    <w:p>
      <w:pPr>
        <w:spacing w:after="0" w:line="13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333333"/>
        </w:rPr>
        <w:t>We provide a discussion of a variety of risks associated with our business in our Annual Report on form 10-K for the year ended December 31, 2025 (the 2025 Form 10-K) that was filed with the Securities Exchange Commission. This proxy statement, our 2025 Form 10-K and other written reports and oral statements made from time to time by the Company contain statements that, to the extent they are not recitations of historical fact, constitute forward-looking statements within the meaning of federal securities law. Investors are cautioned that all forward 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may turn out to be wrong. Statements regarding the future performance of our investments and acquisitions, statements and assumptions regarding our current sustainability targets and ambitions, and regulatory compliance are examples of forward-looking statements. Numerous factors could affect the Company’s forward-looking statements and actual performance. Readers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These forward-looking statements are made as of the date hereof based on management’s current expectations, and the Company does not undertake an obligation to update such statements, whether as a result of new information, future events, or otherwise, other than as required by law.</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76"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B-3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5">
            <w:col w:w="200" w:space="120"/>
            <w:col w:w="3540" w:space="720"/>
            <w:col w:w="4580" w:space="720"/>
            <w:col w:w="260" w:space="100"/>
            <w:col w:w="780"/>
          </w:cols>
          <w:pgMar w:left="440" w:top="576" w:right="439" w:bottom="1440" w:gutter="0" w:footer="0" w:header="0"/>
          <w:type w:val="continuous"/>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859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Martin Marietta Materials, Inc.</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Amended and Restated Stock-Based Award Plan</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Adopted: May 8, 1998</w:t>
      </w:r>
    </w:p>
    <w:p>
      <w:pPr>
        <w:spacing w:after="0" w:line="10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As Amended May 8, 1998, August 17, 2000,</w:t>
      </w:r>
    </w:p>
    <w:p>
      <w:pPr>
        <w:spacing w:after="0" w:line="2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May 22, 2001, April 3, 2006, February 18, 2016 and February 19, 2026</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 Establishment and Purpose</w:t>
      </w:r>
    </w:p>
    <w:p>
      <w:pPr>
        <w:spacing w:after="0" w:line="13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The Martin Marietta Amended and Restated Stock-Based Award Plan (the “Plan”) was adopted by the shareholders of Martin Marietta Materials, Inc. (the “Corporation”) at the shareholders meeting held on May 8, 1998, and subsequently amended and restated by the Board of Directors at its meetings on May 8, 1998, August 17, 2000, May 22, 2001, April 3, 2006, February 18, 2016 and February 19, 2026.</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The purpose of this Plan is to benefit the Corporation’s shareholders by encouraging high levels of performance by individuals who are key to the success of the Corporation and to enable the Corporation to attract, motivate, and retain talented and experienced individuals essential to its continued success. This is to be accomplished by providing such employees and directors an opportunity to obtain or increase their proprietary interest in the Corporation’s performance and by providing such employees and directors with additional incentives to remain with the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2. Definitions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333333"/>
        </w:rPr>
        <w:t>The following terms, as used herein, shall have the meaning specified: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33333"/>
        </w:rPr>
        <w:t>“Affiliate” of a person means any entity directly or indirectly controlling, controlled by or under direct or indirect common control with such person.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“Award” means an award granted pursuant to Section 4 hereof.</w:t>
      </w:r>
    </w:p>
    <w:p>
      <w:pPr>
        <w:spacing w:after="0" w:line="2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333333"/>
        </w:rPr>
        <w:t>“Award Agreement” means an agreement described in Section 6 hereof entered into between the Corporation and a Participant, setting forth the terms and conditions applicable to the Award granted to the Participant.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333333"/>
        </w:rPr>
        <w:t>“Board of Directors” means the Board of Directors of the Corporation, as it may be comprised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“Code” means the Internal Revenue Code of 1986, as amended from time to time.</w:t>
      </w:r>
    </w:p>
    <w:p>
      <w:pPr>
        <w:spacing w:after="0" w:line="22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333333"/>
        </w:rPr>
        <w:t>“Cause” means the definition of “Cause” (or words of similar import) set forth in the Award Agreement governing the terms of the applicable Award or the individual agreement entered into with the holder of the applicable Award and in effect at the time of the termination of the Participant’s service relationship. If there is no such individual agreement or such term is not defined therein or in the applicable Award Agreement, “Cause” means the Participant having been convicted in a court of competent jurisdiction of a felony or having been adjudged by a court of competent jurisdiction to be liable for fraudulent or dishonest conduct, or gross abuse of authority or discretion, with respect to the Corporation, and such conviction or adjudication has become final and non-appealable, provided that, for purposes of this sentence, Cause shall not exist unless the Corporation shall have given the Participant (a) notice setting forth, in reasonable detail, the facts and circumstances claimed to provide a basis for termination for Cause, (b) a reasonable opportunity for the Participant, together with his or her counsel, to be heard before the Board of Directors and (c) a notice of termination stating that, in the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5">
            <w:col w:w="200" w:space="120"/>
            <w:col w:w="3540" w:space="720"/>
            <w:col w:w="4580" w:space="720"/>
            <w:col w:w="260" w:space="100"/>
            <w:col w:w="780"/>
          </w:cols>
          <w:pgMar w:left="440" w:top="1440" w:right="439" w:bottom="1440" w:gutter="0" w:footer="0" w:header="0"/>
          <w:type w:val="continuous"/>
        </w:sectPr>
      </w:pPr>
    </w:p>
    <w:bookmarkStart w:id="118" w:name="page119"/>
    <w:bookmarkEnd w:id="118"/>
    <w:p>
      <w:pPr>
        <w:ind w:left="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968375" cy="4718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968375" cy="471805"/>
                    </a:xfrm>
                    <a:prstGeom prst="rect">
                      <a:avLst/>
                    </a:prstGeom>
                    <a:noFill/>
                  </pic:spPr>
                </pic:pic>
              </a:graphicData>
            </a:graphic>
          </wp:anchor>
        </w:drawing>
        <w:t xml:space="preserve">     Appendix C    </w:t>
      </w:r>
    </w:p>
    <w:p>
      <w:pPr>
        <w:spacing w:after="0" w:line="200" w:lineRule="exact"/>
        <w:rPr>
          <w:sz w:val="20"/>
          <w:szCs w:val="20"/>
          <w:color w:val="auto"/>
        </w:rPr>
      </w:pPr>
    </w:p>
    <w:p>
      <w:pPr>
        <w:spacing w:after="0" w:line="242"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333333"/>
        </w:rPr>
        <w:t>reasonable judgment of the Board of Directors, the Participant was guilty of conduct constituting Cause and specifying the particulars thereof in reasonable detail.</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333333"/>
        </w:rPr>
        <w:t>“Committee” means a committee composed of members of, and designated by, the Board of Directors and, unless otherwise determined by the Board of Directors, consisting solely of persons who are “non-employee directors” within the meaning of Rule 16b-3, as Rule 16b-3 may be amended from time to time, which committee shall at all times comprise at least the minimum number of such persons necessary to comply with Rule 16b-3. If the Management Development and Compensation Committee of the Board of Directors satisfies the foregoing criteria, references in this Plan to the Committee shall be deemed to refer to such Committee of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333333"/>
        </w:rPr>
        <w:t>“Consultant” means any consultant of the Corporation or any Subsidiary.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“Corporation” means Martin Marietta Materials,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“Director Pay Limit” has the meaning ascribed in Section 5(a) of this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“Eligible Director” means each member of the Board of Directors who is not an employee of the Corporation or any Subsidiary.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“Employee” means any employee of the Corporation or any Subsidiary.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“Exchange Act” means the Securities Exchange Act of 1934, as amended from time to time.</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33333"/>
        </w:rPr>
        <w:t>“Fair Market Value” means, unless otherwise determined by the Committee, the closing price of the relevant security on the principal securities exchange on which the relevant security is traded on the trading day preceding the date of grant (or such other relevant date as may be referenced in this Plan) or, if there are no sales on such date, then the closing price of such security on the last preceding date for which there was a sale of such security. The Committee shall determine the Fair Market Value of any security that is not publicly traded, using such criteria, as it shall determine, in its sole discretion, to be appropriate for such valuation.</w:t>
      </w:r>
    </w:p>
    <w:p>
      <w:pPr>
        <w:spacing w:after="0" w:line="18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333333"/>
        </w:rPr>
        <w:t>“Family Member” has the meaning given to such term in General Instructions A.1(a)(5) to Form S-8 under the Securities Act of 1933, as amended, and any successor thereto.</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333333"/>
        </w:rPr>
        <w:t>“Good Reason” means (a) the definition of “Good Reason” (or words of similar import) set forth in the Award Agreement governing the terms of the applicable Award or the individual agreement entered into with the holder of the applicable Award and in effect at the time of the termination of the Participant’s service relationship or (b) if there is no such individual agreement or such term is not defined therein or in the applicable Award Agreement, “Good Reason” and any provision of this Plan that refers to “Good Reason” shall not be applicable to such Award.</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333333"/>
        </w:rPr>
        <w:t>“Incumbent Board” means a member of the Board of Directors of the Corporation who is not an Acquiring Person, or an affiliate (as defined in Rule 12b-2 of the Exchange Act) or an associate (as defined in Rule 12b-2 of the Exchange Act) of an Acquiring Person, or a representative or nominee of an Acquiring Person.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333333"/>
        </w:rPr>
        <w:t>“Insider” means any person who is subject to Section 16 of the Exchange Act with respect to the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“Option” means Non-Qualified Stock Options and Incentive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“Participant” means an Employee, Consultant or Eligible Director who has been granted and holds an unexercised or unpaid Award pursuant to this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“Person” means a “person” or “group” within the meaning of Sections 3(a)(9), 13(d) and 14(d) of the Exchange Act.</w:t>
      </w:r>
    </w:p>
    <w:p>
      <w:pPr>
        <w:spacing w:after="0" w:line="22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333333"/>
        </w:rPr>
        <w:t>“Rule 16b-3” means Rule 16b-3 promulgated by the Securities and Exchange Commission under Section 16 or any successor rule or regulation as amended from time to time.</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333333"/>
        </w:rPr>
        <w:t>“Section 16” means Section 16 of the Exchange Act or any successor statute and the rules promulgated thereunder by the Securities and Exchange Commission, as they may be amended from time to time.</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8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589" w:right="439" w:bottom="1440" w:gutter="0" w:footer="0" w:header="0"/>
          <w:type w:val="continuous"/>
        </w:sectPr>
      </w:pPr>
    </w:p>
    <w:bookmarkStart w:id="119" w:name="page120"/>
    <w:bookmarkEnd w:id="119"/>
    <w:p>
      <w:pPr>
        <w:ind w:left="95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200025</wp:posOffset>
            </wp:positionV>
            <wp:extent cx="1045845" cy="3689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45845" cy="368935"/>
                    </a:xfrm>
                    <a:prstGeom prst="rect">
                      <a:avLst/>
                    </a:prstGeom>
                    <a:noFill/>
                  </pic:spPr>
                </pic:pic>
              </a:graphicData>
            </a:graphic>
          </wp:anchor>
        </w:drawing>
        <w:t xml:space="preserve">     Appendix C    </w:t>
      </w:r>
    </w:p>
    <w:p>
      <w:pPr>
        <w:spacing w:after="0" w:line="320"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333333"/>
        </w:rPr>
        <w:t>“Section 409A” means Section 409A of the Code or any successor statute and the Treasury Regulations promulgated thereunder, as they may be amended from time to time.</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333333"/>
        </w:rPr>
        <w:t>“Section 422” means Section 422 of the Code or any successor statute and the Treasury Regulations promulgated thereunder, as they may be amended from time to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333333"/>
        </w:rPr>
        <w:t>“Share Limit” has the meaning ascribed in Section 5(a) of this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“Stock” means shares of Common Stock of the Corporation, par value $.01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333333"/>
        </w:rPr>
        <w:t>“Subsidiary” means any entity directly or indirectly controlled by the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3. Eligibility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333333"/>
        </w:rPr>
        <w:t>Awards may be granted (a) to Employees or Consultants who are designated from time to time by the Committee or (b) to Eligible Directors.</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4. Awards</w:t>
      </w:r>
    </w:p>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333333"/>
        </w:rPr>
        <w:t>The Committee may grant any of the following types of Awards, either singly, in tandem or in combination with other Awards, as the Committee may in its sole discretion determine:</w:t>
      </w:r>
    </w:p>
    <w:p>
      <w:pPr>
        <w:spacing w:after="0" w:line="61" w:lineRule="exact"/>
        <w:rPr>
          <w:sz w:val="20"/>
          <w:szCs w:val="20"/>
          <w:color w:val="auto"/>
        </w:rPr>
      </w:pPr>
    </w:p>
    <w:p>
      <w:pPr>
        <w:ind w:left="860" w:right="200" w:hanging="432"/>
        <w:spacing w:after="0" w:line="266" w:lineRule="auto"/>
        <w:tabs>
          <w:tab w:leader="none" w:pos="860" w:val="left"/>
        </w:tabs>
        <w:numPr>
          <w:ilvl w:val="0"/>
          <w:numId w:val="144"/>
        </w:numPr>
        <w:rPr>
          <w:rFonts w:ascii="Arial" w:cs="Arial" w:eastAsia="Arial" w:hAnsi="Arial"/>
          <w:sz w:val="16"/>
          <w:szCs w:val="16"/>
          <w:color w:val="333333"/>
        </w:rPr>
      </w:pPr>
      <w:r>
        <w:rPr>
          <w:rFonts w:ascii="Arial" w:cs="Arial" w:eastAsia="Arial" w:hAnsi="Arial"/>
          <w:sz w:val="16"/>
          <w:szCs w:val="16"/>
          <w:color w:val="333333"/>
        </w:rPr>
        <w:t>Non-Qualified Stock Options. A Non-Qualified Stock Option is an Award that is a right to purchase a specified number of shares of Stock during such specified time as the Committee may determine at a price not less than 100% of the Fair Market Value of the Stock on the date such Award is granted, other than an Incentive Stock Option.</w:t>
      </w:r>
    </w:p>
    <w:p>
      <w:pPr>
        <w:spacing w:after="0" w:line="76" w:lineRule="exact"/>
        <w:rPr>
          <w:rFonts w:ascii="Arial" w:cs="Arial" w:eastAsia="Arial" w:hAnsi="Arial"/>
          <w:sz w:val="16"/>
          <w:szCs w:val="16"/>
          <w:color w:val="333333"/>
        </w:rPr>
      </w:pPr>
    </w:p>
    <w:p>
      <w:pPr>
        <w:ind w:left="1300" w:right="140" w:hanging="427"/>
        <w:spacing w:after="0" w:line="259" w:lineRule="auto"/>
        <w:tabs>
          <w:tab w:leader="none" w:pos="1300" w:val="left"/>
        </w:tabs>
        <w:numPr>
          <w:ilvl w:val="1"/>
          <w:numId w:val="144"/>
        </w:numPr>
        <w:rPr>
          <w:rFonts w:ascii="Arial" w:cs="Arial" w:eastAsia="Arial" w:hAnsi="Arial"/>
          <w:sz w:val="16"/>
          <w:szCs w:val="16"/>
          <w:color w:val="333333"/>
        </w:rPr>
      </w:pPr>
      <w:r>
        <w:rPr>
          <w:rFonts w:ascii="Arial" w:cs="Arial" w:eastAsia="Arial" w:hAnsi="Arial"/>
          <w:sz w:val="16"/>
          <w:szCs w:val="16"/>
          <w:color w:val="333333"/>
        </w:rPr>
        <w:t>The exercise price of the Stock subject to the Non-Qualified Stock Option may be paid in cash. At the discretion of the Committee, the exercise price may also be paid by the tender of Stock, or through a combination of Stock and cash, or through such other means as the Committee determines are consistent with the Plan’s purpose and applicable law. No fractional shares of Stock will be issued or accepted.</w:t>
      </w:r>
    </w:p>
    <w:p>
      <w:pPr>
        <w:spacing w:after="0" w:line="83" w:lineRule="exact"/>
        <w:rPr>
          <w:rFonts w:ascii="Arial" w:cs="Arial" w:eastAsia="Arial" w:hAnsi="Arial"/>
          <w:sz w:val="16"/>
          <w:szCs w:val="16"/>
          <w:color w:val="333333"/>
        </w:rPr>
      </w:pPr>
    </w:p>
    <w:p>
      <w:pPr>
        <w:ind w:left="1300" w:hanging="427"/>
        <w:spacing w:after="0"/>
        <w:tabs>
          <w:tab w:leader="none" w:pos="1300" w:val="left"/>
        </w:tabs>
        <w:numPr>
          <w:ilvl w:val="1"/>
          <w:numId w:val="144"/>
        </w:numPr>
        <w:rPr>
          <w:rFonts w:ascii="Arial" w:cs="Arial" w:eastAsia="Arial" w:hAnsi="Arial"/>
          <w:sz w:val="16"/>
          <w:szCs w:val="16"/>
          <w:color w:val="333333"/>
        </w:rPr>
      </w:pPr>
      <w:r>
        <w:rPr>
          <w:rFonts w:ascii="Arial" w:cs="Arial" w:eastAsia="Arial" w:hAnsi="Arial"/>
          <w:sz w:val="16"/>
          <w:szCs w:val="16"/>
          <w:color w:val="333333"/>
        </w:rPr>
        <w:t>No Non-Qualified Stock Option may be exercisable more than ten years after the date the Award is granted.</w:t>
      </w:r>
    </w:p>
    <w:p>
      <w:pPr>
        <w:spacing w:after="0" w:line="126" w:lineRule="exact"/>
        <w:rPr>
          <w:rFonts w:ascii="Arial" w:cs="Arial" w:eastAsia="Arial" w:hAnsi="Arial"/>
          <w:sz w:val="16"/>
          <w:szCs w:val="16"/>
          <w:color w:val="333333"/>
        </w:rPr>
      </w:pPr>
    </w:p>
    <w:p>
      <w:pPr>
        <w:ind w:left="860" w:right="60" w:hanging="432"/>
        <w:spacing w:after="0" w:line="266" w:lineRule="auto"/>
        <w:tabs>
          <w:tab w:leader="none" w:pos="860" w:val="left"/>
        </w:tabs>
        <w:numPr>
          <w:ilvl w:val="0"/>
          <w:numId w:val="144"/>
        </w:numPr>
        <w:rPr>
          <w:rFonts w:ascii="Arial" w:cs="Arial" w:eastAsia="Arial" w:hAnsi="Arial"/>
          <w:sz w:val="16"/>
          <w:szCs w:val="16"/>
          <w:color w:val="333333"/>
        </w:rPr>
      </w:pPr>
      <w:r>
        <w:rPr>
          <w:rFonts w:ascii="Arial" w:cs="Arial" w:eastAsia="Arial" w:hAnsi="Arial"/>
          <w:sz w:val="16"/>
          <w:szCs w:val="16"/>
          <w:color w:val="333333"/>
        </w:rPr>
        <w:t>Incentive Stock Options. An Incentive Stock Option is an Award that is a right to purchase a specified number of shares of Stock during such specified time as the Committee may determine at a price not less than 100% of the Fair Market Value of the Stock on the date such award is granted and that complies with the requirements of Section 422.</w:t>
      </w:r>
    </w:p>
    <w:p>
      <w:pPr>
        <w:spacing w:after="0" w:line="76" w:lineRule="exact"/>
        <w:rPr>
          <w:rFonts w:ascii="Arial" w:cs="Arial" w:eastAsia="Arial" w:hAnsi="Arial"/>
          <w:sz w:val="16"/>
          <w:szCs w:val="16"/>
          <w:color w:val="333333"/>
        </w:rPr>
      </w:pPr>
    </w:p>
    <w:p>
      <w:pPr>
        <w:ind w:left="1300" w:right="60" w:hanging="427"/>
        <w:spacing w:after="0" w:line="256" w:lineRule="auto"/>
        <w:tabs>
          <w:tab w:leader="none" w:pos="1300" w:val="left"/>
        </w:tabs>
        <w:numPr>
          <w:ilvl w:val="1"/>
          <w:numId w:val="144"/>
        </w:numPr>
        <w:rPr>
          <w:rFonts w:ascii="Arial" w:cs="Arial" w:eastAsia="Arial" w:hAnsi="Arial"/>
          <w:sz w:val="16"/>
          <w:szCs w:val="16"/>
          <w:color w:val="333333"/>
        </w:rPr>
      </w:pPr>
      <w:r>
        <w:rPr>
          <w:rFonts w:ascii="Arial" w:cs="Arial" w:eastAsia="Arial" w:hAnsi="Arial"/>
          <w:sz w:val="16"/>
          <w:szCs w:val="16"/>
          <w:color w:val="333333"/>
        </w:rPr>
        <w:t>To the extent that the aggregate Fair Market Value (determined at the time of the grant of the Award) of the shares subject to Incentive Stock Options, which are exercisable, by one person for the first time during a particular calendar year exceeds $100,000, such excess shall be treated as Non-Qualified Stock Options. For purposes of the preceding sentence, the term “Incentive Stock Option” shall mean a right to purchase Stock that is granted pursuant to this Section 4(b) or pursuant to any other plan of the Corporation, which is intended to comply with Section 422.</w:t>
      </w:r>
    </w:p>
    <w:p>
      <w:pPr>
        <w:spacing w:after="0" w:line="85" w:lineRule="exact"/>
        <w:rPr>
          <w:rFonts w:ascii="Arial" w:cs="Arial" w:eastAsia="Arial" w:hAnsi="Arial"/>
          <w:sz w:val="16"/>
          <w:szCs w:val="16"/>
          <w:color w:val="333333"/>
        </w:rPr>
      </w:pPr>
    </w:p>
    <w:p>
      <w:pPr>
        <w:ind w:left="1300" w:hanging="427"/>
        <w:spacing w:after="0"/>
        <w:tabs>
          <w:tab w:leader="none" w:pos="1300" w:val="left"/>
        </w:tabs>
        <w:numPr>
          <w:ilvl w:val="1"/>
          <w:numId w:val="144"/>
        </w:numPr>
        <w:rPr>
          <w:rFonts w:ascii="Arial" w:cs="Arial" w:eastAsia="Arial" w:hAnsi="Arial"/>
          <w:sz w:val="16"/>
          <w:szCs w:val="16"/>
          <w:color w:val="333333"/>
        </w:rPr>
      </w:pPr>
      <w:r>
        <w:rPr>
          <w:rFonts w:ascii="Arial" w:cs="Arial" w:eastAsia="Arial" w:hAnsi="Arial"/>
          <w:sz w:val="16"/>
          <w:szCs w:val="16"/>
          <w:color w:val="333333"/>
        </w:rPr>
        <w:t>No Incentive Stock Option may be exercisable more than ten years after the date the Award is granted.</w:t>
      </w:r>
    </w:p>
    <w:p>
      <w:pPr>
        <w:spacing w:after="0" w:line="126" w:lineRule="exact"/>
        <w:rPr>
          <w:rFonts w:ascii="Arial" w:cs="Arial" w:eastAsia="Arial" w:hAnsi="Arial"/>
          <w:sz w:val="16"/>
          <w:szCs w:val="16"/>
          <w:color w:val="333333"/>
        </w:rPr>
      </w:pPr>
    </w:p>
    <w:p>
      <w:pPr>
        <w:ind w:left="1300" w:right="520" w:hanging="427"/>
        <w:spacing w:after="0" w:line="286" w:lineRule="auto"/>
        <w:tabs>
          <w:tab w:leader="none" w:pos="1300" w:val="left"/>
        </w:tabs>
        <w:numPr>
          <w:ilvl w:val="1"/>
          <w:numId w:val="144"/>
        </w:numPr>
        <w:rPr>
          <w:rFonts w:ascii="Arial" w:cs="Arial" w:eastAsia="Arial" w:hAnsi="Arial"/>
          <w:sz w:val="16"/>
          <w:szCs w:val="16"/>
          <w:color w:val="333333"/>
        </w:rPr>
      </w:pPr>
      <w:r>
        <w:rPr>
          <w:rFonts w:ascii="Arial" w:cs="Arial" w:eastAsia="Arial" w:hAnsi="Arial"/>
          <w:sz w:val="16"/>
          <w:szCs w:val="16"/>
          <w:color w:val="333333"/>
        </w:rPr>
        <w:t>The Committee may provide that the exercise price under an Incentive Stock Option may be paid by one or more of the methods available for paying the exercise price of a Non-Qualified Stock Option.</w:t>
      </w:r>
    </w:p>
    <w:p>
      <w:pPr>
        <w:spacing w:after="0" w:line="61" w:lineRule="exact"/>
        <w:rPr>
          <w:rFonts w:ascii="Arial" w:cs="Arial" w:eastAsia="Arial" w:hAnsi="Arial"/>
          <w:sz w:val="16"/>
          <w:szCs w:val="16"/>
          <w:color w:val="333333"/>
        </w:rPr>
      </w:pPr>
    </w:p>
    <w:p>
      <w:pPr>
        <w:ind w:left="860" w:hanging="432"/>
        <w:spacing w:after="0" w:line="259" w:lineRule="auto"/>
        <w:tabs>
          <w:tab w:leader="none" w:pos="860" w:val="left"/>
        </w:tabs>
        <w:numPr>
          <w:ilvl w:val="0"/>
          <w:numId w:val="144"/>
        </w:numPr>
        <w:rPr>
          <w:rFonts w:ascii="Arial" w:cs="Arial" w:eastAsia="Arial" w:hAnsi="Arial"/>
          <w:sz w:val="16"/>
          <w:szCs w:val="16"/>
          <w:color w:val="333333"/>
        </w:rPr>
      </w:pPr>
      <w:r>
        <w:rPr>
          <w:rFonts w:ascii="Arial" w:cs="Arial" w:eastAsia="Arial" w:hAnsi="Arial"/>
          <w:sz w:val="16"/>
          <w:szCs w:val="16"/>
          <w:color w:val="333333"/>
        </w:rPr>
        <w:t>Stock Appreciation Rights. A Stock Appreciation Right is an Award that is the right to receive the excess of (i) the Fair Market Value of a share of Stock on the date of exercise over (ii) the base price of the right on the date of grant, which shall not be less than 100% of the Fair Market Value of the Stock on the date such award is granted. No Stock Appreciation Right may be exercisable more than ten years after the date the Award is granted.</w:t>
      </w:r>
    </w:p>
    <w:p>
      <w:pPr>
        <w:spacing w:after="0" w:line="83" w:lineRule="exact"/>
        <w:rPr>
          <w:rFonts w:ascii="Arial" w:cs="Arial" w:eastAsia="Arial" w:hAnsi="Arial"/>
          <w:sz w:val="16"/>
          <w:szCs w:val="16"/>
          <w:color w:val="333333"/>
        </w:rPr>
      </w:pPr>
    </w:p>
    <w:p>
      <w:pPr>
        <w:ind w:left="860" w:right="280" w:hanging="432"/>
        <w:spacing w:after="0" w:line="286" w:lineRule="auto"/>
        <w:tabs>
          <w:tab w:leader="none" w:pos="860" w:val="left"/>
        </w:tabs>
        <w:numPr>
          <w:ilvl w:val="0"/>
          <w:numId w:val="144"/>
        </w:numPr>
        <w:rPr>
          <w:rFonts w:ascii="Arial" w:cs="Arial" w:eastAsia="Arial" w:hAnsi="Arial"/>
          <w:sz w:val="16"/>
          <w:szCs w:val="16"/>
          <w:color w:val="333333"/>
        </w:rPr>
      </w:pPr>
      <w:r>
        <w:rPr>
          <w:rFonts w:ascii="Arial" w:cs="Arial" w:eastAsia="Arial" w:hAnsi="Arial"/>
          <w:sz w:val="16"/>
          <w:szCs w:val="16"/>
          <w:color w:val="333333"/>
        </w:rPr>
        <w:t>Restricted Stock. Restricted Stock is Stock of the Corporation that is issued to a Participant and is subject to restrictions on transfer and/or such other restrictions or incidents of ownership as the Committee may determine.</w:t>
      </w:r>
    </w:p>
    <w:p>
      <w:pPr>
        <w:spacing w:after="0" w:line="61" w:lineRule="exact"/>
        <w:rPr>
          <w:rFonts w:ascii="Arial" w:cs="Arial" w:eastAsia="Arial" w:hAnsi="Arial"/>
          <w:sz w:val="16"/>
          <w:szCs w:val="16"/>
          <w:color w:val="333333"/>
        </w:rPr>
      </w:pPr>
    </w:p>
    <w:p>
      <w:pPr>
        <w:ind w:left="860" w:right="80" w:hanging="432"/>
        <w:spacing w:after="0" w:line="256" w:lineRule="auto"/>
        <w:tabs>
          <w:tab w:leader="none" w:pos="860" w:val="left"/>
        </w:tabs>
        <w:numPr>
          <w:ilvl w:val="0"/>
          <w:numId w:val="144"/>
        </w:numPr>
        <w:rPr>
          <w:rFonts w:ascii="Arial" w:cs="Arial" w:eastAsia="Arial" w:hAnsi="Arial"/>
          <w:sz w:val="16"/>
          <w:szCs w:val="16"/>
          <w:color w:val="333333"/>
        </w:rPr>
      </w:pPr>
      <w:r>
        <w:rPr>
          <w:rFonts w:ascii="Arial" w:cs="Arial" w:eastAsia="Arial" w:hAnsi="Arial"/>
          <w:sz w:val="16"/>
          <w:szCs w:val="16"/>
          <w:color w:val="333333"/>
        </w:rPr>
        <w:t>Restricted Stock Units. A Restricted Stock Unit represents an unfunded and unsecured promise to deliver shares of Stock, cash, other securities, other Awards or other property, subject to the satisfaction of the applicable vesting conditions, in accordance with the terms of this Plan and the applicable Award Agreement. Each Restricted Stock Unit shall be granted with respect to a specified number of shares of Stock (or a number of shares of Stock determined pursuant to a specified formula) or shall have a value equal to the Fair Market Value of a specified number of shares of Stock (or a number of shares of Stock determined pursuant to a</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54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5">
            <w:col w:w="200" w:space="120"/>
            <w:col w:w="3540" w:space="720"/>
            <w:col w:w="4580" w:space="720"/>
            <w:col w:w="260" w:space="100"/>
            <w:col w:w="780"/>
          </w:cols>
          <w:pgMar w:left="440" w:top="549" w:right="439" w:bottom="1440" w:gutter="0" w:footer="0" w:header="0"/>
          <w:type w:val="continuous"/>
        </w:sectPr>
      </w:pPr>
    </w:p>
    <w:bookmarkStart w:id="120" w:name="page121"/>
    <w:bookmarkEnd w:id="120"/>
    <w:p>
      <w:pPr>
        <w:ind w:left="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968375" cy="4718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968375" cy="471805"/>
                    </a:xfrm>
                    <a:prstGeom prst="rect">
                      <a:avLst/>
                    </a:prstGeom>
                    <a:noFill/>
                  </pic:spPr>
                </pic:pic>
              </a:graphicData>
            </a:graphic>
          </wp:anchor>
        </w:drawing>
        <w:t xml:space="preserve">     Appendix C    </w:t>
      </w:r>
    </w:p>
    <w:p>
      <w:pPr>
        <w:spacing w:after="0" w:line="200" w:lineRule="exact"/>
        <w:rPr>
          <w:sz w:val="20"/>
          <w:szCs w:val="20"/>
          <w:color w:val="auto"/>
        </w:rPr>
      </w:pPr>
    </w:p>
    <w:p>
      <w:pPr>
        <w:spacing w:after="0" w:line="242" w:lineRule="exact"/>
        <w:rPr>
          <w:sz w:val="20"/>
          <w:szCs w:val="20"/>
          <w:color w:val="auto"/>
        </w:rPr>
      </w:pPr>
    </w:p>
    <w:p>
      <w:pPr>
        <w:ind w:left="880" w:right="280"/>
        <w:spacing w:after="0" w:line="286" w:lineRule="auto"/>
        <w:rPr>
          <w:sz w:val="20"/>
          <w:szCs w:val="20"/>
          <w:color w:val="auto"/>
        </w:rPr>
      </w:pPr>
      <w:r>
        <w:rPr>
          <w:rFonts w:ascii="Arial" w:cs="Arial" w:eastAsia="Arial" w:hAnsi="Arial"/>
          <w:sz w:val="16"/>
          <w:szCs w:val="16"/>
          <w:color w:val="333333"/>
        </w:rPr>
        <w:t>specified formula). Restricted Stock Units shall be paid in cash, shares of Stock, other securities, other Awards or other property, upon the vesting thereof or such other date (or upon such other event) specified in the applicable Award Agreement.</w:t>
      </w:r>
    </w:p>
    <w:p>
      <w:pPr>
        <w:spacing w:after="0" w:line="61" w:lineRule="exact"/>
        <w:rPr>
          <w:sz w:val="20"/>
          <w:szCs w:val="20"/>
          <w:color w:val="auto"/>
        </w:rPr>
      </w:pPr>
    </w:p>
    <w:p>
      <w:pPr>
        <w:ind w:left="860" w:right="20" w:hanging="432"/>
        <w:spacing w:after="0" w:line="259" w:lineRule="auto"/>
        <w:tabs>
          <w:tab w:leader="none" w:pos="860" w:val="left"/>
        </w:tabs>
        <w:numPr>
          <w:ilvl w:val="0"/>
          <w:numId w:val="145"/>
        </w:numPr>
        <w:rPr>
          <w:rFonts w:ascii="Arial" w:cs="Arial" w:eastAsia="Arial" w:hAnsi="Arial"/>
          <w:sz w:val="16"/>
          <w:szCs w:val="16"/>
          <w:color w:val="333333"/>
        </w:rPr>
      </w:pPr>
      <w:r>
        <w:rPr>
          <w:rFonts w:ascii="Arial" w:cs="Arial" w:eastAsia="Arial" w:hAnsi="Arial"/>
          <w:sz w:val="16"/>
          <w:szCs w:val="16"/>
          <w:color w:val="333333"/>
        </w:rPr>
        <w:t>Performance-Based Awards. The Committee may specify that an Award or a portion of an Award shall be based, in whole or in part, on one or more performance requirements selected by the Committee and specified at the time the Award is granted. The Committee shall determine the extent to which any performance requirement has been satisfied, and the amount earned pursuant to the Award, prior to payment, settlement or vesting.</w:t>
      </w:r>
    </w:p>
    <w:p>
      <w:pPr>
        <w:spacing w:after="0" w:line="83" w:lineRule="exact"/>
        <w:rPr>
          <w:rFonts w:ascii="Arial" w:cs="Arial" w:eastAsia="Arial" w:hAnsi="Arial"/>
          <w:sz w:val="16"/>
          <w:szCs w:val="16"/>
          <w:color w:val="333333"/>
        </w:rPr>
      </w:pPr>
    </w:p>
    <w:p>
      <w:pPr>
        <w:ind w:left="860" w:right="80" w:hanging="432"/>
        <w:spacing w:after="0" w:line="259" w:lineRule="auto"/>
        <w:tabs>
          <w:tab w:leader="none" w:pos="860" w:val="left"/>
        </w:tabs>
        <w:numPr>
          <w:ilvl w:val="0"/>
          <w:numId w:val="145"/>
        </w:numPr>
        <w:rPr>
          <w:rFonts w:ascii="Arial" w:cs="Arial" w:eastAsia="Arial" w:hAnsi="Arial"/>
          <w:sz w:val="16"/>
          <w:szCs w:val="16"/>
          <w:color w:val="333333"/>
        </w:rPr>
      </w:pPr>
      <w:r>
        <w:rPr>
          <w:rFonts w:ascii="Arial" w:cs="Arial" w:eastAsia="Arial" w:hAnsi="Arial"/>
          <w:sz w:val="16"/>
          <w:szCs w:val="16"/>
          <w:color w:val="333333"/>
        </w:rPr>
        <w:t xml:space="preserve">Other Stock-Based Awards. The Committee may from time to time grant Awards under this Plan that (i) provide the Participant with any other right to purchase or receive Stock or (ii) otherwise relate to Stock (including, but not limited to phantom securities or dividend equivalents). Such Awards shall be in a form determined by the Committee (and may include terms contingent upon a Change in Control of the Corporation), </w:t>
      </w:r>
      <w:r>
        <w:rPr>
          <w:rFonts w:ascii="Arial" w:cs="Arial" w:eastAsia="Arial" w:hAnsi="Arial"/>
          <w:sz w:val="16"/>
          <w:szCs w:val="16"/>
          <w:u w:val="single" w:color="auto"/>
          <w:color w:val="333333"/>
        </w:rPr>
        <w:t>provided that</w:t>
      </w:r>
      <w:r>
        <w:rPr>
          <w:rFonts w:ascii="Arial" w:cs="Arial" w:eastAsia="Arial" w:hAnsi="Arial"/>
          <w:sz w:val="16"/>
          <w:szCs w:val="16"/>
          <w:color w:val="333333"/>
        </w:rPr>
        <w:t xml:space="preserve"> such Awards shall not be inconsistent with the terms and purposes of this Plan.</w:t>
      </w:r>
    </w:p>
    <w:p>
      <w:pPr>
        <w:spacing w:after="0" w:line="83" w:lineRule="exact"/>
        <w:rPr>
          <w:rFonts w:ascii="Arial" w:cs="Arial" w:eastAsia="Arial" w:hAnsi="Arial"/>
          <w:sz w:val="16"/>
          <w:szCs w:val="16"/>
          <w:color w:val="333333"/>
        </w:rPr>
      </w:pPr>
    </w:p>
    <w:p>
      <w:pPr>
        <w:ind w:left="860" w:right="140" w:hanging="432"/>
        <w:spacing w:after="0" w:line="286" w:lineRule="auto"/>
        <w:tabs>
          <w:tab w:leader="none" w:pos="860" w:val="left"/>
        </w:tabs>
        <w:numPr>
          <w:ilvl w:val="0"/>
          <w:numId w:val="145"/>
        </w:numPr>
        <w:rPr>
          <w:rFonts w:ascii="Arial" w:cs="Arial" w:eastAsia="Arial" w:hAnsi="Arial"/>
          <w:sz w:val="16"/>
          <w:szCs w:val="16"/>
          <w:color w:val="333333"/>
        </w:rPr>
      </w:pPr>
      <w:r>
        <w:rPr>
          <w:rFonts w:ascii="Arial" w:cs="Arial" w:eastAsia="Arial" w:hAnsi="Arial"/>
          <w:sz w:val="16"/>
          <w:szCs w:val="16"/>
          <w:color w:val="333333"/>
        </w:rPr>
        <w:t>Cash Incentive Awards. A Cash Incentive Award is an Award that is settled in cash and the value of which is set by the Committee but is not calculated by reference to the Fair Market Value of the Stock.</w:t>
      </w:r>
    </w:p>
    <w:p>
      <w:pPr>
        <w:spacing w:after="0" w:line="61" w:lineRule="exact"/>
        <w:rPr>
          <w:rFonts w:ascii="Arial" w:cs="Arial" w:eastAsia="Arial" w:hAnsi="Arial"/>
          <w:sz w:val="16"/>
          <w:szCs w:val="16"/>
          <w:color w:val="333333"/>
        </w:rPr>
      </w:pPr>
    </w:p>
    <w:p>
      <w:pPr>
        <w:ind w:left="860" w:right="40" w:hanging="432"/>
        <w:spacing w:after="0" w:line="250" w:lineRule="auto"/>
        <w:tabs>
          <w:tab w:leader="none" w:pos="860" w:val="left"/>
        </w:tabs>
        <w:numPr>
          <w:ilvl w:val="0"/>
          <w:numId w:val="145"/>
        </w:numPr>
        <w:rPr>
          <w:rFonts w:ascii="Arial" w:cs="Arial" w:eastAsia="Arial" w:hAnsi="Arial"/>
          <w:sz w:val="16"/>
          <w:szCs w:val="16"/>
          <w:color w:val="333333"/>
        </w:rPr>
      </w:pPr>
      <w:r>
        <w:rPr>
          <w:rFonts w:ascii="Arial" w:cs="Arial" w:eastAsia="Arial" w:hAnsi="Arial"/>
          <w:sz w:val="16"/>
          <w:szCs w:val="16"/>
          <w:color w:val="333333"/>
        </w:rPr>
        <w:t>Except as provided in Section 9 hereof, no Option or Stock Appreciation Right may be amended to reduce the exercise price of such Option or the base price of such Stock Appreciation Right, as applicable, below the exercise price or base price of such Option or Stock Appreciation Right without shareholder approval. In addition, other than as provided in Section 9 hereof, (i) no Option or Stock Appreciation Right may be granted in exchange for the cancellation or surrender of an Option, Stock Appreciation Right or other award having a lower exercise price or base price and (ii) no Option may be granted with an automatic reload feature whereby the Corporation is obligated to grant a new Award hereunder upon the exercise of the Option, in either case, without shareholder approval. In addition, no action may be taken without shareholder approval with respect to an Option or Stock Appreciation Right that may be treated as a repricing under the rules and regulations of the New York Stock Exchange. In no event shall the Corporation pay cash or other consideration for Options where at the time of payment the exercise price of the Option is less than the Fair Market Value of the Stock underlying the Option or pay cash or other consideration for Stock Appreciation Rights where at the time of payment the base price established in the Award is less than the Fair Market Value of the Stock underlying the Stock Appreciation Right.</w:t>
      </w:r>
    </w:p>
    <w:p>
      <w:pPr>
        <w:spacing w:after="0" w:line="92" w:lineRule="exact"/>
        <w:rPr>
          <w:rFonts w:ascii="Arial" w:cs="Arial" w:eastAsia="Arial" w:hAnsi="Arial"/>
          <w:sz w:val="16"/>
          <w:szCs w:val="16"/>
          <w:color w:val="333333"/>
        </w:rPr>
      </w:pPr>
    </w:p>
    <w:p>
      <w:pPr>
        <w:ind w:left="860" w:right="20" w:hanging="432"/>
        <w:spacing w:after="0" w:line="252" w:lineRule="auto"/>
        <w:tabs>
          <w:tab w:leader="none" w:pos="860" w:val="left"/>
        </w:tabs>
        <w:numPr>
          <w:ilvl w:val="0"/>
          <w:numId w:val="145"/>
        </w:numPr>
        <w:rPr>
          <w:rFonts w:ascii="Arial" w:cs="Arial" w:eastAsia="Arial" w:hAnsi="Arial"/>
          <w:sz w:val="16"/>
          <w:szCs w:val="16"/>
          <w:color w:val="333333"/>
        </w:rPr>
      </w:pPr>
      <w:r>
        <w:rPr>
          <w:rFonts w:ascii="Arial" w:cs="Arial" w:eastAsia="Arial" w:hAnsi="Arial"/>
          <w:sz w:val="16"/>
          <w:szCs w:val="16"/>
          <w:color w:val="333333"/>
        </w:rPr>
        <w:t xml:space="preserve">The Committee shall determine the time or times at which an Award will vest or become exercisable (including any performance requirements applicable thereto) and the terms on which an Award requiring exercise will remain exercisable, </w:t>
      </w:r>
      <w:r>
        <w:rPr>
          <w:rFonts w:ascii="Arial" w:cs="Arial" w:eastAsia="Arial" w:hAnsi="Arial"/>
          <w:sz w:val="16"/>
          <w:szCs w:val="16"/>
          <w:u w:val="single" w:color="auto"/>
          <w:color w:val="333333"/>
        </w:rPr>
        <w:t>provided that</w:t>
      </w:r>
      <w:r>
        <w:rPr>
          <w:rFonts w:ascii="Arial" w:cs="Arial" w:eastAsia="Arial" w:hAnsi="Arial"/>
          <w:sz w:val="16"/>
          <w:szCs w:val="16"/>
          <w:color w:val="333333"/>
        </w:rPr>
        <w:t xml:space="preserve">, except in the case of Awards made in connection with Eligible Directors or the recruitment of new Employees (including new officers) or Consultants, or as otherwise provided in Section 10 hereof, or otherwise provided by the Award Agreement in connection with retirement, disability or death of the participant, Awards granted under the Plan (other than cash-based Awards) shall vest not earlier than one year from the grant date of the Award; </w:t>
      </w:r>
      <w:r>
        <w:rPr>
          <w:rFonts w:ascii="Arial" w:cs="Arial" w:eastAsia="Arial" w:hAnsi="Arial"/>
          <w:sz w:val="16"/>
          <w:szCs w:val="16"/>
          <w:u w:val="single" w:color="auto"/>
          <w:color w:val="333333"/>
        </w:rPr>
        <w:t>provided that</w:t>
      </w:r>
      <w:r>
        <w:rPr>
          <w:rFonts w:ascii="Arial" w:cs="Arial" w:eastAsia="Arial" w:hAnsi="Arial"/>
          <w:sz w:val="16"/>
          <w:szCs w:val="16"/>
          <w:color w:val="333333"/>
        </w:rPr>
        <w:t xml:space="preserve"> the Committee may grant Awards in respect of up to a maximum of 5% of the Share Limit (subject to adjustment under Section 9) that shall not be subject to the foregoing minimum vesting requirement. The Committee may, in its sole discretion, waive, in whole or in part, any remaining conditions to vesting or exercisability.</w:t>
      </w:r>
    </w:p>
    <w:p>
      <w:pPr>
        <w:spacing w:after="0" w:line="136"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5. Shares of Stock and Other Stock-Based Awards Available Under Plan</w:t>
      </w:r>
    </w:p>
    <w:p>
      <w:pPr>
        <w:spacing w:after="0" w:line="92" w:lineRule="exact"/>
        <w:rPr>
          <w:sz w:val="20"/>
          <w:szCs w:val="20"/>
          <w:color w:val="auto"/>
        </w:rPr>
      </w:pPr>
    </w:p>
    <w:p>
      <w:pPr>
        <w:ind w:left="860" w:hanging="432"/>
        <w:spacing w:after="0"/>
        <w:tabs>
          <w:tab w:leader="none" w:pos="860" w:val="left"/>
        </w:tabs>
        <w:numPr>
          <w:ilvl w:val="0"/>
          <w:numId w:val="146"/>
        </w:numPr>
        <w:rPr>
          <w:rFonts w:ascii="Arial" w:cs="Arial" w:eastAsia="Arial" w:hAnsi="Arial"/>
          <w:sz w:val="16"/>
          <w:szCs w:val="16"/>
          <w:color w:val="333333"/>
        </w:rPr>
      </w:pPr>
      <w:r>
        <w:rPr>
          <w:rFonts w:ascii="Arial" w:cs="Arial" w:eastAsia="Arial" w:hAnsi="Arial"/>
          <w:sz w:val="16"/>
          <w:szCs w:val="16"/>
          <w:color w:val="333333"/>
        </w:rPr>
        <w:t>Subject to the adjustment provisions of Section 9 hereof:</w:t>
      </w:r>
    </w:p>
    <w:p>
      <w:pPr>
        <w:spacing w:after="0" w:line="126" w:lineRule="exact"/>
        <w:rPr>
          <w:rFonts w:ascii="Arial" w:cs="Arial" w:eastAsia="Arial" w:hAnsi="Arial"/>
          <w:sz w:val="16"/>
          <w:szCs w:val="16"/>
          <w:color w:val="333333"/>
        </w:rPr>
      </w:pPr>
    </w:p>
    <w:p>
      <w:pPr>
        <w:jc w:val="both"/>
        <w:ind w:left="1300" w:right="40" w:hanging="427"/>
        <w:spacing w:after="0" w:line="259" w:lineRule="auto"/>
        <w:tabs>
          <w:tab w:leader="none" w:pos="1300" w:val="left"/>
        </w:tabs>
        <w:numPr>
          <w:ilvl w:val="1"/>
          <w:numId w:val="146"/>
        </w:numPr>
        <w:rPr>
          <w:rFonts w:ascii="Arial" w:cs="Arial" w:eastAsia="Arial" w:hAnsi="Arial"/>
          <w:sz w:val="16"/>
          <w:szCs w:val="16"/>
          <w:color w:val="333333"/>
        </w:rPr>
      </w:pPr>
      <w:r>
        <w:rPr>
          <w:rFonts w:ascii="Arial" w:cs="Arial" w:eastAsia="Arial" w:hAnsi="Arial"/>
          <w:sz w:val="16"/>
          <w:szCs w:val="16"/>
          <w:color w:val="333333"/>
        </w:rPr>
        <w:t>the aggregate number of shares of Stock with respect to which Awards payable in securities may be granted under the Plan shall be no more than the sum of (A) 1.2 million and (B) any shares of Stock that were available under this Plan immediately prior to the date of the latest shareholder approval of this Plan (the “</w:t>
      </w:r>
      <w:r>
        <w:rPr>
          <w:rFonts w:ascii="Arial" w:cs="Arial" w:eastAsia="Arial" w:hAnsi="Arial"/>
          <w:sz w:val="16"/>
          <w:szCs w:val="16"/>
          <w:u w:val="single" w:color="auto"/>
          <w:color w:val="333333"/>
        </w:rPr>
        <w:t>Share Limit</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provided that</w:t>
      </w:r>
      <w:r>
        <w:rPr>
          <w:rFonts w:ascii="Arial" w:cs="Arial" w:eastAsia="Arial" w:hAnsi="Arial"/>
          <w:sz w:val="16"/>
          <w:szCs w:val="16"/>
          <w:color w:val="333333"/>
        </w:rPr>
        <w:t xml:space="preserve"> all of such shares may be granted under the Plan as Incentive Stock Options;</w:t>
      </w:r>
    </w:p>
    <w:p>
      <w:pPr>
        <w:spacing w:after="0" w:line="83" w:lineRule="exact"/>
        <w:rPr>
          <w:rFonts w:ascii="Arial" w:cs="Arial" w:eastAsia="Arial" w:hAnsi="Arial"/>
          <w:sz w:val="16"/>
          <w:szCs w:val="16"/>
          <w:color w:val="333333"/>
        </w:rPr>
      </w:pPr>
    </w:p>
    <w:p>
      <w:pPr>
        <w:ind w:left="1300" w:right="80" w:hanging="427"/>
        <w:spacing w:after="0" w:line="250" w:lineRule="auto"/>
        <w:tabs>
          <w:tab w:leader="none" w:pos="1300" w:val="left"/>
        </w:tabs>
        <w:numPr>
          <w:ilvl w:val="1"/>
          <w:numId w:val="146"/>
        </w:numPr>
        <w:rPr>
          <w:rFonts w:ascii="Arial" w:cs="Arial" w:eastAsia="Arial" w:hAnsi="Arial"/>
          <w:sz w:val="16"/>
          <w:szCs w:val="16"/>
          <w:color w:val="333333"/>
        </w:rPr>
      </w:pPr>
      <w:r>
        <w:rPr>
          <w:rFonts w:ascii="Arial" w:cs="Arial" w:eastAsia="Arial" w:hAnsi="Arial"/>
          <w:sz w:val="16"/>
          <w:szCs w:val="16"/>
          <w:color w:val="333333"/>
        </w:rPr>
        <w:t>no Eligible Director may be granted, in any fiscal year, cash compensation and equity awards (including any Awards issued under this Plan) with an aggregate value greater than $750,000 (in each case, with the value of each Award (or any other equity award) based on its grant date fair value (determined in accordance with U.S. generally accepted accounting principles)) (such limit, the “</w:t>
      </w:r>
      <w:r>
        <w:rPr>
          <w:rFonts w:ascii="Arial" w:cs="Arial" w:eastAsia="Arial" w:hAnsi="Arial"/>
          <w:sz w:val="16"/>
          <w:szCs w:val="16"/>
          <w:u w:val="single" w:color="auto"/>
          <w:color w:val="333333"/>
        </w:rPr>
        <w:t>Director Pay</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Limit</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provided that</w:t>
      </w:r>
      <w:r>
        <w:rPr>
          <w:rFonts w:ascii="Arial" w:cs="Arial" w:eastAsia="Arial" w:hAnsi="Arial"/>
          <w:sz w:val="16"/>
          <w:szCs w:val="16"/>
          <w:color w:val="333333"/>
        </w:rPr>
        <w:t xml:space="preserve"> the Director Pay Limit shall be increased to $1,000,000 for an Eligible Director in a fiscal year in which such Eligible Director receives (A) a one-time initial equity grant upon such Eligible Director’s initial appointment to the Board of Directors or</w:t>
      </w:r>
    </w:p>
    <w:p>
      <w:pPr>
        <w:spacing w:after="0" w:line="2" w:lineRule="exact"/>
        <w:rPr>
          <w:rFonts w:ascii="Arial" w:cs="Arial" w:eastAsia="Arial" w:hAnsi="Arial"/>
          <w:sz w:val="16"/>
          <w:szCs w:val="16"/>
          <w:color w:val="333333"/>
        </w:rPr>
      </w:pPr>
    </w:p>
    <w:p>
      <w:pPr>
        <w:ind w:left="1300" w:right="100"/>
        <w:spacing w:after="0" w:line="252" w:lineRule="auto"/>
        <w:rPr>
          <w:rFonts w:ascii="Arial" w:cs="Arial" w:eastAsia="Arial" w:hAnsi="Arial"/>
          <w:sz w:val="16"/>
          <w:szCs w:val="16"/>
          <w:color w:val="333333"/>
        </w:rPr>
      </w:pPr>
      <w:r>
        <w:rPr>
          <w:rFonts w:ascii="Arial" w:cs="Arial" w:eastAsia="Arial" w:hAnsi="Arial"/>
          <w:sz w:val="16"/>
          <w:szCs w:val="16"/>
          <w:color w:val="333333"/>
        </w:rPr>
        <w:t>(B) compensation provided in the event of extraordinary circumstances, but only if such Eligible Director does not participate in the decision to award such compensation or in other contemporaneous compensation decisions involving other directors. Any cash compensation paid or Awards (or any other equity awards) granted to an individual for his or her services as an Employee, or for his or her services as a Consultant</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8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589" w:right="439" w:bottom="1440" w:gutter="0" w:footer="0" w:header="0"/>
          <w:type w:val="continuous"/>
        </w:sectPr>
      </w:pPr>
    </w:p>
    <w:bookmarkStart w:id="121" w:name="page122"/>
    <w:bookmarkEnd w:id="121"/>
    <w:p>
      <w:pPr>
        <w:ind w:left="95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200025</wp:posOffset>
            </wp:positionV>
            <wp:extent cx="1045845" cy="3683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45845" cy="368300"/>
                    </a:xfrm>
                    <a:prstGeom prst="rect">
                      <a:avLst/>
                    </a:prstGeom>
                    <a:noFill/>
                  </pic:spPr>
                </pic:pic>
              </a:graphicData>
            </a:graphic>
          </wp:anchor>
        </w:drawing>
        <w:t xml:space="preserve">     Appendix C    </w:t>
      </w:r>
    </w:p>
    <w:p>
      <w:pPr>
        <w:spacing w:after="0" w:line="320" w:lineRule="exact"/>
        <w:rPr>
          <w:sz w:val="20"/>
          <w:szCs w:val="20"/>
          <w:color w:val="auto"/>
        </w:rPr>
      </w:pPr>
    </w:p>
    <w:p>
      <w:pPr>
        <w:ind w:left="1300" w:right="60"/>
        <w:spacing w:after="0" w:line="286" w:lineRule="auto"/>
        <w:rPr>
          <w:sz w:val="20"/>
          <w:szCs w:val="20"/>
          <w:color w:val="auto"/>
        </w:rPr>
      </w:pPr>
      <w:r>
        <w:rPr>
          <w:rFonts w:ascii="Arial" w:cs="Arial" w:eastAsia="Arial" w:hAnsi="Arial"/>
          <w:sz w:val="16"/>
          <w:szCs w:val="16"/>
          <w:color w:val="333333"/>
        </w:rPr>
        <w:t>(other than as an Eligible Director), will not be subject to the Director Pay Limit. Any such compensation that is deferred will be counted toward the Director Pay Limit for the year in which it was first granted, and not when paid or settled (if later).</w:t>
      </w:r>
    </w:p>
    <w:p>
      <w:pPr>
        <w:spacing w:after="0" w:line="61" w:lineRule="exact"/>
        <w:rPr>
          <w:sz w:val="20"/>
          <w:szCs w:val="20"/>
          <w:color w:val="auto"/>
        </w:rPr>
      </w:pPr>
    </w:p>
    <w:p>
      <w:pPr>
        <w:ind w:left="860" w:right="60" w:hanging="432"/>
        <w:spacing w:after="0" w:line="253" w:lineRule="auto"/>
        <w:tabs>
          <w:tab w:leader="none" w:pos="860" w:val="left"/>
        </w:tabs>
        <w:numPr>
          <w:ilvl w:val="0"/>
          <w:numId w:val="147"/>
        </w:numPr>
        <w:rPr>
          <w:rFonts w:ascii="Arial" w:cs="Arial" w:eastAsia="Arial" w:hAnsi="Arial"/>
          <w:sz w:val="16"/>
          <w:szCs w:val="16"/>
          <w:color w:val="333333"/>
        </w:rPr>
      </w:pPr>
      <w:r>
        <w:rPr>
          <w:rFonts w:ascii="Arial" w:cs="Arial" w:eastAsia="Arial" w:hAnsi="Arial"/>
          <w:sz w:val="16"/>
          <w:szCs w:val="16"/>
          <w:color w:val="333333"/>
        </w:rPr>
        <w:t xml:space="preserve">Any unexercised or undistributed portion of any cancelled, terminated or forfeited Award (other than an Award terminated or forfeited by reason of the exercise of any Award granted in tandem therewith) and any shares tendered or withheld in satisfaction of tax withholding obligations in connection with an Award shall not count as Shares granted under this Plan and shall not count against the Share Limit; </w:t>
      </w:r>
      <w:r>
        <w:rPr>
          <w:rFonts w:ascii="Arial" w:cs="Arial" w:eastAsia="Arial" w:hAnsi="Arial"/>
          <w:sz w:val="16"/>
          <w:szCs w:val="16"/>
          <w:u w:val="single" w:color="auto"/>
          <w:color w:val="333333"/>
        </w:rPr>
        <w:t>provided</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however</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that</w:t>
      </w:r>
      <w:r>
        <w:rPr>
          <w:rFonts w:ascii="Arial" w:cs="Arial" w:eastAsia="Arial" w:hAnsi="Arial"/>
          <w:sz w:val="16"/>
          <w:szCs w:val="16"/>
          <w:color w:val="333333"/>
        </w:rPr>
        <w:t xml:space="preserve"> from and after May 23, 2006 neither (i) shares tendered as full or partial payment to the Corporation upon exercise of a Non-Qualified Stock Option granted under the Plan, nor (ii) shares subject to Stock Appreciation Rights that are not used to settle the Stock Appreciation Right upon exercise, shall become available for further Awards under this Plan and shall be deemed to count against the Share Limit.</w:t>
      </w:r>
    </w:p>
    <w:p>
      <w:pPr>
        <w:spacing w:after="0" w:line="86" w:lineRule="exact"/>
        <w:rPr>
          <w:rFonts w:ascii="Arial" w:cs="Arial" w:eastAsia="Arial" w:hAnsi="Arial"/>
          <w:sz w:val="16"/>
          <w:szCs w:val="16"/>
          <w:color w:val="333333"/>
        </w:rPr>
      </w:pPr>
    </w:p>
    <w:p>
      <w:pPr>
        <w:ind w:left="860" w:right="80" w:hanging="432"/>
        <w:spacing w:after="0" w:line="286" w:lineRule="auto"/>
        <w:tabs>
          <w:tab w:leader="none" w:pos="860" w:val="left"/>
        </w:tabs>
        <w:numPr>
          <w:ilvl w:val="0"/>
          <w:numId w:val="147"/>
        </w:numPr>
        <w:rPr>
          <w:rFonts w:ascii="Arial" w:cs="Arial" w:eastAsia="Arial" w:hAnsi="Arial"/>
          <w:sz w:val="16"/>
          <w:szCs w:val="16"/>
          <w:color w:val="333333"/>
        </w:rPr>
      </w:pPr>
      <w:r>
        <w:rPr>
          <w:rFonts w:ascii="Arial" w:cs="Arial" w:eastAsia="Arial" w:hAnsi="Arial"/>
          <w:sz w:val="16"/>
          <w:szCs w:val="16"/>
          <w:color w:val="333333"/>
        </w:rPr>
        <w:t>For the purposes of computing the aggregate number of shares with respect to which awards payable in securities may be granted under the Plan, the following rules shall apply:</w:t>
      </w:r>
    </w:p>
    <w:p>
      <w:pPr>
        <w:spacing w:after="0" w:line="61" w:lineRule="exact"/>
        <w:rPr>
          <w:rFonts w:ascii="Arial" w:cs="Arial" w:eastAsia="Arial" w:hAnsi="Arial"/>
          <w:sz w:val="16"/>
          <w:szCs w:val="16"/>
          <w:color w:val="333333"/>
        </w:rPr>
      </w:pPr>
    </w:p>
    <w:p>
      <w:pPr>
        <w:ind w:left="1300" w:right="20" w:hanging="427"/>
        <w:spacing w:after="0" w:line="286" w:lineRule="auto"/>
        <w:tabs>
          <w:tab w:leader="none" w:pos="1300" w:val="left"/>
        </w:tabs>
        <w:numPr>
          <w:ilvl w:val="1"/>
          <w:numId w:val="147"/>
        </w:numPr>
        <w:rPr>
          <w:rFonts w:ascii="Arial" w:cs="Arial" w:eastAsia="Arial" w:hAnsi="Arial"/>
          <w:sz w:val="16"/>
          <w:szCs w:val="16"/>
          <w:color w:val="333333"/>
        </w:rPr>
      </w:pPr>
      <w:r>
        <w:rPr>
          <w:rFonts w:ascii="Arial" w:cs="Arial" w:eastAsia="Arial" w:hAnsi="Arial"/>
          <w:sz w:val="16"/>
          <w:szCs w:val="16"/>
          <w:color w:val="333333"/>
        </w:rPr>
        <w:t>each Option shall be deemed to be the equivalent of the maximum number of shares that may be issued upon exercise of the particular Option;</w:t>
      </w:r>
    </w:p>
    <w:p>
      <w:pPr>
        <w:spacing w:after="0" w:line="61" w:lineRule="exact"/>
        <w:rPr>
          <w:rFonts w:ascii="Arial" w:cs="Arial" w:eastAsia="Arial" w:hAnsi="Arial"/>
          <w:sz w:val="16"/>
          <w:szCs w:val="16"/>
          <w:color w:val="333333"/>
        </w:rPr>
      </w:pPr>
    </w:p>
    <w:p>
      <w:pPr>
        <w:ind w:left="1300" w:right="60" w:hanging="427"/>
        <w:spacing w:after="0" w:line="266" w:lineRule="auto"/>
        <w:tabs>
          <w:tab w:leader="none" w:pos="1300" w:val="left"/>
        </w:tabs>
        <w:numPr>
          <w:ilvl w:val="1"/>
          <w:numId w:val="147"/>
        </w:numPr>
        <w:rPr>
          <w:rFonts w:ascii="Arial" w:cs="Arial" w:eastAsia="Arial" w:hAnsi="Arial"/>
          <w:sz w:val="16"/>
          <w:szCs w:val="16"/>
          <w:color w:val="333333"/>
        </w:rPr>
      </w:pPr>
      <w:r>
        <w:rPr>
          <w:rFonts w:ascii="Arial" w:cs="Arial" w:eastAsia="Arial" w:hAnsi="Arial"/>
          <w:sz w:val="16"/>
          <w:szCs w:val="16"/>
          <w:color w:val="333333"/>
        </w:rPr>
        <w:t>each Stock Appreciation Right, each Restricted Stock Award, each Restricted Stock Unit Award, each Performance-Based Award and each Other Stock-Based Award (in each case, other than Awards covered by subsection (iii) below) shall be deemed to be equal to the number of shares to which it relates;</w:t>
      </w:r>
    </w:p>
    <w:p>
      <w:pPr>
        <w:spacing w:after="0" w:line="76" w:lineRule="exact"/>
        <w:rPr>
          <w:rFonts w:ascii="Arial" w:cs="Arial" w:eastAsia="Arial" w:hAnsi="Arial"/>
          <w:sz w:val="16"/>
          <w:szCs w:val="16"/>
          <w:color w:val="333333"/>
        </w:rPr>
      </w:pPr>
    </w:p>
    <w:p>
      <w:pPr>
        <w:ind w:left="1300" w:right="20" w:hanging="427"/>
        <w:spacing w:after="0" w:line="254" w:lineRule="auto"/>
        <w:tabs>
          <w:tab w:leader="none" w:pos="1300" w:val="left"/>
        </w:tabs>
        <w:numPr>
          <w:ilvl w:val="1"/>
          <w:numId w:val="147"/>
        </w:numPr>
        <w:rPr>
          <w:rFonts w:ascii="Arial" w:cs="Arial" w:eastAsia="Arial" w:hAnsi="Arial"/>
          <w:sz w:val="16"/>
          <w:szCs w:val="16"/>
          <w:color w:val="333333"/>
        </w:rPr>
      </w:pPr>
      <w:r>
        <w:rPr>
          <w:rFonts w:ascii="Arial" w:cs="Arial" w:eastAsia="Arial" w:hAnsi="Arial"/>
          <w:sz w:val="16"/>
          <w:szCs w:val="16"/>
          <w:color w:val="333333"/>
        </w:rPr>
        <w:t xml:space="preserve">where the number of shares available under the Award is variable on the date it is granted, the number of shares shall be deemed to be the maximum number of shares that could be received under that particular Award; </w:t>
      </w:r>
      <w:r>
        <w:rPr>
          <w:rFonts w:ascii="Arial" w:cs="Arial" w:eastAsia="Arial" w:hAnsi="Arial"/>
          <w:sz w:val="16"/>
          <w:szCs w:val="16"/>
          <w:u w:val="single" w:color="auto"/>
          <w:color w:val="333333"/>
        </w:rPr>
        <w:t>provided</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that</w:t>
      </w:r>
      <w:r>
        <w:rPr>
          <w:rFonts w:ascii="Arial" w:cs="Arial" w:eastAsia="Arial" w:hAnsi="Arial"/>
          <w:sz w:val="16"/>
          <w:szCs w:val="16"/>
          <w:color w:val="333333"/>
        </w:rPr>
        <w:t xml:space="preserve"> upon certification of performance results for the applicable performance period, the number of shares so counted shall be “trued up” to equal the number of shares actually earned based on the certified level of performance (which may be greater or less than the target opportunity, including zero and, for the avoidance of doubt, in the event the number actually earned is less than the maximum, only the shares actually earned will reduce the Share Limit); and</w:t>
      </w:r>
    </w:p>
    <w:p>
      <w:pPr>
        <w:spacing w:after="0" w:line="87" w:lineRule="exact"/>
        <w:rPr>
          <w:rFonts w:ascii="Arial" w:cs="Arial" w:eastAsia="Arial" w:hAnsi="Arial"/>
          <w:sz w:val="16"/>
          <w:szCs w:val="16"/>
          <w:color w:val="333333"/>
        </w:rPr>
      </w:pPr>
    </w:p>
    <w:p>
      <w:pPr>
        <w:ind w:left="1300" w:right="120" w:hanging="427"/>
        <w:spacing w:after="0" w:line="259" w:lineRule="auto"/>
        <w:tabs>
          <w:tab w:leader="none" w:pos="1300" w:val="left"/>
        </w:tabs>
        <w:numPr>
          <w:ilvl w:val="1"/>
          <w:numId w:val="147"/>
        </w:numPr>
        <w:rPr>
          <w:rFonts w:ascii="Arial" w:cs="Arial" w:eastAsia="Arial" w:hAnsi="Arial"/>
          <w:sz w:val="16"/>
          <w:szCs w:val="16"/>
          <w:color w:val="333333"/>
        </w:rPr>
      </w:pPr>
      <w:r>
        <w:rPr>
          <w:rFonts w:ascii="Arial" w:cs="Arial" w:eastAsia="Arial" w:hAnsi="Arial"/>
          <w:sz w:val="16"/>
          <w:szCs w:val="16"/>
          <w:color w:val="333333"/>
        </w:rPr>
        <w:t>where one or more types of Awards (both of which are payable in Stock or another security) are granted in tandem with each other, such that the exercise of one type of Award with respect to a number of shares cancels an equal number of shares of the other type of Award, each such tandem Award shall be deemed to cover only the number of shares to be issued under the surviving tandem component.</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Additional rules for determining the aggregate number of shares with respect to which Awards payable in securities may be granted under this Plan may be made by the Committee, as it deems necessary or appropriate.</w:t>
      </w:r>
    </w:p>
    <w:p>
      <w:pPr>
        <w:spacing w:after="0" w:line="109"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6. Award Agreements</w:t>
      </w:r>
    </w:p>
    <w:p>
      <w:pPr>
        <w:spacing w:after="0" w:line="13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333333"/>
        </w:rPr>
        <w:t>Each Award under this Plan shall be evidenced by an Award Agreement setting forth the number of shares of Stock or equity-based units or amount of cash subject to the Award and such other terms and conditions applicable to the Award as determined by the Committee. Award Agreements may include the following terms:</w:t>
      </w:r>
    </w:p>
    <w:p>
      <w:pPr>
        <w:spacing w:after="0" w:line="77" w:lineRule="exact"/>
        <w:rPr>
          <w:sz w:val="20"/>
          <w:szCs w:val="20"/>
          <w:color w:val="auto"/>
        </w:rPr>
      </w:pPr>
    </w:p>
    <w:p>
      <w:pPr>
        <w:ind w:left="860" w:right="40" w:hanging="432"/>
        <w:spacing w:after="0" w:line="259" w:lineRule="auto"/>
        <w:tabs>
          <w:tab w:leader="none" w:pos="860" w:val="left"/>
        </w:tabs>
        <w:numPr>
          <w:ilvl w:val="0"/>
          <w:numId w:val="148"/>
        </w:numPr>
        <w:rPr>
          <w:rFonts w:ascii="Arial" w:cs="Arial" w:eastAsia="Arial" w:hAnsi="Arial"/>
          <w:sz w:val="16"/>
          <w:szCs w:val="16"/>
          <w:color w:val="333333"/>
        </w:rPr>
      </w:pPr>
      <w:r>
        <w:rPr>
          <w:rFonts w:ascii="Arial" w:cs="Arial" w:eastAsia="Arial" w:hAnsi="Arial"/>
          <w:sz w:val="16"/>
          <w:szCs w:val="16"/>
          <w:color w:val="333333"/>
        </w:rPr>
        <w:t>Termination of Employment or Service as Director or Consultant: A provision describing the treatment of an Award in the event of the retirement, disability, death or other termination of a Participant’s employment with the Corporation or Subsidiary or service to the Corporation as a director or Consultant, including but not limited to terms relating to the vesting, time for exercise, forfeiture or cancellation of an Award in such circumstances.</w:t>
      </w:r>
    </w:p>
    <w:p>
      <w:pPr>
        <w:spacing w:after="0" w:line="83" w:lineRule="exact"/>
        <w:rPr>
          <w:rFonts w:ascii="Arial" w:cs="Arial" w:eastAsia="Arial" w:hAnsi="Arial"/>
          <w:sz w:val="16"/>
          <w:szCs w:val="16"/>
          <w:color w:val="333333"/>
        </w:rPr>
      </w:pPr>
    </w:p>
    <w:p>
      <w:pPr>
        <w:ind w:left="860" w:right="20" w:hanging="432"/>
        <w:spacing w:after="0" w:line="286" w:lineRule="auto"/>
        <w:tabs>
          <w:tab w:leader="none" w:pos="860" w:val="left"/>
        </w:tabs>
        <w:numPr>
          <w:ilvl w:val="0"/>
          <w:numId w:val="148"/>
        </w:numPr>
        <w:rPr>
          <w:rFonts w:ascii="Arial" w:cs="Arial" w:eastAsia="Arial" w:hAnsi="Arial"/>
          <w:sz w:val="16"/>
          <w:szCs w:val="16"/>
          <w:color w:val="333333"/>
        </w:rPr>
      </w:pPr>
      <w:r>
        <w:rPr>
          <w:rFonts w:ascii="Arial" w:cs="Arial" w:eastAsia="Arial" w:hAnsi="Arial"/>
          <w:sz w:val="16"/>
          <w:szCs w:val="16"/>
          <w:color w:val="333333"/>
        </w:rPr>
        <w:t>Rights as Shareholder: A provision that a Participant shall have no rights as a shareholder with respect to any securities covered by an Award until the date the Participant becomes the holder of record.</w:t>
      </w:r>
    </w:p>
    <w:p>
      <w:pPr>
        <w:spacing w:after="0" w:line="61" w:lineRule="exact"/>
        <w:rPr>
          <w:rFonts w:ascii="Arial" w:cs="Arial" w:eastAsia="Arial" w:hAnsi="Arial"/>
          <w:sz w:val="16"/>
          <w:szCs w:val="16"/>
          <w:color w:val="333333"/>
        </w:rPr>
      </w:pPr>
    </w:p>
    <w:p>
      <w:pPr>
        <w:ind w:left="860" w:right="60" w:hanging="432"/>
        <w:spacing w:after="0" w:line="254" w:lineRule="auto"/>
        <w:tabs>
          <w:tab w:leader="none" w:pos="860" w:val="left"/>
        </w:tabs>
        <w:numPr>
          <w:ilvl w:val="0"/>
          <w:numId w:val="148"/>
        </w:numPr>
        <w:rPr>
          <w:rFonts w:ascii="Arial" w:cs="Arial" w:eastAsia="Arial" w:hAnsi="Arial"/>
          <w:sz w:val="16"/>
          <w:szCs w:val="16"/>
          <w:color w:val="333333"/>
        </w:rPr>
      </w:pPr>
      <w:r>
        <w:rPr>
          <w:rFonts w:ascii="Arial" w:cs="Arial" w:eastAsia="Arial" w:hAnsi="Arial"/>
          <w:sz w:val="16"/>
          <w:szCs w:val="16"/>
          <w:color w:val="333333"/>
        </w:rPr>
        <w:t>Withholding: A provision requiring the withholding of applicable taxes required by law from all amounts paid in satisfaction of an Award. If such a provision is included, then (i) in the case of an Award paid in cash, the withholding obligation shall be satisfied by withholding the applicable amount and paying the net amount in cash to the Participant and (ii) in the case of Awards paid in shares of Stock or other securities of the Corporation, a Participant may satisfy the withholding obligation by paying the amount of any taxes in cash, tendering previously acquired shares of Stock or shares of Stock may be deducted from the payment to satisfy the obligation in full or in part, where the number of shares to be deducted shall be specified in the Award Agreement or as determined by the Committee.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4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C-5</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5">
            <w:col w:w="200" w:space="120"/>
            <w:col w:w="3540" w:space="720"/>
            <w:col w:w="4580" w:space="720"/>
            <w:col w:w="260" w:space="100"/>
            <w:col w:w="780"/>
          </w:cols>
          <w:pgMar w:left="440" w:top="549" w:right="439" w:bottom="1440" w:gutter="0" w:footer="0" w:header="0"/>
          <w:type w:val="continuous"/>
        </w:sectPr>
      </w:pPr>
    </w:p>
    <w:bookmarkStart w:id="122" w:name="page123"/>
    <w:bookmarkEnd w:id="122"/>
    <w:p>
      <w:pPr>
        <w:ind w:left="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968375" cy="4711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968375" cy="471170"/>
                    </a:xfrm>
                    <a:prstGeom prst="rect">
                      <a:avLst/>
                    </a:prstGeom>
                    <a:noFill/>
                  </pic:spPr>
                </pic:pic>
              </a:graphicData>
            </a:graphic>
          </wp:anchor>
        </w:drawing>
        <w:t xml:space="preserve">     Appendix C    </w:t>
      </w:r>
    </w:p>
    <w:p>
      <w:pPr>
        <w:spacing w:after="0" w:line="200" w:lineRule="exact"/>
        <w:rPr>
          <w:sz w:val="20"/>
          <w:szCs w:val="20"/>
          <w:color w:val="auto"/>
        </w:rPr>
      </w:pPr>
    </w:p>
    <w:p>
      <w:pPr>
        <w:spacing w:after="0" w:line="242" w:lineRule="exact"/>
        <w:rPr>
          <w:sz w:val="20"/>
          <w:szCs w:val="20"/>
          <w:color w:val="auto"/>
        </w:rPr>
      </w:pPr>
    </w:p>
    <w:p>
      <w:pPr>
        <w:ind w:left="860" w:right="20" w:hanging="432"/>
        <w:spacing w:after="0" w:line="256" w:lineRule="auto"/>
        <w:tabs>
          <w:tab w:leader="none" w:pos="860" w:val="left"/>
        </w:tabs>
        <w:numPr>
          <w:ilvl w:val="0"/>
          <w:numId w:val="149"/>
        </w:numPr>
        <w:rPr>
          <w:rFonts w:ascii="Arial" w:cs="Arial" w:eastAsia="Arial" w:hAnsi="Arial"/>
          <w:sz w:val="16"/>
          <w:szCs w:val="16"/>
          <w:color w:val="333333"/>
        </w:rPr>
      </w:pPr>
      <w:r>
        <w:rPr>
          <w:rFonts w:ascii="Arial" w:cs="Arial" w:eastAsia="Arial" w:hAnsi="Arial"/>
          <w:sz w:val="16"/>
          <w:szCs w:val="16"/>
          <w:color w:val="333333"/>
        </w:rPr>
        <w:t>Execution: A provision stating that no Award is enforceable until the Award Agreement or a receipt has been signed by the Participant and the Chair, the Chief Executive Officer or the General Counsel of the Corporation or any other individual with validly authorized authority to grant Awards under this Plan (in each case, or his or her delegate). If such a provision is included, then by executing the Award Agreement or receipt, a Participant shall be deemed to have accepted and consented to any action taken under the Plan by the Committee, the Board of Directors or their delegates.</w:t>
      </w:r>
    </w:p>
    <w:p>
      <w:pPr>
        <w:spacing w:after="0" w:line="85" w:lineRule="exact"/>
        <w:rPr>
          <w:rFonts w:ascii="Arial" w:cs="Arial" w:eastAsia="Arial" w:hAnsi="Arial"/>
          <w:sz w:val="16"/>
          <w:szCs w:val="16"/>
          <w:color w:val="333333"/>
        </w:rPr>
      </w:pPr>
    </w:p>
    <w:p>
      <w:pPr>
        <w:ind w:left="860" w:hanging="432"/>
        <w:spacing w:after="0"/>
        <w:tabs>
          <w:tab w:leader="none" w:pos="860" w:val="left"/>
        </w:tabs>
        <w:numPr>
          <w:ilvl w:val="0"/>
          <w:numId w:val="149"/>
        </w:numPr>
        <w:rPr>
          <w:rFonts w:ascii="Arial" w:cs="Arial" w:eastAsia="Arial" w:hAnsi="Arial"/>
          <w:sz w:val="16"/>
          <w:szCs w:val="16"/>
          <w:color w:val="333333"/>
        </w:rPr>
      </w:pPr>
      <w:r>
        <w:rPr>
          <w:rFonts w:ascii="Arial" w:cs="Arial" w:eastAsia="Arial" w:hAnsi="Arial"/>
          <w:sz w:val="16"/>
          <w:szCs w:val="16"/>
          <w:color w:val="333333"/>
        </w:rPr>
        <w:t>Exercise and Payment: The permitted methods of exercising and paying any applicable exercise price with respect to the Award.</w:t>
      </w:r>
    </w:p>
    <w:p>
      <w:pPr>
        <w:spacing w:after="0" w:line="126" w:lineRule="exact"/>
        <w:rPr>
          <w:rFonts w:ascii="Arial" w:cs="Arial" w:eastAsia="Arial" w:hAnsi="Arial"/>
          <w:sz w:val="16"/>
          <w:szCs w:val="16"/>
          <w:color w:val="333333"/>
        </w:rPr>
      </w:pPr>
    </w:p>
    <w:p>
      <w:pPr>
        <w:ind w:left="860" w:right="20" w:hanging="432"/>
        <w:spacing w:after="0" w:line="259" w:lineRule="auto"/>
        <w:tabs>
          <w:tab w:leader="none" w:pos="860" w:val="left"/>
        </w:tabs>
        <w:numPr>
          <w:ilvl w:val="0"/>
          <w:numId w:val="149"/>
        </w:numPr>
        <w:rPr>
          <w:rFonts w:ascii="Arial" w:cs="Arial" w:eastAsia="Arial" w:hAnsi="Arial"/>
          <w:sz w:val="16"/>
          <w:szCs w:val="16"/>
          <w:color w:val="333333"/>
        </w:rPr>
      </w:pPr>
      <w:r>
        <w:rPr>
          <w:rFonts w:ascii="Arial" w:cs="Arial" w:eastAsia="Arial" w:hAnsi="Arial"/>
          <w:sz w:val="16"/>
          <w:szCs w:val="16"/>
          <w:color w:val="333333"/>
        </w:rPr>
        <w:t>Replacement and Substitution: Any provisions (A) permitting the surrender of outstanding Awards or securities held by the Participant in order to exercise or realize rights under other Awards, or in exchange for the grant of new Awards under similar or different terms (other than as prohibited by Section 4(i)) or, (B) requiring holders of Awards to surrender outstanding Awards as a condition precedent to the grant of new Awards under the Plan.</w:t>
      </w:r>
    </w:p>
    <w:p>
      <w:pPr>
        <w:spacing w:after="0" w:line="83" w:lineRule="exact"/>
        <w:rPr>
          <w:rFonts w:ascii="Arial" w:cs="Arial" w:eastAsia="Arial" w:hAnsi="Arial"/>
          <w:sz w:val="16"/>
          <w:szCs w:val="16"/>
          <w:color w:val="333333"/>
        </w:rPr>
      </w:pPr>
    </w:p>
    <w:p>
      <w:pPr>
        <w:ind w:left="860" w:right="220" w:hanging="432"/>
        <w:spacing w:after="0" w:line="256" w:lineRule="auto"/>
        <w:tabs>
          <w:tab w:leader="none" w:pos="860" w:val="left"/>
        </w:tabs>
        <w:numPr>
          <w:ilvl w:val="0"/>
          <w:numId w:val="149"/>
        </w:numPr>
        <w:rPr>
          <w:rFonts w:ascii="Arial" w:cs="Arial" w:eastAsia="Arial" w:hAnsi="Arial"/>
          <w:sz w:val="16"/>
          <w:szCs w:val="16"/>
          <w:color w:val="333333"/>
        </w:rPr>
      </w:pPr>
      <w:r>
        <w:rPr>
          <w:rFonts w:ascii="Arial" w:cs="Arial" w:eastAsia="Arial" w:hAnsi="Arial"/>
          <w:sz w:val="16"/>
          <w:szCs w:val="16"/>
          <w:color w:val="333333"/>
        </w:rPr>
        <w:t>Dividends or Dividend Equivalents: In the case of Restricted Stock Units, Performance-Based Awards and appropriate Other Stock-Based Awards, the terms of the Award may provide for the Participant to receive dividends or dividend equivalents in connection with such Award. Such provision shall provide that any dividends or dividend equivalents with respect to Awards subject to vesting requirements shall be accumulated in a manner set forth in the applicable Award Agreement or as otherwise determined by the Committee until such Award is earned and such dividends or dividend equivalents shall not be paid if such vesting requirements of the underlying Award are not satisfied.</w:t>
      </w:r>
    </w:p>
    <w:p>
      <w:pPr>
        <w:spacing w:after="0" w:line="85" w:lineRule="exact"/>
        <w:rPr>
          <w:rFonts w:ascii="Arial" w:cs="Arial" w:eastAsia="Arial" w:hAnsi="Arial"/>
          <w:sz w:val="16"/>
          <w:szCs w:val="16"/>
          <w:color w:val="333333"/>
        </w:rPr>
      </w:pPr>
    </w:p>
    <w:p>
      <w:pPr>
        <w:ind w:left="860" w:right="140" w:hanging="432"/>
        <w:spacing w:after="0" w:line="259" w:lineRule="auto"/>
        <w:tabs>
          <w:tab w:leader="none" w:pos="860" w:val="left"/>
        </w:tabs>
        <w:numPr>
          <w:ilvl w:val="0"/>
          <w:numId w:val="149"/>
        </w:numPr>
        <w:rPr>
          <w:rFonts w:ascii="Arial" w:cs="Arial" w:eastAsia="Arial" w:hAnsi="Arial"/>
          <w:sz w:val="16"/>
          <w:szCs w:val="16"/>
          <w:color w:val="333333"/>
        </w:rPr>
      </w:pPr>
      <w:r>
        <w:rPr>
          <w:rFonts w:ascii="Arial" w:cs="Arial" w:eastAsia="Arial" w:hAnsi="Arial"/>
          <w:sz w:val="16"/>
          <w:szCs w:val="16"/>
          <w:color w:val="333333"/>
        </w:rPr>
        <w:t>Other Terms: Such other terms as are necessary and appropriate to effect an Award to the Participant including but not limited to the term of the Award, vesting provisions, any requirements for continued employment with the Corporation or any Subsidiary, any other restrictions or conditions (including performance requirements) on the Award and the method by which restrictions or conditions lapse, the effect on the Award of a Change in Control, the price and the amount or value of Awards.</w:t>
      </w:r>
    </w:p>
    <w:p>
      <w:pPr>
        <w:spacing w:after="0" w:line="132"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7. Amendment and Termination</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33333"/>
        </w:rPr>
        <w:t>The Board of Directors may at any time amend, suspend or discontinue this Plan. The Committee may at any time alter or amend any or all Award Agreements under this Plan to the extent permitted by law. No such action by the Board of Directors or the Committee may, without approval of the shareholders of the Corporation, be effective, if shareholder approval would be required pursuant to applicable law, rule or regulation, including the listing requirements of any applicable exchange on which the Stock is listed.</w:t>
      </w:r>
    </w:p>
    <w:p>
      <w:pPr>
        <w:spacing w:after="0" w:line="145"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8. Administration</w:t>
      </w:r>
    </w:p>
    <w:p>
      <w:pPr>
        <w:spacing w:after="0" w:line="92" w:lineRule="exact"/>
        <w:rPr>
          <w:sz w:val="20"/>
          <w:szCs w:val="20"/>
          <w:color w:val="auto"/>
        </w:rPr>
      </w:pPr>
    </w:p>
    <w:p>
      <w:pPr>
        <w:ind w:left="860" w:right="220" w:hanging="432"/>
        <w:spacing w:after="0" w:line="254" w:lineRule="auto"/>
        <w:tabs>
          <w:tab w:leader="none" w:pos="860" w:val="left"/>
        </w:tabs>
        <w:numPr>
          <w:ilvl w:val="0"/>
          <w:numId w:val="150"/>
        </w:numPr>
        <w:rPr>
          <w:rFonts w:ascii="Arial" w:cs="Arial" w:eastAsia="Arial" w:hAnsi="Arial"/>
          <w:sz w:val="16"/>
          <w:szCs w:val="16"/>
          <w:color w:val="333333"/>
        </w:rPr>
      </w:pPr>
      <w:r>
        <w:rPr>
          <w:rFonts w:ascii="Arial" w:cs="Arial" w:eastAsia="Arial" w:hAnsi="Arial"/>
          <w:sz w:val="16"/>
          <w:szCs w:val="16"/>
          <w:color w:val="333333"/>
        </w:rPr>
        <w:t>This Plan shall be administered by the Committee. Any power of the Committee may also be exercised by the Board of Directors, except to the extent that the grant or exercise of such authority would cause any Award or transaction to become subject to (or lose an exemption under) the short-swing profit recovery provisions of Section 16. To the extent that any permitted action taken by the Board of Directors conflicts with actions taken by the Committee, the action of the Board of Directors shall control. The members of the Committee shall be designated by the Board of Directors. A majority of the members of the Committee shall constitute a quorum and a vote of a majority of the quorum shall constitute action by the Committee.</w:t>
      </w:r>
    </w:p>
    <w:p>
      <w:pPr>
        <w:spacing w:after="0" w:line="87" w:lineRule="exact"/>
        <w:rPr>
          <w:rFonts w:ascii="Arial" w:cs="Arial" w:eastAsia="Arial" w:hAnsi="Arial"/>
          <w:sz w:val="16"/>
          <w:szCs w:val="16"/>
          <w:color w:val="333333"/>
        </w:rPr>
      </w:pPr>
    </w:p>
    <w:p>
      <w:pPr>
        <w:ind w:left="860" w:right="120" w:hanging="432"/>
        <w:spacing w:after="0" w:line="250" w:lineRule="auto"/>
        <w:tabs>
          <w:tab w:leader="none" w:pos="860" w:val="left"/>
        </w:tabs>
        <w:numPr>
          <w:ilvl w:val="0"/>
          <w:numId w:val="150"/>
        </w:numPr>
        <w:rPr>
          <w:rFonts w:ascii="Arial" w:cs="Arial" w:eastAsia="Arial" w:hAnsi="Arial"/>
          <w:sz w:val="16"/>
          <w:szCs w:val="16"/>
          <w:color w:val="333333"/>
        </w:rPr>
      </w:pPr>
      <w:r>
        <w:rPr>
          <w:rFonts w:ascii="Arial" w:cs="Arial" w:eastAsia="Arial" w:hAnsi="Arial"/>
          <w:sz w:val="16"/>
          <w:szCs w:val="16"/>
          <w:color w:val="333333"/>
        </w:rPr>
        <w:t>The Committee’s authority to administer this Plan includes the authority to: (i) determine the Participants to whom, and the time or times at which, Awards will be granted; (ii) determine all terms and conditions of Awards; (iii) determine the level of achievement of performance requirements applicable to Awards under this Plan, including by exercising positive or negative discretion when measuring the actual level of achievement of such goals; (iv) establish rules and regulations relating to this Plan, including rules governing the Committee’s own operations; (v) appoint such agents as it shall deem appropriate for the proper administration of this Plan; (vi) interpret, correct any defect, supply any omission and reconcile any inconsistency in this Plan or any Award Agreement, including inconsistencies between this Plan and any Award Agreement; (vii) subject to Section 7 of this Plan, amend this Plan, including, without limitation, to reflect changes in applicable law; and (viii) make any other determination and take any other action that the Committee deems necessary or desirable for the administration of this Plan, including addressing unanticipated events (including any temporary closure of the stock exchange on which the Corporation is listed, disruption of communications or natural catastrophe).</w:t>
      </w:r>
    </w:p>
    <w:p>
      <w:pPr>
        <w:spacing w:after="0" w:line="94" w:lineRule="exact"/>
        <w:rPr>
          <w:rFonts w:ascii="Arial" w:cs="Arial" w:eastAsia="Arial" w:hAnsi="Arial"/>
          <w:sz w:val="16"/>
          <w:szCs w:val="16"/>
          <w:color w:val="333333"/>
        </w:rPr>
      </w:pPr>
    </w:p>
    <w:p>
      <w:pPr>
        <w:ind w:left="860" w:right="80" w:hanging="432"/>
        <w:spacing w:after="0" w:line="266" w:lineRule="auto"/>
        <w:tabs>
          <w:tab w:leader="none" w:pos="860" w:val="left"/>
        </w:tabs>
        <w:numPr>
          <w:ilvl w:val="0"/>
          <w:numId w:val="150"/>
        </w:numPr>
        <w:rPr>
          <w:rFonts w:ascii="Arial" w:cs="Arial" w:eastAsia="Arial" w:hAnsi="Arial"/>
          <w:sz w:val="16"/>
          <w:szCs w:val="16"/>
          <w:color w:val="333333"/>
        </w:rPr>
      </w:pPr>
      <w:r>
        <w:rPr>
          <w:rFonts w:ascii="Arial" w:cs="Arial" w:eastAsia="Arial" w:hAnsi="Arial"/>
          <w:sz w:val="16"/>
          <w:szCs w:val="16"/>
          <w:color w:val="333333"/>
        </w:rPr>
        <w:t>Except as otherwise provided in this Plan, each determination, designation, interpretation or other action made or taken by the Committee under or with respect to the Plan or any Award, including interpretations of this Plan and the specific conditions and provisions of the Awards, shall be final, conclusive and binding for all purposes and upon all persons including, but without</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58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589" w:right="439" w:bottom="1440" w:gutter="0" w:footer="0" w:header="0"/>
          <w:type w:val="continuous"/>
        </w:sectPr>
      </w:pPr>
    </w:p>
    <w:bookmarkStart w:id="123" w:name="page124"/>
    <w:bookmarkEnd w:id="123"/>
    <w:p>
      <w:pPr>
        <w:ind w:left="95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200025</wp:posOffset>
            </wp:positionV>
            <wp:extent cx="1045845" cy="3683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045845" cy="368300"/>
                    </a:xfrm>
                    <a:prstGeom prst="rect">
                      <a:avLst/>
                    </a:prstGeom>
                    <a:noFill/>
                  </pic:spPr>
                </pic:pic>
              </a:graphicData>
            </a:graphic>
          </wp:anchor>
        </w:drawing>
        <w:t xml:space="preserve">     Appendix C    </w:t>
      </w:r>
    </w:p>
    <w:p>
      <w:pPr>
        <w:spacing w:after="0" w:line="320" w:lineRule="exact"/>
        <w:rPr>
          <w:sz w:val="20"/>
          <w:szCs w:val="20"/>
          <w:color w:val="auto"/>
        </w:rPr>
      </w:pPr>
    </w:p>
    <w:p>
      <w:pPr>
        <w:ind w:left="880" w:right="80"/>
        <w:spacing w:after="0" w:line="286" w:lineRule="auto"/>
        <w:rPr>
          <w:sz w:val="20"/>
          <w:szCs w:val="20"/>
          <w:color w:val="auto"/>
        </w:rPr>
      </w:pPr>
      <w:r>
        <w:rPr>
          <w:rFonts w:ascii="Arial" w:cs="Arial" w:eastAsia="Arial" w:hAnsi="Arial"/>
          <w:sz w:val="16"/>
          <w:szCs w:val="16"/>
          <w:color w:val="333333"/>
        </w:rPr>
        <w:t>limitation, the Corporation, any Subsidiary, Participants and their beneficiaries, the shareholders of the Corporation or any Subsidiary and the respective successors in interest of any of the foregoing.’</w:t>
      </w:r>
    </w:p>
    <w:p>
      <w:pPr>
        <w:spacing w:after="0" w:line="61" w:lineRule="exact"/>
        <w:rPr>
          <w:sz w:val="20"/>
          <w:szCs w:val="20"/>
          <w:color w:val="auto"/>
        </w:rPr>
      </w:pPr>
    </w:p>
    <w:p>
      <w:pPr>
        <w:ind w:left="860" w:right="40" w:hanging="432"/>
        <w:spacing w:after="0" w:line="266" w:lineRule="auto"/>
        <w:tabs>
          <w:tab w:leader="none" w:pos="860" w:val="left"/>
        </w:tabs>
        <w:numPr>
          <w:ilvl w:val="0"/>
          <w:numId w:val="151"/>
        </w:numPr>
        <w:rPr>
          <w:rFonts w:ascii="Arial" w:cs="Arial" w:eastAsia="Arial" w:hAnsi="Arial"/>
          <w:sz w:val="16"/>
          <w:szCs w:val="16"/>
          <w:color w:val="333333"/>
        </w:rPr>
      </w:pPr>
      <w:r>
        <w:rPr>
          <w:rFonts w:ascii="Arial" w:cs="Arial" w:eastAsia="Arial" w:hAnsi="Arial"/>
          <w:sz w:val="16"/>
          <w:szCs w:val="16"/>
          <w:color w:val="333333"/>
        </w:rPr>
        <w:t>The Committee may designate the General Counsel of the Corporation or any other employee of the Corporation to assist the Committee in the administration of this Plan, and may grant authority to such persons to execute Award Agreements or other documents entered into under this Plan on behalf of the Committee or the Corporation.</w:t>
      </w:r>
    </w:p>
    <w:p>
      <w:pPr>
        <w:spacing w:after="0" w:line="76" w:lineRule="exact"/>
        <w:rPr>
          <w:rFonts w:ascii="Arial" w:cs="Arial" w:eastAsia="Arial" w:hAnsi="Arial"/>
          <w:sz w:val="16"/>
          <w:szCs w:val="16"/>
          <w:color w:val="333333"/>
        </w:rPr>
      </w:pPr>
    </w:p>
    <w:p>
      <w:pPr>
        <w:ind w:left="860" w:right="60" w:hanging="432"/>
        <w:spacing w:after="0" w:line="254" w:lineRule="auto"/>
        <w:tabs>
          <w:tab w:leader="none" w:pos="860" w:val="left"/>
        </w:tabs>
        <w:numPr>
          <w:ilvl w:val="0"/>
          <w:numId w:val="151"/>
        </w:numPr>
        <w:rPr>
          <w:rFonts w:ascii="Arial" w:cs="Arial" w:eastAsia="Arial" w:hAnsi="Arial"/>
          <w:sz w:val="16"/>
          <w:szCs w:val="16"/>
          <w:color w:val="333333"/>
        </w:rPr>
      </w:pPr>
      <w:r>
        <w:rPr>
          <w:rFonts w:ascii="Arial" w:cs="Arial" w:eastAsia="Arial" w:hAnsi="Arial"/>
          <w:sz w:val="16"/>
          <w:szCs w:val="16"/>
          <w:color w:val="333333"/>
        </w:rPr>
        <w:t>The Corporation shall indemnify and hold harmless the members of the Board of Directors, the Committee and other persons who are acting upon the authorization and direction of the Board of Directors or the Committee, from and against any and all liabilities, costs and expenses incurred by such persons as a result of any act or omission in connection with the performance of such persons’ duties, responsibilities and obligations under the Plan, other than such liabilities, costs and expenses as may result from the bad faith, willful misconduct or criminal acts of such persons. Any liability of the Corporation to any Participant with respect to an Award shall be based solely upon contractual obligations created by this Plan and the Award Agreement.</w:t>
      </w:r>
    </w:p>
    <w:p>
      <w:pPr>
        <w:spacing w:after="0" w:line="87" w:lineRule="exact"/>
        <w:rPr>
          <w:rFonts w:ascii="Arial" w:cs="Arial" w:eastAsia="Arial" w:hAnsi="Arial"/>
          <w:sz w:val="16"/>
          <w:szCs w:val="16"/>
          <w:color w:val="333333"/>
        </w:rPr>
      </w:pPr>
    </w:p>
    <w:p>
      <w:pPr>
        <w:ind w:left="860" w:right="40" w:hanging="432"/>
        <w:spacing w:after="0" w:line="250" w:lineRule="auto"/>
        <w:tabs>
          <w:tab w:leader="none" w:pos="860" w:val="left"/>
        </w:tabs>
        <w:numPr>
          <w:ilvl w:val="0"/>
          <w:numId w:val="151"/>
        </w:numPr>
        <w:rPr>
          <w:rFonts w:ascii="Arial" w:cs="Arial" w:eastAsia="Arial" w:hAnsi="Arial"/>
          <w:sz w:val="16"/>
          <w:szCs w:val="16"/>
          <w:color w:val="333333"/>
        </w:rPr>
      </w:pPr>
      <w:r>
        <w:rPr>
          <w:rFonts w:ascii="Arial" w:cs="Arial" w:eastAsia="Arial" w:hAnsi="Arial"/>
          <w:sz w:val="16"/>
          <w:szCs w:val="16"/>
          <w:color w:val="333333"/>
        </w:rPr>
        <w:t xml:space="preserve">To the extent permitted by applicable law, the Board of Directors or Committee may from time to time delegate to a committee of one or more members of the Board of Directors or one or more officers of the Corporation the authority to grant or amend Awards or to take other administrative actions pursuant to this Section 8; </w:t>
      </w:r>
      <w:r>
        <w:rPr>
          <w:rFonts w:ascii="Arial" w:cs="Arial" w:eastAsia="Arial" w:hAnsi="Arial"/>
          <w:sz w:val="16"/>
          <w:szCs w:val="16"/>
          <w:u w:val="single" w:color="auto"/>
          <w:color w:val="333333"/>
        </w:rPr>
        <w:t>provided</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however</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that</w:t>
      </w:r>
      <w:r>
        <w:rPr>
          <w:rFonts w:ascii="Arial" w:cs="Arial" w:eastAsia="Arial" w:hAnsi="Arial"/>
          <w:sz w:val="16"/>
          <w:szCs w:val="16"/>
          <w:color w:val="333333"/>
        </w:rPr>
        <w:t xml:space="preserve"> in no event shall an officer of the Corporation be delegated the authority to grant Awards to, or amend Awards held by, the following individuals: (a) individuals who are subject to Section 16 or (b) officers of the Corporation (or directors) to whom authority to grant or amend Awards has been delegated hereunder; </w:t>
      </w:r>
      <w:r>
        <w:rPr>
          <w:rFonts w:ascii="Arial" w:cs="Arial" w:eastAsia="Arial" w:hAnsi="Arial"/>
          <w:sz w:val="16"/>
          <w:szCs w:val="16"/>
          <w:u w:val="single" w:color="auto"/>
          <w:color w:val="333333"/>
        </w:rPr>
        <w:t>provided</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further</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that</w:t>
      </w:r>
      <w:r>
        <w:rPr>
          <w:rFonts w:ascii="Arial" w:cs="Arial" w:eastAsia="Arial" w:hAnsi="Arial"/>
          <w:sz w:val="16"/>
          <w:szCs w:val="16"/>
          <w:color w:val="333333"/>
        </w:rPr>
        <w:t xml:space="preserve"> any delegation of administrative authority shall only be permitted to the extent it is permissible under applicable laws. Any delegation hereunder shall be subject to the restrictions and limits that the Board of Directors or Committee specifies at the time of such delegation, and the Board of Directors or the Committee (to the extent the Committee delegated its authority to the delegatee) may at any time rescind the authority so delegated or appoint a new delegatee. At all times, the delegatee appointed under this Section 8(f) shall serve in such capacity at the pleasure of the Board of Directors and the Committee (to the extent the Committee delegated its authority to the delegatee).</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9. Adjustment Provisions</w:t>
      </w:r>
    </w:p>
    <w:p>
      <w:pPr>
        <w:spacing w:after="0" w:line="92" w:lineRule="exact"/>
        <w:rPr>
          <w:sz w:val="20"/>
          <w:szCs w:val="20"/>
          <w:color w:val="auto"/>
        </w:rPr>
      </w:pPr>
    </w:p>
    <w:p>
      <w:pPr>
        <w:ind w:left="860" w:right="120" w:hanging="432"/>
        <w:spacing w:after="0" w:line="256" w:lineRule="auto"/>
        <w:tabs>
          <w:tab w:leader="none" w:pos="860" w:val="left"/>
        </w:tabs>
        <w:numPr>
          <w:ilvl w:val="0"/>
          <w:numId w:val="152"/>
        </w:numPr>
        <w:rPr>
          <w:rFonts w:ascii="Arial" w:cs="Arial" w:eastAsia="Arial" w:hAnsi="Arial"/>
          <w:sz w:val="16"/>
          <w:szCs w:val="16"/>
          <w:color w:val="333333"/>
        </w:rPr>
      </w:pPr>
      <w:r>
        <w:rPr>
          <w:rFonts w:ascii="Arial" w:cs="Arial" w:eastAsia="Arial" w:hAnsi="Arial"/>
          <w:sz w:val="16"/>
          <w:szCs w:val="16"/>
          <w:color w:val="333333"/>
        </w:rPr>
        <w:t>In the event of any change in the outstanding shares of Stock or the value thereof by reason of a stock dividend or split, recapitalization, merger or consolidation, reorganization, combination or exchange of shares, extraordinary dividend, spin-off, split-off or other similar corporate change, the Share Limit (or the number of other securities or other property then remaining subject to this Plan), the exercise price or base price of Options and Stock Appreciation Rights and the terms and conditions of Awards, in each case, including those that are then covered by outstanding Awards, shall be adjusted as the Committee, in its sole discretion, deems equitable or appropriate.</w:t>
      </w:r>
    </w:p>
    <w:p>
      <w:pPr>
        <w:spacing w:after="0" w:line="85" w:lineRule="exact"/>
        <w:rPr>
          <w:rFonts w:ascii="Arial" w:cs="Arial" w:eastAsia="Arial" w:hAnsi="Arial"/>
          <w:sz w:val="16"/>
          <w:szCs w:val="16"/>
          <w:color w:val="333333"/>
        </w:rPr>
      </w:pPr>
    </w:p>
    <w:p>
      <w:pPr>
        <w:ind w:left="860" w:right="260" w:hanging="432"/>
        <w:spacing w:after="0" w:line="266" w:lineRule="auto"/>
        <w:tabs>
          <w:tab w:leader="none" w:pos="860" w:val="left"/>
        </w:tabs>
        <w:numPr>
          <w:ilvl w:val="0"/>
          <w:numId w:val="152"/>
        </w:numPr>
        <w:rPr>
          <w:rFonts w:ascii="Arial" w:cs="Arial" w:eastAsia="Arial" w:hAnsi="Arial"/>
          <w:sz w:val="16"/>
          <w:szCs w:val="16"/>
          <w:color w:val="333333"/>
        </w:rPr>
      </w:pPr>
      <w:r>
        <w:rPr>
          <w:rFonts w:ascii="Arial" w:cs="Arial" w:eastAsia="Arial" w:hAnsi="Arial"/>
          <w:sz w:val="16"/>
          <w:szCs w:val="16"/>
          <w:color w:val="333333"/>
        </w:rPr>
        <w:t>The Committee shall make any further adjustments as it deems necessary (including to vesting conditions), in its sole discretion, to ensure equitable treatment of any holder of an Award as the result of any transaction affecting the securities subject to the Plan, including transactions not described in Section 9(a), or as is required or authorized under the terms of any applicable Award Agreement.</w:t>
      </w:r>
    </w:p>
    <w:p>
      <w:pPr>
        <w:spacing w:after="0" w:line="76" w:lineRule="exact"/>
        <w:rPr>
          <w:rFonts w:ascii="Arial" w:cs="Arial" w:eastAsia="Arial" w:hAnsi="Arial"/>
          <w:sz w:val="16"/>
          <w:szCs w:val="16"/>
          <w:color w:val="333333"/>
        </w:rPr>
      </w:pPr>
    </w:p>
    <w:p>
      <w:pPr>
        <w:ind w:left="860" w:right="340" w:hanging="432"/>
        <w:spacing w:after="0" w:line="266" w:lineRule="auto"/>
        <w:tabs>
          <w:tab w:leader="none" w:pos="860" w:val="left"/>
        </w:tabs>
        <w:numPr>
          <w:ilvl w:val="0"/>
          <w:numId w:val="152"/>
        </w:numPr>
        <w:rPr>
          <w:rFonts w:ascii="Arial" w:cs="Arial" w:eastAsia="Arial" w:hAnsi="Arial"/>
          <w:sz w:val="16"/>
          <w:szCs w:val="16"/>
          <w:color w:val="333333"/>
        </w:rPr>
      </w:pPr>
      <w:r>
        <w:rPr>
          <w:rFonts w:ascii="Arial" w:cs="Arial" w:eastAsia="Arial" w:hAnsi="Arial"/>
          <w:sz w:val="16"/>
          <w:szCs w:val="16"/>
          <w:color w:val="333333"/>
        </w:rPr>
        <w:t>Except as provided in this Section 9, no adjustment shall be made for dividends or other rights, unless the Award Agreement specifically requires such adjustment, in which case, grants of dividend equivalents or similar rights shall not be considered to be a grant of any other shareholder right.</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10. Change in Control</w:t>
      </w:r>
    </w:p>
    <w:p>
      <w:pPr>
        <w:spacing w:after="0" w:line="146" w:lineRule="exact"/>
        <w:rPr>
          <w:sz w:val="20"/>
          <w:szCs w:val="20"/>
          <w:color w:val="auto"/>
        </w:rPr>
      </w:pPr>
    </w:p>
    <w:p>
      <w:pPr>
        <w:ind w:left="860" w:right="140" w:hanging="432"/>
        <w:spacing w:after="0" w:line="266" w:lineRule="auto"/>
        <w:tabs>
          <w:tab w:leader="none" w:pos="860" w:val="left"/>
        </w:tabs>
        <w:numPr>
          <w:ilvl w:val="0"/>
          <w:numId w:val="153"/>
        </w:numPr>
        <w:rPr>
          <w:rFonts w:ascii="Arial" w:cs="Arial" w:eastAsia="Arial" w:hAnsi="Arial"/>
          <w:sz w:val="16"/>
          <w:szCs w:val="16"/>
          <w:color w:val="333333"/>
        </w:rPr>
      </w:pPr>
      <w:r>
        <w:rPr>
          <w:rFonts w:ascii="Arial" w:cs="Arial" w:eastAsia="Arial" w:hAnsi="Arial"/>
          <w:sz w:val="16"/>
          <w:szCs w:val="16"/>
          <w:color w:val="333333"/>
        </w:rPr>
        <w:t>In the event of a Change in Control, if the successor company assumes or substitutes for an outstanding Award (or in the event of a Change in Control in which the Corporation is the ultimate parent corporation and continues the Award), then such Award shall be continued in accordance with its applicable terms and vesting shall not be accelerated as described in Section 10(b) hereof.</w:t>
      </w:r>
    </w:p>
    <w:p>
      <w:pPr>
        <w:spacing w:after="0" w:line="76" w:lineRule="exact"/>
        <w:rPr>
          <w:rFonts w:ascii="Arial" w:cs="Arial" w:eastAsia="Arial" w:hAnsi="Arial"/>
          <w:sz w:val="16"/>
          <w:szCs w:val="16"/>
          <w:color w:val="333333"/>
        </w:rPr>
      </w:pPr>
    </w:p>
    <w:p>
      <w:pPr>
        <w:ind w:left="1300" w:right="20" w:hanging="427"/>
        <w:spacing w:after="0" w:line="256" w:lineRule="auto"/>
        <w:tabs>
          <w:tab w:leader="none" w:pos="1300" w:val="left"/>
        </w:tabs>
        <w:numPr>
          <w:ilvl w:val="1"/>
          <w:numId w:val="153"/>
        </w:numPr>
        <w:rPr>
          <w:rFonts w:ascii="Arial" w:cs="Arial" w:eastAsia="Arial" w:hAnsi="Arial"/>
          <w:sz w:val="16"/>
          <w:szCs w:val="16"/>
          <w:color w:val="333333"/>
        </w:rPr>
      </w:pPr>
      <w:r>
        <w:rPr>
          <w:rFonts w:ascii="Arial" w:cs="Arial" w:eastAsia="Arial" w:hAnsi="Arial"/>
          <w:sz w:val="16"/>
          <w:szCs w:val="16"/>
          <w:color w:val="333333"/>
        </w:rPr>
        <w:t>For the purposes of this Section 10(a), an Award shall be considered assumed or substituted for if, following the Change in Control, the Award confers the right to purchase or receive, for each share of Stock subject to the Award immediately prior to the Change in Control, the consideration (whether stock, cash or other securities or property) received in the transaction constituting a Change in Control by holders of shares of Stock for each share of Stock held on the effective date of such transaction (and if holders were offered a choice of consideration, the type of consideration chosen by the holders of a</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54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C-7</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5">
            <w:col w:w="200" w:space="120"/>
            <w:col w:w="3540" w:space="720"/>
            <w:col w:w="4580" w:space="720"/>
            <w:col w:w="260" w:space="100"/>
            <w:col w:w="780"/>
          </w:cols>
          <w:pgMar w:left="440" w:top="549" w:right="439" w:bottom="1440" w:gutter="0" w:footer="0" w:header="0"/>
          <w:type w:val="continuous"/>
        </w:sectPr>
      </w:pPr>
    </w:p>
    <w:bookmarkStart w:id="124" w:name="page125"/>
    <w:bookmarkEnd w:id="124"/>
    <w:p>
      <w:pPr>
        <w:ind w:left="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968375" cy="4718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968375" cy="471805"/>
                    </a:xfrm>
                    <a:prstGeom prst="rect">
                      <a:avLst/>
                    </a:prstGeom>
                    <a:noFill/>
                  </pic:spPr>
                </pic:pic>
              </a:graphicData>
            </a:graphic>
          </wp:anchor>
        </w:drawing>
        <w:t xml:space="preserve">     Appendix C    </w:t>
      </w:r>
    </w:p>
    <w:p>
      <w:pPr>
        <w:spacing w:after="0" w:line="200" w:lineRule="exact"/>
        <w:rPr>
          <w:sz w:val="20"/>
          <w:szCs w:val="20"/>
          <w:color w:val="auto"/>
        </w:rPr>
      </w:pPr>
    </w:p>
    <w:p>
      <w:pPr>
        <w:spacing w:after="0" w:line="242" w:lineRule="exact"/>
        <w:rPr>
          <w:sz w:val="20"/>
          <w:szCs w:val="20"/>
          <w:color w:val="auto"/>
        </w:rPr>
      </w:pPr>
    </w:p>
    <w:p>
      <w:pPr>
        <w:ind w:left="1300" w:right="20"/>
        <w:spacing w:after="0" w:line="253" w:lineRule="auto"/>
        <w:rPr>
          <w:sz w:val="20"/>
          <w:szCs w:val="20"/>
          <w:color w:val="auto"/>
        </w:rPr>
      </w:pPr>
      <w:r>
        <w:rPr>
          <w:rFonts w:ascii="Arial" w:cs="Arial" w:eastAsia="Arial" w:hAnsi="Arial"/>
          <w:sz w:val="16"/>
          <w:szCs w:val="16"/>
          <w:color w:val="333333"/>
        </w:rPr>
        <w:t xml:space="preserve">majority of the outstanding shares of Stock); </w:t>
      </w:r>
      <w:r>
        <w:rPr>
          <w:rFonts w:ascii="Arial" w:cs="Arial" w:eastAsia="Arial" w:hAnsi="Arial"/>
          <w:sz w:val="16"/>
          <w:szCs w:val="16"/>
          <w:u w:val="single" w:color="auto"/>
          <w:color w:val="333333"/>
        </w:rPr>
        <w:t>provided</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however</w:t>
      </w:r>
      <w:r>
        <w:rPr>
          <w:rFonts w:ascii="Arial" w:cs="Arial" w:eastAsia="Arial" w:hAnsi="Arial"/>
          <w:sz w:val="16"/>
          <w:szCs w:val="16"/>
          <w:color w:val="333333"/>
        </w:rPr>
        <w:t>, that if such consideration received in the transaction constituting a Change in Control is not solely common stock of the successor company, the Committee may, with the consent of the successor company, provide that the consideration to be received upon the exercise or vesting of an Award, for each share of Stock subject thereto, shall be solely common stock of the successor company or cash, in each case, substantially equal in value (determined as of the date of the Change in Control) to the per share consideration received by holders of shares of Stock in the transaction constituting a Change in Control. The determination of such substantial equality of value of consideration shall be made by the Committee in its sole discretion and its determination shall be conclusive and binding.</w:t>
      </w:r>
    </w:p>
    <w:p>
      <w:pPr>
        <w:spacing w:after="0" w:line="87" w:lineRule="exact"/>
        <w:rPr>
          <w:sz w:val="20"/>
          <w:szCs w:val="20"/>
          <w:color w:val="auto"/>
        </w:rPr>
      </w:pPr>
    </w:p>
    <w:p>
      <w:pPr>
        <w:ind w:left="1300" w:right="60" w:hanging="427"/>
        <w:spacing w:after="0" w:line="250" w:lineRule="auto"/>
        <w:tabs>
          <w:tab w:leader="none" w:pos="1300" w:val="left"/>
        </w:tabs>
        <w:numPr>
          <w:ilvl w:val="1"/>
          <w:numId w:val="154"/>
        </w:numPr>
        <w:rPr>
          <w:rFonts w:ascii="Arial" w:cs="Arial" w:eastAsia="Arial" w:hAnsi="Arial"/>
          <w:sz w:val="16"/>
          <w:szCs w:val="16"/>
          <w:color w:val="333333"/>
        </w:rPr>
      </w:pPr>
      <w:r>
        <w:rPr>
          <w:rFonts w:ascii="Arial" w:cs="Arial" w:eastAsia="Arial" w:hAnsi="Arial"/>
          <w:sz w:val="16"/>
          <w:szCs w:val="16"/>
          <w:color w:val="333333"/>
        </w:rPr>
        <w:t>Notwithstanding the foregoing, in the event of a Participant’s termination of employment or service with such successor company involuntarily without Cause or voluntarily by the Participant for Good Reason within two years following such Change in Control, the vesting of each Award held by such Participant at the time of the Change in Control shall be fully accelerated as of the date of such termination, with any applicable performance requirements deemed achieved at the greater of target levels of achievement and actual levels of achievement (based on performance as of the date of the Change in Control, determined by the Committee in its sole discretion at the time of the Change in Control), and, in the case of any Award other than Restricted Stock, Options or Stock Appreciation Rights, settlement of such Award shall occur as soon as practicable, but in no event later than 60 days, following such accelerated vesting; provided that, unless otherwise provided in the applicable Award Agreement, if such Award constitutes “deferred compensation” within the meaning of Section 409A, then to the extent required to avoid accelerated taxation and/or tax penalties under Section 409A, such Award shall vest and cease to be forfeitable upon such termination but shall not be settled until the earliest permissible payment event under Section 409A following such termination.</w:t>
      </w:r>
    </w:p>
    <w:p>
      <w:pPr>
        <w:spacing w:after="0" w:line="92" w:lineRule="exact"/>
        <w:rPr>
          <w:rFonts w:ascii="Arial" w:cs="Arial" w:eastAsia="Arial" w:hAnsi="Arial"/>
          <w:sz w:val="16"/>
          <w:szCs w:val="16"/>
          <w:color w:val="333333"/>
        </w:rPr>
      </w:pPr>
    </w:p>
    <w:p>
      <w:pPr>
        <w:ind w:left="1300" w:right="40" w:hanging="427"/>
        <w:spacing w:after="0" w:line="266" w:lineRule="auto"/>
        <w:tabs>
          <w:tab w:leader="none" w:pos="1300" w:val="left"/>
        </w:tabs>
        <w:numPr>
          <w:ilvl w:val="1"/>
          <w:numId w:val="154"/>
        </w:numPr>
        <w:rPr>
          <w:rFonts w:ascii="Arial" w:cs="Arial" w:eastAsia="Arial" w:hAnsi="Arial"/>
          <w:sz w:val="16"/>
          <w:szCs w:val="16"/>
          <w:color w:val="333333"/>
        </w:rPr>
      </w:pPr>
      <w:r>
        <w:rPr>
          <w:rFonts w:ascii="Arial" w:cs="Arial" w:eastAsia="Arial" w:hAnsi="Arial"/>
          <w:sz w:val="16"/>
          <w:szCs w:val="16"/>
          <w:color w:val="333333"/>
        </w:rPr>
        <w:t>Notwithstanding the foregoing, no Award shall be assumed or substituted pursuant to this Section 10(a) to the extent such action would cause an Award not otherwise constituting “deferred compensation” within the meaning of Section 409A to become “deferred compensation” within the meaning of Section 409A.</w:t>
      </w:r>
    </w:p>
    <w:p>
      <w:pPr>
        <w:spacing w:after="0" w:line="76" w:lineRule="exact"/>
        <w:rPr>
          <w:rFonts w:ascii="Arial" w:cs="Arial" w:eastAsia="Arial" w:hAnsi="Arial"/>
          <w:sz w:val="16"/>
          <w:szCs w:val="16"/>
          <w:color w:val="333333"/>
        </w:rPr>
      </w:pPr>
    </w:p>
    <w:p>
      <w:pPr>
        <w:ind w:left="860" w:right="80" w:hanging="432"/>
        <w:spacing w:after="0" w:line="254" w:lineRule="auto"/>
        <w:tabs>
          <w:tab w:leader="none" w:pos="860" w:val="left"/>
        </w:tabs>
        <w:numPr>
          <w:ilvl w:val="0"/>
          <w:numId w:val="155"/>
        </w:numPr>
        <w:rPr>
          <w:rFonts w:ascii="Arial" w:cs="Arial" w:eastAsia="Arial" w:hAnsi="Arial"/>
          <w:sz w:val="16"/>
          <w:szCs w:val="16"/>
          <w:color w:val="333333"/>
        </w:rPr>
      </w:pPr>
      <w:r>
        <w:rPr>
          <w:rFonts w:ascii="Arial" w:cs="Arial" w:eastAsia="Arial" w:hAnsi="Arial"/>
          <w:sz w:val="16"/>
          <w:szCs w:val="16"/>
          <w:color w:val="333333"/>
        </w:rPr>
        <w:t>In the event of a Change in Control, unless provision is made in connection with the Change in Control for the assumption, substitution or continuation of an outstanding Award in accordance with Section 10(a) hereof, then the vesting of such Award shall accelerate and all restrictions shall lapse as of immediately prior to the Change in Control, and (i) in the case of an outstanding Option or Stock Appreciation Right, such Award shall be exercisable as of immediately prior to such Change in Control, or (ii) in the case of an Award other than an Option or a Stock Appreciation Right, such Award shall be settled or otherwise paid to the applicable Participant as soon as practicable following such vesting (but in no event later than 60 days following such vesting).</w:t>
      </w:r>
    </w:p>
    <w:p>
      <w:pPr>
        <w:spacing w:after="0" w:line="87" w:lineRule="exact"/>
        <w:rPr>
          <w:rFonts w:ascii="Arial" w:cs="Arial" w:eastAsia="Arial" w:hAnsi="Arial"/>
          <w:sz w:val="16"/>
          <w:szCs w:val="16"/>
          <w:color w:val="333333"/>
        </w:rPr>
      </w:pPr>
    </w:p>
    <w:p>
      <w:pPr>
        <w:ind w:left="1300" w:right="20" w:hanging="427"/>
        <w:spacing w:after="0" w:line="251" w:lineRule="auto"/>
        <w:tabs>
          <w:tab w:leader="none" w:pos="1300" w:val="left"/>
        </w:tabs>
        <w:numPr>
          <w:ilvl w:val="1"/>
          <w:numId w:val="155"/>
        </w:numPr>
        <w:rPr>
          <w:rFonts w:ascii="Arial" w:cs="Arial" w:eastAsia="Arial" w:hAnsi="Arial"/>
          <w:sz w:val="16"/>
          <w:szCs w:val="16"/>
          <w:color w:val="333333"/>
        </w:rPr>
      </w:pPr>
      <w:r>
        <w:rPr>
          <w:rFonts w:ascii="Arial" w:cs="Arial" w:eastAsia="Arial" w:hAnsi="Arial"/>
          <w:sz w:val="16"/>
          <w:szCs w:val="16"/>
          <w:color w:val="333333"/>
        </w:rPr>
        <w:t>For purposes of determining vesting and payment under this Section 10(b), all performance requirements shall be deemed achieved at the greater of (A) target levels of achievement and (B) actual levels of achievement determined by the Committee in its sole discretion as of the date of the Change in Control. Notwithstanding any provision of this Section 10(b), unless otherwise provided in the applicable Award Agreement, if any amount payable pursuant to an Award constitutes “deferred compensation” within the meaning of</w:t>
      </w:r>
    </w:p>
    <w:p>
      <w:pPr>
        <w:spacing w:after="0" w:line="2" w:lineRule="exact"/>
        <w:rPr>
          <w:rFonts w:ascii="Arial" w:cs="Arial" w:eastAsia="Arial" w:hAnsi="Arial"/>
          <w:sz w:val="16"/>
          <w:szCs w:val="16"/>
          <w:color w:val="333333"/>
        </w:rPr>
      </w:pPr>
    </w:p>
    <w:p>
      <w:pPr>
        <w:ind w:left="1300" w:right="120"/>
        <w:spacing w:after="0" w:line="246" w:lineRule="auto"/>
        <w:rPr>
          <w:rFonts w:ascii="Arial" w:cs="Arial" w:eastAsia="Arial" w:hAnsi="Arial"/>
          <w:sz w:val="16"/>
          <w:szCs w:val="16"/>
          <w:color w:val="333333"/>
        </w:rPr>
      </w:pPr>
      <w:r>
        <w:rPr>
          <w:rFonts w:ascii="Arial" w:cs="Arial" w:eastAsia="Arial" w:hAnsi="Arial"/>
          <w:sz w:val="16"/>
          <w:szCs w:val="16"/>
          <w:color w:val="333333"/>
        </w:rPr>
        <w:t>Section 409A, then to the extent required to avoid accelerated taxation and/or tax penalties under Section 409A, such Award (and any other Awards that constitute deferred compensation that vested prior to the date of such Change in Control but are outstanding as of such date) shall vest and cease to be forfeitable but shall not be settled until the earliest permissible payment event under</w:t>
      </w:r>
    </w:p>
    <w:p>
      <w:pPr>
        <w:spacing w:after="0" w:line="1" w:lineRule="exact"/>
        <w:rPr>
          <w:rFonts w:ascii="Arial" w:cs="Arial" w:eastAsia="Arial" w:hAnsi="Arial"/>
          <w:sz w:val="16"/>
          <w:szCs w:val="16"/>
          <w:color w:val="333333"/>
        </w:rPr>
      </w:pPr>
    </w:p>
    <w:p>
      <w:pPr>
        <w:ind w:left="1300"/>
        <w:spacing w:after="0"/>
        <w:rPr>
          <w:rFonts w:ascii="Arial" w:cs="Arial" w:eastAsia="Arial" w:hAnsi="Arial"/>
          <w:sz w:val="16"/>
          <w:szCs w:val="16"/>
          <w:color w:val="333333"/>
        </w:rPr>
      </w:pPr>
      <w:r>
        <w:rPr>
          <w:rFonts w:ascii="Arial" w:cs="Arial" w:eastAsia="Arial" w:hAnsi="Arial"/>
          <w:sz w:val="16"/>
          <w:szCs w:val="16"/>
          <w:color w:val="333333"/>
        </w:rPr>
        <w:t>Section 409A following such Change in Control.</w:t>
      </w:r>
    </w:p>
    <w:p>
      <w:pPr>
        <w:spacing w:after="0" w:line="110" w:lineRule="exact"/>
        <w:rPr>
          <w:rFonts w:ascii="Arial" w:cs="Arial" w:eastAsia="Arial" w:hAnsi="Arial"/>
          <w:sz w:val="16"/>
          <w:szCs w:val="16"/>
          <w:color w:val="333333"/>
        </w:rPr>
      </w:pPr>
    </w:p>
    <w:p>
      <w:pPr>
        <w:ind w:left="1300" w:right="40" w:hanging="427"/>
        <w:spacing w:after="0" w:line="250" w:lineRule="auto"/>
        <w:tabs>
          <w:tab w:leader="none" w:pos="1300" w:val="left"/>
        </w:tabs>
        <w:numPr>
          <w:ilvl w:val="1"/>
          <w:numId w:val="155"/>
        </w:numPr>
        <w:rPr>
          <w:rFonts w:ascii="Arial" w:cs="Arial" w:eastAsia="Arial" w:hAnsi="Arial"/>
          <w:sz w:val="16"/>
          <w:szCs w:val="16"/>
          <w:color w:val="333333"/>
        </w:rPr>
      </w:pPr>
      <w:r>
        <w:rPr>
          <w:rFonts w:ascii="Arial" w:cs="Arial" w:eastAsia="Arial" w:hAnsi="Arial"/>
          <w:sz w:val="16"/>
          <w:szCs w:val="16"/>
          <w:color w:val="333333"/>
        </w:rPr>
        <w:t>Notwithstanding any other provision of the Plan, the Committee, in its discretion, may determine that, upon the occurrence of a Change in Control, (A) each Option and Stock Appreciation Right outstanding shall terminate within a specified number of days after notice to the Participant, and such Participant shall receive, with respect to each share of Stock subject to such Option or Stock Appreciation Right, an amount equal to the excess of the fair market value (as determined by the Committee, in its discretion, in a manner that complies with Section 409A) of such share of Stock immediately prior to the occurrence of such Change in Control over the exercise price or base price of such Option or Stock Appreciation Right, as applicable; such amount to be payable in cash, in one or more kinds of stock or property (including the stock or property, if any, payable in the Change in Control transaction) or in a combination thereof, as the Committee, in its discretion, shall determine and (B) each Option and Stock Appreciation Right outstanding at such time with an exercise price or base price of Stock that exceeds the fair market value (as determined by the Committee, in its discretion, in a manner that complies with Section 409A) of such share of Stock immediately prior to the occurrence of such Change in Control shall be canceled for no consideration.</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8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4"/>
          <w:szCs w:val="4"/>
          <w:color w:val="333333"/>
        </w:rPr>
        <w:t>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C-8</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40" w:space="120"/>
            <w:col w:w="620" w:space="120"/>
            <w:col w:w="8620" w:space="720"/>
            <w:col w:w="780"/>
          </w:cols>
          <w:pgMar w:left="440" w:top="589" w:right="439" w:bottom="1440" w:gutter="0" w:footer="0" w:header="0"/>
          <w:type w:val="continuous"/>
        </w:sectPr>
      </w:pPr>
    </w:p>
    <w:bookmarkStart w:id="125" w:name="page126"/>
    <w:bookmarkEnd w:id="125"/>
    <w:p>
      <w:pPr>
        <w:ind w:left="956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200025</wp:posOffset>
            </wp:positionV>
            <wp:extent cx="1045845" cy="3683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045845" cy="368300"/>
                    </a:xfrm>
                    <a:prstGeom prst="rect">
                      <a:avLst/>
                    </a:prstGeom>
                    <a:noFill/>
                  </pic:spPr>
                </pic:pic>
              </a:graphicData>
            </a:graphic>
          </wp:anchor>
        </w:drawing>
        <w:t xml:space="preserve">     Appendix C    </w:t>
      </w:r>
    </w:p>
    <w:p>
      <w:pPr>
        <w:spacing w:after="0" w:line="320" w:lineRule="exact"/>
        <w:rPr>
          <w:sz w:val="20"/>
          <w:szCs w:val="20"/>
          <w:color w:val="auto"/>
        </w:rPr>
      </w:pPr>
    </w:p>
    <w:p>
      <w:pPr>
        <w:ind w:left="860" w:hanging="432"/>
        <w:spacing w:after="0"/>
        <w:tabs>
          <w:tab w:leader="none" w:pos="860" w:val="left"/>
        </w:tabs>
        <w:numPr>
          <w:ilvl w:val="0"/>
          <w:numId w:val="156"/>
        </w:numPr>
        <w:rPr>
          <w:rFonts w:ascii="Arial" w:cs="Arial" w:eastAsia="Arial" w:hAnsi="Arial"/>
          <w:sz w:val="16"/>
          <w:szCs w:val="16"/>
          <w:color w:val="333333"/>
        </w:rPr>
      </w:pPr>
      <w:r>
        <w:rPr>
          <w:rFonts w:ascii="Arial" w:cs="Arial" w:eastAsia="Arial" w:hAnsi="Arial"/>
          <w:sz w:val="16"/>
          <w:szCs w:val="16"/>
          <w:color w:val="333333"/>
        </w:rPr>
        <w:t>For the purposes of this Plan, a “Change in Control” shall mean on or after the effective date of this Plan,</w:t>
      </w:r>
    </w:p>
    <w:p>
      <w:pPr>
        <w:spacing w:after="0" w:line="126" w:lineRule="exact"/>
        <w:rPr>
          <w:rFonts w:ascii="Arial" w:cs="Arial" w:eastAsia="Arial" w:hAnsi="Arial"/>
          <w:sz w:val="16"/>
          <w:szCs w:val="16"/>
          <w:color w:val="333333"/>
        </w:rPr>
      </w:pPr>
    </w:p>
    <w:p>
      <w:pPr>
        <w:ind w:left="1300" w:right="60" w:hanging="427"/>
        <w:spacing w:after="0" w:line="256" w:lineRule="auto"/>
        <w:tabs>
          <w:tab w:leader="none" w:pos="1300" w:val="left"/>
        </w:tabs>
        <w:numPr>
          <w:ilvl w:val="1"/>
          <w:numId w:val="156"/>
        </w:numPr>
        <w:rPr>
          <w:rFonts w:ascii="Arial" w:cs="Arial" w:eastAsia="Arial" w:hAnsi="Arial"/>
          <w:sz w:val="16"/>
          <w:szCs w:val="16"/>
          <w:color w:val="333333"/>
        </w:rPr>
      </w:pPr>
      <w:r>
        <w:rPr>
          <w:rFonts w:ascii="Arial" w:cs="Arial" w:eastAsia="Arial" w:hAnsi="Arial"/>
          <w:sz w:val="16"/>
          <w:szCs w:val="16"/>
          <w:color w:val="333333"/>
        </w:rPr>
        <w:t>The acquisition by any individual, entity or group (within the meaning of Section 13(d)(3) or 14(d)(2) of the Exchange Act (an “Acquiring Person”) of beneficial ownership (within the meaning of Rule 13d-3 promulgated under the Exchange Act) of 40% or more of either</w:t>
      </w:r>
    </w:p>
    <w:p>
      <w:pPr>
        <w:spacing w:after="0" w:line="1" w:lineRule="exact"/>
        <w:rPr>
          <w:rFonts w:ascii="Arial" w:cs="Arial" w:eastAsia="Arial" w:hAnsi="Arial"/>
          <w:sz w:val="16"/>
          <w:szCs w:val="16"/>
          <w:color w:val="333333"/>
        </w:rPr>
      </w:pPr>
    </w:p>
    <w:p>
      <w:pPr>
        <w:ind w:left="1300" w:right="180" w:firstLine="5"/>
        <w:spacing w:after="0" w:line="249" w:lineRule="auto"/>
        <w:tabs>
          <w:tab w:leader="none" w:pos="1561" w:val="left"/>
        </w:tabs>
        <w:numPr>
          <w:ilvl w:val="2"/>
          <w:numId w:val="156"/>
        </w:numPr>
        <w:rPr>
          <w:rFonts w:ascii="Arial" w:cs="Arial" w:eastAsia="Arial" w:hAnsi="Arial"/>
          <w:sz w:val="16"/>
          <w:szCs w:val="16"/>
          <w:color w:val="333333"/>
        </w:rPr>
      </w:pPr>
      <w:r>
        <w:rPr>
          <w:rFonts w:ascii="Arial" w:cs="Arial" w:eastAsia="Arial" w:hAnsi="Arial"/>
          <w:sz w:val="16"/>
          <w:szCs w:val="16"/>
          <w:color w:val="333333"/>
        </w:rPr>
        <w:t xml:space="preserve">the fully diluted shares of Stock, as reflected on the Corporation’s financial statements (the “Outstanding Corporation Common Stock”), or (B) the combined voting power of the then outstanding voting securities of the Corporation entitled to vote generally in the election of directors (the “Outstanding Corporation Voting Securities”); </w:t>
      </w:r>
      <w:r>
        <w:rPr>
          <w:rFonts w:ascii="Arial" w:cs="Arial" w:eastAsia="Arial" w:hAnsi="Arial"/>
          <w:sz w:val="16"/>
          <w:szCs w:val="16"/>
          <w:u w:val="single" w:color="auto"/>
          <w:color w:val="333333"/>
        </w:rPr>
        <w:t>provided</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however</w:t>
      </w:r>
      <w:r>
        <w:rPr>
          <w:rFonts w:ascii="Arial" w:cs="Arial" w:eastAsia="Arial" w:hAnsi="Arial"/>
          <w:sz w:val="16"/>
          <w:szCs w:val="16"/>
          <w:color w:val="333333"/>
        </w:rPr>
        <w:t xml:space="preserve">, </w:t>
      </w:r>
      <w:r>
        <w:rPr>
          <w:rFonts w:ascii="Arial" w:cs="Arial" w:eastAsia="Arial" w:hAnsi="Arial"/>
          <w:sz w:val="16"/>
          <w:szCs w:val="16"/>
          <w:u w:val="single" w:color="auto"/>
          <w:color w:val="333333"/>
        </w:rPr>
        <w:t>that</w:t>
      </w:r>
      <w:r>
        <w:rPr>
          <w:rFonts w:ascii="Arial" w:cs="Arial" w:eastAsia="Arial" w:hAnsi="Arial"/>
          <w:sz w:val="16"/>
          <w:szCs w:val="16"/>
          <w:color w:val="333333"/>
        </w:rPr>
        <w:t xml:space="preserve"> for purposes of this subsection (i), the following acquisitions shall not constitute a Change in Control: (1) any acquisition by the Corporation or any “affiliate” of the Corporation, within the meaning of 17 C.F.R. § 230.405 (a “CIC Affiliate”), (2) any acquisition by any employee benefit plan (or related trust) sponsored or maintained by the Corporation or any CIC Affiliate of the Corporation, or (3) any acquisition by any entity pursuant to a transaction which complies with clauses (A), (B) and (C) of subsection (iii) of this definition; or</w:t>
      </w:r>
    </w:p>
    <w:p>
      <w:pPr>
        <w:spacing w:after="0" w:line="92" w:lineRule="exact"/>
        <w:rPr>
          <w:rFonts w:ascii="Arial" w:cs="Arial" w:eastAsia="Arial" w:hAnsi="Arial"/>
          <w:sz w:val="16"/>
          <w:szCs w:val="16"/>
          <w:color w:val="333333"/>
        </w:rPr>
      </w:pPr>
    </w:p>
    <w:p>
      <w:pPr>
        <w:ind w:left="1300" w:hanging="427"/>
        <w:spacing w:after="0"/>
        <w:tabs>
          <w:tab w:leader="none" w:pos="1300" w:val="left"/>
        </w:tabs>
        <w:numPr>
          <w:ilvl w:val="1"/>
          <w:numId w:val="156"/>
        </w:numPr>
        <w:rPr>
          <w:rFonts w:ascii="Arial" w:cs="Arial" w:eastAsia="Arial" w:hAnsi="Arial"/>
          <w:sz w:val="16"/>
          <w:szCs w:val="16"/>
          <w:color w:val="333333"/>
        </w:rPr>
      </w:pPr>
      <w:r>
        <w:rPr>
          <w:rFonts w:ascii="Arial" w:cs="Arial" w:eastAsia="Arial" w:hAnsi="Arial"/>
          <w:sz w:val="16"/>
          <w:szCs w:val="16"/>
          <w:color w:val="333333"/>
        </w:rPr>
        <w:t>Individuals who constitute the Incumbent Board cease for any reason to constitute at least a majority of the Board of Directors; or</w:t>
      </w:r>
    </w:p>
    <w:p>
      <w:pPr>
        <w:spacing w:after="0" w:line="126" w:lineRule="exact"/>
        <w:rPr>
          <w:rFonts w:ascii="Arial" w:cs="Arial" w:eastAsia="Arial" w:hAnsi="Arial"/>
          <w:sz w:val="16"/>
          <w:szCs w:val="16"/>
          <w:color w:val="333333"/>
        </w:rPr>
      </w:pPr>
    </w:p>
    <w:p>
      <w:pPr>
        <w:ind w:left="1300" w:right="20" w:hanging="427"/>
        <w:spacing w:after="0" w:line="248" w:lineRule="auto"/>
        <w:tabs>
          <w:tab w:leader="none" w:pos="1300" w:val="left"/>
        </w:tabs>
        <w:numPr>
          <w:ilvl w:val="1"/>
          <w:numId w:val="156"/>
        </w:numPr>
        <w:rPr>
          <w:rFonts w:ascii="Arial" w:cs="Arial" w:eastAsia="Arial" w:hAnsi="Arial"/>
          <w:sz w:val="16"/>
          <w:szCs w:val="16"/>
          <w:color w:val="333333"/>
        </w:rPr>
      </w:pPr>
      <w:r>
        <w:rPr>
          <w:rFonts w:ascii="Arial" w:cs="Arial" w:eastAsia="Arial" w:hAnsi="Arial"/>
          <w:sz w:val="16"/>
          <w:szCs w:val="16"/>
          <w:color w:val="333333"/>
        </w:rPr>
        <w:t>Consummation of a reorganization, merger or consolidation or sale or other disposition of all or substantially all of the assets of the Corporation or any Subsidiary (but only to the extent any voting securities of the Corporation entitled to vote generally in the election of directors is issued in such transaction) (such transactions, a “Business Combination”), in each case, unless, following such Business Combination, (A)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or other entity resulting from such Business Combination (including, without limitation, a corporation or other entity which as a result of such transaction owns the Corporation or all or substantially all of the Corporation’s assets either directly or through one or more subsidiaries) (the “Resulting Entity”) in substantially the same proportions as their ownership, immediately prior to such Business Combination, of the Outstanding Corporation Common Stock and Outstanding Corporation Voting Securities, as the case may be,</w:t>
      </w:r>
    </w:p>
    <w:p>
      <w:pPr>
        <w:spacing w:after="0" w:line="3" w:lineRule="exact"/>
        <w:rPr>
          <w:rFonts w:ascii="Arial" w:cs="Arial" w:eastAsia="Arial" w:hAnsi="Arial"/>
          <w:sz w:val="16"/>
          <w:szCs w:val="16"/>
          <w:color w:val="333333"/>
        </w:rPr>
      </w:pPr>
    </w:p>
    <w:p>
      <w:pPr>
        <w:ind w:left="1300" w:right="20" w:firstLine="5"/>
        <w:spacing w:after="0" w:line="249" w:lineRule="auto"/>
        <w:tabs>
          <w:tab w:leader="none" w:pos="1561" w:val="left"/>
        </w:tabs>
        <w:numPr>
          <w:ilvl w:val="2"/>
          <w:numId w:val="157"/>
        </w:numPr>
        <w:rPr>
          <w:rFonts w:ascii="Arial" w:cs="Arial" w:eastAsia="Arial" w:hAnsi="Arial"/>
          <w:sz w:val="16"/>
          <w:szCs w:val="16"/>
          <w:color w:val="333333"/>
        </w:rPr>
      </w:pPr>
      <w:r>
        <w:rPr>
          <w:rFonts w:ascii="Arial" w:cs="Arial" w:eastAsia="Arial" w:hAnsi="Arial"/>
          <w:sz w:val="16"/>
          <w:szCs w:val="16"/>
          <w:color w:val="333333"/>
        </w:rPr>
        <w:t>no Person (excluding any employee benefit plan (or related trust) sponsored or maintained by the Corporation or any CIC Affiliate of the Corporation, or the Resulting Entity or any Affiliate of the Resulting Entity) beneficially owns, directly or indirectly, 40% or more of, respectively, the fully diluted shares of common stock of the Resulting Entity, as reflected on the Resulting Entity’s financial statements, or the combined voting power of the then outstanding voting securities of the Resulting Entity except to the extent that such ownership existed prior to the Business Combination, and (C) at least a majority of the members of the Board of Directors of the Resulting Entity were members of the Incumbent Board at the time of the execution of the initial agreement, or of the action of the Board of Directors, providing for such Business Combination; or</w:t>
      </w:r>
    </w:p>
    <w:p>
      <w:pPr>
        <w:spacing w:after="0" w:line="92" w:lineRule="exact"/>
        <w:rPr>
          <w:rFonts w:ascii="Arial" w:cs="Arial" w:eastAsia="Arial" w:hAnsi="Arial"/>
          <w:sz w:val="16"/>
          <w:szCs w:val="16"/>
          <w:color w:val="333333"/>
        </w:rPr>
      </w:pPr>
    </w:p>
    <w:p>
      <w:pPr>
        <w:ind w:left="1300" w:hanging="427"/>
        <w:spacing w:after="0"/>
        <w:tabs>
          <w:tab w:leader="none" w:pos="1300" w:val="left"/>
        </w:tabs>
        <w:numPr>
          <w:ilvl w:val="1"/>
          <w:numId w:val="158"/>
        </w:numPr>
        <w:rPr>
          <w:rFonts w:ascii="Arial" w:cs="Arial" w:eastAsia="Arial" w:hAnsi="Arial"/>
          <w:sz w:val="16"/>
          <w:szCs w:val="16"/>
          <w:color w:val="333333"/>
        </w:rPr>
      </w:pPr>
      <w:r>
        <w:rPr>
          <w:rFonts w:ascii="Arial" w:cs="Arial" w:eastAsia="Arial" w:hAnsi="Arial"/>
          <w:sz w:val="16"/>
          <w:szCs w:val="16"/>
          <w:color w:val="333333"/>
        </w:rPr>
        <w:t>Approval by the shareholders of the Corporation of a complete liquidation or dissolution of the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11. Unfunded Plan</w:t>
      </w:r>
    </w:p>
    <w:p>
      <w:pPr>
        <w:spacing w:after="0" w:line="7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333333"/>
        </w:rPr>
        <w:t>This Plan shall be unfunded. Neither the Corporation nor the Board of Directors shall be required to segregate any assets that may at any time be represented by Awards made pursuant to this Plan. Neither the Corporation, the Committee, nor the Board of Directors shall be deemed to be a trustee of any amounts to be paid under this Plan.</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12. Rights of Potential Participants</w:t>
      </w:r>
    </w:p>
    <w:p>
      <w:pPr>
        <w:spacing w:after="0" w:line="92" w:lineRule="exact"/>
        <w:rPr>
          <w:sz w:val="20"/>
          <w:szCs w:val="20"/>
          <w:color w:val="auto"/>
        </w:rPr>
      </w:pPr>
    </w:p>
    <w:p>
      <w:pPr>
        <w:jc w:val="both"/>
        <w:ind w:left="860" w:right="100" w:hanging="432"/>
        <w:spacing w:after="0" w:line="266" w:lineRule="auto"/>
        <w:tabs>
          <w:tab w:leader="none" w:pos="860" w:val="left"/>
        </w:tabs>
        <w:numPr>
          <w:ilvl w:val="0"/>
          <w:numId w:val="159"/>
        </w:numPr>
        <w:rPr>
          <w:rFonts w:ascii="Arial" w:cs="Arial" w:eastAsia="Arial" w:hAnsi="Arial"/>
          <w:sz w:val="16"/>
          <w:szCs w:val="16"/>
          <w:color w:val="333333"/>
        </w:rPr>
      </w:pPr>
      <w:r>
        <w:rPr>
          <w:rFonts w:ascii="Arial" w:cs="Arial" w:eastAsia="Arial" w:hAnsi="Arial"/>
          <w:sz w:val="16"/>
          <w:szCs w:val="16"/>
          <w:color w:val="333333"/>
        </w:rPr>
        <w:t>Status as an Employee, Consultant or Eligible Director shall not be construed as a commitment that any Award will be made under this Plan to such Employee, Consultant or Eligible Director or to Employees, Consultants or Eligible Directors generally. Selection to receive an Award and become a Participant is not a guarantee that such Participant will receive any future Awards under this Plan.</w:t>
      </w:r>
    </w:p>
    <w:p>
      <w:pPr>
        <w:spacing w:after="0" w:line="76" w:lineRule="exact"/>
        <w:rPr>
          <w:rFonts w:ascii="Arial" w:cs="Arial" w:eastAsia="Arial" w:hAnsi="Arial"/>
          <w:sz w:val="16"/>
          <w:szCs w:val="16"/>
          <w:color w:val="333333"/>
        </w:rPr>
      </w:pPr>
    </w:p>
    <w:p>
      <w:pPr>
        <w:ind w:left="860" w:right="20" w:hanging="432"/>
        <w:spacing w:after="0" w:line="262" w:lineRule="auto"/>
        <w:tabs>
          <w:tab w:leader="none" w:pos="860" w:val="left"/>
        </w:tabs>
        <w:numPr>
          <w:ilvl w:val="0"/>
          <w:numId w:val="159"/>
        </w:numPr>
        <w:rPr>
          <w:rFonts w:ascii="Arial" w:cs="Arial" w:eastAsia="Arial" w:hAnsi="Arial"/>
          <w:sz w:val="16"/>
          <w:szCs w:val="16"/>
          <w:color w:val="333333"/>
        </w:rPr>
      </w:pPr>
      <w:r>
        <w:rPr>
          <w:rFonts w:ascii="Arial" w:cs="Arial" w:eastAsia="Arial" w:hAnsi="Arial"/>
          <w:sz w:val="16"/>
          <w:szCs w:val="16"/>
          <w:color w:val="333333"/>
        </w:rPr>
        <w:t>Nothing contained in this Plan (or in any other documents related to this Plan or to any Award) shall confer upon any Employee or other Participant any right to continue in the employment or other service of the Corporation or constitute any contract or limit in any way the right of the Corporation to change such person’s compensation or other benefits or to terminate the employment of such person with or without cause.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5911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ectPr>
          <w:pgSz w:w="11900" w:h="16838" w:orient="portrait"/>
          <w:cols w:equalWidth="0" w:num="1">
            <w:col w:w="11020"/>
          </w:cols>
          <w:pgMar w:left="440" w:top="54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C-9</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5">
            <w:col w:w="200" w:space="120"/>
            <w:col w:w="3540" w:space="720"/>
            <w:col w:w="4580" w:space="720"/>
            <w:col w:w="260" w:space="100"/>
            <w:col w:w="780"/>
          </w:cols>
          <w:pgMar w:left="440" w:top="549" w:right="439" w:bottom="1440" w:gutter="0" w:footer="0" w:header="0"/>
          <w:type w:val="continuous"/>
        </w:sectPr>
      </w:pPr>
    </w:p>
    <w:bookmarkStart w:id="126" w:name="page127"/>
    <w:bookmarkEnd w:id="126"/>
    <w:p>
      <w:pPr>
        <w:ind w:left="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968375" cy="4718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968375" cy="471805"/>
                    </a:xfrm>
                    <a:prstGeom prst="rect">
                      <a:avLst/>
                    </a:prstGeom>
                    <a:noFill/>
                  </pic:spPr>
                </pic:pic>
              </a:graphicData>
            </a:graphic>
          </wp:anchor>
        </w:drawing>
        <w:t xml:space="preserve">     Appendix C    </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13. Duration</w:t>
      </w:r>
    </w:p>
    <w:p>
      <w:pPr>
        <w:spacing w:after="0" w:line="7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 xml:space="preserve">This Plan shall remain in effect until all Awards under the Plan have been exercised or terminated under the terms of this Plan and applicable Award Agreement, </w:t>
      </w:r>
      <w:r>
        <w:rPr>
          <w:rFonts w:ascii="Arial" w:cs="Arial" w:eastAsia="Arial" w:hAnsi="Arial"/>
          <w:sz w:val="16"/>
          <w:szCs w:val="16"/>
          <w:u w:val="single" w:color="auto"/>
          <w:color w:val="333333"/>
        </w:rPr>
        <w:t>provided that</w:t>
      </w:r>
      <w:r>
        <w:rPr>
          <w:rFonts w:ascii="Arial" w:cs="Arial" w:eastAsia="Arial" w:hAnsi="Arial"/>
          <w:sz w:val="16"/>
          <w:szCs w:val="16"/>
          <w:color w:val="333333"/>
        </w:rPr>
        <w:t xml:space="preserve"> Awards under this Plan may only be granted until the tenth anniversary of the date the shareholders of the Corporation approve this Plan.</w:t>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14. Section 409A</w:t>
      </w:r>
    </w:p>
    <w:p>
      <w:pPr>
        <w:spacing w:after="0" w:line="92" w:lineRule="exact"/>
        <w:rPr>
          <w:sz w:val="20"/>
          <w:szCs w:val="20"/>
          <w:color w:val="auto"/>
        </w:rPr>
      </w:pPr>
    </w:p>
    <w:p>
      <w:pPr>
        <w:ind w:left="860" w:right="140" w:hanging="432"/>
        <w:spacing w:after="0" w:line="286" w:lineRule="auto"/>
        <w:tabs>
          <w:tab w:leader="none" w:pos="860" w:val="left"/>
        </w:tabs>
        <w:numPr>
          <w:ilvl w:val="0"/>
          <w:numId w:val="160"/>
        </w:numPr>
        <w:rPr>
          <w:rFonts w:ascii="Arial" w:cs="Arial" w:eastAsia="Arial" w:hAnsi="Arial"/>
          <w:sz w:val="16"/>
          <w:szCs w:val="16"/>
          <w:color w:val="333333"/>
        </w:rPr>
      </w:pPr>
      <w:r>
        <w:rPr>
          <w:rFonts w:ascii="Arial" w:cs="Arial" w:eastAsia="Arial" w:hAnsi="Arial"/>
          <w:sz w:val="16"/>
          <w:szCs w:val="16"/>
          <w:color w:val="333333"/>
        </w:rPr>
        <w:t>It is intended that the provisions of this Plan comply with Section 409A, and all provisions of this Plan shall be construed and interpreted in a manner consistent with the requirements for avoiding taxes or penalties under Section 409A.</w:t>
      </w:r>
    </w:p>
    <w:p>
      <w:pPr>
        <w:spacing w:after="0" w:line="61" w:lineRule="exact"/>
        <w:rPr>
          <w:rFonts w:ascii="Arial" w:cs="Arial" w:eastAsia="Arial" w:hAnsi="Arial"/>
          <w:sz w:val="16"/>
          <w:szCs w:val="16"/>
          <w:color w:val="333333"/>
        </w:rPr>
      </w:pPr>
    </w:p>
    <w:p>
      <w:pPr>
        <w:ind w:left="860" w:right="140" w:hanging="432"/>
        <w:spacing w:after="0" w:line="256" w:lineRule="auto"/>
        <w:tabs>
          <w:tab w:leader="none" w:pos="860" w:val="left"/>
        </w:tabs>
        <w:numPr>
          <w:ilvl w:val="0"/>
          <w:numId w:val="160"/>
        </w:numPr>
        <w:rPr>
          <w:rFonts w:ascii="Arial" w:cs="Arial" w:eastAsia="Arial" w:hAnsi="Arial"/>
          <w:sz w:val="16"/>
          <w:szCs w:val="16"/>
          <w:color w:val="333333"/>
        </w:rPr>
      </w:pPr>
      <w:r>
        <w:rPr>
          <w:rFonts w:ascii="Arial" w:cs="Arial" w:eastAsia="Arial" w:hAnsi="Arial"/>
          <w:sz w:val="16"/>
          <w:szCs w:val="16"/>
          <w:color w:val="333333"/>
        </w:rPr>
        <w:t>No Participant or the creditors or beneficiaries of a Participant shall have the right to subject any deferred compensation (within the meaning of Section 409A) payable under the Plan to any anticipation, alienation, sale, transfer, assignment, pledge, encumbrance, attachment or garnishment. Except as permitted under Section 409A, any deferred compensation (within the meaning of Section 409A) payable to any Participant or for the benefit of any Participant under this Plan may not be reduced by, or offset against, any amount owing by any such Participant to the Corporation or any of its Affiliates.</w:t>
      </w:r>
    </w:p>
    <w:p>
      <w:pPr>
        <w:spacing w:after="0" w:line="85" w:lineRule="exact"/>
        <w:rPr>
          <w:rFonts w:ascii="Arial" w:cs="Arial" w:eastAsia="Arial" w:hAnsi="Arial"/>
          <w:sz w:val="16"/>
          <w:szCs w:val="16"/>
          <w:color w:val="333333"/>
        </w:rPr>
      </w:pPr>
    </w:p>
    <w:p>
      <w:pPr>
        <w:ind w:left="860" w:right="240" w:hanging="432"/>
        <w:spacing w:after="0" w:line="256" w:lineRule="auto"/>
        <w:tabs>
          <w:tab w:leader="none" w:pos="860" w:val="left"/>
        </w:tabs>
        <w:numPr>
          <w:ilvl w:val="0"/>
          <w:numId w:val="160"/>
        </w:numPr>
        <w:rPr>
          <w:rFonts w:ascii="Arial" w:cs="Arial" w:eastAsia="Arial" w:hAnsi="Arial"/>
          <w:sz w:val="16"/>
          <w:szCs w:val="16"/>
          <w:color w:val="333333"/>
        </w:rPr>
      </w:pPr>
      <w:r>
        <w:rPr>
          <w:rFonts w:ascii="Arial" w:cs="Arial" w:eastAsia="Arial" w:hAnsi="Arial"/>
          <w:sz w:val="16"/>
          <w:szCs w:val="16"/>
          <w:color w:val="333333"/>
        </w:rPr>
        <w:t>If, at the time of a Participant’s separation from service (within the meaning of Section 409A), (A) such Participant shall be a specified employee (within the meaning of Section 409A and using the identification methodology selected by the Corporation from time to time) and</w:t>
      </w:r>
    </w:p>
    <w:p>
      <w:pPr>
        <w:spacing w:after="0" w:line="1" w:lineRule="exact"/>
        <w:rPr>
          <w:rFonts w:ascii="Arial" w:cs="Arial" w:eastAsia="Arial" w:hAnsi="Arial"/>
          <w:sz w:val="16"/>
          <w:szCs w:val="16"/>
          <w:color w:val="333333"/>
        </w:rPr>
      </w:pPr>
    </w:p>
    <w:p>
      <w:pPr>
        <w:ind w:left="860" w:right="60"/>
        <w:spacing w:after="0" w:line="249" w:lineRule="auto"/>
        <w:rPr>
          <w:rFonts w:ascii="Arial" w:cs="Arial" w:eastAsia="Arial" w:hAnsi="Arial"/>
          <w:sz w:val="16"/>
          <w:szCs w:val="16"/>
          <w:color w:val="333333"/>
        </w:rPr>
      </w:pPr>
      <w:r>
        <w:rPr>
          <w:rFonts w:ascii="Arial" w:cs="Arial" w:eastAsia="Arial" w:hAnsi="Arial"/>
          <w:sz w:val="16"/>
          <w:szCs w:val="16"/>
          <w:color w:val="333333"/>
        </w:rPr>
        <w:t>(B) the Corporation shall make a good faith determination that an amount payable pursuant to an Award constitutes deferred compensation (within the meaning of Section 409A) the payment of which is required to be delayed pursuant to the six-month delay rule set forth in Section 409A in order to avoid taxes or penalties under Section 409A, then the Corporation shall not pay such amount on the otherwise scheduled payment date but shall instead pay it on the first business day after such six-month period. Such amount shall be paid without interest, unless otherwise determined by the Committee, in its sole discretion, or as otherwise provided in any applicable employment agreement between the Corporation and the relevant Participant. For purposes of Section 409A, any right to a series of installment payments under any Award shall be treated as a right to a series of separate payments.</w:t>
      </w:r>
    </w:p>
    <w:p>
      <w:pPr>
        <w:spacing w:after="0" w:line="92" w:lineRule="exact"/>
        <w:rPr>
          <w:rFonts w:ascii="Arial" w:cs="Arial" w:eastAsia="Arial" w:hAnsi="Arial"/>
          <w:sz w:val="16"/>
          <w:szCs w:val="16"/>
          <w:color w:val="333333"/>
        </w:rPr>
      </w:pPr>
    </w:p>
    <w:p>
      <w:pPr>
        <w:ind w:left="860" w:right="60" w:hanging="432"/>
        <w:spacing w:after="0" w:line="254" w:lineRule="auto"/>
        <w:tabs>
          <w:tab w:leader="none" w:pos="860" w:val="left"/>
        </w:tabs>
        <w:numPr>
          <w:ilvl w:val="0"/>
          <w:numId w:val="160"/>
        </w:numPr>
        <w:rPr>
          <w:rFonts w:ascii="Arial" w:cs="Arial" w:eastAsia="Arial" w:hAnsi="Arial"/>
          <w:sz w:val="16"/>
          <w:szCs w:val="16"/>
          <w:color w:val="333333"/>
        </w:rPr>
      </w:pPr>
      <w:r>
        <w:rPr>
          <w:rFonts w:ascii="Arial" w:cs="Arial" w:eastAsia="Arial" w:hAnsi="Arial"/>
          <w:sz w:val="16"/>
          <w:szCs w:val="16"/>
          <w:color w:val="333333"/>
        </w:rPr>
        <w:t>Notwithstanding any provision of this Plan to the contrary, in light of the uncertainty with respect to the proper application of Section 409A, the Corporation reserves the right to make amendments to any Award as the Corporation deems necessary or desirable to avoid the imposition of taxes or penalties under Section 409A. In any case, a Participant shall be solely responsible and liable for the satisfaction of all taxes and penalties that may be imposed on such Participant or for such Participant’s account in connection with an Award (including any taxes and penalties under Section 409A), and neither the Corporation nor any of its Affiliates shall have any obligation to indemnify or otherwise hold such Participant harmless from any or all of such taxes or penalties.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15. Restrictions on Transferability</w:t>
      </w:r>
    </w:p>
    <w:p>
      <w:pPr>
        <w:spacing w:after="0" w:line="7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333333"/>
        </w:rPr>
        <w:t xml:space="preserve">No Award granted under the Plan shall be transferable otherwise than by will or the laws of descent and distribution and, during the lifetime of the Participant, shall be exercisable (in the case of an Option) or, in the case of an Award other than an Option, held only by him or for his benefit by his attorney-in- fact or guardian; </w:t>
      </w:r>
      <w:r>
        <w:rPr>
          <w:rFonts w:ascii="Arial" w:cs="Arial" w:eastAsia="Arial" w:hAnsi="Arial"/>
          <w:sz w:val="16"/>
          <w:szCs w:val="16"/>
          <w:u w:val="single" w:color="auto"/>
          <w:color w:val="333333"/>
        </w:rPr>
        <w:t>provided that</w:t>
      </w:r>
      <w:r>
        <w:rPr>
          <w:rFonts w:ascii="Arial" w:cs="Arial" w:eastAsia="Arial" w:hAnsi="Arial"/>
          <w:sz w:val="16"/>
          <w:szCs w:val="16"/>
          <w:color w:val="333333"/>
        </w:rPr>
        <w:t xml:space="preserve"> the Committee or its delegate may, in its discretion, at the time of grant of a Non-Qualified Stock Option or at the time of grant of another type of Award, or by amendment of an Award Agreement for an Incentive Stock Option or another type of Award, provide that Awards granted to or held by a Participant may be transferred, in whole or in part, to one or more transferees and exercised by any such transferee; </w:t>
      </w:r>
      <w:r>
        <w:rPr>
          <w:rFonts w:ascii="Arial" w:cs="Arial" w:eastAsia="Arial" w:hAnsi="Arial"/>
          <w:sz w:val="16"/>
          <w:szCs w:val="16"/>
          <w:u w:val="single" w:color="auto"/>
          <w:color w:val="333333"/>
        </w:rPr>
        <w:t>provided further that</w:t>
      </w:r>
      <w:r>
        <w:rPr>
          <w:rFonts w:ascii="Arial" w:cs="Arial" w:eastAsia="Arial" w:hAnsi="Arial"/>
          <w:sz w:val="16"/>
          <w:szCs w:val="16"/>
          <w:color w:val="333333"/>
        </w:rPr>
        <w:t xml:space="preserve"> (a) any such transfer is without consideration and (b) each transferee is a Family Member with respect to the Participant; and </w:t>
      </w:r>
      <w:r>
        <w:rPr>
          <w:rFonts w:ascii="Arial" w:cs="Arial" w:eastAsia="Arial" w:hAnsi="Arial"/>
          <w:sz w:val="16"/>
          <w:szCs w:val="16"/>
          <w:u w:val="single" w:color="auto"/>
          <w:color w:val="333333"/>
        </w:rPr>
        <w:t>provided further that</w:t>
      </w:r>
      <w:r>
        <w:rPr>
          <w:rFonts w:ascii="Arial" w:cs="Arial" w:eastAsia="Arial" w:hAnsi="Arial"/>
          <w:sz w:val="16"/>
          <w:szCs w:val="16"/>
          <w:color w:val="333333"/>
        </w:rPr>
        <w:t xml:space="preserve"> any Incentive Stock Option granted pursuant to an Award Agreement which is amended to permit transfers during the lifetime of the optionee shall, upon the effectiveness of such amendment, be treated thereafter as a Non-Qualified Option. No transfer of an Award shall be effective unless the Corporation’s Office of the General Counsel is notified of the terms and conditions of the transfer and the Office of the General Counsel determines that the transfer complies with the requirements for transfers of Awards under the Plan and the Award document.</w:t>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16. Clawback</w:t>
      </w:r>
    </w:p>
    <w:p>
      <w:pPr>
        <w:spacing w:after="0" w:line="7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33333"/>
        </w:rPr>
        <w:t>Notwithstanding anything to the contrary contained herein, an Award held by a Participant shall be cancelled if such Participant, without the consent of the Corporation, while employed by or providing services to the Corporation or any Affiliate of the Corporation or after termination of such employment or service, to the extent applicable to the Participant, violates any policy adopted by the Corporation or any Affiliate of the Corporation relating to the recovery of compensation granted, paid, delivered, awarded or otherwise provided to any Participant by the Corporation or any Affiliate of the Corporation as such policy is in effect on the date of grant of the applicable Award</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6000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8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86CC"/>
        </w:rPr>
        <w:t>C-10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4">
            <w:col w:w="200" w:space="120"/>
            <w:col w:w="460" w:space="120"/>
            <w:col w:w="8620" w:space="720"/>
            <w:col w:w="780"/>
          </w:cols>
          <w:pgMar w:left="440" w:top="589" w:right="439" w:bottom="1440" w:gutter="0" w:footer="0" w:header="0"/>
          <w:type w:val="continuous"/>
        </w:sectPr>
      </w:pPr>
    </w:p>
    <w:bookmarkStart w:id="127" w:name="page128"/>
    <w:bookmarkEnd w:id="127"/>
    <w:p>
      <w:pPr>
        <w:jc w:val="right"/>
        <w:ind w:right="20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200025</wp:posOffset>
            </wp:positionV>
            <wp:extent cx="1045845" cy="3683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045845" cy="368300"/>
                    </a:xfrm>
                    <a:prstGeom prst="rect">
                      <a:avLst/>
                    </a:prstGeom>
                    <a:noFill/>
                  </pic:spPr>
                </pic:pic>
              </a:graphicData>
            </a:graphic>
          </wp:anchor>
        </w:drawing>
        <w:t xml:space="preserve">     Appendix C    </w:t>
      </w:r>
    </w:p>
    <w:p>
      <w:pPr>
        <w:spacing w:after="0" w:line="32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333333"/>
        </w:rPr>
        <w:t>or, to the extent necessary to address the requirements of applicable law (including Section 954 of the Dodd-Frank Wall Street Reform and Consumer Protection Act of 2010, as codified in Section 10D of the Exchange Act, Section 304 of the Sarbanes-Oxley Act of 2002 or any other applicable law), as may be amended from time to time. In addition, to the extent provided in any such policy, (i) a Participant will forfeit any gain realized on the vesting or exercise of an Award if the Participant engages in any activity referred to in the preceding sentence, or (ii) a Participant must repay the gain to the Corporation realized under a previously paid Award subject to performance requirements if a financial restatement reduces the amount that would have been earned under such Award.</w:t>
      </w:r>
    </w:p>
    <w:p>
      <w:pPr>
        <w:spacing w:after="0" w:line="136" w:lineRule="exact"/>
        <w:rPr>
          <w:sz w:val="20"/>
          <w:szCs w:val="20"/>
          <w:color w:val="auto"/>
        </w:rPr>
      </w:pPr>
    </w:p>
    <w:p>
      <w:pPr>
        <w:spacing w:after="0"/>
        <w:rPr>
          <w:sz w:val="20"/>
          <w:szCs w:val="20"/>
          <w:color w:val="auto"/>
        </w:rPr>
      </w:pPr>
      <w:r>
        <w:rPr>
          <w:rFonts w:ascii="Arial" w:cs="Arial" w:eastAsia="Arial" w:hAnsi="Arial"/>
          <w:sz w:val="23"/>
          <w:szCs w:val="23"/>
          <w:b w:val="1"/>
          <w:bCs w:val="1"/>
          <w:color w:val="333333"/>
        </w:rPr>
        <w:t>Section 17. Governing Law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333333"/>
        </w:rPr>
        <w:t>The Plan shall be governed by the laws of the State of North Carolina.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6000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ectPr>
          <w:pgSz w:w="11900" w:h="16838" w:orient="portrait"/>
          <w:cols w:equalWidth="0" w:num="1">
            <w:col w:w="11020"/>
          </w:cols>
          <w:pgMar w:left="440" w:top="549" w:right="4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0086CC"/>
        </w:rPr>
        <w:t>C-11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333333"/>
        </w:rPr>
        <w:t xml:space="preserve">               </w:t>
      </w:r>
    </w:p>
    <w:p>
      <w:pPr>
        <w:sectPr>
          <w:pgSz w:w="11900" w:h="16838" w:orient="portrait"/>
          <w:cols w:equalWidth="0" w:num="5">
            <w:col w:w="200" w:space="120"/>
            <w:col w:w="3540" w:space="720"/>
            <w:col w:w="4500" w:space="720"/>
            <w:col w:w="340" w:space="100"/>
            <w:col w:w="780"/>
          </w:cols>
          <w:pgMar w:left="440" w:top="549" w:right="439" w:bottom="1440" w:gutter="0" w:footer="0" w:header="0"/>
          <w:type w:val="continuous"/>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263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7826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20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7792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20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7792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20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7792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lvl w:ilvl="1">
      <w:lvlJc w:val="left"/>
      <w:lvlText w:val="•"/>
      <w:numFmt w:val="bullet"/>
      <w:start w:val="1"/>
    </w:lvl>
  </w:abstractNum>
  <w:abstractNum w:abstractNumId="12">
    <w:nsid w:val="885E1B"/>
    <w:multiLevelType w:val="hybridMultilevel"/>
    <w:lvl w:ilvl="0">
      <w:lvlJc w:val="left"/>
      <w:lvlText w:val=" "/>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lvl w:ilvl="1">
      <w:lvlJc w:val="left"/>
      <w:lvlText w:val="•"/>
      <w:numFmt w:val="bullet"/>
      <w:start w:val="1"/>
    </w:lvl>
  </w:abstractNum>
  <w:abstractNum w:abstractNumId="17">
    <w:nsid w:val="3222E7CD"/>
    <w:multiLevelType w:val="hybridMultilevel"/>
    <w:lvl w:ilvl="0">
      <w:lvlJc w:val="left"/>
      <w:lvlText w:val=" "/>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1"/>
      <w:numFmt w:val="bullet"/>
      <w:start w:val="1"/>
    </w:lvl>
  </w:abstractNum>
  <w:abstractNum w:abstractNumId="36">
    <w:nsid w:val="6AA78F7F"/>
    <w:multiLevelType w:val="hybridMultilevel"/>
    <w:lvl w:ilvl="0">
      <w:lvlJc w:val="left"/>
      <w:lvlText w:val="1"/>
      <w:numFmt w:val="bullet"/>
      <w:start w:val="1"/>
    </w:lvl>
  </w:abstractNum>
  <w:abstractNum w:abstractNumId="37">
    <w:nsid w:val="7672BD23"/>
    <w:multiLevelType w:val="hybridMultilevel"/>
    <w:lvl w:ilvl="0">
      <w:lvlJc w:val="left"/>
      <w:lvlText w:val="2"/>
      <w:numFmt w:val="bullet"/>
      <w:start w:val="1"/>
    </w:lvl>
  </w:abstractNum>
  <w:abstractNum w:abstractNumId="38">
    <w:nsid w:val="6FC75AF8"/>
    <w:multiLevelType w:val="hybridMultilevel"/>
    <w:lvl w:ilvl="0">
      <w:lvlJc w:val="left"/>
      <w:lvlText w:val="3"/>
      <w:numFmt w:val="bullet"/>
      <w:start w:val="1"/>
    </w:lvl>
  </w:abstractNum>
  <w:abstractNum w:abstractNumId="39">
    <w:nsid w:val="6A5F7029"/>
    <w:multiLevelType w:val="hybridMultilevel"/>
    <w:lvl w:ilvl="0">
      <w:lvlJc w:val="left"/>
      <w:lvlText w:val="4"/>
      <w:numFmt w:val="bullet"/>
      <w:start w:val="1"/>
    </w:lvl>
  </w:abstractNum>
  <w:abstractNum w:abstractNumId="40">
    <w:nsid w:val="7D5E18F8"/>
    <w:multiLevelType w:val="hybridMultilevel"/>
    <w:lvl w:ilvl="0">
      <w:lvlJc w:val="left"/>
      <w:lvlText w:val="5"/>
      <w:numFmt w:val="bullet"/>
      <w:start w:val="1"/>
    </w:lvl>
  </w:abstractNum>
  <w:abstractNum w:abstractNumId="41">
    <w:nsid w:val="5F3534A4"/>
    <w:multiLevelType w:val="hybridMultilevel"/>
    <w:lvl w:ilvl="0">
      <w:lvlJc w:val="left"/>
      <w:lvlText w:val="6"/>
      <w:numFmt w:val="bullet"/>
      <w:start w:val="1"/>
    </w:lvl>
  </w:abstractNum>
  <w:abstractNum w:abstractNumId="42">
    <w:nsid w:val="73A1821B"/>
    <w:multiLevelType w:val="hybridMultilevel"/>
    <w:lvl w:ilvl="0">
      <w:lvlJc w:val="left"/>
      <w:lvlText w:val="1"/>
      <w:numFmt w:val="bullet"/>
      <w:start w:val="1"/>
    </w:lvl>
  </w:abstractNum>
  <w:abstractNum w:abstractNumId="43">
    <w:nsid w:val="7DE67713"/>
    <w:multiLevelType w:val="hybridMultilevel"/>
    <w:lvl w:ilvl="0">
      <w:lvlJc w:val="left"/>
      <w:lvlText w:val="2"/>
      <w:numFmt w:val="bullet"/>
      <w:start w:val="1"/>
    </w:lvl>
  </w:abstractNum>
  <w:abstractNum w:abstractNumId="44">
    <w:nsid w:val="555C55B5"/>
    <w:multiLevelType w:val="hybridMultilevel"/>
    <w:lvl w:ilvl="0">
      <w:lvlJc w:val="left"/>
      <w:lvlText w:val="3"/>
      <w:numFmt w:val="bullet"/>
      <w:start w:val="1"/>
    </w:lvl>
  </w:abstractNum>
  <w:abstractNum w:abstractNumId="45">
    <w:nsid w:val="3FA62ACA"/>
    <w:multiLevelType w:val="hybridMultilevel"/>
    <w:lvl w:ilvl="0">
      <w:lvlJc w:val="left"/>
      <w:lvlText w:val="4"/>
      <w:numFmt w:val="bullet"/>
      <w:start w:val="1"/>
    </w:lvl>
  </w:abstractNum>
  <w:abstractNum w:abstractNumId="46">
    <w:nsid w:val="14FCE74E"/>
    <w:multiLevelType w:val="hybridMultilevel"/>
    <w:lvl w:ilvl="0">
      <w:lvlJc w:val="left"/>
      <w:lvlText w:val="6"/>
      <w:numFmt w:val="bullet"/>
      <w:start w:val="1"/>
    </w:lvl>
  </w:abstractNum>
  <w:abstractNum w:abstractNumId="47">
    <w:nsid w:val="6A3DD3E8"/>
    <w:multiLevelType w:val="hybridMultilevel"/>
    <w:lvl w:ilvl="0">
      <w:lvlJc w:val="left"/>
      <w:lvlText w:val="1"/>
      <w:numFmt w:val="bullet"/>
      <w:start w:val="1"/>
    </w:lvl>
  </w:abstractNum>
  <w:abstractNum w:abstractNumId="48">
    <w:nsid w:val="71C91298"/>
    <w:multiLevelType w:val="hybridMultilevel"/>
    <w:lvl w:ilvl="0">
      <w:lvlJc w:val="left"/>
      <w:lvlText w:val="2"/>
      <w:numFmt w:val="bullet"/>
      <w:start w:val="1"/>
    </w:lvl>
  </w:abstractNum>
  <w:abstractNum w:abstractNumId="49">
    <w:nsid w:val="9DAF632"/>
    <w:multiLevelType w:val="hybridMultilevel"/>
    <w:lvl w:ilvl="0">
      <w:lvlJc w:val="left"/>
      <w:lvlText w:val="3"/>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1"/>
      <w:numFmt w:val="bullet"/>
      <w:start w:val="1"/>
    </w:lvl>
  </w:abstractNum>
  <w:abstractNum w:abstractNumId="52">
    <w:nsid w:val="5092CA79"/>
    <w:multiLevelType w:val="hybridMultilevel"/>
    <w:lvl w:ilvl="0">
      <w:lvlJc w:val="left"/>
      <w:lvlText w:val="2"/>
      <w:numFmt w:val="bullet"/>
      <w:start w:val="1"/>
    </w:lvl>
  </w:abstractNum>
  <w:abstractNum w:abstractNumId="53">
    <w:nsid w:val="1D545C4D"/>
    <w:multiLevelType w:val="hybridMultilevel"/>
    <w:lvl w:ilvl="0">
      <w:lvlJc w:val="left"/>
      <w:lvlText w:val="%1"/>
      <w:numFmt w:val="decimal"/>
      <w:start w:val="49"/>
    </w:lvl>
  </w:abstractNum>
  <w:abstractNum w:abstractNumId="54">
    <w:nsid w:val="59ADEA3D"/>
    <w:multiLevelType w:val="hybridMultilevel"/>
    <w:lvl w:ilvl="0">
      <w:lvlJc w:val="left"/>
      <w:lvlText w:val="%1"/>
      <w:numFmt w:val="decimal"/>
      <w:start w:val="55"/>
    </w:lvl>
  </w:abstractNum>
  <w:abstractNum w:abstractNumId="55">
    <w:nsid w:val="288F1A34"/>
    <w:multiLevelType w:val="hybridMultilevel"/>
    <w:lvl w:ilvl="0">
      <w:lvlJc w:val="left"/>
      <w:lvlText w:val="%1"/>
      <w:numFmt w:val="decimal"/>
      <w:start w:val="57"/>
    </w:lvl>
  </w:abstractNum>
  <w:abstractNum w:abstractNumId="56">
    <w:nsid w:val="2A155DBC"/>
    <w:multiLevelType w:val="hybridMultilevel"/>
    <w:lvl w:ilvl="0">
      <w:lvlJc w:val="left"/>
      <w:lvlText w:val="%1"/>
      <w:numFmt w:val="decimal"/>
      <w:start w:val="59"/>
    </w:lvl>
  </w:abstractNum>
  <w:abstractNum w:abstractNumId="57">
    <w:nsid w:val="1D9F6E5F"/>
    <w:multiLevelType w:val="hybridMultilevel"/>
    <w:lvl w:ilvl="0">
      <w:lvlJc w:val="left"/>
      <w:lvlText w:val="%1"/>
      <w:numFmt w:val="decimal"/>
      <w:start w:val="61"/>
    </w:lvl>
  </w:abstractNum>
  <w:abstractNum w:abstractNumId="58">
    <w:nsid w:val="97E1B4E"/>
    <w:multiLevelType w:val="hybridMultilevel"/>
    <w:lvl w:ilvl="0">
      <w:lvlJc w:val="left"/>
      <w:lvlText w:val="%1"/>
      <w:numFmt w:val="decimal"/>
      <w:start w:val="70"/>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
      <w:numFmt w:val="bullet"/>
      <w:start w:val="1"/>
    </w:lvl>
  </w:abstractNum>
  <w:abstractNum w:abstractNumId="63">
    <w:nsid w:val="7C58FD05"/>
    <w:multiLevelType w:val="hybridMultilevel"/>
    <w:lvl w:ilvl="0">
      <w:lvlJc w:val="left"/>
      <w:lvlText w:val="•"/>
      <w:numFmt w:val="bullet"/>
      <w:start w:val="1"/>
    </w:lvl>
  </w:abstractNum>
  <w:abstractNum w:abstractNumId="64">
    <w:nsid w:val="23D86AAC"/>
    <w:multiLevelType w:val="hybridMultilevel"/>
    <w:lvl w:ilvl="0">
      <w:lvlJc w:val="left"/>
      <w:lvlText w:val=" "/>
      <w:numFmt w:val="bullet"/>
      <w:start w:val="1"/>
    </w:lvl>
    <w:lvl w:ilvl="1">
      <w:lvlJc w:val="left"/>
      <w:lvlText w:val=" "/>
      <w:numFmt w:val="bullet"/>
      <w:start w:val="1"/>
    </w:lvl>
  </w:abstractNum>
  <w:abstractNum w:abstractNumId="65">
    <w:nsid w:val="45E6D486"/>
    <w:multiLevelType w:val="hybridMultilevel"/>
    <w:lvl w:ilvl="0">
      <w:lvlJc w:val="left"/>
      <w:lvlText w:val="•"/>
      <w:numFmt w:val="bullet"/>
      <w:start w:val="1"/>
    </w:lvl>
  </w:abstractNum>
  <w:abstractNum w:abstractNumId="66">
    <w:nsid w:val="5C10FE21"/>
    <w:multiLevelType w:val="hybridMultilevel"/>
    <w:lvl w:ilvl="0">
      <w:lvlJc w:val="left"/>
      <w:lvlText w:val="•"/>
      <w:numFmt w:val="bullet"/>
      <w:start w:val="1"/>
    </w:lvl>
  </w:abstractNum>
  <w:abstractNum w:abstractNumId="67">
    <w:nsid w:val="E7FFA2B"/>
    <w:multiLevelType w:val="hybridMultilevel"/>
    <w:lvl w:ilvl="0">
      <w:lvlJc w:val="left"/>
      <w:lvlText w:val=" "/>
      <w:numFmt w:val="bullet"/>
      <w:start w:val="1"/>
    </w:lvl>
    <w:lvl w:ilvl="1">
      <w:lvlJc w:val="left"/>
      <w:lvlText w:val=" "/>
      <w:numFmt w:val="bullet"/>
      <w:start w:val="1"/>
    </w:lvl>
  </w:abstractNum>
  <w:abstractNum w:abstractNumId="68">
    <w:nsid w:val="3C5991AA"/>
    <w:multiLevelType w:val="hybridMultilevel"/>
    <w:lvl w:ilvl="0">
      <w:lvlJc w:val="left"/>
      <w:lvlText w:val="%1."/>
      <w:numFmt w:val="decimal"/>
      <w:start w:val="1"/>
    </w:lvl>
    <w:lvl w:ilvl="1">
      <w:lvlJc w:val="left"/>
      <w:lvlText w:val="•"/>
      <w:numFmt w:val="bullet"/>
      <w:start w:val="1"/>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1."/>
      <w:numFmt w:val="decimal"/>
      <w:start w:val="3"/>
    </w:lvl>
    <w:lvl w:ilvl="1">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
      <w:numFmt w:val="bullet"/>
      <w:start w:val="1"/>
    </w:lvl>
    <w:lvl w:ilvl="1">
      <w:lvlJc w:val="left"/>
      <w:lvlText w:val=" "/>
      <w:numFmt w:val="bullet"/>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
      <w:numFmt w:val="bullet"/>
      <w:start w:val="1"/>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
      <w:numFmt w:val="bullet"/>
      <w:start w:val="1"/>
    </w:lvl>
    <w:lvl w:ilvl="1">
      <w:lvlJc w:val="left"/>
      <w:lvlText w:val="•"/>
      <w:numFmt w:val="bullet"/>
      <w:start w:val="1"/>
    </w:lvl>
  </w:abstractNum>
  <w:abstractNum w:abstractNumId="81">
    <w:nsid w:val="3DD15094"/>
    <w:multiLevelType w:val="hybridMultilevel"/>
    <w:lvl w:ilvl="0">
      <w:lvlJc w:val="left"/>
      <w:lvlText w:val="**"/>
      <w:numFmt w:val="bullet"/>
      <w:start w:val="1"/>
    </w:lvl>
    <w:lvl w:ilvl="1">
      <w:lvlJc w:val="left"/>
      <w:lvlText w:val="•"/>
      <w:numFmt w:val="bullet"/>
      <w:start w:val="1"/>
    </w:lvl>
  </w:abstractNum>
  <w:abstractNum w:abstractNumId="82">
    <w:nsid w:val="3DB012B3"/>
    <w:multiLevelType w:val="hybridMultilevel"/>
    <w:lvl w:ilvl="0">
      <w:lvlJc w:val="left"/>
      <w:lvlText w:val="***"/>
      <w:numFmt w:val="bullet"/>
      <w:start w:val="1"/>
    </w:lvl>
    <w:lvl w:ilvl="1">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1)"/>
      <w:numFmt w:val="decimal"/>
      <w:start w:val="1"/>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
      <w:numFmt w:val="bullet"/>
      <w:start w:val="1"/>
    </w:lvl>
  </w:abstractNum>
  <w:abstractNum w:abstractNumId="92">
    <w:nsid w:val="2C6E4AFD"/>
    <w:multiLevelType w:val="hybridMultilevel"/>
    <w:lvl w:ilvl="0">
      <w:lvlJc w:val="left"/>
      <w:lvlText w:val="•"/>
      <w:numFmt w:val="bullet"/>
      <w:start w:val="1"/>
    </w:lvl>
  </w:abstractNum>
  <w:abstractNum w:abstractNumId="93">
    <w:nsid w:val="17A1B582"/>
    <w:multiLevelType w:val="hybridMultilevel"/>
    <w:lvl w:ilvl="0">
      <w:lvlJc w:val="left"/>
      <w:lvlText w:val="•"/>
      <w:numFmt w:val="bullet"/>
      <w:start w:val="1"/>
    </w:lvl>
  </w:abstractNum>
  <w:abstractNum w:abstractNumId="94">
    <w:nsid w:val="4DF72E4E"/>
    <w:multiLevelType w:val="hybridMultilevel"/>
    <w:lvl w:ilvl="0">
      <w:lvlJc w:val="left"/>
      <w:lvlText w:val="1"/>
      <w:numFmt w:val="bullet"/>
      <w:start w:val="1"/>
    </w:lvl>
  </w:abstractNum>
  <w:abstractNum w:abstractNumId="95">
    <w:nsid w:val="5046B5A9"/>
    <w:multiLevelType w:val="hybridMultilevel"/>
    <w:lvl w:ilvl="0">
      <w:lvlJc w:val="left"/>
      <w:lvlText w:val="2"/>
      <w:numFmt w:val="bullet"/>
      <w:start w:val="1"/>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
      <w:numFmt w:val="bullet"/>
      <w:start w:val="1"/>
    </w:lvl>
  </w:abstractNum>
  <w:abstractNum w:abstractNumId="98">
    <w:nsid w:val="5EC6AFD4"/>
    <w:multiLevelType w:val="hybridMultilevel"/>
    <w:lvl w:ilvl="0">
      <w:lvlJc w:val="left"/>
      <w:lvlText w:val="•"/>
      <w:numFmt w:val="bullet"/>
      <w:start w:val="1"/>
    </w:lvl>
  </w:abstractNum>
  <w:abstractNum w:abstractNumId="99">
    <w:nsid w:val="19E21BB2"/>
    <w:multiLevelType w:val="hybridMultilevel"/>
    <w:lvl w:ilvl="0">
      <w:lvlJc w:val="left"/>
      <w:lvlText w:val="•"/>
      <w:numFmt w:val="bullet"/>
      <w:start w:val="1"/>
    </w:lvl>
  </w:abstractNum>
  <w:abstractNum w:abstractNumId="100">
    <w:nsid w:val="75E0858A"/>
    <w:multiLevelType w:val="hybridMultilevel"/>
    <w:lvl w:ilvl="0">
      <w:lvlJc w:val="left"/>
      <w:lvlText w:val="•"/>
      <w:numFmt w:val="bullet"/>
      <w:start w:val="1"/>
    </w:lvl>
  </w:abstractNum>
  <w:abstractNum w:abstractNumId="101">
    <w:nsid w:val="57A61A29"/>
    <w:multiLevelType w:val="hybridMultilevel"/>
    <w:lvl w:ilvl="0">
      <w:lvlJc w:val="left"/>
      <w:lvlText w:val="1"/>
      <w:numFmt w:val="bullet"/>
      <w:start w:val="1"/>
    </w:lvl>
  </w:abstractNum>
  <w:abstractNum w:abstractNumId="102">
    <w:nsid w:val="5399C654"/>
    <w:multiLevelType w:val="hybridMultilevel"/>
    <w:lvl w:ilvl="0">
      <w:lvlJc w:val="left"/>
      <w:lvlText w:val="2"/>
      <w:numFmt w:val="bullet"/>
      <w:start w:val="1"/>
    </w:lvl>
  </w:abstractNum>
  <w:abstractNum w:abstractNumId="103">
    <w:nsid w:val="20EE1348"/>
    <w:multiLevelType w:val="hybridMultilevel"/>
    <w:lvl w:ilvl="0">
      <w:lvlJc w:val="left"/>
      <w:lvlText w:val="3"/>
      <w:numFmt w:val="bullet"/>
      <w:start w:val="1"/>
    </w:lvl>
  </w:abstractNum>
  <w:abstractNum w:abstractNumId="104">
    <w:nsid w:val="4427069A"/>
    <w:multiLevelType w:val="hybridMultilevel"/>
    <w:lvl w:ilvl="0">
      <w:lvlJc w:val="left"/>
      <w:lvlText w:val="4"/>
      <w:numFmt w:val="bullet"/>
      <w:start w:val="1"/>
    </w:lvl>
  </w:abstractNum>
  <w:abstractNum w:abstractNumId="105">
    <w:nsid w:val="B37E80A"/>
    <w:multiLevelType w:val="hybridMultilevel"/>
    <w:lvl w:ilvl="0">
      <w:lvlJc w:val="left"/>
      <w:lvlText w:val="5"/>
      <w:numFmt w:val="bullet"/>
      <w:start w:val="1"/>
    </w:lvl>
  </w:abstractNum>
  <w:abstractNum w:abstractNumId="106">
    <w:nsid w:val="2157F6BC"/>
    <w:multiLevelType w:val="hybridMultilevel"/>
    <w:lvl w:ilvl="0">
      <w:lvlJc w:val="left"/>
      <w:lvlText w:val="6"/>
      <w:numFmt w:val="bullet"/>
      <w:start w:val="1"/>
    </w:lvl>
  </w:abstractNum>
  <w:abstractNum w:abstractNumId="107">
    <w:nsid w:val="704E1DD5"/>
    <w:multiLevelType w:val="hybridMultilevel"/>
    <w:lvl w:ilvl="0">
      <w:lvlJc w:val="left"/>
      <w:lvlText w:val="7"/>
      <w:numFmt w:val="bullet"/>
      <w:start w:val="1"/>
    </w:lvl>
  </w:abstractNum>
  <w:abstractNum w:abstractNumId="108">
    <w:nsid w:val="57D2F10E"/>
    <w:multiLevelType w:val="hybridMultilevel"/>
    <w:lvl w:ilvl="0">
      <w:lvlJc w:val="left"/>
      <w:lvlText w:val="9"/>
      <w:numFmt w:val="bullet"/>
      <w:start w:val="1"/>
    </w:lvl>
  </w:abstractNum>
  <w:abstractNum w:abstractNumId="109">
    <w:nsid w:val="BFFAE18"/>
    <w:multiLevelType w:val="hybridMultilevel"/>
    <w:lvl w:ilvl="0">
      <w:lvlJc w:val="left"/>
      <w:lvlText w:val="%1"/>
      <w:numFmt w:val="decimal"/>
      <w:start w:val="10"/>
    </w:lvl>
  </w:abstractNum>
  <w:abstractNum w:abstractNumId="110">
    <w:nsid w:val="E3E47A8"/>
    <w:multiLevelType w:val="hybridMultilevel"/>
    <w:lvl w:ilvl="0">
      <w:lvlJc w:val="left"/>
      <w:lvlText w:val="1"/>
      <w:numFmt w:val="bullet"/>
      <w:start w:val="1"/>
    </w:lvl>
  </w:abstractNum>
  <w:abstractNum w:abstractNumId="111">
    <w:nsid w:val="2E48F044"/>
    <w:multiLevelType w:val="hybridMultilevel"/>
    <w:lvl w:ilvl="0">
      <w:lvlJc w:val="left"/>
      <w:lvlText w:val="2"/>
      <w:numFmt w:val="bullet"/>
      <w:start w:val="1"/>
    </w:lvl>
  </w:abstractNum>
  <w:abstractNum w:abstractNumId="112">
    <w:nsid w:val="49D0FEAC"/>
    <w:multiLevelType w:val="hybridMultilevel"/>
    <w:lvl w:ilvl="0">
      <w:lvlJc w:val="left"/>
      <w:lvlText w:val="3"/>
      <w:numFmt w:val="bullet"/>
      <w:start w:val="1"/>
    </w:lvl>
  </w:abstractNum>
  <w:abstractNum w:abstractNumId="113">
    <w:nsid w:val="4BEE5A5B"/>
    <w:multiLevelType w:val="hybridMultilevel"/>
    <w:lvl w:ilvl="0">
      <w:lvlJc w:val="left"/>
      <w:lvlText w:val="4"/>
      <w:numFmt w:val="bullet"/>
      <w:start w:val="1"/>
    </w:lvl>
  </w:abstractNum>
  <w:abstractNum w:abstractNumId="114">
    <w:nsid w:val="5551B9F3"/>
    <w:multiLevelType w:val="hybridMultilevel"/>
    <w:lvl w:ilvl="0">
      <w:lvlJc w:val="left"/>
      <w:lvlText w:val="5"/>
      <w:numFmt w:val="bullet"/>
      <w:start w:val="1"/>
    </w:lvl>
  </w:abstractNum>
  <w:abstractNum w:abstractNumId="115">
    <w:nsid w:val="24F6AB8E"/>
    <w:multiLevelType w:val="hybridMultilevel"/>
    <w:lvl w:ilvl="0">
      <w:lvlJc w:val="left"/>
      <w:lvlText w:val="1"/>
      <w:numFmt w:val="bullet"/>
      <w:start w:val="1"/>
    </w:lvl>
  </w:abstractNum>
  <w:abstractNum w:abstractNumId="116">
    <w:nsid w:val="634C574C"/>
    <w:multiLevelType w:val="hybridMultilevel"/>
    <w:lvl w:ilvl="0">
      <w:lvlJc w:val="left"/>
      <w:lvlText w:val="7"/>
      <w:numFmt w:val="bullet"/>
      <w:start w:val="1"/>
    </w:lvl>
  </w:abstractNum>
  <w:abstractNum w:abstractNumId="117">
    <w:nsid w:val="24E99DD7"/>
    <w:multiLevelType w:val="hybridMultilevel"/>
    <w:lvl w:ilvl="0">
      <w:lvlJc w:val="left"/>
      <w:lvlText w:val="8"/>
      <w:numFmt w:val="bullet"/>
      <w:start w:val="1"/>
    </w:lvl>
  </w:abstractNum>
  <w:abstractNum w:abstractNumId="118">
    <w:nsid w:val="2A31B62D"/>
    <w:multiLevelType w:val="hybridMultilevel"/>
    <w:lvl w:ilvl="0">
      <w:lvlJc w:val="left"/>
      <w:lvlText w:val="1"/>
      <w:numFmt w:val="bullet"/>
      <w:start w:val="1"/>
    </w:lvl>
  </w:abstractNum>
  <w:abstractNum w:abstractNumId="119">
    <w:nsid w:val="1849C29B"/>
    <w:multiLevelType w:val="hybridMultilevel"/>
    <w:lvl w:ilvl="0">
      <w:lvlJc w:val="left"/>
      <w:lvlText w:val="(%1)"/>
      <w:numFmt w:val="upperLetter"/>
      <w:start w:val="1"/>
    </w:lvl>
  </w:abstractNum>
  <w:abstractNum w:abstractNumId="120">
    <w:nsid w:val="7DFF9D09"/>
    <w:multiLevelType w:val="hybridMultilevel"/>
    <w:lvl w:ilvl="0">
      <w:lvlJc w:val="left"/>
      <w:lvlText w:val="1"/>
      <w:numFmt w:val="bullet"/>
      <w:start w:val="1"/>
    </w:lvl>
  </w:abstractNum>
  <w:abstractNum w:abstractNumId="121">
    <w:nsid w:val="754342"/>
    <w:multiLevelType w:val="hybridMultilevel"/>
    <w:lvl w:ilvl="0">
      <w:lvlJc w:val="left"/>
      <w:lvlText w:val="2"/>
      <w:numFmt w:val="bullet"/>
      <w:start w:val="1"/>
    </w:lvl>
  </w:abstractNum>
  <w:abstractNum w:abstractNumId="122">
    <w:nsid w:val="69E7F3E5"/>
    <w:multiLevelType w:val="hybridMultilevel"/>
    <w:lvl w:ilvl="0">
      <w:lvlJc w:val="left"/>
      <w:lvlText w:val="1"/>
      <w:numFmt w:val="bullet"/>
      <w:start w:val="1"/>
    </w:lvl>
  </w:abstractNum>
  <w:abstractNum w:abstractNumId="123">
    <w:nsid w:val="2A6DE806"/>
    <w:multiLevelType w:val="hybridMultilevel"/>
    <w:lvl w:ilvl="0">
      <w:lvlJc w:val="left"/>
      <w:lvlText w:val="2"/>
      <w:numFmt w:val="bullet"/>
      <w:start w:val="1"/>
    </w:lvl>
  </w:abstractNum>
  <w:abstractNum w:abstractNumId="124">
    <w:nsid w:val="1816F8C4"/>
    <w:multiLevelType w:val="hybridMultilevel"/>
    <w:lvl w:ilvl="0">
      <w:lvlJc w:val="left"/>
      <w:lvlText w:val="3"/>
      <w:numFmt w:val="bullet"/>
      <w:start w:val="1"/>
    </w:lvl>
  </w:abstractNum>
  <w:abstractNum w:abstractNumId="125">
    <w:nsid w:val="37DF2233"/>
    <w:multiLevelType w:val="hybridMultilevel"/>
    <w:lvl w:ilvl="0">
      <w:lvlJc w:val="left"/>
      <w:lvlText w:val="4"/>
      <w:numFmt w:val="bullet"/>
      <w:start w:val="1"/>
    </w:lvl>
  </w:abstractNum>
  <w:abstractNum w:abstractNumId="126">
    <w:nsid w:val="7AB49DAF"/>
    <w:multiLevelType w:val="hybridMultilevel"/>
    <w:lvl w:ilvl="0">
      <w:lvlJc w:val="left"/>
      <w:lvlText w:val="6"/>
      <w:numFmt w:val="bullet"/>
      <w:start w:val="1"/>
    </w:lvl>
  </w:abstractNum>
  <w:abstractNum w:abstractNumId="127">
    <w:nsid w:val="759F82CD"/>
    <w:multiLevelType w:val="hybridMultilevel"/>
    <w:lvl w:ilvl="0">
      <w:lvlJc w:val="left"/>
      <w:lvlText w:val="7"/>
      <w:numFmt w:val="bullet"/>
      <w:start w:val="1"/>
    </w:lvl>
  </w:abstractNum>
  <w:abstractNum w:abstractNumId="128">
    <w:nsid w:val="61E74EA3"/>
    <w:multiLevelType w:val="hybridMultilevel"/>
    <w:lvl w:ilvl="0">
      <w:lvlJc w:val="left"/>
      <w:lvlText w:val="•"/>
      <w:numFmt w:val="bullet"/>
      <w:start w:val="1"/>
    </w:lvl>
  </w:abstractNum>
  <w:abstractNum w:abstractNumId="129">
    <w:nsid w:val="597B4D84"/>
    <w:multiLevelType w:val="hybridMultilevel"/>
    <w:lvl w:ilvl="0">
      <w:lvlJc w:val="left"/>
      <w:lvlText w:val="(%1)"/>
      <w:numFmt w:val="decimal"/>
      <w:start w:val="2"/>
    </w:lvl>
  </w:abstractNum>
  <w:abstractNum w:abstractNumId="130">
    <w:nsid w:val="F819E7F"/>
    <w:multiLevelType w:val="hybridMultilevel"/>
    <w:lvl w:ilvl="0">
      <w:lvlJc w:val="left"/>
      <w:lvlText w:val="(%1)"/>
      <w:numFmt w:val="decimal"/>
      <w:start w:val="4"/>
    </w:lvl>
  </w:abstractNum>
  <w:abstractNum w:abstractNumId="131">
    <w:nsid w:val="57C7D42D"/>
    <w:multiLevelType w:val="hybridMultilevel"/>
    <w:lvl w:ilvl="0">
      <w:lvlJc w:val="left"/>
      <w:lvlText w:val="(%1)"/>
      <w:numFmt w:val="decimal"/>
      <w:start w:val="5"/>
    </w:lvl>
  </w:abstractNum>
  <w:abstractNum w:abstractNumId="132">
    <w:nsid w:val="312167AD"/>
    <w:multiLevelType w:val="hybridMultilevel"/>
    <w:lvl w:ilvl="0">
      <w:lvlJc w:val="left"/>
      <w:lvlText w:val="•"/>
      <w:numFmt w:val="bullet"/>
      <w:start w:val="1"/>
    </w:lvl>
  </w:abstractNum>
  <w:abstractNum w:abstractNumId="133">
    <w:nsid w:val="631B64D4"/>
    <w:multiLevelType w:val="hybridMultilevel"/>
    <w:lvl w:ilvl="0">
      <w:lvlJc w:val="left"/>
      <w:lvlText w:val="•"/>
      <w:numFmt w:val="bullet"/>
      <w:start w:val="1"/>
    </w:lvl>
  </w:abstractNum>
  <w:abstractNum w:abstractNumId="134">
    <w:nsid w:val="78B5E776"/>
    <w:multiLevelType w:val="hybridMultilevel"/>
    <w:lvl w:ilvl="0">
      <w:lvlJc w:val="left"/>
      <w:lvlText w:val="(%1)"/>
      <w:numFmt w:val="decimal"/>
      <w:start w:val="1"/>
    </w:lvl>
  </w:abstractNum>
  <w:abstractNum w:abstractNumId="135">
    <w:nsid w:val="75486E47"/>
    <w:multiLevelType w:val="hybridMultilevel"/>
    <w:lvl w:ilvl="0">
      <w:lvlJc w:val="left"/>
      <w:lvlText w:val="(%1)"/>
      <w:numFmt w:val="decimal"/>
      <w:start w:val="1"/>
    </w:lvl>
  </w:abstractNum>
  <w:abstractNum w:abstractNumId="136">
    <w:nsid w:val="6E534CDE"/>
    <w:multiLevelType w:val="hybridMultilevel"/>
    <w:lvl w:ilvl="0">
      <w:lvlJc w:val="left"/>
      <w:lvlText w:val="(%1)"/>
      <w:numFmt w:val="lowerRoman"/>
      <w:start w:val="3"/>
    </w:lvl>
  </w:abstractNum>
  <w:abstractNum w:abstractNumId="137">
    <w:nsid w:val="1A0DDE32"/>
    <w:multiLevelType w:val="hybridMultilevel"/>
    <w:lvl w:ilvl="0">
      <w:lvlJc w:val="left"/>
      <w:lvlText w:val="1"/>
      <w:numFmt w:val="bullet"/>
      <w:start w:val="1"/>
    </w:lvl>
  </w:abstractNum>
  <w:abstractNum w:abstractNumId="138">
    <w:nsid w:val="65968C1C"/>
    <w:multiLevelType w:val="hybridMultilevel"/>
    <w:lvl w:ilvl="0">
      <w:lvlJc w:val="left"/>
      <w:lvlText w:val="2"/>
      <w:numFmt w:val="bullet"/>
      <w:start w:val="1"/>
    </w:lvl>
  </w:abstractNum>
  <w:abstractNum w:abstractNumId="139">
    <w:nsid w:val="46263DEC"/>
    <w:multiLevelType w:val="hybridMultilevel"/>
    <w:lvl w:ilvl="0">
      <w:lvlJc w:val="left"/>
      <w:lvlText w:val="3"/>
      <w:numFmt w:val="bullet"/>
      <w:start w:val="1"/>
    </w:lvl>
  </w:abstractNum>
  <w:abstractNum w:abstractNumId="140">
    <w:nsid w:val="260D8C4A"/>
    <w:multiLevelType w:val="hybridMultilevel"/>
    <w:lvl w:ilvl="0">
      <w:lvlJc w:val="left"/>
      <w:lvlText w:val="•"/>
      <w:numFmt w:val="bullet"/>
      <w:start w:val="1"/>
    </w:lvl>
  </w:abstractNum>
  <w:abstractNum w:abstractNumId="141">
    <w:nsid w:val="73D4D3C4"/>
    <w:multiLevelType w:val="hybridMultilevel"/>
    <w:lvl w:ilvl="0">
      <w:lvlJc w:val="left"/>
      <w:lvlText w:val="•"/>
      <w:numFmt w:val="bullet"/>
      <w:start w:val="1"/>
    </w:lvl>
  </w:abstractNum>
  <w:abstractNum w:abstractNumId="142">
    <w:nsid w:val="746F2E30"/>
    <w:multiLevelType w:val="hybridMultilevel"/>
    <w:lvl w:ilvl="0">
      <w:lvlJc w:val="left"/>
      <w:lvlText w:val="%1."/>
      <w:numFmt w:val="decimal"/>
      <w:start w:val="1"/>
    </w:lvl>
  </w:abstractNum>
  <w:abstractNum w:abstractNumId="143">
    <w:nsid w:val="6FDE8AF6"/>
    <w:multiLevelType w:val="hybridMultilevel"/>
    <w:lvl w:ilvl="0">
      <w:lvlJc w:val="left"/>
      <w:lvlText w:val="(%1)"/>
      <w:numFmt w:val="lowerLetter"/>
      <w:start w:val="1"/>
    </w:lvl>
    <w:lvl w:ilvl="1">
      <w:lvlJc w:val="left"/>
      <w:lvlText w:val="%2."/>
      <w:numFmt w:val="lowerRoman"/>
      <w:start w:val="1"/>
    </w:lvl>
  </w:abstractNum>
  <w:abstractNum w:abstractNumId="144">
    <w:nsid w:val="3FC32E20"/>
    <w:multiLevelType w:val="hybridMultilevel"/>
    <w:lvl w:ilvl="0">
      <w:lvlJc w:val="left"/>
      <w:lvlText w:val="(%1)"/>
      <w:numFmt w:val="lowerLetter"/>
      <w:start w:val="6"/>
    </w:lvl>
  </w:abstractNum>
  <w:abstractNum w:abstractNumId="145">
    <w:nsid w:val="49C0E823"/>
    <w:multiLevelType w:val="hybridMultilevel"/>
    <w:lvl w:ilvl="0">
      <w:lvlJc w:val="left"/>
      <w:lvlText w:val="(%1)"/>
      <w:numFmt w:val="lowerLetter"/>
      <w:start w:val="1"/>
    </w:lvl>
    <w:lvl w:ilvl="1">
      <w:lvlJc w:val="left"/>
      <w:lvlText w:val="%2."/>
      <w:numFmt w:val="lowerRoman"/>
      <w:start w:val="1"/>
    </w:lvl>
  </w:abstractNum>
  <w:abstractNum w:abstractNumId="146">
    <w:nsid w:val="14D53685"/>
    <w:multiLevelType w:val="hybridMultilevel"/>
    <w:lvl w:ilvl="0">
      <w:lvlJc w:val="left"/>
      <w:lvlText w:val="(%1)"/>
      <w:numFmt w:val="lowerLetter"/>
      <w:start w:val="2"/>
    </w:lvl>
    <w:lvl w:ilvl="1">
      <w:lvlJc w:val="left"/>
      <w:lvlText w:val="%2."/>
      <w:numFmt w:val="lowerRoman"/>
      <w:start w:val="1"/>
    </w:lvl>
  </w:abstractNum>
  <w:abstractNum w:abstractNumId="147">
    <w:nsid w:val="230F856C"/>
    <w:multiLevelType w:val="hybridMultilevel"/>
    <w:lvl w:ilvl="0">
      <w:lvlJc w:val="left"/>
      <w:lvlText w:val="(%1)"/>
      <w:numFmt w:val="lowerLetter"/>
      <w:start w:val="1"/>
    </w:lvl>
  </w:abstractNum>
  <w:abstractNum w:abstractNumId="148">
    <w:nsid w:val="6EAA85FB"/>
    <w:multiLevelType w:val="hybridMultilevel"/>
    <w:lvl w:ilvl="0">
      <w:lvlJc w:val="left"/>
      <w:lvlText w:val="(%1)"/>
      <w:numFmt w:val="lowerLetter"/>
      <w:start w:val="4"/>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lowerLetter"/>
      <w:start w:val="4"/>
    </w:lvl>
  </w:abstractNum>
  <w:abstractNum w:abstractNumId="151">
    <w:nsid w:val="6CAA2304"/>
    <w:multiLevelType w:val="hybridMultilevel"/>
    <w:lvl w:ilvl="0">
      <w:lvlJc w:val="left"/>
      <w:lvlText w:val="(%1)"/>
      <w:numFmt w:val="lowerLetter"/>
      <w:start w:val="1"/>
    </w:lvl>
  </w:abstractNum>
  <w:abstractNum w:abstractNumId="152">
    <w:nsid w:val="3F7C2FF4"/>
    <w:multiLevelType w:val="hybridMultilevel"/>
    <w:lvl w:ilvl="0">
      <w:lvlJc w:val="left"/>
      <w:lvlText w:val="(%1)"/>
      <w:numFmt w:val="lowerLetter"/>
      <w:start w:val="1"/>
    </w:lvl>
    <w:lvl w:ilvl="1">
      <w:lvlJc w:val="left"/>
      <w:lvlText w:val="%2."/>
      <w:numFmt w:val="lowerRoman"/>
      <w:start w:val="1"/>
    </w:lvl>
  </w:abstractNum>
  <w:abstractNum w:abstractNumId="153">
    <w:nsid w:val="25413BEC"/>
    <w:multiLevelType w:val="hybridMultilevel"/>
    <w:lvl w:ilvl="0">
      <w:lvlJc w:val="left"/>
      <w:lvlText w:val="%1"/>
      <w:numFmt w:val="lowerLetter"/>
      <w:start w:val="1"/>
    </w:lvl>
    <w:lvl w:ilvl="1">
      <w:lvlJc w:val="left"/>
      <w:lvlText w:val="%2."/>
      <w:numFmt w:val="lowerRoman"/>
      <w:start w:val="2"/>
    </w:lvl>
  </w:abstractNum>
  <w:abstractNum w:abstractNumId="154">
    <w:nsid w:val="17180B0B"/>
    <w:multiLevelType w:val="hybridMultilevel"/>
    <w:lvl w:ilvl="0">
      <w:lvlJc w:val="left"/>
      <w:lvlText w:val="(%1)"/>
      <w:numFmt w:val="lowerLetter"/>
      <w:start w:val="2"/>
    </w:lvl>
    <w:lvl w:ilvl="1">
      <w:lvlJc w:val="left"/>
      <w:lvlText w:val="%2."/>
      <w:numFmt w:val="lowerRoman"/>
      <w:start w:val="1"/>
    </w:lvl>
  </w:abstractNum>
  <w:abstractNum w:abstractNumId="155">
    <w:nsid w:val="579328B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6">
    <w:nsid w:val="5D205E2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57">
    <w:nsid w:val="11CCA8B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58">
    <w:nsid w:val="4D32AB86"/>
    <w:multiLevelType w:val="hybridMultilevel"/>
    <w:lvl w:ilvl="0">
      <w:lvlJc w:val="left"/>
      <w:lvlText w:val="(%1)"/>
      <w:numFmt w:val="lowerLetter"/>
      <w:start w:val="1"/>
    </w:lvl>
  </w:abstractNum>
  <w:abstractNum w:abstractNumId="159">
    <w:nsid w:val="3F07ACC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2026-04-15T15:34:13Z</dcterms:created>
  <dcterms:modified xsi:type="dcterms:W3CDTF">2026-04-15T15:34:13Z</dcterms:modified>
</cp:coreProperties>
</file>