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3880" w:right="1300" w:hanging="3872"/>
        <w:spacing w:after="0" w:line="243" w:lineRule="auto"/>
        <w:tabs>
          <w:tab w:leader="none" w:pos="528" w:val="left"/>
        </w:tabs>
        <w:numPr>
          <w:ilvl w:val="0"/>
          <w:numId w:val="1"/>
        </w:numPr>
        <w:rPr>
          <w:rFonts w:ascii="MS PGothic" w:cs="MS PGothic" w:eastAsia="MS PGothic" w:hAnsi="MS PGothic"/>
          <w:sz w:val="18"/>
          <w:szCs w:val="18"/>
          <w:color w:val="auto"/>
        </w:rPr>
      </w:pPr>
      <w:r>
        <w:rPr>
          <w:rFonts w:ascii="Arial" w:cs="Arial" w:eastAsia="Arial" w:hAnsi="Arial"/>
          <w:sz w:val="19"/>
          <w:szCs w:val="19"/>
          <w:b w:val="1"/>
          <w:bCs w:val="1"/>
          <w:color w:val="auto"/>
        </w:rPr>
        <w:t>QUARTERLY REPORT PURSUANT TO SECTION 13 OR 15(d) OF THE SECURITIES EXCHANGE ACT OF 1934 For the quarterly period ended June 30, 2015</w:t>
      </w:r>
    </w:p>
    <w:p>
      <w:pPr>
        <w:spacing w:after="0" w:line="184" w:lineRule="exact"/>
        <w:rPr>
          <w:sz w:val="24"/>
          <w:szCs w:val="24"/>
          <w:color w:val="auto"/>
        </w:rPr>
      </w:pPr>
    </w:p>
    <w:p>
      <w:pPr>
        <w:ind w:left="540" w:hanging="532"/>
        <w:spacing w:after="0"/>
        <w:tabs>
          <w:tab w:leader="none" w:pos="540" w:val="left"/>
        </w:tabs>
        <w:numPr>
          <w:ilvl w:val="0"/>
          <w:numId w:val="2"/>
        </w:numPr>
        <w:rPr>
          <w:rFonts w:ascii="Arial" w:cs="Arial" w:eastAsia="Arial" w:hAnsi="Arial"/>
          <w:sz w:val="17"/>
          <w:szCs w:val="17"/>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40"/>
          </w:cols>
          <w:pgMar w:left="240" w:top="597" w:right="219" w:bottom="1440" w:gutter="0" w:footer="0" w:header="0"/>
        </w:sectPr>
      </w:pPr>
    </w:p>
    <w:p>
      <w:pPr>
        <w:spacing w:after="0" w:line="29" w:lineRule="exact"/>
        <w:rPr>
          <w:sz w:val="24"/>
          <w:szCs w:val="24"/>
          <w:color w:val="auto"/>
        </w:rPr>
      </w:pPr>
    </w:p>
    <w:p>
      <w:pPr>
        <w:jc w:val="right"/>
        <w:ind w:right="4400"/>
        <w:spacing w:after="0"/>
        <w:tabs>
          <w:tab w:leader="none" w:pos="180" w:val="left"/>
        </w:tabs>
        <w:rPr>
          <w:sz w:val="20"/>
          <w:szCs w:val="20"/>
          <w:color w:val="auto"/>
        </w:rPr>
      </w:pPr>
      <w:r>
        <w:rPr>
          <w:rFonts w:ascii="Arial" w:cs="Arial" w:eastAsia="Arial" w:hAnsi="Arial"/>
          <w:sz w:val="19"/>
          <w:szCs w:val="19"/>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jc w:val="right"/>
        <w:ind w:right="4360"/>
        <w:spacing w:after="0"/>
        <w:rPr>
          <w:sz w:val="20"/>
          <w:szCs w:val="20"/>
          <w:color w:val="auto"/>
        </w:rPr>
      </w:pPr>
      <w:r>
        <w:rPr>
          <w:rFonts w:ascii="Arial" w:cs="Arial" w:eastAsia="Arial" w:hAnsi="Arial"/>
          <w:sz w:val="19"/>
          <w:szCs w:val="19"/>
          <w:b w:val="1"/>
          <w:bCs w:val="1"/>
          <w:color w:val="auto"/>
        </w:rPr>
        <w:t>Commission File Number 1-12744</w:t>
      </w:r>
    </w:p>
    <w:p>
      <w:pPr>
        <w:sectPr>
          <w:pgSz w:w="11900" w:h="16838" w:orient="portrait"/>
          <w:cols w:equalWidth="0" w:num="1">
            <w:col w:w="11440"/>
          </w:cols>
          <w:pgMar w:left="240" w:top="597" w:right="219" w:bottom="1440" w:gutter="0" w:footer="0" w:header="0"/>
          <w:type w:val="continuous"/>
        </w:sectPr>
      </w:pPr>
    </w:p>
    <w:p>
      <w:pPr>
        <w:spacing w:after="0" w:line="70"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79" w:lineRule="exact"/>
        <w:rPr>
          <w:sz w:val="24"/>
          <w:szCs w:val="24"/>
          <w:color w:val="auto"/>
        </w:rPr>
      </w:pPr>
    </w:p>
    <w:tbl>
      <w:tblPr>
        <w:tblLayout w:type="fixed"/>
        <w:tblInd w:w="1240" w:type="dxa"/>
        <w:tblCellMar>
          <w:top w:w="0" w:type="dxa"/>
          <w:left w:w="0" w:type="dxa"/>
          <w:bottom w:w="0" w:type="dxa"/>
          <w:right w:w="0" w:type="dxa"/>
        </w:tblCellMar>
      </w:tblPr>
      <w:tr>
        <w:trPr>
          <w:trHeight w:val="201"/>
        </w:trPr>
        <w:tc>
          <w:tcPr>
            <w:tcW w:w="3340" w:type="dxa"/>
            <w:vAlign w:val="bottom"/>
          </w:tcPr>
          <w:p>
            <w:pPr>
              <w:jc w:val="center"/>
              <w:ind w:right="45"/>
              <w:spacing w:after="0" w:line="201" w:lineRule="exact"/>
              <w:rPr>
                <w:sz w:val="20"/>
                <w:szCs w:val="20"/>
                <w:color w:val="auto"/>
              </w:rPr>
            </w:pPr>
            <w:r>
              <w:rPr>
                <w:rFonts w:ascii="Arial" w:cs="Arial" w:eastAsia="Arial" w:hAnsi="Arial"/>
                <w:sz w:val="19"/>
                <w:szCs w:val="19"/>
                <w:b w:val="1"/>
                <w:bCs w:val="1"/>
                <w:color w:val="auto"/>
                <w:w w:val="93"/>
              </w:rPr>
              <w:t>North Carolina</w:t>
            </w:r>
          </w:p>
        </w:tc>
        <w:tc>
          <w:tcPr>
            <w:tcW w:w="2280" w:type="dxa"/>
            <w:vAlign w:val="bottom"/>
            <w:tcBorders>
              <w:top w:val="single" w:sz="8" w:color="auto"/>
            </w:tcBorders>
          </w:tcPr>
          <w:p>
            <w:pPr>
              <w:spacing w:after="0"/>
              <w:rPr>
                <w:sz w:val="17"/>
                <w:szCs w:val="17"/>
                <w:color w:val="auto"/>
              </w:rPr>
            </w:pPr>
          </w:p>
        </w:tc>
        <w:tc>
          <w:tcPr>
            <w:tcW w:w="2700" w:type="dxa"/>
            <w:vAlign w:val="bottom"/>
          </w:tcPr>
          <w:p>
            <w:pPr>
              <w:jc w:val="center"/>
              <w:ind w:left="725"/>
              <w:spacing w:after="0" w:line="201" w:lineRule="exact"/>
              <w:rPr>
                <w:sz w:val="20"/>
                <w:szCs w:val="20"/>
                <w:color w:val="auto"/>
              </w:rPr>
            </w:pPr>
            <w:r>
              <w:rPr>
                <w:rFonts w:ascii="Arial" w:cs="Arial" w:eastAsia="Arial" w:hAnsi="Arial"/>
                <w:sz w:val="19"/>
                <w:szCs w:val="19"/>
                <w:b w:val="1"/>
                <w:bCs w:val="1"/>
                <w:color w:val="auto"/>
                <w:w w:val="90"/>
              </w:rPr>
              <w:t>56-1848578</w:t>
            </w:r>
          </w:p>
        </w:tc>
      </w:tr>
      <w:tr>
        <w:trPr>
          <w:trHeight w:val="216"/>
        </w:trPr>
        <w:tc>
          <w:tcPr>
            <w:tcW w:w="3340" w:type="dxa"/>
            <w:vAlign w:val="bottom"/>
          </w:tcPr>
          <w:p>
            <w:pPr>
              <w:jc w:val="center"/>
              <w:ind w:right="105"/>
              <w:spacing w:after="0" w:line="216" w:lineRule="exact"/>
              <w:rPr>
                <w:sz w:val="20"/>
                <w:szCs w:val="20"/>
                <w:color w:val="auto"/>
              </w:rPr>
            </w:pPr>
            <w:r>
              <w:rPr>
                <w:rFonts w:ascii="Arial" w:cs="Arial" w:eastAsia="Arial" w:hAnsi="Arial"/>
                <w:sz w:val="19"/>
                <w:szCs w:val="19"/>
                <w:b w:val="1"/>
                <w:bCs w:val="1"/>
                <w:color w:val="auto"/>
                <w:w w:val="91"/>
              </w:rPr>
              <w:t>(State or other jurisdiction of</w:t>
            </w:r>
          </w:p>
        </w:tc>
        <w:tc>
          <w:tcPr>
            <w:tcW w:w="2280" w:type="dxa"/>
            <w:vAlign w:val="bottom"/>
          </w:tcPr>
          <w:p>
            <w:pPr>
              <w:spacing w:after="0"/>
              <w:rPr>
                <w:sz w:val="18"/>
                <w:szCs w:val="18"/>
                <w:color w:val="auto"/>
              </w:rPr>
            </w:pPr>
          </w:p>
        </w:tc>
        <w:tc>
          <w:tcPr>
            <w:tcW w:w="2700" w:type="dxa"/>
            <w:vAlign w:val="bottom"/>
          </w:tcPr>
          <w:p>
            <w:pPr>
              <w:jc w:val="center"/>
              <w:ind w:left="725"/>
              <w:spacing w:after="0" w:line="216" w:lineRule="exact"/>
              <w:rPr>
                <w:sz w:val="20"/>
                <w:szCs w:val="20"/>
                <w:color w:val="auto"/>
              </w:rPr>
            </w:pPr>
            <w:r>
              <w:rPr>
                <w:rFonts w:ascii="Arial" w:cs="Arial" w:eastAsia="Arial" w:hAnsi="Arial"/>
                <w:sz w:val="19"/>
                <w:szCs w:val="19"/>
                <w:b w:val="1"/>
                <w:bCs w:val="1"/>
                <w:color w:val="auto"/>
                <w:w w:val="93"/>
              </w:rPr>
              <w:t>(I.R.S. Employer</w:t>
            </w:r>
          </w:p>
        </w:tc>
      </w:tr>
      <w:tr>
        <w:trPr>
          <w:trHeight w:val="246"/>
        </w:trPr>
        <w:tc>
          <w:tcPr>
            <w:tcW w:w="3340" w:type="dxa"/>
            <w:vAlign w:val="bottom"/>
          </w:tcPr>
          <w:p>
            <w:pPr>
              <w:jc w:val="center"/>
              <w:ind w:right="105"/>
              <w:spacing w:after="0"/>
              <w:rPr>
                <w:sz w:val="20"/>
                <w:szCs w:val="20"/>
                <w:color w:val="auto"/>
              </w:rPr>
            </w:pPr>
            <w:r>
              <w:rPr>
                <w:rFonts w:ascii="Arial" w:cs="Arial" w:eastAsia="Arial" w:hAnsi="Arial"/>
                <w:sz w:val="19"/>
                <w:szCs w:val="19"/>
                <w:b w:val="1"/>
                <w:bCs w:val="1"/>
                <w:color w:val="auto"/>
                <w:w w:val="90"/>
              </w:rPr>
              <w:t>incorporation or organization)</w:t>
            </w:r>
          </w:p>
        </w:tc>
        <w:tc>
          <w:tcPr>
            <w:tcW w:w="2280" w:type="dxa"/>
            <w:vAlign w:val="bottom"/>
          </w:tcPr>
          <w:p>
            <w:pPr>
              <w:spacing w:after="0"/>
              <w:rPr>
                <w:sz w:val="21"/>
                <w:szCs w:val="21"/>
                <w:color w:val="auto"/>
              </w:rPr>
            </w:pPr>
          </w:p>
        </w:tc>
        <w:tc>
          <w:tcPr>
            <w:tcW w:w="2700" w:type="dxa"/>
            <w:vAlign w:val="bottom"/>
          </w:tcPr>
          <w:p>
            <w:pPr>
              <w:jc w:val="center"/>
              <w:ind w:left="725"/>
              <w:spacing w:after="0"/>
              <w:rPr>
                <w:sz w:val="20"/>
                <w:szCs w:val="20"/>
                <w:color w:val="auto"/>
              </w:rPr>
            </w:pPr>
            <w:r>
              <w:rPr>
                <w:rFonts w:ascii="Arial" w:cs="Arial" w:eastAsia="Arial" w:hAnsi="Arial"/>
                <w:sz w:val="19"/>
                <w:szCs w:val="19"/>
                <w:b w:val="1"/>
                <w:bCs w:val="1"/>
                <w:color w:val="auto"/>
                <w:w w:val="93"/>
              </w:rPr>
              <w:t>Identification Number)</w:t>
            </w:r>
          </w:p>
        </w:tc>
      </w:tr>
      <w:tr>
        <w:trPr>
          <w:trHeight w:val="415"/>
        </w:trPr>
        <w:tc>
          <w:tcPr>
            <w:tcW w:w="3340" w:type="dxa"/>
            <w:vAlign w:val="bottom"/>
          </w:tcPr>
          <w:p>
            <w:pPr>
              <w:jc w:val="center"/>
              <w:ind w:right="105"/>
              <w:spacing w:after="0"/>
              <w:rPr>
                <w:sz w:val="20"/>
                <w:szCs w:val="20"/>
                <w:color w:val="auto"/>
              </w:rPr>
            </w:pPr>
            <w:r>
              <w:rPr>
                <w:rFonts w:ascii="Arial" w:cs="Arial" w:eastAsia="Arial" w:hAnsi="Arial"/>
                <w:sz w:val="19"/>
                <w:szCs w:val="19"/>
                <w:b w:val="1"/>
                <w:bCs w:val="1"/>
                <w:color w:val="auto"/>
                <w:w w:val="92"/>
              </w:rPr>
              <w:t>2710 Wycliff Road, Raleigh, NC</w:t>
            </w:r>
          </w:p>
        </w:tc>
        <w:tc>
          <w:tcPr>
            <w:tcW w:w="4980" w:type="dxa"/>
            <w:vAlign w:val="bottom"/>
            <w:gridSpan w:val="2"/>
          </w:tcPr>
          <w:p>
            <w:pPr>
              <w:jc w:val="center"/>
              <w:ind w:left="3005"/>
              <w:spacing w:after="0"/>
              <w:rPr>
                <w:sz w:val="20"/>
                <w:szCs w:val="20"/>
                <w:color w:val="auto"/>
              </w:rPr>
            </w:pPr>
            <w:r>
              <w:rPr>
                <w:rFonts w:ascii="Arial" w:cs="Arial" w:eastAsia="Arial" w:hAnsi="Arial"/>
                <w:sz w:val="19"/>
                <w:szCs w:val="19"/>
                <w:b w:val="1"/>
                <w:bCs w:val="1"/>
                <w:color w:val="auto"/>
                <w:w w:val="90"/>
              </w:rPr>
              <w:t>27607-3033</w:t>
            </w:r>
          </w:p>
        </w:tc>
      </w:tr>
      <w:tr>
        <w:trPr>
          <w:trHeight w:val="238"/>
        </w:trPr>
        <w:tc>
          <w:tcPr>
            <w:tcW w:w="3340" w:type="dxa"/>
            <w:vAlign w:val="bottom"/>
          </w:tcPr>
          <w:p>
            <w:pPr>
              <w:jc w:val="center"/>
              <w:ind w:right="105"/>
              <w:spacing w:after="0"/>
              <w:rPr>
                <w:sz w:val="20"/>
                <w:szCs w:val="20"/>
                <w:color w:val="auto"/>
              </w:rPr>
            </w:pPr>
            <w:r>
              <w:rPr>
                <w:rFonts w:ascii="Arial" w:cs="Arial" w:eastAsia="Arial" w:hAnsi="Arial"/>
                <w:sz w:val="19"/>
                <w:szCs w:val="19"/>
                <w:b w:val="1"/>
                <w:bCs w:val="1"/>
                <w:color w:val="auto"/>
                <w:w w:val="88"/>
              </w:rPr>
              <w:t>(Address of principal executive offices)</w:t>
            </w:r>
          </w:p>
        </w:tc>
        <w:tc>
          <w:tcPr>
            <w:tcW w:w="2280" w:type="dxa"/>
            <w:vAlign w:val="bottom"/>
          </w:tcPr>
          <w:p>
            <w:pPr>
              <w:spacing w:after="0"/>
              <w:rPr>
                <w:sz w:val="20"/>
                <w:szCs w:val="20"/>
                <w:color w:val="auto"/>
              </w:rPr>
            </w:pPr>
          </w:p>
        </w:tc>
        <w:tc>
          <w:tcPr>
            <w:tcW w:w="2700" w:type="dxa"/>
            <w:vAlign w:val="bottom"/>
          </w:tcPr>
          <w:p>
            <w:pPr>
              <w:jc w:val="center"/>
              <w:ind w:left="725"/>
              <w:spacing w:after="0"/>
              <w:rPr>
                <w:sz w:val="20"/>
                <w:szCs w:val="20"/>
                <w:color w:val="auto"/>
              </w:rPr>
            </w:pPr>
            <w:r>
              <w:rPr>
                <w:rFonts w:ascii="Arial" w:cs="Arial" w:eastAsia="Arial" w:hAnsi="Arial"/>
                <w:sz w:val="19"/>
                <w:szCs w:val="19"/>
                <w:b w:val="1"/>
                <w:bCs w:val="1"/>
                <w:color w:val="auto"/>
                <w:w w:val="93"/>
              </w:rPr>
              <w:t>(Zip Code)</w:t>
            </w:r>
          </w:p>
        </w:tc>
      </w:tr>
    </w:tbl>
    <w:p>
      <w:pPr>
        <w:jc w:val="center"/>
        <w:ind w:right="20"/>
        <w:spacing w:after="0" w:line="237" w:lineRule="auto"/>
        <w:rPr>
          <w:sz w:val="20"/>
          <w:szCs w:val="20"/>
          <w:color w:val="auto"/>
        </w:rPr>
      </w:pPr>
      <w:r>
        <w:rPr>
          <w:rFonts w:ascii="Arial" w:cs="Arial" w:eastAsia="Arial" w:hAnsi="Arial"/>
          <w:sz w:val="19"/>
          <w:szCs w:val="19"/>
          <w:b w:val="1"/>
          <w:bCs w:val="1"/>
          <w:color w:val="auto"/>
        </w:rPr>
        <w:t>Registrant’s telephone number, including area code 919-781-4550</w:t>
      </w:r>
    </w:p>
    <w:p>
      <w:pPr>
        <w:jc w:val="center"/>
        <w:ind w:right="20"/>
        <w:spacing w:after="0" w:line="237" w:lineRule="auto"/>
        <w:rPr>
          <w:sz w:val="20"/>
          <w:szCs w:val="20"/>
          <w:color w:val="auto"/>
        </w:rPr>
      </w:pPr>
      <w:r>
        <w:rPr>
          <w:rFonts w:ascii="Arial" w:cs="Arial" w:eastAsia="Arial" w:hAnsi="Arial"/>
          <w:sz w:val="19"/>
          <w:szCs w:val="19"/>
          <w:b w:val="1"/>
          <w:bCs w:val="1"/>
          <w:color w:val="auto"/>
        </w:rPr>
        <w:t>Former name: None</w:t>
      </w:r>
    </w:p>
    <w:p>
      <w:pPr>
        <w:jc w:val="center"/>
        <w:ind w:right="20"/>
        <w:spacing w:after="0" w:line="238" w:lineRule="auto"/>
        <w:rPr>
          <w:sz w:val="20"/>
          <w:szCs w:val="20"/>
          <w:color w:val="auto"/>
        </w:rPr>
      </w:pPr>
      <w:r>
        <w:rPr>
          <w:rFonts w:ascii="Arial" w:cs="Arial" w:eastAsia="Arial" w:hAnsi="Arial"/>
          <w:sz w:val="19"/>
          <w:szCs w:val="19"/>
          <w:b w:val="1"/>
          <w:bCs w:val="1"/>
          <w:color w:val="auto"/>
        </w:rPr>
        <w:t>Former name, former address and former fiscal year, if changes since last report.</w:t>
      </w:r>
    </w:p>
    <w:p>
      <w:pPr>
        <w:ind w:right="140"/>
        <w:spacing w:after="0" w:line="237"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20"/>
        <w:spacing w:after="0" w:line="217" w:lineRule="exact"/>
        <w:tabs>
          <w:tab w:leader="none" w:pos="16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8"/>
          <w:szCs w:val="18"/>
          <w:color w:val="auto"/>
        </w:rPr>
        <w:t>☑</w:t>
      </w:r>
      <w:r>
        <w:rPr>
          <w:rFonts w:ascii="Arial" w:cs="Arial" w:eastAsia="Arial" w:hAnsi="Arial"/>
          <w:sz w:val="19"/>
          <w:szCs w:val="19"/>
          <w:color w:val="auto"/>
        </w:rPr>
        <w:tab/>
        <w:t xml:space="preserve">No </w:t>
      </w:r>
      <w:r>
        <w:rPr>
          <w:rFonts w:ascii="Arial" w:cs="Arial" w:eastAsia="Arial" w:hAnsi="Arial"/>
          <w:sz w:val="18"/>
          <w:szCs w:val="18"/>
          <w:color w:val="auto"/>
        </w:rPr>
        <w:t>o</w:t>
      </w:r>
    </w:p>
    <w:p>
      <w:pPr>
        <w:ind w:right="380"/>
        <w:spacing w:after="0" w:line="237"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20"/>
        <w:spacing w:after="0" w:line="217" w:lineRule="exact"/>
        <w:tabs>
          <w:tab w:leader="none" w:pos="16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8"/>
          <w:szCs w:val="18"/>
          <w:color w:val="auto"/>
        </w:rPr>
        <w:t>☑</w:t>
      </w:r>
      <w:r>
        <w:rPr>
          <w:rFonts w:ascii="Arial" w:cs="Arial" w:eastAsia="Arial" w:hAnsi="Arial"/>
          <w:sz w:val="19"/>
          <w:szCs w:val="19"/>
          <w:color w:val="auto"/>
        </w:rPr>
        <w:tab/>
        <w:t xml:space="preserve">No </w:t>
      </w:r>
      <w:r>
        <w:rPr>
          <w:rFonts w:ascii="Arial" w:cs="Arial" w:eastAsia="Arial" w:hAnsi="Arial"/>
          <w:sz w:val="18"/>
          <w:szCs w:val="18"/>
          <w:color w:val="auto"/>
        </w:rPr>
        <w:t>o</w:t>
      </w: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pacing w:after="0" w:line="21" w:lineRule="exact"/>
        <w:rPr>
          <w:sz w:val="24"/>
          <w:szCs w:val="24"/>
          <w:color w:val="auto"/>
        </w:rPr>
      </w:pPr>
    </w:p>
    <w:p>
      <w:pPr>
        <w:spacing w:after="0"/>
        <w:rPr>
          <w:sz w:val="20"/>
          <w:szCs w:val="20"/>
          <w:color w:val="auto"/>
        </w:rPr>
      </w:pPr>
      <w:r>
        <w:rPr>
          <w:rFonts w:ascii="Arial" w:cs="Arial" w:eastAsia="Arial" w:hAnsi="Arial"/>
          <w:sz w:val="19"/>
          <w:szCs w:val="19"/>
          <w:color w:val="auto"/>
        </w:rPr>
        <w:t>See the definitions of “large accelerated filer,” “accelerated filer” and “smaller reporting company” in Rule 12b-2 of the Exchange Act.</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 w:type="dxa"/>
            <w:vAlign w:val="bottom"/>
          </w:tcPr>
          <w:p>
            <w:pPr>
              <w:spacing w:after="0"/>
              <w:rPr>
                <w:sz w:val="24"/>
                <w:szCs w:val="24"/>
                <w:color w:val="auto"/>
              </w:rPr>
            </w:pPr>
          </w:p>
        </w:tc>
        <w:tc>
          <w:tcPr>
            <w:tcW w:w="2160" w:type="dxa"/>
            <w:vAlign w:val="bottom"/>
          </w:tcPr>
          <w:p>
            <w:pPr>
              <w:ind w:left="40"/>
              <w:spacing w:after="0"/>
              <w:rPr>
                <w:sz w:val="20"/>
                <w:szCs w:val="20"/>
                <w:color w:val="auto"/>
              </w:rPr>
            </w:pPr>
            <w:r>
              <w:rPr>
                <w:rFonts w:ascii="Arial" w:cs="Arial" w:eastAsia="Arial" w:hAnsi="Arial"/>
                <w:sz w:val="19"/>
                <w:szCs w:val="19"/>
                <w:color w:val="auto"/>
              </w:rPr>
              <w:t>Large accelerated filer</w:t>
            </w:r>
          </w:p>
        </w:tc>
        <w:tc>
          <w:tcPr>
            <w:tcW w:w="344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24"/>
                <w:szCs w:val="24"/>
                <w:color w:val="auto"/>
              </w:rPr>
            </w:pPr>
          </w:p>
        </w:tc>
        <w:tc>
          <w:tcPr>
            <w:tcW w:w="4720" w:type="dxa"/>
            <w:vAlign w:val="bottom"/>
          </w:tcPr>
          <w:p>
            <w:pPr>
              <w:ind w:left="1860"/>
              <w:spacing w:after="0"/>
              <w:rPr>
                <w:sz w:val="20"/>
                <w:szCs w:val="20"/>
                <w:color w:val="auto"/>
              </w:rPr>
            </w:pPr>
            <w:r>
              <w:rPr>
                <w:rFonts w:ascii="Arial" w:cs="Arial" w:eastAsia="Arial" w:hAnsi="Arial"/>
                <w:sz w:val="19"/>
                <w:szCs w:val="19"/>
                <w:color w:val="auto"/>
              </w:rPr>
              <w:t>Accelerated filer</w:t>
            </w:r>
          </w:p>
        </w:tc>
        <w:tc>
          <w:tcPr>
            <w:tcW w:w="880" w:type="dxa"/>
            <w:vAlign w:val="bottom"/>
          </w:tcPr>
          <w:p>
            <w:pPr>
              <w:ind w:left="660"/>
              <w:spacing w:after="0"/>
              <w:rPr>
                <w:sz w:val="20"/>
                <w:szCs w:val="20"/>
                <w:color w:val="auto"/>
              </w:rPr>
            </w:pPr>
            <w:r>
              <w:rPr>
                <w:rFonts w:ascii="Arial" w:cs="Arial" w:eastAsia="Arial" w:hAnsi="Arial"/>
                <w:sz w:val="18"/>
                <w:szCs w:val="18"/>
                <w:color w:val="auto"/>
              </w:rPr>
              <w:t>o</w:t>
            </w:r>
          </w:p>
        </w:tc>
        <w:tc>
          <w:tcPr>
            <w:tcW w:w="20" w:type="dxa"/>
            <w:vAlign w:val="bottom"/>
          </w:tcPr>
          <w:p>
            <w:pPr>
              <w:spacing w:after="0"/>
              <w:rPr>
                <w:sz w:val="24"/>
                <w:szCs w:val="24"/>
                <w:color w:val="auto"/>
              </w:rPr>
            </w:pPr>
          </w:p>
        </w:tc>
      </w:tr>
      <w:tr>
        <w:trPr>
          <w:trHeight w:val="390"/>
        </w:trPr>
        <w:tc>
          <w:tcPr>
            <w:tcW w:w="2180" w:type="dxa"/>
            <w:vAlign w:val="bottom"/>
            <w:gridSpan w:val="2"/>
          </w:tcPr>
          <w:p>
            <w:pPr>
              <w:spacing w:after="0"/>
              <w:rPr>
                <w:sz w:val="20"/>
                <w:szCs w:val="20"/>
                <w:color w:val="auto"/>
              </w:rPr>
            </w:pPr>
            <w:r>
              <w:rPr>
                <w:rFonts w:ascii="Arial" w:cs="Arial" w:eastAsia="Arial" w:hAnsi="Arial"/>
                <w:sz w:val="19"/>
                <w:szCs w:val="19"/>
                <w:color w:val="auto"/>
              </w:rPr>
              <w:t>Non-accelerated filer</w:t>
            </w:r>
          </w:p>
        </w:tc>
        <w:tc>
          <w:tcPr>
            <w:tcW w:w="3440" w:type="dxa"/>
            <w:vAlign w:val="bottom"/>
          </w:tcPr>
          <w:p>
            <w:pPr>
              <w:ind w:left="1380"/>
              <w:spacing w:after="0"/>
              <w:rPr>
                <w:sz w:val="20"/>
                <w:szCs w:val="20"/>
                <w:color w:val="auto"/>
              </w:rPr>
            </w:pPr>
            <w:r>
              <w:rPr>
                <w:rFonts w:ascii="Arial" w:cs="Arial" w:eastAsia="Arial" w:hAnsi="Arial"/>
                <w:sz w:val="18"/>
                <w:szCs w:val="18"/>
                <w:color w:val="auto"/>
              </w:rPr>
              <w:t>o</w:t>
            </w:r>
          </w:p>
        </w:tc>
        <w:tc>
          <w:tcPr>
            <w:tcW w:w="200" w:type="dxa"/>
            <w:vAlign w:val="bottom"/>
          </w:tcPr>
          <w:p>
            <w:pPr>
              <w:spacing w:after="0"/>
              <w:rPr>
                <w:sz w:val="24"/>
                <w:szCs w:val="24"/>
                <w:color w:val="auto"/>
              </w:rPr>
            </w:pPr>
          </w:p>
        </w:tc>
        <w:tc>
          <w:tcPr>
            <w:tcW w:w="4720" w:type="dxa"/>
            <w:vAlign w:val="bottom"/>
          </w:tcPr>
          <w:p>
            <w:pPr>
              <w:ind w:left="1860"/>
              <w:spacing w:after="0"/>
              <w:rPr>
                <w:sz w:val="20"/>
                <w:szCs w:val="20"/>
                <w:color w:val="auto"/>
              </w:rPr>
            </w:pPr>
            <w:r>
              <w:rPr>
                <w:rFonts w:ascii="Arial" w:cs="Arial" w:eastAsia="Arial" w:hAnsi="Arial"/>
                <w:sz w:val="19"/>
                <w:szCs w:val="19"/>
                <w:color w:val="auto"/>
              </w:rPr>
              <w:t>Smaller reporting company</w:t>
            </w:r>
          </w:p>
        </w:tc>
        <w:tc>
          <w:tcPr>
            <w:tcW w:w="880" w:type="dxa"/>
            <w:vAlign w:val="bottom"/>
          </w:tcPr>
          <w:p>
            <w:pPr>
              <w:ind w:left="660"/>
              <w:spacing w:after="0"/>
              <w:rPr>
                <w:sz w:val="20"/>
                <w:szCs w:val="20"/>
                <w:color w:val="auto"/>
              </w:rPr>
            </w:pPr>
            <w:r>
              <w:rPr>
                <w:rFonts w:ascii="Arial" w:cs="Arial" w:eastAsia="Arial" w:hAnsi="Arial"/>
                <w:sz w:val="18"/>
                <w:szCs w:val="18"/>
                <w:color w:val="auto"/>
              </w:rPr>
              <w:t>o</w:t>
            </w:r>
          </w:p>
        </w:tc>
        <w:tc>
          <w:tcPr>
            <w:tcW w:w="20" w:type="dxa"/>
            <w:vAlign w:val="bottom"/>
          </w:tcPr>
          <w:p>
            <w:pPr>
              <w:spacing w:after="0"/>
              <w:rPr>
                <w:sz w:val="24"/>
                <w:szCs w:val="24"/>
                <w:color w:val="auto"/>
              </w:rPr>
            </w:pPr>
          </w:p>
        </w:tc>
      </w:tr>
      <w:tr>
        <w:trPr>
          <w:trHeight w:val="191"/>
        </w:trPr>
        <w:tc>
          <w:tcPr>
            <w:tcW w:w="10540" w:type="dxa"/>
            <w:vAlign w:val="bottom"/>
            <w:gridSpan w:val="5"/>
          </w:tcPr>
          <w:p>
            <w:pPr>
              <w:spacing w:after="0" w:line="192" w:lineRule="exact"/>
              <w:rPr>
                <w:sz w:val="20"/>
                <w:szCs w:val="20"/>
                <w:color w:val="auto"/>
              </w:rPr>
            </w:pPr>
            <w:r>
              <w:rPr>
                <w:rFonts w:ascii="Arial" w:cs="Arial" w:eastAsia="Arial" w:hAnsi="Arial"/>
                <w:sz w:val="19"/>
                <w:szCs w:val="19"/>
                <w:color w:val="auto"/>
              </w:rPr>
              <w:t>Indicate by check mark whether the registrant is a shell company (as defined in Rule 12b-2 of the Exchange Act).</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1"/>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440" w:type="dxa"/>
            <w:vAlign w:val="bottom"/>
          </w:tcPr>
          <w:p>
            <w:pPr>
              <w:ind w:left="2940"/>
              <w:spacing w:after="0"/>
              <w:rPr>
                <w:sz w:val="20"/>
                <w:szCs w:val="20"/>
                <w:color w:val="auto"/>
              </w:rPr>
            </w:pPr>
            <w:r>
              <w:rPr>
                <w:rFonts w:ascii="Arial" w:cs="Arial" w:eastAsia="Arial" w:hAnsi="Arial"/>
                <w:sz w:val="19"/>
                <w:szCs w:val="19"/>
                <w:color w:val="auto"/>
                <w:w w:val="99"/>
              </w:rPr>
              <w:t xml:space="preserve">Yes </w:t>
            </w:r>
            <w:r>
              <w:rPr>
                <w:rFonts w:ascii="Arial" w:cs="Arial" w:eastAsia="Arial" w:hAnsi="Arial"/>
                <w:sz w:val="18"/>
                <w:szCs w:val="18"/>
                <w:color w:val="auto"/>
                <w:w w:val="99"/>
              </w:rPr>
              <w:t>o</w:t>
            </w:r>
          </w:p>
        </w:tc>
        <w:tc>
          <w:tcPr>
            <w:tcW w:w="4920" w:type="dxa"/>
            <w:vAlign w:val="bottom"/>
            <w:gridSpan w:val="2"/>
          </w:tcPr>
          <w:p>
            <w:pPr>
              <w:ind w:left="160"/>
              <w:spacing w:after="0" w:line="219" w:lineRule="exact"/>
              <w:rPr>
                <w:sz w:val="20"/>
                <w:szCs w:val="20"/>
                <w:color w:val="auto"/>
              </w:rPr>
            </w:pPr>
            <w:r>
              <w:rPr>
                <w:rFonts w:ascii="Arial" w:cs="Arial" w:eastAsia="Arial" w:hAnsi="Arial"/>
                <w:sz w:val="19"/>
                <w:szCs w:val="19"/>
                <w:color w:val="auto"/>
              </w:rPr>
              <w:t xml:space="preserve">No  </w:t>
            </w:r>
            <w:r>
              <w:rPr>
                <w:rFonts w:ascii="MS PGothic" w:cs="MS PGothic" w:eastAsia="MS PGothic" w:hAnsi="MS PGothic"/>
                <w:sz w:val="18"/>
                <w:szCs w:val="18"/>
                <w:color w:val="auto"/>
              </w:rPr>
              <w:t>☑</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10540" w:type="dxa"/>
            <w:vAlign w:val="bottom"/>
            <w:gridSpan w:val="5"/>
          </w:tcPr>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4"/>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jc w:val="center"/>
              <w:ind w:right="2088"/>
              <w:spacing w:after="0"/>
              <w:rPr>
                <w:sz w:val="20"/>
                <w:szCs w:val="20"/>
                <w:color w:val="auto"/>
              </w:rPr>
            </w:pPr>
            <w:r>
              <w:rPr>
                <w:rFonts w:ascii="Arial" w:cs="Arial" w:eastAsia="Arial" w:hAnsi="Arial"/>
                <w:sz w:val="19"/>
                <w:szCs w:val="19"/>
                <w:b w:val="1"/>
                <w:bCs w:val="1"/>
                <w:color w:val="auto"/>
                <w:w w:val="82"/>
              </w:rPr>
              <w:t>Class</w:t>
            </w:r>
          </w:p>
        </w:tc>
        <w:tc>
          <w:tcPr>
            <w:tcW w:w="200" w:type="dxa"/>
            <w:vAlign w:val="bottom"/>
          </w:tcPr>
          <w:p>
            <w:pPr>
              <w:spacing w:after="0"/>
              <w:rPr>
                <w:sz w:val="24"/>
                <w:szCs w:val="24"/>
                <w:color w:val="auto"/>
              </w:rPr>
            </w:pPr>
          </w:p>
        </w:tc>
        <w:tc>
          <w:tcPr>
            <w:tcW w:w="4720" w:type="dxa"/>
            <w:vAlign w:val="bottom"/>
            <w:tcBorders>
              <w:bottom w:val="single" w:sz="8" w:color="auto"/>
            </w:tcBorders>
          </w:tcPr>
          <w:p>
            <w:pPr>
              <w:jc w:val="center"/>
              <w:ind w:left="805"/>
              <w:spacing w:after="0"/>
              <w:rPr>
                <w:sz w:val="20"/>
                <w:szCs w:val="20"/>
                <w:color w:val="auto"/>
              </w:rPr>
            </w:pPr>
            <w:r>
              <w:rPr>
                <w:rFonts w:ascii="Arial" w:cs="Arial" w:eastAsia="Arial" w:hAnsi="Arial"/>
                <w:sz w:val="19"/>
                <w:szCs w:val="19"/>
                <w:b w:val="1"/>
                <w:bCs w:val="1"/>
                <w:color w:val="auto"/>
                <w:w w:val="89"/>
              </w:rPr>
              <w:t>Outstanding as of July 31, 2015</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600" w:type="dxa"/>
            <w:vAlign w:val="bottom"/>
            <w:gridSpan w:val="2"/>
          </w:tcPr>
          <w:p>
            <w:pPr>
              <w:jc w:val="center"/>
              <w:spacing w:after="0"/>
              <w:rPr>
                <w:sz w:val="20"/>
                <w:szCs w:val="20"/>
                <w:color w:val="auto"/>
              </w:rPr>
            </w:pPr>
            <w:r>
              <w:rPr>
                <w:rFonts w:ascii="Arial" w:cs="Arial" w:eastAsia="Arial" w:hAnsi="Arial"/>
                <w:sz w:val="19"/>
                <w:szCs w:val="19"/>
                <w:color w:val="auto"/>
                <w:w w:val="90"/>
              </w:rPr>
              <w:t>Common Stock, $0.01 par value</w:t>
            </w:r>
          </w:p>
        </w:tc>
        <w:tc>
          <w:tcPr>
            <w:tcW w:w="200" w:type="dxa"/>
            <w:vAlign w:val="bottom"/>
          </w:tcPr>
          <w:p>
            <w:pPr>
              <w:spacing w:after="0"/>
              <w:rPr>
                <w:sz w:val="20"/>
                <w:szCs w:val="20"/>
                <w:color w:val="auto"/>
              </w:rPr>
            </w:pPr>
          </w:p>
        </w:tc>
        <w:tc>
          <w:tcPr>
            <w:tcW w:w="4720" w:type="dxa"/>
            <w:vAlign w:val="bottom"/>
          </w:tcPr>
          <w:p>
            <w:pPr>
              <w:jc w:val="right"/>
              <w:ind w:right="1405"/>
              <w:spacing w:after="0"/>
              <w:rPr>
                <w:sz w:val="20"/>
                <w:szCs w:val="20"/>
                <w:color w:val="auto"/>
              </w:rPr>
            </w:pPr>
            <w:r>
              <w:rPr>
                <w:rFonts w:ascii="Arial" w:cs="Arial" w:eastAsia="Arial" w:hAnsi="Arial"/>
                <w:sz w:val="19"/>
                <w:szCs w:val="19"/>
                <w:color w:val="auto"/>
              </w:rPr>
              <w:t>67,001,255</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51"/>
        </w:trPr>
        <w:tc>
          <w:tcPr>
            <w:tcW w:w="20" w:type="dxa"/>
            <w:vAlign w:val="bottom"/>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121"/>
        </w:trPr>
        <w:tc>
          <w:tcPr>
            <w:tcW w:w="20" w:type="dxa"/>
            <w:vAlign w:val="bottom"/>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97"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860" w:type="dxa"/>
            <w:vAlign w:val="bottom"/>
            <w:gridSpan w:val="17"/>
            <w:vMerge w:val="restart"/>
          </w:tcPr>
          <w:p>
            <w:pPr>
              <w:spacing w:after="0"/>
              <w:rPr>
                <w:sz w:val="20"/>
                <w:szCs w:val="20"/>
                <w:color w:val="auto"/>
              </w:rPr>
            </w:pPr>
            <w:r>
              <w:rPr>
                <w:rFonts w:ascii="Arial" w:cs="Arial" w:eastAsia="Arial" w:hAnsi="Arial"/>
                <w:sz w:val="20"/>
                <w:szCs w:val="20"/>
                <w:color w:val="auto"/>
              </w:rPr>
              <w:t>Part I. Financial Information:</w:t>
            </w: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1"/>
              </w:rPr>
              <w:t>Page</w:t>
            </w:r>
          </w:p>
        </w:tc>
        <w:tc>
          <w:tcPr>
            <w:tcW w:w="0" w:type="dxa"/>
            <w:vAlign w:val="bottom"/>
          </w:tcPr>
          <w:p>
            <w:pPr>
              <w:spacing w:after="0"/>
              <w:rPr>
                <w:sz w:val="1"/>
                <w:szCs w:val="1"/>
                <w:color w:val="auto"/>
              </w:rPr>
            </w:pPr>
          </w:p>
        </w:tc>
      </w:tr>
      <w:tr>
        <w:trPr>
          <w:trHeight w:val="227"/>
        </w:trPr>
        <w:tc>
          <w:tcPr>
            <w:tcW w:w="10860" w:type="dxa"/>
            <w:vAlign w:val="bottom"/>
            <w:gridSpan w:val="17"/>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20" w:type="dxa"/>
            <w:vAlign w:val="bottom"/>
          </w:tcPr>
          <w:p>
            <w:pPr>
              <w:spacing w:after="0"/>
              <w:rPr>
                <w:sz w:val="24"/>
                <w:szCs w:val="24"/>
                <w:color w:val="auto"/>
              </w:rPr>
            </w:pPr>
          </w:p>
        </w:tc>
        <w:tc>
          <w:tcPr>
            <w:tcW w:w="10640" w:type="dxa"/>
            <w:vAlign w:val="bottom"/>
            <w:gridSpan w:val="16"/>
          </w:tcPr>
          <w:p>
            <w:pPr>
              <w:spacing w:after="0"/>
              <w:rPr>
                <w:sz w:val="20"/>
                <w:szCs w:val="20"/>
                <w:color w:val="auto"/>
              </w:rPr>
            </w:pPr>
            <w:r>
              <w:rPr>
                <w:rFonts w:ascii="Arial" w:cs="Arial" w:eastAsia="Arial" w:hAnsi="Arial"/>
                <w:sz w:val="20"/>
                <w:szCs w:val="20"/>
                <w:color w:val="auto"/>
              </w:rPr>
              <w:t>Item 1. Financial Statements.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5"/>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Consolidated Balance Sheets – June 30, 2015, December 31, 2014 and June 30, 2014</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5"/>
          </w:tcPr>
          <w:p>
            <w:pPr>
              <w:spacing w:after="0"/>
              <w:rPr>
                <w:rFonts w:ascii="Arial" w:cs="Arial" w:eastAsia="Arial" w:hAnsi="Arial"/>
                <w:sz w:val="20"/>
                <w:szCs w:val="20"/>
                <w:color w:val="0000EE"/>
                <w:w w:val="94"/>
              </w:rPr>
            </w:pPr>
            <w:hyperlink w:anchor="page4">
              <w:r>
                <w:rPr>
                  <w:rFonts w:ascii="Arial" w:cs="Arial" w:eastAsia="Arial" w:hAnsi="Arial"/>
                  <w:sz w:val="20"/>
                  <w:szCs w:val="20"/>
                  <w:color w:val="0000EE"/>
                  <w:w w:val="94"/>
                </w:rPr>
                <w:t>Consolidated Statements of Earnings and Comprehensive Earnings – Three and Six Months Ended June 30, 2015 and 2014</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60" w:type="dxa"/>
            <w:vAlign w:val="bottom"/>
            <w:tcBorders>
              <w:top w:val="single" w:sz="8" w:color="0000EE"/>
            </w:tcBorders>
            <w:gridSpan w:val="14"/>
          </w:tcPr>
          <w:p>
            <w:pPr>
              <w:spacing w:after="0"/>
              <w:rPr>
                <w:rFonts w:ascii="Arial" w:cs="Arial" w:eastAsia="Arial" w:hAnsi="Arial"/>
                <w:sz w:val="20"/>
                <w:szCs w:val="20"/>
                <w:color w:val="0000EE"/>
              </w:rPr>
            </w:pPr>
            <w:hyperlink w:anchor="page5">
              <w:r>
                <w:rPr>
                  <w:rFonts w:ascii="Arial" w:cs="Arial" w:eastAsia="Arial" w:hAnsi="Arial"/>
                  <w:sz w:val="20"/>
                  <w:szCs w:val="20"/>
                  <w:color w:val="0000EE"/>
                </w:rPr>
                <w:t>Consolidated Statements of Cash Flows - Six Months Ended June 30, 2015 and 2014</w:t>
              </w:r>
            </w:hyperlink>
          </w:p>
        </w:tc>
        <w:tc>
          <w:tcPr>
            <w:tcW w:w="6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40" w:type="dxa"/>
            <w:vAlign w:val="bottom"/>
            <w:tcBorders>
              <w:top w:val="single" w:sz="8" w:color="0000EE"/>
            </w:tcBorders>
            <w:gridSpan w:val="12"/>
          </w:tcPr>
          <w:p>
            <w:pPr>
              <w:spacing w:after="0"/>
              <w:rPr>
                <w:rFonts w:ascii="Arial" w:cs="Arial" w:eastAsia="Arial" w:hAnsi="Arial"/>
                <w:sz w:val="20"/>
                <w:szCs w:val="20"/>
                <w:color w:val="0000EE"/>
              </w:rPr>
            </w:pPr>
            <w:hyperlink w:anchor="page6">
              <w:r>
                <w:rPr>
                  <w:rFonts w:ascii="Arial" w:cs="Arial" w:eastAsia="Arial" w:hAnsi="Arial"/>
                  <w:sz w:val="20"/>
                  <w:szCs w:val="20"/>
                  <w:color w:val="0000EE"/>
                </w:rPr>
                <w:t>Consolidated Statement of Total Equity - Six Months Ended June 30, 2015</w:t>
              </w:r>
            </w:hyperlink>
          </w:p>
        </w:tc>
        <w:tc>
          <w:tcPr>
            <w:tcW w:w="368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tcBorders>
              <w:top w:val="single" w:sz="8" w:color="0000EE"/>
            </w:tcBorders>
            <w:gridSpan w:val="11"/>
          </w:tcPr>
          <w:p>
            <w:pPr>
              <w:spacing w:after="0"/>
              <w:rPr>
                <w:rFonts w:ascii="Arial" w:cs="Arial" w:eastAsia="Arial" w:hAnsi="Arial"/>
                <w:sz w:val="20"/>
                <w:szCs w:val="20"/>
                <w:color w:val="0000EE"/>
              </w:rPr>
            </w:pPr>
            <w:hyperlink w:anchor="page7">
              <w:r>
                <w:rPr>
                  <w:rFonts w:ascii="Arial" w:cs="Arial" w:eastAsia="Arial" w:hAnsi="Arial"/>
                  <w:sz w:val="20"/>
                  <w:szCs w:val="20"/>
                  <w:color w:val="0000EE"/>
                </w:rPr>
                <w:t>Notes to Consolidated Financial Statements</w:t>
              </w:r>
            </w:hyperlink>
          </w:p>
        </w:tc>
        <w:tc>
          <w:tcPr>
            <w:tcW w:w="450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20" w:type="dxa"/>
            <w:vAlign w:val="bottom"/>
          </w:tcPr>
          <w:p>
            <w:pPr>
              <w:spacing w:after="0"/>
              <w:rPr>
                <w:sz w:val="24"/>
                <w:szCs w:val="24"/>
                <w:color w:val="auto"/>
              </w:rPr>
            </w:pPr>
          </w:p>
        </w:tc>
        <w:tc>
          <w:tcPr>
            <w:tcW w:w="10640" w:type="dxa"/>
            <w:vAlign w:val="bottom"/>
            <w:gridSpan w:val="16"/>
          </w:tcPr>
          <w:p>
            <w:pPr>
              <w:spacing w:after="0"/>
              <w:rPr>
                <w:rFonts w:ascii="Arial" w:cs="Arial" w:eastAsia="Arial" w:hAnsi="Arial"/>
                <w:sz w:val="20"/>
                <w:szCs w:val="20"/>
                <w:color w:val="0000EE"/>
              </w:rPr>
            </w:pPr>
            <w:hyperlink w:anchor="page25">
              <w:r>
                <w:rPr>
                  <w:rFonts w:ascii="Arial" w:cs="Arial" w:eastAsia="Arial" w:hAnsi="Arial"/>
                  <w:sz w:val="20"/>
                  <w:szCs w:val="20"/>
                  <w:color w:val="0000EE"/>
                </w:rPr>
                <w:t>Item 2. Management’s Discussion and Analysis of Financial Condition and Results of Operations</w:t>
              </w:r>
            </w:hyperlink>
            <w:r>
              <w:rPr>
                <w:rFonts w:ascii="Arial" w:cs="Arial" w:eastAsia="Arial" w:hAnsi="Arial"/>
                <w:sz w:val="20"/>
                <w:szCs w:val="20"/>
                <w:color w:val="000000"/>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7720" w:type="dxa"/>
            <w:vAlign w:val="bottom"/>
            <w:tcBorders>
              <w:top w:val="single" w:sz="8" w:color="0000EE"/>
            </w:tcBorders>
            <w:gridSpan w:val="14"/>
          </w:tcPr>
          <w:p>
            <w:pPr>
              <w:spacing w:after="0"/>
              <w:rPr>
                <w:rFonts w:ascii="Arial" w:cs="Arial" w:eastAsia="Arial" w:hAnsi="Arial"/>
                <w:sz w:val="20"/>
                <w:szCs w:val="20"/>
                <w:color w:val="0000EE"/>
              </w:rPr>
            </w:pPr>
            <w:hyperlink w:anchor="page55">
              <w:r>
                <w:rPr>
                  <w:rFonts w:ascii="Arial" w:cs="Arial" w:eastAsia="Arial" w:hAnsi="Arial"/>
                  <w:sz w:val="20"/>
                  <w:szCs w:val="20"/>
                  <w:color w:val="0000EE"/>
                </w:rPr>
                <w:t>Item 3. Quantitative and Qualitative Disclosures About Market Risk</w:t>
              </w:r>
            </w:hyperlink>
            <w:r>
              <w:rPr>
                <w:rFonts w:ascii="Arial" w:cs="Arial" w:eastAsia="Arial" w:hAnsi="Arial"/>
                <w:sz w:val="20"/>
                <w:szCs w:val="20"/>
                <w:color w:val="000000"/>
              </w:rPr>
              <w:t>.</w:t>
            </w:r>
          </w:p>
        </w:tc>
        <w:tc>
          <w:tcPr>
            <w:tcW w:w="292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5420" w:type="dxa"/>
            <w:vAlign w:val="bottom"/>
            <w:tcBorders>
              <w:top w:val="single" w:sz="8" w:color="0000EE"/>
            </w:tcBorders>
            <w:gridSpan w:val="11"/>
          </w:tcPr>
          <w:p>
            <w:pPr>
              <w:spacing w:after="0"/>
              <w:rPr>
                <w:rFonts w:ascii="Arial" w:cs="Arial" w:eastAsia="Arial" w:hAnsi="Arial"/>
                <w:sz w:val="20"/>
                <w:szCs w:val="20"/>
                <w:color w:val="0000EE"/>
              </w:rPr>
            </w:pPr>
            <w:hyperlink w:anchor="page56">
              <w:r>
                <w:rPr>
                  <w:rFonts w:ascii="Arial" w:cs="Arial" w:eastAsia="Arial" w:hAnsi="Arial"/>
                  <w:sz w:val="20"/>
                  <w:szCs w:val="20"/>
                  <w:color w:val="0000EE"/>
                </w:rPr>
                <w:t>Item 4. Controls and Procedures.</w:t>
              </w:r>
            </w:hyperlink>
          </w:p>
        </w:tc>
        <w:tc>
          <w:tcPr>
            <w:tcW w:w="522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10860" w:type="dxa"/>
            <w:vAlign w:val="bottom"/>
            <w:gridSpan w:val="17"/>
          </w:tcPr>
          <w:p>
            <w:pPr>
              <w:spacing w:after="0"/>
              <w:rPr>
                <w:sz w:val="20"/>
                <w:szCs w:val="20"/>
                <w:color w:val="auto"/>
              </w:rPr>
            </w:pPr>
            <w:r>
              <w:rPr>
                <w:rFonts w:ascii="Arial" w:cs="Arial" w:eastAsia="Arial" w:hAnsi="Arial"/>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20"/>
                <w:szCs w:val="20"/>
                <w:color w:val="0000EE"/>
                <w:w w:val="91"/>
              </w:rPr>
            </w:pPr>
            <w:hyperlink w:anchor="page57">
              <w:r>
                <w:rPr>
                  <w:rFonts w:ascii="Arial" w:cs="Arial" w:eastAsia="Arial" w:hAnsi="Arial"/>
                  <w:sz w:val="20"/>
                  <w:szCs w:val="20"/>
                  <w:color w:val="0000EE"/>
                  <w:w w:val="91"/>
                </w:rPr>
                <w:t>Item 1.</w:t>
              </w:r>
            </w:hyperlink>
          </w:p>
        </w:tc>
        <w:tc>
          <w:tcPr>
            <w:tcW w:w="10060" w:type="dxa"/>
            <w:vAlign w:val="bottom"/>
            <w:gridSpan w:val="14"/>
          </w:tcPr>
          <w:p>
            <w:pPr>
              <w:ind w:left="40"/>
              <w:spacing w:after="0"/>
              <w:rPr>
                <w:rFonts w:ascii="Arial" w:cs="Arial" w:eastAsia="Arial" w:hAnsi="Arial"/>
                <w:sz w:val="20"/>
                <w:szCs w:val="20"/>
                <w:color w:val="0000EE"/>
              </w:rPr>
            </w:pPr>
            <w:hyperlink w:anchor="page57">
              <w:r>
                <w:rPr>
                  <w:rFonts w:ascii="Arial" w:cs="Arial" w:eastAsia="Arial" w:hAnsi="Arial"/>
                  <w:sz w:val="20"/>
                  <w:szCs w:val="20"/>
                  <w:color w:val="0000EE"/>
                </w:rPr>
                <w:t>Legal Proceedings</w:t>
              </w:r>
            </w:hyperlink>
            <w:r>
              <w:rPr>
                <w:rFonts w:ascii="Arial" w:cs="Arial" w:eastAsia="Arial" w:hAnsi="Arial"/>
                <w:sz w:val="20"/>
                <w:szCs w:val="20"/>
                <w:color w:val="000000"/>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2080" w:type="dxa"/>
            <w:vAlign w:val="bottom"/>
            <w:tcBorders>
              <w:top w:val="single" w:sz="8" w:color="0000EE"/>
            </w:tcBorders>
            <w:gridSpan w:val="7"/>
          </w:tcPr>
          <w:p>
            <w:pPr>
              <w:spacing w:after="0"/>
              <w:rPr>
                <w:rFonts w:ascii="Arial" w:cs="Arial" w:eastAsia="Arial" w:hAnsi="Arial"/>
                <w:sz w:val="20"/>
                <w:szCs w:val="20"/>
                <w:color w:val="0000EE"/>
              </w:rPr>
            </w:pPr>
            <w:hyperlink w:anchor="page57">
              <w:r>
                <w:rPr>
                  <w:rFonts w:ascii="Arial" w:cs="Arial" w:eastAsia="Arial" w:hAnsi="Arial"/>
                  <w:sz w:val="20"/>
                  <w:szCs w:val="20"/>
                  <w:color w:val="0000EE"/>
                </w:rPr>
                <w:t>Item 1A. Risk Factors.</w:t>
              </w:r>
            </w:hyperlink>
          </w:p>
        </w:tc>
        <w:tc>
          <w:tcPr>
            <w:tcW w:w="856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20"/>
                <w:szCs w:val="20"/>
                <w:color w:val="0000EE"/>
                <w:w w:val="91"/>
              </w:rPr>
            </w:pPr>
            <w:hyperlink w:anchor="page57">
              <w:r>
                <w:rPr>
                  <w:rFonts w:ascii="Arial" w:cs="Arial" w:eastAsia="Arial" w:hAnsi="Arial"/>
                  <w:sz w:val="20"/>
                  <w:szCs w:val="20"/>
                  <w:color w:val="0000EE"/>
                  <w:w w:val="91"/>
                </w:rPr>
                <w:t>Item 2.</w:t>
              </w:r>
            </w:hyperlink>
          </w:p>
        </w:tc>
        <w:tc>
          <w:tcPr>
            <w:tcW w:w="10060" w:type="dxa"/>
            <w:vAlign w:val="bottom"/>
            <w:gridSpan w:val="14"/>
          </w:tcPr>
          <w:p>
            <w:pPr>
              <w:ind w:left="40"/>
              <w:spacing w:after="0"/>
              <w:rPr>
                <w:rFonts w:ascii="Arial" w:cs="Arial" w:eastAsia="Arial" w:hAnsi="Arial"/>
                <w:sz w:val="20"/>
                <w:szCs w:val="20"/>
                <w:color w:val="0000EE"/>
              </w:rPr>
            </w:pPr>
            <w:hyperlink w:anchor="page57">
              <w:r>
                <w:rPr>
                  <w:rFonts w:ascii="Arial" w:cs="Arial" w:eastAsia="Arial" w:hAnsi="Arial"/>
                  <w:sz w:val="20"/>
                  <w:szCs w:val="20"/>
                  <w:color w:val="0000EE"/>
                </w:rPr>
                <w:t>Unregistered Sales of Equity Securities and Use of Proceeds</w:t>
              </w:r>
            </w:hyperlink>
            <w:r>
              <w:rPr>
                <w:rFonts w:ascii="Arial" w:cs="Arial" w:eastAsia="Arial" w:hAnsi="Arial"/>
                <w:sz w:val="20"/>
                <w:szCs w:val="20"/>
                <w:color w:val="000000"/>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580" w:type="dxa"/>
            <w:vAlign w:val="bottom"/>
            <w:tcBorders>
              <w:top w:val="single" w:sz="8" w:color="0000EE"/>
            </w:tcBorders>
            <w:gridSpan w:val="2"/>
          </w:tcPr>
          <w:p>
            <w:pPr>
              <w:spacing w:after="0"/>
              <w:rPr>
                <w:rFonts w:ascii="Arial" w:cs="Arial" w:eastAsia="Arial" w:hAnsi="Arial"/>
                <w:sz w:val="20"/>
                <w:szCs w:val="20"/>
                <w:color w:val="0000EE"/>
                <w:w w:val="91"/>
              </w:rPr>
            </w:pPr>
            <w:hyperlink w:anchor="page57">
              <w:r>
                <w:rPr>
                  <w:rFonts w:ascii="Arial" w:cs="Arial" w:eastAsia="Arial" w:hAnsi="Arial"/>
                  <w:sz w:val="20"/>
                  <w:szCs w:val="20"/>
                  <w:color w:val="0000EE"/>
                  <w:w w:val="91"/>
                </w:rPr>
                <w:t>Item 4.</w:t>
              </w:r>
            </w:hyperlink>
          </w:p>
        </w:tc>
        <w:tc>
          <w:tcPr>
            <w:tcW w:w="4820" w:type="dxa"/>
            <w:vAlign w:val="bottom"/>
            <w:tcBorders>
              <w:top w:val="single" w:sz="8" w:color="0000EE"/>
            </w:tcBorders>
            <w:gridSpan w:val="8"/>
          </w:tcPr>
          <w:p>
            <w:pPr>
              <w:ind w:left="40"/>
              <w:spacing w:after="0"/>
              <w:rPr>
                <w:rFonts w:ascii="Arial" w:cs="Arial" w:eastAsia="Arial" w:hAnsi="Arial"/>
                <w:sz w:val="20"/>
                <w:szCs w:val="20"/>
                <w:color w:val="0000EE"/>
              </w:rPr>
            </w:pPr>
            <w:hyperlink w:anchor="page57">
              <w:r>
                <w:rPr>
                  <w:rFonts w:ascii="Arial" w:cs="Arial" w:eastAsia="Arial" w:hAnsi="Arial"/>
                  <w:sz w:val="20"/>
                  <w:szCs w:val="20"/>
                  <w:color w:val="0000EE"/>
                </w:rPr>
                <w:t>Mine Safety Disclosures</w:t>
              </w:r>
            </w:hyperlink>
            <w:r>
              <w:rPr>
                <w:rFonts w:ascii="Arial" w:cs="Arial" w:eastAsia="Arial" w:hAnsi="Arial"/>
                <w:sz w:val="20"/>
                <w:szCs w:val="20"/>
                <w:color w:val="000000"/>
              </w:rPr>
              <w:t>.</w:t>
            </w:r>
          </w:p>
        </w:tc>
        <w:tc>
          <w:tcPr>
            <w:tcW w:w="524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580" w:type="dxa"/>
            <w:vAlign w:val="bottom"/>
            <w:tcBorders>
              <w:top w:val="single" w:sz="8" w:color="0000EE"/>
            </w:tcBorders>
            <w:gridSpan w:val="2"/>
          </w:tcPr>
          <w:p>
            <w:pPr>
              <w:spacing w:after="0"/>
              <w:rPr>
                <w:rFonts w:ascii="Arial" w:cs="Arial" w:eastAsia="Arial" w:hAnsi="Arial"/>
                <w:sz w:val="20"/>
                <w:szCs w:val="20"/>
                <w:color w:val="0000EE"/>
                <w:w w:val="91"/>
              </w:rPr>
            </w:pPr>
            <w:hyperlink w:anchor="page58">
              <w:r>
                <w:rPr>
                  <w:rFonts w:ascii="Arial" w:cs="Arial" w:eastAsia="Arial" w:hAnsi="Arial"/>
                  <w:sz w:val="20"/>
                  <w:szCs w:val="20"/>
                  <w:color w:val="0000EE"/>
                  <w:w w:val="91"/>
                </w:rPr>
                <w:t>Item 6.</w:t>
              </w:r>
            </w:hyperlink>
          </w:p>
        </w:tc>
        <w:tc>
          <w:tcPr>
            <w:tcW w:w="2020" w:type="dxa"/>
            <w:vAlign w:val="bottom"/>
            <w:tcBorders>
              <w:top w:val="single" w:sz="8" w:color="0000EE"/>
            </w:tcBorders>
            <w:gridSpan w:val="6"/>
          </w:tcPr>
          <w:p>
            <w:pPr>
              <w:ind w:left="40"/>
              <w:spacing w:after="0"/>
              <w:rPr>
                <w:rFonts w:ascii="Arial" w:cs="Arial" w:eastAsia="Arial" w:hAnsi="Arial"/>
                <w:sz w:val="20"/>
                <w:szCs w:val="20"/>
                <w:color w:val="0000EE"/>
              </w:rPr>
            </w:pPr>
            <w:hyperlink w:anchor="page58">
              <w:r>
                <w:rPr>
                  <w:rFonts w:ascii="Arial" w:cs="Arial" w:eastAsia="Arial" w:hAnsi="Arial"/>
                  <w:sz w:val="20"/>
                  <w:szCs w:val="20"/>
                  <w:color w:val="0000EE"/>
                </w:rPr>
                <w:t>Exhibits</w:t>
              </w:r>
            </w:hyperlink>
            <w:r>
              <w:rPr>
                <w:rFonts w:ascii="Arial" w:cs="Arial" w:eastAsia="Arial" w:hAnsi="Arial"/>
                <w:sz w:val="20"/>
                <w:szCs w:val="20"/>
                <w:color w:val="000000"/>
              </w:rPr>
              <w:t>.</w:t>
            </w:r>
          </w:p>
        </w:tc>
        <w:tc>
          <w:tcPr>
            <w:tcW w:w="804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36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860" w:type="dxa"/>
            <w:vAlign w:val="bottom"/>
            <w:gridSpan w:val="17"/>
          </w:tcPr>
          <w:p>
            <w:pPr>
              <w:spacing w:after="0"/>
              <w:rPr>
                <w:rFonts w:ascii="Arial" w:cs="Arial" w:eastAsia="Arial" w:hAnsi="Arial"/>
                <w:sz w:val="20"/>
                <w:szCs w:val="20"/>
                <w:color w:val="0000EE"/>
              </w:rPr>
            </w:pPr>
            <w:hyperlink w:anchor="page59">
              <w:r>
                <w:rPr>
                  <w:rFonts w:ascii="Arial" w:cs="Arial" w:eastAsia="Arial" w:hAnsi="Arial"/>
                  <w:sz w:val="20"/>
                  <w:szCs w:val="20"/>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59</w:t>
            </w:r>
          </w:p>
        </w:tc>
        <w:tc>
          <w:tcPr>
            <w:tcW w:w="0" w:type="dxa"/>
            <w:vAlign w:val="bottom"/>
          </w:tcPr>
          <w:p>
            <w:pPr>
              <w:spacing w:after="0"/>
              <w:rPr>
                <w:sz w:val="1"/>
                <w:szCs w:val="1"/>
                <w:color w:val="auto"/>
              </w:rPr>
            </w:pPr>
          </w:p>
        </w:tc>
      </w:tr>
      <w:tr>
        <w:trPr>
          <w:trHeight w:val="20"/>
        </w:trPr>
        <w:tc>
          <w:tcPr>
            <w:tcW w:w="84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76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00" w:type="dxa"/>
            <w:vAlign w:val="bottom"/>
            <w:tcBorders>
              <w:bottom w:val="single" w:sz="8" w:color="0000EE"/>
            </w:tcBorders>
            <w:gridSpan w:val="5"/>
          </w:tcPr>
          <w:p>
            <w:pPr>
              <w:spacing w:after="0"/>
              <w:rPr>
                <w:rFonts w:ascii="Arial" w:cs="Arial" w:eastAsia="Arial" w:hAnsi="Arial"/>
                <w:sz w:val="20"/>
                <w:szCs w:val="20"/>
                <w:color w:val="0000EE"/>
                <w:w w:val="94"/>
              </w:rPr>
            </w:pPr>
            <w:hyperlink w:anchor="page60">
              <w:r>
                <w:rPr>
                  <w:rFonts w:ascii="Arial" w:cs="Arial" w:eastAsia="Arial" w:hAnsi="Arial"/>
                  <w:sz w:val="20"/>
                  <w:szCs w:val="20"/>
                  <w:color w:val="0000EE"/>
                  <w:w w:val="94"/>
                </w:rPr>
                <w:t>Exhibit Index</w:t>
              </w:r>
            </w:hyperlink>
          </w:p>
        </w:tc>
        <w:tc>
          <w:tcPr>
            <w:tcW w:w="9760" w:type="dxa"/>
            <w:vAlign w:val="bottom"/>
            <w:gridSpan w:val="1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 w:name="page3"/>
    <w:bookmarkEnd w:id="2"/>
    <w:p>
      <w:pPr>
        <w:jc w:val="center"/>
        <w:ind w:right="120"/>
        <w:spacing w:after="0"/>
        <w:rPr>
          <w:sz w:val="20"/>
          <w:szCs w:val="20"/>
          <w:color w:val="auto"/>
        </w:rPr>
      </w:pPr>
      <w:r>
        <w:rPr>
          <w:rFonts w:ascii="Arial" w:cs="Arial" w:eastAsia="Arial" w:hAnsi="Arial"/>
          <w:sz w:val="16"/>
          <w:szCs w:val="16"/>
          <w:color w:val="auto"/>
        </w:rPr>
        <w:t>PART I. FINANCIAL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Item 1. Financial Statements.</w:t>
      </w:r>
    </w:p>
    <w:p>
      <w:pPr>
        <w:spacing w:after="0" w:line="24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MARTIN MARIETTA MATERIALS, INC. AND CONSOLIDATED SUBSIDIARIES</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6"/>
                <w:szCs w:val="16"/>
                <w:color w:val="auto"/>
                <w:w w:val="87"/>
              </w:rPr>
              <w:t>June 30,</w:t>
            </w:r>
          </w:p>
        </w:tc>
        <w:tc>
          <w:tcPr>
            <w:tcW w:w="220" w:type="dxa"/>
            <w:vAlign w:val="bottom"/>
          </w:tcPr>
          <w:p>
            <w:pPr>
              <w:spacing w:after="0"/>
              <w:rPr>
                <w:sz w:val="17"/>
                <w:szCs w:val="17"/>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color w:val="auto"/>
                <w:w w:val="89"/>
              </w:rPr>
              <w:t>December 31,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6"/>
                <w:szCs w:val="16"/>
                <w:color w:val="auto"/>
                <w:w w:val="87"/>
              </w:rPr>
              <w:t>June 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w w:val="89"/>
              </w:rPr>
              <w:t>2015</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95"/>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w w:val="89"/>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6"/>
                <w:szCs w:val="16"/>
                <w:i w:val="1"/>
                <w:iCs w:val="1"/>
                <w:color w:val="auto"/>
                <w:w w:val="93"/>
              </w:rPr>
              <w:t>(Unaudited)</w:t>
            </w:r>
          </w:p>
        </w:tc>
        <w:tc>
          <w:tcPr>
            <w:tcW w:w="220" w:type="dxa"/>
            <w:vAlign w:val="bottom"/>
          </w:tcPr>
          <w:p>
            <w:pPr>
              <w:spacing w:after="0"/>
              <w:rPr>
                <w:sz w:val="17"/>
                <w:szCs w:val="17"/>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i w:val="1"/>
                <w:iCs w:val="1"/>
                <w:color w:val="auto"/>
                <w:w w:val="95"/>
              </w:rPr>
              <w:t>(Audited)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i w:val="1"/>
                <w:iCs w:val="1"/>
                <w:color w:val="auto"/>
                <w:w w:val="95"/>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40" w:type="dxa"/>
            <w:vAlign w:val="bottom"/>
            <w:gridSpan w:val="9"/>
          </w:tcPr>
          <w:p>
            <w:pPr>
              <w:jc w:val="center"/>
              <w:ind w:right="400"/>
              <w:spacing w:after="0"/>
              <w:rPr>
                <w:sz w:val="20"/>
                <w:szCs w:val="20"/>
                <w:color w:val="auto"/>
              </w:rPr>
            </w:pPr>
            <w:r>
              <w:rPr>
                <w:rFonts w:ascii="Arial" w:cs="Arial" w:eastAsia="Arial" w:hAnsi="Arial"/>
                <w:sz w:val="16"/>
                <w:szCs w:val="16"/>
                <w:i w:val="1"/>
                <w:iCs w:val="1"/>
                <w:color w:val="auto"/>
                <w:w w:val="92"/>
              </w:rPr>
              <w:t>(Dollars in Thousands, Except Per Share Data)</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2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44,169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108,651</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gridSpan w:val="2"/>
          </w:tcPr>
          <w:p>
            <w:pPr>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497,468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421,001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343,784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Inventories, net</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479,856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484,919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348,168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gridSpan w:val="2"/>
          </w:tcPr>
          <w:p>
            <w:pPr>
              <w:spacing w:after="0"/>
              <w:rPr>
                <w:sz w:val="20"/>
                <w:szCs w:val="20"/>
                <w:color w:val="auto"/>
              </w:rPr>
            </w:pPr>
            <w:r>
              <w:rPr>
                <w:rFonts w:ascii="Arial" w:cs="Arial" w:eastAsia="Arial" w:hAnsi="Arial"/>
                <w:sz w:val="16"/>
                <w:szCs w:val="16"/>
                <w:color w:val="auto"/>
              </w:rPr>
              <w:t>Current deferred income tax benefits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234,594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244,638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72,413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Assets held for sale</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426,495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2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82,667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29,607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78,007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1,765,249</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1,288,816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876,701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5,421,449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5,691,676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3,970,472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gridSpan w:val="2"/>
          </w:tcPr>
          <w:p>
            <w:pPr>
              <w:spacing w:after="0"/>
              <w:rPr>
                <w:sz w:val="20"/>
                <w:szCs w:val="20"/>
                <w:color w:val="auto"/>
              </w:rPr>
            </w:pPr>
            <w:r>
              <w:rPr>
                <w:rFonts w:ascii="Arial" w:cs="Arial" w:eastAsia="Arial" w:hAnsi="Arial"/>
                <w:sz w:val="16"/>
                <w:szCs w:val="16"/>
                <w:color w:val="auto"/>
              </w:rPr>
              <w:t>Allowances for depreciation, depletion and amortization</w:t>
            </w:r>
          </w:p>
        </w:tc>
        <w:tc>
          <w:tcPr>
            <w:tcW w:w="2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(2,371,926)</w:t>
            </w:r>
          </w:p>
        </w:tc>
        <w:tc>
          <w:tcPr>
            <w:tcW w:w="2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6"/>
                <w:szCs w:val="16"/>
                <w:color w:val="auto"/>
              </w:rPr>
              <w:t>(2,288,906)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(2,195,098)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property, plant and equipment</w:t>
            </w:r>
          </w:p>
        </w:tc>
        <w:tc>
          <w:tcPr>
            <w:tcW w:w="26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3,049,523</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3,402,770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1,775,374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2,065,882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2,068,799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616,621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Operating permits, net</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447,702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499,487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gridSpan w:val="2"/>
          </w:tcPr>
          <w:p>
            <w:pPr>
              <w:spacing w:after="0"/>
              <w:rPr>
                <w:sz w:val="20"/>
                <w:szCs w:val="20"/>
                <w:color w:val="auto"/>
              </w:rPr>
            </w:pPr>
            <w:r>
              <w:rPr>
                <w:rFonts w:ascii="Arial" w:cs="Arial" w:eastAsia="Arial" w:hAnsi="Arial"/>
                <w:sz w:val="16"/>
                <w:szCs w:val="16"/>
                <w:color w:val="auto"/>
              </w:rPr>
              <w:t>Other intangibles, net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67,242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95,718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104,056</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108,802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40,451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90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7,499,654</w:t>
            </w:r>
          </w:p>
        </w:tc>
        <w:tc>
          <w:tcPr>
            <w:tcW w:w="22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7,464,392</w:t>
            </w:r>
          </w:p>
        </w:tc>
        <w:tc>
          <w:tcPr>
            <w:tcW w:w="14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3,356,043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9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gridSpan w:val="2"/>
          </w:tcPr>
          <w:p>
            <w:pPr>
              <w:spacing w:after="0"/>
              <w:rPr>
                <w:sz w:val="20"/>
                <w:szCs w:val="20"/>
                <w:color w:val="auto"/>
              </w:rPr>
            </w:pPr>
            <w:r>
              <w:rPr>
                <w:rFonts w:ascii="Arial" w:cs="Arial" w:eastAsia="Arial" w:hAnsi="Arial"/>
                <w:sz w:val="16"/>
                <w:szCs w:val="16"/>
                <w:color w:val="auto"/>
              </w:rPr>
              <w:t>Bank overdraft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183</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201,235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202,476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139,442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gridSpan w:val="2"/>
          </w:tcPr>
          <w:p>
            <w:pPr>
              <w:spacing w:after="0"/>
              <w:rPr>
                <w:sz w:val="20"/>
                <w:szCs w:val="20"/>
                <w:color w:val="auto"/>
              </w:rPr>
            </w:pPr>
            <w:r>
              <w:rPr>
                <w:rFonts w:ascii="Arial" w:cs="Arial" w:eastAsia="Arial" w:hAnsi="Arial"/>
                <w:sz w:val="16"/>
                <w:szCs w:val="16"/>
                <w:color w:val="auto"/>
              </w:rPr>
              <w:t>Accrued salaries, benefits and payroll taxes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27,590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36,576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17,393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Pension and postretirement benefits</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gridSpan w:val="2"/>
          </w:tcPr>
          <w:p>
            <w:pPr>
              <w:spacing w:after="0"/>
              <w:rPr>
                <w:sz w:val="20"/>
                <w:szCs w:val="20"/>
                <w:color w:val="auto"/>
              </w:rPr>
            </w:pPr>
            <w:r>
              <w:rPr>
                <w:rFonts w:ascii="Arial" w:cs="Arial" w:eastAsia="Arial" w:hAnsi="Arial"/>
                <w:sz w:val="16"/>
                <w:szCs w:val="16"/>
                <w:color w:val="auto"/>
              </w:rPr>
              <w:t>Accrued insurance and other taxes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57,078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58,356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Current maturities of long-term debt and short-term facilities</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15,966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gridSpan w:val="2"/>
          </w:tcPr>
          <w:p>
            <w:pPr>
              <w:spacing w:after="0"/>
              <w:rPr>
                <w:sz w:val="20"/>
                <w:szCs w:val="20"/>
                <w:color w:val="auto"/>
              </w:rPr>
            </w:pPr>
            <w:r>
              <w:rPr>
                <w:rFonts w:ascii="Arial" w:cs="Arial" w:eastAsia="Arial" w:hAnsi="Arial"/>
                <w:sz w:val="16"/>
                <w:szCs w:val="16"/>
                <w:color w:val="auto"/>
              </w:rPr>
              <w:t>Accrued interest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16,165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16,136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7,386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37,667</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61,632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32,730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363,834</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396,648</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244,725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1,642,035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1,571,059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1,072,397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Pension, postretirement and postemployment benefits</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272,461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249,333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gridSpan w:val="2"/>
          </w:tcPr>
          <w:p>
            <w:pPr>
              <w:spacing w:after="0"/>
              <w:rPr>
                <w:sz w:val="20"/>
                <w:szCs w:val="20"/>
                <w:color w:val="auto"/>
              </w:rPr>
            </w:pPr>
            <w:r>
              <w:rPr>
                <w:rFonts w:ascii="Arial" w:cs="Arial" w:eastAsia="Arial" w:hAnsi="Arial"/>
                <w:sz w:val="16"/>
                <w:szCs w:val="16"/>
                <w:color w:val="auto"/>
              </w:rPr>
              <w:t>Noncurrent deferred income taxes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756,526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734,583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275,279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154,365</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160,021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113,981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3,189,221</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3,111,644</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1,789,044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gridSpan w:val="2"/>
          </w:tcPr>
          <w:p>
            <w:pPr>
              <w:spacing w:after="0"/>
              <w:rPr>
                <w:sz w:val="20"/>
                <w:szCs w:val="20"/>
                <w:color w:val="auto"/>
              </w:rPr>
            </w:pPr>
            <w:r>
              <w:rPr>
                <w:rFonts w:ascii="Arial" w:cs="Arial" w:eastAsia="Arial" w:hAnsi="Arial"/>
                <w:sz w:val="16"/>
                <w:szCs w:val="16"/>
                <w:color w:val="auto"/>
              </w:rPr>
              <w:t>Equity:</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Common stock, par value $0.01 per share</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gridSpan w:val="2"/>
          </w:tcPr>
          <w:p>
            <w:pPr>
              <w:spacing w:after="0"/>
              <w:rPr>
                <w:sz w:val="20"/>
                <w:szCs w:val="20"/>
                <w:color w:val="auto"/>
              </w:rPr>
            </w:pPr>
            <w:r>
              <w:rPr>
                <w:rFonts w:ascii="Arial" w:cs="Arial" w:eastAsia="Arial" w:hAnsi="Arial"/>
                <w:sz w:val="16"/>
                <w:szCs w:val="16"/>
                <w:color w:val="auto"/>
              </w:rPr>
              <w:t>Preferred stock, par value $0.01 per share</w:t>
            </w:r>
          </w:p>
        </w:tc>
        <w:tc>
          <w:tcPr>
            <w:tcW w:w="2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3,274,098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3,243,619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456,989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gridSpan w:val="2"/>
          </w:tcPr>
          <w:p>
            <w:pPr>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(112,814)</w:t>
            </w:r>
          </w:p>
        </w:tc>
        <w:tc>
          <w:tcPr>
            <w:tcW w:w="2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6"/>
                <w:szCs w:val="16"/>
                <w:color w:val="auto"/>
              </w:rPr>
              <w:t>(106,159)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(42,141)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1,146,821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1,213,035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1,149,388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00" w:type="dxa"/>
            <w:vAlign w:val="bottom"/>
          </w:tcPr>
          <w:p>
            <w:pPr>
              <w:ind w:left="240"/>
              <w:spacing w:after="0"/>
              <w:rPr>
                <w:sz w:val="20"/>
                <w:szCs w:val="20"/>
                <w:color w:val="auto"/>
              </w:rPr>
            </w:pPr>
            <w:r>
              <w:rPr>
                <w:rFonts w:ascii="Arial" w:cs="Arial" w:eastAsia="Arial" w:hAnsi="Arial"/>
                <w:sz w:val="16"/>
                <w:szCs w:val="16"/>
                <w:color w:val="auto"/>
              </w:rPr>
              <w:t>Total Shareholders' Equity</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4,308,773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4,351,166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1,564,699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Noncontrolling interests</w:t>
            </w: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Equity</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4,310,433</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4,352,748</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1,566,999</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Liabilities and Equity</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7,499,654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7,464,392</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3,356,043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3" w:name="page4"/>
    <w:bookmarkEnd w:id="3"/>
    <w:p>
      <w:pPr>
        <w:jc w:val="center"/>
        <w:ind w:right="80"/>
        <w:spacing w:after="0"/>
        <w:rPr>
          <w:sz w:val="20"/>
          <w:szCs w:val="20"/>
          <w:color w:val="auto"/>
        </w:rPr>
      </w:pPr>
      <w:r>
        <w:rPr>
          <w:rFonts w:ascii="Arial" w:cs="Arial" w:eastAsia="Arial" w:hAnsi="Arial"/>
          <w:sz w:val="14"/>
          <w:szCs w:val="14"/>
          <w:color w:val="auto"/>
        </w:rPr>
        <w:t>MARTIN MARIETTA MATERIALS, INC. AND CONSOLIDATED SUBSIDIARIES</w:t>
      </w:r>
    </w:p>
    <w:p>
      <w:pPr>
        <w:spacing w:after="0" w:line="13"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CONSOLIDATED STATEMENTS OF EARNINGS AND COMPREHENSIVE EARNINGS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40" w:type="dxa"/>
            <w:vAlign w:val="bottom"/>
            <w:gridSpan w:val="7"/>
          </w:tcPr>
          <w:p>
            <w:pPr>
              <w:jc w:val="center"/>
              <w:ind w:right="140"/>
              <w:spacing w:after="0"/>
              <w:rPr>
                <w:sz w:val="20"/>
                <w:szCs w:val="20"/>
                <w:color w:val="auto"/>
              </w:rPr>
            </w:pPr>
            <w:r>
              <w:rPr>
                <w:rFonts w:ascii="Arial" w:cs="Arial" w:eastAsia="Arial" w:hAnsi="Arial"/>
                <w:sz w:val="14"/>
                <w:szCs w:val="14"/>
                <w:color w:val="auto"/>
                <w:w w:val="91"/>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tcPr>
          <w:p>
            <w:pPr>
              <w:jc w:val="center"/>
              <w:ind w:left="588"/>
              <w:spacing w:after="0"/>
              <w:rPr>
                <w:sz w:val="20"/>
                <w:szCs w:val="20"/>
                <w:color w:val="auto"/>
              </w:rPr>
            </w:pPr>
            <w:r>
              <w:rPr>
                <w:rFonts w:ascii="Arial" w:cs="Arial" w:eastAsia="Arial" w:hAnsi="Arial"/>
                <w:sz w:val="14"/>
                <w:szCs w:val="14"/>
                <w:color w:val="auto"/>
                <w:w w:val="93"/>
              </w:rPr>
              <w:t>Six Months Ended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color w:val="auto"/>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left="568"/>
              <w:spacing w:after="0"/>
              <w:rPr>
                <w:sz w:val="20"/>
                <w:szCs w:val="20"/>
                <w:color w:val="auto"/>
              </w:rPr>
            </w:pPr>
            <w:r>
              <w:rPr>
                <w:rFonts w:ascii="Arial" w:cs="Arial" w:eastAsia="Arial" w:hAnsi="Arial"/>
                <w:sz w:val="14"/>
                <w:szCs w:val="14"/>
                <w:color w:val="auto"/>
                <w:w w:val="89"/>
              </w:rPr>
              <w:t>June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2015</w:t>
            </w: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2014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2015</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w w:val="96"/>
              </w:rPr>
              <w:t>2014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0" w:type="dxa"/>
            <w:vAlign w:val="bottom"/>
            <w:gridSpan w:val="6"/>
          </w:tcPr>
          <w:p>
            <w:pPr>
              <w:jc w:val="center"/>
              <w:spacing w:after="0" w:line="151" w:lineRule="exact"/>
              <w:rPr>
                <w:sz w:val="20"/>
                <w:szCs w:val="20"/>
                <w:color w:val="auto"/>
              </w:rPr>
            </w:pPr>
            <w:r>
              <w:rPr>
                <w:rFonts w:ascii="Arial" w:cs="Arial" w:eastAsia="Arial" w:hAnsi="Arial"/>
                <w:sz w:val="14"/>
                <w:szCs w:val="14"/>
                <w:i w:val="1"/>
                <w:iCs w:val="1"/>
                <w:color w:val="auto"/>
                <w:w w:val="93"/>
              </w:rPr>
              <w:t>(In Thousands, Except Per Share Data)</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gridSpan w:val="5"/>
          </w:tcPr>
          <w:p>
            <w:pPr>
              <w:jc w:val="center"/>
              <w:ind w:right="68"/>
              <w:spacing w:after="0" w:line="151" w:lineRule="exact"/>
              <w:rPr>
                <w:sz w:val="20"/>
                <w:szCs w:val="20"/>
                <w:color w:val="auto"/>
              </w:rPr>
            </w:pPr>
            <w:r>
              <w:rPr>
                <w:rFonts w:ascii="Arial" w:cs="Arial" w:eastAsia="Arial" w:hAnsi="Arial"/>
                <w:sz w:val="14"/>
                <w:szCs w:val="14"/>
                <w:i w:val="1"/>
                <w:iCs w:val="1"/>
                <w:color w:val="auto"/>
                <w:w w:val="92"/>
              </w:rPr>
              <w:t>(In Thousands, Except Per Share Data)</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4"/>
          </w:tcPr>
          <w:p>
            <w:pPr>
              <w:jc w:val="center"/>
              <w:ind w:left="8"/>
              <w:spacing w:after="0"/>
              <w:rPr>
                <w:sz w:val="20"/>
                <w:szCs w:val="20"/>
                <w:color w:val="auto"/>
              </w:rPr>
            </w:pPr>
            <w:r>
              <w:rPr>
                <w:rFonts w:ascii="Arial" w:cs="Arial" w:eastAsia="Arial" w:hAnsi="Arial"/>
                <w:sz w:val="14"/>
                <w:szCs w:val="14"/>
                <w:i w:val="1"/>
                <w:iCs w:val="1"/>
                <w:color w:val="auto"/>
                <w:w w:val="98"/>
              </w:rPr>
              <w:t>(Unaudited)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tcPr>
          <w:p>
            <w:pPr>
              <w:jc w:val="center"/>
              <w:ind w:left="588"/>
              <w:spacing w:after="0"/>
              <w:rPr>
                <w:sz w:val="20"/>
                <w:szCs w:val="20"/>
                <w:color w:val="auto"/>
              </w:rPr>
            </w:pPr>
            <w:r>
              <w:rPr>
                <w:rFonts w:ascii="Arial" w:cs="Arial" w:eastAsia="Arial" w:hAnsi="Arial"/>
                <w:sz w:val="14"/>
                <w:szCs w:val="14"/>
                <w:i w:val="1"/>
                <w:iCs w:val="1"/>
                <w:color w:val="auto"/>
                <w:w w:val="95"/>
              </w:rPr>
              <w:t>(Unaudited)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Net Sales</w:t>
            </w:r>
          </w:p>
        </w:tc>
        <w:tc>
          <w:tcPr>
            <w:tcW w:w="1340" w:type="dxa"/>
            <w:vAlign w:val="bottom"/>
            <w:gridSpan w:val="2"/>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850,249</w:t>
            </w:r>
          </w:p>
        </w:tc>
        <w:tc>
          <w:tcPr>
            <w:tcW w:w="14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601,937</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1,482,124</w:t>
            </w:r>
          </w:p>
        </w:tc>
        <w:tc>
          <w:tcPr>
            <w:tcW w:w="2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981,615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Freight and delivery revenues</w:t>
            </w:r>
          </w:p>
        </w:tc>
        <w:tc>
          <w:tcPr>
            <w:tcW w:w="58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71,170</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67,288</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130,641</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116,240</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Total revenues</w:t>
            </w:r>
          </w:p>
        </w:tc>
        <w:tc>
          <w:tcPr>
            <w:tcW w:w="580" w:type="dxa"/>
            <w:vAlign w:val="bottom"/>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0"/>
              </w:rPr>
              <w:t>921,419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669,225</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1,612,765</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1,097,855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Cost of sales</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650,096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466,335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1,207,710</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820,177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Freight and delivery costs</w:t>
            </w:r>
          </w:p>
        </w:tc>
        <w:tc>
          <w:tcPr>
            <w:tcW w:w="58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71,170</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67,288</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130,641</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116,240</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Total cost of revenues</w:t>
            </w:r>
          </w:p>
        </w:tc>
        <w:tc>
          <w:tcPr>
            <w:tcW w:w="580" w:type="dxa"/>
            <w:vAlign w:val="bottom"/>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0"/>
              </w:rPr>
              <w:t>721,266</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533,623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1,338,351</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936,417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Gross Profit</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200,153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135,602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274,414</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161,438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Selling, general &amp; administrative expenses</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56,783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36,566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106,233</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70,813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Acquisition-related expenses, net</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2,092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5,280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3,696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Other operating expenses and (income), net</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(2,485)</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1,930</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(4,779)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ind w:left="240"/>
              <w:spacing w:after="0" w:line="155" w:lineRule="exact"/>
              <w:rPr>
                <w:sz w:val="20"/>
                <w:szCs w:val="20"/>
                <w:color w:val="auto"/>
              </w:rPr>
            </w:pPr>
            <w:r>
              <w:rPr>
                <w:rFonts w:ascii="Arial" w:cs="Arial" w:eastAsia="Arial" w:hAnsi="Arial"/>
                <w:sz w:val="14"/>
                <w:szCs w:val="14"/>
                <w:color w:val="auto"/>
              </w:rPr>
              <w:t>Earnings from Operations</w:t>
            </w:r>
          </w:p>
        </w:tc>
        <w:tc>
          <w:tcPr>
            <w:tcW w:w="5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136,984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96,241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162,555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80,344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Interest expense</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19,087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12,947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38,418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25,149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Other nonoperating (income) and expenses, net</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(3,011)</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(292)</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(2,118)</w:t>
            </w: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ind w:left="240"/>
              <w:spacing w:after="0" w:line="155" w:lineRule="exact"/>
              <w:rPr>
                <w:sz w:val="20"/>
                <w:szCs w:val="20"/>
                <w:color w:val="auto"/>
              </w:rPr>
            </w:pPr>
            <w:r>
              <w:rPr>
                <w:rFonts w:ascii="Arial" w:cs="Arial" w:eastAsia="Arial" w:hAnsi="Arial"/>
                <w:sz w:val="14"/>
                <w:szCs w:val="14"/>
                <w:color w:val="auto"/>
              </w:rPr>
              <w:t>Earnings from continuing operations before taxes on income</w:t>
            </w:r>
          </w:p>
        </w:tc>
        <w:tc>
          <w:tcPr>
            <w:tcW w:w="5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120,908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83,586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126,255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52,024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Income tax expense</w:t>
            </w:r>
          </w:p>
        </w:tc>
        <w:tc>
          <w:tcPr>
            <w:tcW w:w="580" w:type="dxa"/>
            <w:vAlign w:val="bottom"/>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38,929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23,906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38,117</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15,482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ind w:left="240"/>
              <w:spacing w:after="0" w:line="155" w:lineRule="exact"/>
              <w:rPr>
                <w:sz w:val="20"/>
                <w:szCs w:val="20"/>
                <w:color w:val="auto"/>
              </w:rPr>
            </w:pPr>
            <w:r>
              <w:rPr>
                <w:rFonts w:ascii="Arial" w:cs="Arial" w:eastAsia="Arial" w:hAnsi="Arial"/>
                <w:sz w:val="14"/>
                <w:szCs w:val="14"/>
                <w:color w:val="auto"/>
              </w:rPr>
              <w:t>Earnings from Continuing Operations</w:t>
            </w: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81,979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59,680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88,138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36,542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2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Loss on discontinued operations, net of related tax benefit of</w:t>
            </w:r>
          </w:p>
        </w:tc>
        <w:tc>
          <w:tcPr>
            <w:tcW w:w="5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shd w:val="clear" w:color="auto" w:fill="CFF0FC"/>
          </w:tcPr>
          <w:p>
            <w:pPr>
              <w:ind w:left="160"/>
              <w:spacing w:after="0"/>
              <w:rPr>
                <w:sz w:val="20"/>
                <w:szCs w:val="20"/>
                <w:color w:val="auto"/>
              </w:rPr>
            </w:pPr>
            <w:r>
              <w:rPr>
                <w:rFonts w:ascii="Arial" w:cs="Arial" w:eastAsia="Arial" w:hAnsi="Arial"/>
                <w:sz w:val="14"/>
                <w:szCs w:val="14"/>
                <w:color w:val="auto"/>
              </w:rPr>
              <w:t>$24 and $25, respectively</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(56)</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56"/>
        </w:trPr>
        <w:tc>
          <w:tcPr>
            <w:tcW w:w="5260" w:type="dxa"/>
            <w:vAlign w:val="bottom"/>
            <w:gridSpan w:val="2"/>
          </w:tcPr>
          <w:p>
            <w:pPr>
              <w:spacing w:after="0" w:line="155" w:lineRule="exact"/>
              <w:rPr>
                <w:sz w:val="20"/>
                <w:szCs w:val="20"/>
                <w:color w:val="auto"/>
              </w:rPr>
            </w:pPr>
            <w:r>
              <w:rPr>
                <w:rFonts w:ascii="Arial" w:cs="Arial" w:eastAsia="Arial" w:hAnsi="Arial"/>
                <w:sz w:val="14"/>
                <w:szCs w:val="14"/>
                <w:color w:val="auto"/>
              </w:rPr>
              <w:t>Consolidated net earnings</w:t>
            </w:r>
          </w:p>
        </w:tc>
        <w:tc>
          <w:tcPr>
            <w:tcW w:w="5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81,979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59,624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88,138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36,472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Less: Net earnings (loss) attributable to noncontrolling interests</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(1,432)</w:t>
            </w:r>
          </w:p>
        </w:tc>
        <w:tc>
          <w:tcPr>
            <w:tcW w:w="0" w:type="dxa"/>
            <w:vAlign w:val="bottom"/>
          </w:tcPr>
          <w:p>
            <w:pPr>
              <w:spacing w:after="0"/>
              <w:rPr>
                <w:sz w:val="1"/>
                <w:szCs w:val="1"/>
                <w:color w:val="auto"/>
              </w:rPr>
            </w:pPr>
          </w:p>
        </w:tc>
      </w:tr>
      <w:tr>
        <w:trPr>
          <w:trHeight w:val="156"/>
        </w:trPr>
        <w:tc>
          <w:tcPr>
            <w:tcW w:w="5260" w:type="dxa"/>
            <w:vAlign w:val="bottom"/>
            <w:gridSpan w:val="2"/>
          </w:tcPr>
          <w:p>
            <w:pPr>
              <w:spacing w:after="0" w:line="155" w:lineRule="exact"/>
              <w:rPr>
                <w:sz w:val="20"/>
                <w:szCs w:val="20"/>
                <w:color w:val="auto"/>
              </w:rPr>
            </w:pPr>
            <w:r>
              <w:rPr>
                <w:rFonts w:ascii="Arial" w:cs="Arial" w:eastAsia="Arial" w:hAnsi="Arial"/>
                <w:sz w:val="14"/>
                <w:szCs w:val="14"/>
                <w:color w:val="auto"/>
              </w:rPr>
              <w:t>Net Earnings Attributable to Martin Marietta Materials, Inc.</w:t>
            </w:r>
          </w:p>
        </w:tc>
        <w:tc>
          <w:tcPr>
            <w:tcW w:w="58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81,938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88,065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37,904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4"/>
                <w:szCs w:val="14"/>
                <w:color w:val="auto"/>
              </w:rPr>
              <w:t>Net Earnings (Loss) Attributable to Martin Marietta Materials, Inc.:</w:t>
            </w: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Earnings from continuing operations</w:t>
            </w:r>
          </w:p>
        </w:tc>
        <w:tc>
          <w:tcPr>
            <w:tcW w:w="1340" w:type="dxa"/>
            <w:vAlign w:val="bottom"/>
            <w:gridSpan w:val="2"/>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81,938</w:t>
            </w:r>
          </w:p>
        </w:tc>
        <w:tc>
          <w:tcPr>
            <w:tcW w:w="14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59,577</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88,065</w:t>
            </w:r>
          </w:p>
        </w:tc>
        <w:tc>
          <w:tcPr>
            <w:tcW w:w="2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37,974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ind w:left="240"/>
              <w:spacing w:after="0"/>
              <w:rPr>
                <w:sz w:val="20"/>
                <w:szCs w:val="20"/>
                <w:color w:val="auto"/>
              </w:rPr>
            </w:pPr>
            <w:r>
              <w:rPr>
                <w:rFonts w:ascii="Arial" w:cs="Arial" w:eastAsia="Arial" w:hAnsi="Arial"/>
                <w:sz w:val="14"/>
                <w:szCs w:val="14"/>
                <w:color w:val="auto"/>
              </w:rPr>
              <w:t>Loss from discontinued operations</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top w:val="single" w:sz="8" w:color="CFF0FC"/>
              <w:bottom w:val="single" w:sz="8" w:color="CFF0FC"/>
            </w:tcBorders>
            <w:shd w:val="clear" w:color="auto" w:fill="CFF0FC"/>
          </w:tcPr>
          <w:p>
            <w:pPr>
              <w:spacing w:after="0"/>
              <w:rPr>
                <w:sz w:val="13"/>
                <w:szCs w:val="13"/>
                <w:color w:val="auto"/>
              </w:rPr>
            </w:pPr>
          </w:p>
        </w:tc>
        <w:tc>
          <w:tcPr>
            <w:tcW w:w="58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81,938</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59,521</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88,065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420" w:type="dxa"/>
            <w:vAlign w:val="bottom"/>
            <w:tcBorders>
              <w:top w:val="single" w:sz="8" w:color="auto"/>
              <w:bottom w:val="single" w:sz="8" w:color="auto"/>
            </w:tcBorders>
            <w:shd w:val="clear" w:color="auto" w:fill="CFF0FC"/>
          </w:tcPr>
          <w:p>
            <w:pPr>
              <w:jc w:val="right"/>
              <w:ind w:right="30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37,904</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Consolidated Comprehensive Earnings: (See Note 1)</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ind w:left="240"/>
              <w:spacing w:after="0"/>
              <w:rPr>
                <w:sz w:val="20"/>
                <w:szCs w:val="20"/>
                <w:color w:val="auto"/>
              </w:rPr>
            </w:pPr>
            <w:r>
              <w:rPr>
                <w:rFonts w:ascii="Arial" w:cs="Arial" w:eastAsia="Arial" w:hAnsi="Arial"/>
                <w:sz w:val="14"/>
                <w:szCs w:val="14"/>
                <w:color w:val="auto"/>
              </w:rPr>
              <w:t>Earnings attributable to Martin Marietta Materials, Inc.</w:t>
            </w:r>
          </w:p>
        </w:tc>
        <w:tc>
          <w:tcPr>
            <w:tcW w:w="1340" w:type="dxa"/>
            <w:vAlign w:val="bottom"/>
            <w:gridSpan w:val="2"/>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75,847</w:t>
            </w:r>
          </w:p>
        </w:tc>
        <w:tc>
          <w:tcPr>
            <w:tcW w:w="140" w:type="dxa"/>
            <w:vAlign w:val="bottom"/>
          </w:tcPr>
          <w:p>
            <w:pPr>
              <w:spacing w:after="0"/>
              <w:rPr>
                <w:sz w:val="14"/>
                <w:szCs w:val="14"/>
                <w:color w:val="auto"/>
              </w:rPr>
            </w:pPr>
          </w:p>
        </w:tc>
        <w:tc>
          <w:tcPr>
            <w:tcW w:w="3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60,124</w:t>
            </w:r>
          </w:p>
        </w:tc>
        <w:tc>
          <w:tcPr>
            <w:tcW w:w="14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81,410</w:t>
            </w:r>
          </w:p>
        </w:tc>
        <w:tc>
          <w:tcPr>
            <w:tcW w:w="220" w:type="dxa"/>
            <w:vAlign w:val="bottom"/>
          </w:tcPr>
          <w:p>
            <w:pPr>
              <w:spacing w:after="0"/>
              <w:rPr>
                <w:sz w:val="14"/>
                <w:szCs w:val="14"/>
                <w:color w:val="auto"/>
              </w:rPr>
            </w:pPr>
          </w:p>
        </w:tc>
        <w:tc>
          <w:tcPr>
            <w:tcW w:w="440" w:type="dxa"/>
            <w:vAlign w:val="bottom"/>
            <w:gridSpan w:val="2"/>
          </w:tcPr>
          <w:p>
            <w:pPr>
              <w:jc w:val="right"/>
              <w:ind w:right="30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39,877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Earnings (Loss) attributable to noncontrolling interests</w:t>
            </w:r>
          </w:p>
        </w:tc>
        <w:tc>
          <w:tcPr>
            <w:tcW w:w="5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(1,430)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75,890</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60,228</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81,488</w:t>
            </w:r>
          </w:p>
        </w:tc>
        <w:tc>
          <w:tcPr>
            <w:tcW w:w="2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38,447</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2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Earnings (Loss) Attributable to Martin Marietta Materials, Inc.</w:t>
            </w:r>
          </w:p>
        </w:tc>
        <w:tc>
          <w:tcPr>
            <w:tcW w:w="5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ind w:left="240"/>
              <w:spacing w:after="0"/>
              <w:rPr>
                <w:sz w:val="20"/>
                <w:szCs w:val="20"/>
                <w:color w:val="auto"/>
              </w:rPr>
            </w:pPr>
            <w:r>
              <w:rPr>
                <w:rFonts w:ascii="Arial" w:cs="Arial" w:eastAsia="Arial" w:hAnsi="Arial"/>
                <w:sz w:val="14"/>
                <w:szCs w:val="14"/>
                <w:color w:val="auto"/>
              </w:rPr>
              <w:t>Per Common Share:</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4"/>
                <w:szCs w:val="14"/>
                <w:color w:val="auto"/>
              </w:rPr>
              <w:t>Basic from continuing operations attributable to common shareholders</w:t>
            </w:r>
          </w:p>
        </w:tc>
        <w:tc>
          <w:tcPr>
            <w:tcW w:w="1340" w:type="dxa"/>
            <w:vAlign w:val="bottom"/>
            <w:gridSpan w:val="2"/>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w:t>
            </w:r>
          </w:p>
        </w:tc>
        <w:tc>
          <w:tcPr>
            <w:tcW w:w="14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2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ind w:left="480"/>
              <w:spacing w:after="0"/>
              <w:rPr>
                <w:sz w:val="20"/>
                <w:szCs w:val="20"/>
                <w:color w:val="auto"/>
              </w:rPr>
            </w:pPr>
            <w:r>
              <w:rPr>
                <w:rFonts w:ascii="Arial" w:cs="Arial" w:eastAsia="Arial" w:hAnsi="Arial"/>
                <w:sz w:val="14"/>
                <w:szCs w:val="14"/>
                <w:color w:val="auto"/>
              </w:rPr>
              <w:t>Discontinued operations attributable to common shareholders</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top w:val="single" w:sz="8" w:color="CFF0FC"/>
              <w:bottom w:val="single" w:sz="8" w:color="CFF0FC"/>
            </w:tcBorders>
            <w:shd w:val="clear" w:color="auto" w:fill="CFF0FC"/>
          </w:tcPr>
          <w:p>
            <w:pPr>
              <w:spacing w:after="0"/>
              <w:rPr>
                <w:sz w:val="13"/>
                <w:szCs w:val="13"/>
                <w:color w:val="auto"/>
              </w:rPr>
            </w:pPr>
          </w:p>
        </w:tc>
        <w:tc>
          <w:tcPr>
            <w:tcW w:w="58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1.28</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420" w:type="dxa"/>
            <w:vAlign w:val="bottom"/>
            <w:tcBorders>
              <w:top w:val="single" w:sz="8" w:color="auto"/>
              <w:bottom w:val="single" w:sz="8" w:color="auto"/>
            </w:tcBorders>
            <w:shd w:val="clear" w:color="auto" w:fill="CFF0FC"/>
          </w:tcPr>
          <w:p>
            <w:pPr>
              <w:jc w:val="right"/>
              <w:ind w:right="30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0.81</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4"/>
                <w:szCs w:val="14"/>
                <w:color w:val="auto"/>
              </w:rPr>
              <w:t>Diluted from continuing operations attributable to common shareholders</w:t>
            </w:r>
          </w:p>
        </w:tc>
        <w:tc>
          <w:tcPr>
            <w:tcW w:w="1340" w:type="dxa"/>
            <w:vAlign w:val="bottom"/>
            <w:gridSpan w:val="2"/>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w:t>
            </w:r>
          </w:p>
        </w:tc>
        <w:tc>
          <w:tcPr>
            <w:tcW w:w="14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2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ind w:left="480"/>
              <w:spacing w:after="0"/>
              <w:rPr>
                <w:sz w:val="20"/>
                <w:szCs w:val="20"/>
                <w:color w:val="auto"/>
              </w:rPr>
            </w:pPr>
            <w:r>
              <w:rPr>
                <w:rFonts w:ascii="Arial" w:cs="Arial" w:eastAsia="Arial" w:hAnsi="Arial"/>
                <w:sz w:val="14"/>
                <w:szCs w:val="14"/>
                <w:color w:val="auto"/>
              </w:rPr>
              <w:t>Discontinued operations attributable to common shareholders</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top w:val="single" w:sz="8" w:color="CFF0FC"/>
              <w:bottom w:val="single" w:sz="8" w:color="CFF0FC"/>
            </w:tcBorders>
            <w:shd w:val="clear" w:color="auto" w:fill="CFF0FC"/>
          </w:tcPr>
          <w:p>
            <w:pPr>
              <w:spacing w:after="0"/>
              <w:rPr>
                <w:sz w:val="13"/>
                <w:szCs w:val="13"/>
                <w:color w:val="auto"/>
              </w:rPr>
            </w:pPr>
          </w:p>
        </w:tc>
        <w:tc>
          <w:tcPr>
            <w:tcW w:w="58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1.27</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420" w:type="dxa"/>
            <w:vAlign w:val="bottom"/>
            <w:tcBorders>
              <w:top w:val="single" w:sz="8" w:color="auto"/>
              <w:bottom w:val="single" w:sz="8" w:color="auto"/>
            </w:tcBorders>
            <w:shd w:val="clear" w:color="auto" w:fill="CFF0FC"/>
          </w:tcPr>
          <w:p>
            <w:pPr>
              <w:jc w:val="right"/>
              <w:ind w:right="30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0.81</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4"/>
                <w:szCs w:val="14"/>
                <w:color w:val="auto"/>
              </w:rPr>
              <w:t>Weighted-Average Common Shares Outstanding:</w:t>
            </w: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4"/>
                <w:szCs w:val="14"/>
                <w:color w:val="auto"/>
              </w:rPr>
              <w:t>Basic</w:t>
            </w:r>
          </w:p>
        </w:tc>
        <w:tc>
          <w:tcPr>
            <w:tcW w:w="58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67,373</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46,395</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67,392</w:t>
            </w:r>
          </w:p>
        </w:tc>
        <w:tc>
          <w:tcPr>
            <w:tcW w:w="2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46,355</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240"/>
              <w:spacing w:after="0"/>
              <w:rPr>
                <w:sz w:val="20"/>
                <w:szCs w:val="20"/>
                <w:color w:val="auto"/>
              </w:rPr>
            </w:pPr>
            <w:r>
              <w:rPr>
                <w:rFonts w:ascii="Arial" w:cs="Arial" w:eastAsia="Arial" w:hAnsi="Arial"/>
                <w:sz w:val="14"/>
                <w:szCs w:val="14"/>
                <w:color w:val="auto"/>
              </w:rPr>
              <w:t>Diluted</w:t>
            </w: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Borders>
              <w:bottom w:val="single" w:sz="8" w:color="CFF0FC"/>
            </w:tcBorders>
            <w:vMerge w:val="continue"/>
          </w:tcPr>
          <w:p>
            <w:pPr>
              <w:spacing w:after="0"/>
              <w:rPr>
                <w:sz w:val="15"/>
                <w:szCs w:val="15"/>
                <w:color w:val="auto"/>
              </w:rPr>
            </w:pPr>
          </w:p>
        </w:tc>
        <w:tc>
          <w:tcPr>
            <w:tcW w:w="5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67,633</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46,529</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67,654</w:t>
            </w:r>
          </w:p>
        </w:tc>
        <w:tc>
          <w:tcPr>
            <w:tcW w:w="2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46,477</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Cash Dividends Per Common Share</w:t>
            </w:r>
          </w:p>
        </w:tc>
        <w:tc>
          <w:tcPr>
            <w:tcW w:w="1340" w:type="dxa"/>
            <w:vAlign w:val="bottom"/>
            <w:gridSpan w:val="2"/>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0.40</w:t>
            </w:r>
          </w:p>
        </w:tc>
        <w:tc>
          <w:tcPr>
            <w:tcW w:w="140" w:type="dxa"/>
            <w:vAlign w:val="bottom"/>
          </w:tcPr>
          <w:p>
            <w:pPr>
              <w:spacing w:after="0"/>
              <w:rPr>
                <w:sz w:val="14"/>
                <w:szCs w:val="14"/>
                <w:color w:val="auto"/>
              </w:rPr>
            </w:pPr>
          </w:p>
        </w:tc>
        <w:tc>
          <w:tcPr>
            <w:tcW w:w="3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0.40</w:t>
            </w:r>
          </w:p>
        </w:tc>
        <w:tc>
          <w:tcPr>
            <w:tcW w:w="14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0.80</w:t>
            </w:r>
          </w:p>
        </w:tc>
        <w:tc>
          <w:tcPr>
            <w:tcW w:w="220" w:type="dxa"/>
            <w:vAlign w:val="bottom"/>
          </w:tcPr>
          <w:p>
            <w:pPr>
              <w:spacing w:after="0"/>
              <w:rPr>
                <w:sz w:val="14"/>
                <w:szCs w:val="14"/>
                <w:color w:val="auto"/>
              </w:rPr>
            </w:pPr>
          </w:p>
        </w:tc>
        <w:tc>
          <w:tcPr>
            <w:tcW w:w="440" w:type="dxa"/>
            <w:vAlign w:val="bottom"/>
            <w:gridSpan w:val="2"/>
          </w:tcPr>
          <w:p>
            <w:pPr>
              <w:jc w:val="right"/>
              <w:ind w:right="30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Page 4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566" w:right="219" w:bottom="1440" w:gutter="0" w:footer="0" w:header="0"/>
        </w:sectPr>
      </w:pPr>
    </w:p>
    <w:bookmarkStart w:id="4" w:name="page5"/>
    <w:bookmarkEnd w:id="4"/>
    <w:p>
      <w:pPr>
        <w:jc w:val="center"/>
        <w:ind w:right="120"/>
        <w:spacing w:after="0"/>
        <w:rPr>
          <w:sz w:val="20"/>
          <w:szCs w:val="20"/>
          <w:color w:val="auto"/>
        </w:rPr>
      </w:pPr>
      <w:r>
        <w:rPr>
          <w:rFonts w:ascii="Arial" w:cs="Arial" w:eastAsia="Arial" w:hAnsi="Arial"/>
          <w:sz w:val="16"/>
          <w:szCs w:val="16"/>
          <w:color w:val="auto"/>
        </w:rPr>
        <w:t>MARTIN MARIETTA MATERIALS, INC. AND CONSOLIDATED SUBSIDIARIES</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CASH FLOWS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gridSpan w:val="3"/>
          </w:tcPr>
          <w:p>
            <w:pPr>
              <w:jc w:val="center"/>
              <w:spacing w:after="0"/>
              <w:rPr>
                <w:sz w:val="20"/>
                <w:szCs w:val="20"/>
                <w:color w:val="auto"/>
              </w:rPr>
            </w:pPr>
            <w:r>
              <w:rPr>
                <w:rFonts w:ascii="Arial" w:cs="Arial" w:eastAsia="Arial" w:hAnsi="Arial"/>
                <w:sz w:val="16"/>
                <w:szCs w:val="16"/>
                <w:color w:val="auto"/>
                <w:w w:val="92"/>
              </w:rPr>
              <w:t>Six Months Ended</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87"/>
              </w:rPr>
              <w:t>June 30,</w:t>
            </w: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40" w:type="dxa"/>
            <w:vAlign w:val="bottom"/>
          </w:tcPr>
          <w:p>
            <w:pPr>
              <w:spacing w:after="0"/>
              <w:rPr>
                <w:sz w:val="18"/>
                <w:szCs w:val="18"/>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6"/>
                <w:szCs w:val="16"/>
                <w:color w:val="auto"/>
              </w:rPr>
              <w:t>2015</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ind w:right="639"/>
              <w:spacing w:after="0"/>
              <w:rPr>
                <w:sz w:val="20"/>
                <w:szCs w:val="20"/>
                <w:color w:val="auto"/>
              </w:rPr>
            </w:pPr>
            <w:r>
              <w:rPr>
                <w:rFonts w:ascii="Arial" w:cs="Arial" w:eastAsia="Arial" w:hAnsi="Arial"/>
                <w:sz w:val="16"/>
                <w:szCs w:val="16"/>
                <w:color w:val="auto"/>
                <w:w w:val="95"/>
              </w:rPr>
              <w:t>2014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i w:val="1"/>
                <w:iCs w:val="1"/>
                <w:color w:val="auto"/>
                <w:w w:val="94"/>
              </w:rPr>
              <w:t>(Dollars in Thousands)</w:t>
            </w: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80" w:type="dxa"/>
            <w:vAlign w:val="bottom"/>
            <w:gridSpan w:val="3"/>
          </w:tcPr>
          <w:p>
            <w:pPr>
              <w:jc w:val="center"/>
              <w:spacing w:after="0"/>
              <w:rPr>
                <w:sz w:val="20"/>
                <w:szCs w:val="20"/>
                <w:color w:val="auto"/>
              </w:rPr>
            </w:pPr>
            <w:r>
              <w:rPr>
                <w:rFonts w:ascii="Arial" w:cs="Arial" w:eastAsia="Arial" w:hAnsi="Arial"/>
                <w:sz w:val="16"/>
                <w:szCs w:val="16"/>
                <w:i w:val="1"/>
                <w:iCs w:val="1"/>
                <w:color w:val="auto"/>
                <w:w w:val="95"/>
              </w:rPr>
              <w:t>(Unaudited)</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40" w:type="dxa"/>
            <w:vAlign w:val="bottom"/>
          </w:tcPr>
          <w:p>
            <w:pPr>
              <w:spacing w:after="0"/>
              <w:rPr>
                <w:sz w:val="20"/>
                <w:szCs w:val="20"/>
                <w:color w:val="auto"/>
              </w:rPr>
            </w:pPr>
            <w:r>
              <w:rPr>
                <w:rFonts w:ascii="Arial" w:cs="Arial" w:eastAsia="Arial" w:hAnsi="Arial"/>
                <w:sz w:val="16"/>
                <w:szCs w:val="16"/>
                <w:color w:val="auto"/>
              </w:rPr>
              <w:t>Consolidated net earnings</w:t>
            </w:r>
          </w:p>
        </w:tc>
        <w:tc>
          <w:tcPr>
            <w:tcW w:w="2400" w:type="dxa"/>
            <w:vAlign w:val="bottom"/>
            <w:gridSpan w:val="2"/>
          </w:tcPr>
          <w:p>
            <w:pPr>
              <w:jc w:val="right"/>
              <w:ind w:right="9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88,138</w:t>
            </w:r>
          </w:p>
        </w:tc>
        <w:tc>
          <w:tcPr>
            <w:tcW w:w="220" w:type="dxa"/>
            <w:vAlign w:val="bottom"/>
          </w:tcPr>
          <w:p>
            <w:pPr>
              <w:spacing w:after="0"/>
              <w:rPr>
                <w:sz w:val="18"/>
                <w:szCs w:val="18"/>
                <w:color w:val="auto"/>
              </w:rPr>
            </w:pP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consolidated net earnings to net cash</w:t>
            </w:r>
          </w:p>
        </w:tc>
        <w:tc>
          <w:tcPr>
            <w:tcW w:w="1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provided by operating activities:</w:t>
            </w:r>
          </w:p>
        </w:tc>
        <w:tc>
          <w:tcPr>
            <w:tcW w:w="1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Depreciation, depletion and amortization</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134,958</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7,524</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Gains on divestitures and sales of assets</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(853)</w:t>
            </w:r>
          </w:p>
        </w:tc>
        <w:tc>
          <w:tcPr>
            <w:tcW w:w="6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(1,747)</w:t>
            </w: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taxes</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33,906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(6,433)</w:t>
            </w: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Excess tax benefits from stock-based compensation transactions</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(55)</w:t>
            </w:r>
          </w:p>
        </w:tc>
        <w:tc>
          <w:tcPr>
            <w:tcW w:w="6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(1,922)</w:t>
            </w: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items, net</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(341)</w:t>
            </w: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24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40" w:type="dxa"/>
            <w:vAlign w:val="bottom"/>
          </w:tcPr>
          <w:p>
            <w:pPr>
              <w:ind w:left="380"/>
              <w:spacing w:after="0"/>
              <w:rPr>
                <w:sz w:val="20"/>
                <w:szCs w:val="20"/>
                <w:color w:val="auto"/>
              </w:rPr>
            </w:pPr>
            <w:r>
              <w:rPr>
                <w:rFonts w:ascii="Arial" w:cs="Arial" w:eastAsia="Arial" w:hAnsi="Arial"/>
                <w:sz w:val="16"/>
                <w:szCs w:val="16"/>
                <w:color w:val="auto"/>
              </w:rPr>
              <w:t>and divestitures:</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receivable, net</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(76,061)</w:t>
            </w:r>
          </w:p>
        </w:tc>
        <w:tc>
          <w:tcPr>
            <w:tcW w:w="6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(98,911)</w:t>
            </w:r>
          </w:p>
        </w:tc>
        <w:tc>
          <w:tcPr>
            <w:tcW w:w="0" w:type="dxa"/>
            <w:vAlign w:val="bottom"/>
          </w:tcPr>
          <w:p>
            <w:pPr>
              <w:spacing w:after="0"/>
              <w:rPr>
                <w:sz w:val="1"/>
                <w:szCs w:val="1"/>
                <w:color w:val="auto"/>
              </w:rPr>
            </w:pPr>
          </w:p>
        </w:tc>
      </w:tr>
      <w:tr>
        <w:trPr>
          <w:trHeight w:val="213"/>
        </w:trPr>
        <w:tc>
          <w:tcPr>
            <w:tcW w:w="6240" w:type="dxa"/>
            <w:vAlign w:val="bottom"/>
          </w:tcPr>
          <w:p>
            <w:pPr>
              <w:ind w:left="500"/>
              <w:spacing w:after="0"/>
              <w:rPr>
                <w:sz w:val="20"/>
                <w:szCs w:val="20"/>
                <w:color w:val="auto"/>
              </w:rPr>
            </w:pPr>
            <w:r>
              <w:rPr>
                <w:rFonts w:ascii="Arial" w:cs="Arial" w:eastAsia="Arial" w:hAnsi="Arial"/>
                <w:sz w:val="16"/>
                <w:szCs w:val="16"/>
                <w:color w:val="auto"/>
              </w:rPr>
              <w:t>Inventories, net</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(27,661)</w:t>
            </w:r>
          </w:p>
        </w:tc>
        <w:tc>
          <w:tcPr>
            <w:tcW w:w="6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(4,269)</w:t>
            </w: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(3,416)</w:t>
            </w: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500"/>
              <w:spacing w:after="0"/>
              <w:rPr>
                <w:sz w:val="20"/>
                <w:szCs w:val="20"/>
                <w:color w:val="auto"/>
              </w:rPr>
            </w:pPr>
            <w:r>
              <w:rPr>
                <w:rFonts w:ascii="Arial" w:cs="Arial" w:eastAsia="Arial" w:hAnsi="Arial"/>
                <w:sz w:val="16"/>
                <w:szCs w:val="16"/>
                <w:color w:val="auto"/>
              </w:rPr>
              <w:t>Other assets and liabilities, net</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(29,070)</w:t>
            </w: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17,587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Provided by Operating Activities</w:t>
            </w:r>
          </w:p>
        </w:tc>
        <w:tc>
          <w:tcPr>
            <w:tcW w:w="13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127,069</w:t>
            </w:r>
          </w:p>
        </w:tc>
        <w:tc>
          <w:tcPr>
            <w:tcW w:w="2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70,363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Additions to property, plant and equipment</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(127,990)</w:t>
            </w:r>
          </w:p>
        </w:tc>
        <w:tc>
          <w:tcPr>
            <w:tcW w:w="6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(84,737)</w:t>
            </w: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Acquisitions, net</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(10,713)</w:t>
            </w:r>
          </w:p>
        </w:tc>
        <w:tc>
          <w:tcPr>
            <w:tcW w:w="6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Proceeds from divestitures and sales of assets</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1,972</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from affiliate</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1,808</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Payment of railcar construction advances</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(25,234)</w:t>
            </w:r>
          </w:p>
        </w:tc>
        <w:tc>
          <w:tcPr>
            <w:tcW w:w="6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(14,513)</w:t>
            </w: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Reimbursement of railcar construction advances</w:t>
            </w:r>
          </w:p>
        </w:tc>
        <w:tc>
          <w:tcPr>
            <w:tcW w:w="13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25,234</w:t>
            </w:r>
          </w:p>
        </w:tc>
        <w:tc>
          <w:tcPr>
            <w:tcW w:w="2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40" w:type="dxa"/>
            <w:vAlign w:val="bottom"/>
          </w:tcPr>
          <w:p>
            <w:pPr>
              <w:spacing w:after="0"/>
              <w:rPr>
                <w:sz w:val="20"/>
                <w:szCs w:val="20"/>
                <w:color w:val="auto"/>
              </w:rPr>
            </w:pPr>
            <w:r>
              <w:rPr>
                <w:rFonts w:ascii="Arial" w:cs="Arial" w:eastAsia="Arial" w:hAnsi="Arial"/>
                <w:sz w:val="16"/>
                <w:szCs w:val="16"/>
                <w:color w:val="auto"/>
              </w:rPr>
              <w:t>Net Cash Used for Investing Activities</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(134,923)</w:t>
            </w:r>
          </w:p>
        </w:tc>
        <w:tc>
          <w:tcPr>
            <w:tcW w:w="68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(82,171)</w:t>
            </w:r>
          </w:p>
        </w:tc>
        <w:tc>
          <w:tcPr>
            <w:tcW w:w="0" w:type="dxa"/>
            <w:vAlign w:val="bottom"/>
          </w:tcPr>
          <w:p>
            <w:pPr>
              <w:spacing w:after="0"/>
              <w:rPr>
                <w:sz w:val="1"/>
                <w:szCs w:val="1"/>
                <w:color w:val="auto"/>
              </w:rPr>
            </w:pPr>
          </w:p>
        </w:tc>
      </w:tr>
      <w:tr>
        <w:trPr>
          <w:trHeight w:val="213"/>
        </w:trPr>
        <w:tc>
          <w:tcPr>
            <w:tcW w:w="62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Borrowings of long-term debt</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80,000</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Repayments of long-term debt</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(8,144)</w:t>
            </w:r>
          </w:p>
        </w:tc>
        <w:tc>
          <w:tcPr>
            <w:tcW w:w="6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(46,417)</w:t>
            </w: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on capital lease obligations</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(1,831)</w:t>
            </w:r>
          </w:p>
        </w:tc>
        <w:tc>
          <w:tcPr>
            <w:tcW w:w="6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Debt issuance costs</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 in bank overdraft</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(183)</w:t>
            </w:r>
          </w:p>
        </w:tc>
        <w:tc>
          <w:tcPr>
            <w:tcW w:w="6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(2,556)</w:t>
            </w: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Dividends paid</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(54,285)</w:t>
            </w:r>
          </w:p>
        </w:tc>
        <w:tc>
          <w:tcPr>
            <w:tcW w:w="6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(37,254)</w:t>
            </w: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remaining interest in existing subsidiaries</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(19,604)</w:t>
            </w: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Issuances of common stock</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27,760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9,542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Repurchases of common stock</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(100,000)</w:t>
            </w:r>
          </w:p>
        </w:tc>
        <w:tc>
          <w:tcPr>
            <w:tcW w:w="6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Excess tax benefits from stock-based compensation transactions</w:t>
            </w:r>
          </w:p>
        </w:tc>
        <w:tc>
          <w:tcPr>
            <w:tcW w:w="134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22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shd w:val="clear" w:color="auto" w:fill="CFF0FC"/>
          </w:tcPr>
          <w:p>
            <w:pPr>
              <w:spacing w:after="0"/>
              <w:rPr>
                <w:sz w:val="20"/>
                <w:szCs w:val="20"/>
                <w:color w:val="auto"/>
              </w:rPr>
            </w:pPr>
            <w:r>
              <w:rPr>
                <w:rFonts w:ascii="Arial" w:cs="Arial" w:eastAsia="Arial" w:hAnsi="Arial"/>
                <w:sz w:val="16"/>
                <w:szCs w:val="16"/>
                <w:color w:val="auto"/>
              </w:rPr>
              <w:t>Net Cash (Used for) Provided by Financing Activities</w:t>
            </w:r>
          </w:p>
        </w:tc>
        <w:tc>
          <w:tcPr>
            <w:tcW w:w="1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(56,628)</w:t>
            </w: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6"/>
                <w:szCs w:val="16"/>
                <w:color w:val="auto"/>
              </w:rPr>
              <w:t>Net Decrease in Cash and Cash Equivalents</w:t>
            </w:r>
          </w:p>
        </w:tc>
        <w:tc>
          <w:tcPr>
            <w:tcW w:w="1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4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(64,482)</w:t>
            </w:r>
          </w:p>
        </w:tc>
        <w:tc>
          <w:tcPr>
            <w:tcW w:w="68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(8,108)</w:t>
            </w: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beginning of period</w:t>
            </w:r>
          </w:p>
        </w:tc>
        <w:tc>
          <w:tcPr>
            <w:tcW w:w="13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108,651</w:t>
            </w:r>
          </w:p>
        </w:tc>
        <w:tc>
          <w:tcPr>
            <w:tcW w:w="2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42,437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24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2400" w:type="dxa"/>
            <w:vAlign w:val="bottom"/>
            <w:gridSpan w:val="2"/>
          </w:tcPr>
          <w:p>
            <w:pPr>
              <w:jc w:val="right"/>
              <w:ind w:right="9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44,169</w:t>
            </w:r>
          </w:p>
        </w:tc>
        <w:tc>
          <w:tcPr>
            <w:tcW w:w="220" w:type="dxa"/>
            <w:vAlign w:val="bottom"/>
          </w:tcPr>
          <w:p>
            <w:pPr>
              <w:spacing w:after="0"/>
              <w:rPr>
                <w:sz w:val="21"/>
                <w:szCs w:val="21"/>
                <w:color w:val="auto"/>
              </w:rPr>
            </w:pP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34,329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Supplemental Disclosures of Cash Flow Information:</w:t>
            </w:r>
          </w:p>
        </w:tc>
        <w:tc>
          <w:tcPr>
            <w:tcW w:w="134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Arial" w:cs="Arial" w:eastAsia="Arial" w:hAnsi="Arial"/>
                <w:sz w:val="16"/>
                <w:szCs w:val="16"/>
                <w:color w:val="auto"/>
              </w:rPr>
              <w:t>Cash paid for interest</w:t>
            </w:r>
          </w:p>
        </w:tc>
        <w:tc>
          <w:tcPr>
            <w:tcW w:w="2400" w:type="dxa"/>
            <w:vAlign w:val="bottom"/>
            <w:gridSpan w:val="2"/>
          </w:tcPr>
          <w:p>
            <w:pPr>
              <w:jc w:val="right"/>
              <w:ind w:right="9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35,447</w:t>
            </w:r>
          </w:p>
        </w:tc>
        <w:tc>
          <w:tcPr>
            <w:tcW w:w="220" w:type="dxa"/>
            <w:vAlign w:val="bottom"/>
          </w:tcPr>
          <w:p>
            <w:pPr>
              <w:spacing w:after="0"/>
              <w:rPr>
                <w:sz w:val="18"/>
                <w:szCs w:val="18"/>
                <w:color w:val="auto"/>
              </w:rPr>
            </w:pP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25,173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income taxes</w:t>
            </w:r>
          </w:p>
        </w:tc>
        <w:tc>
          <w:tcPr>
            <w:tcW w:w="2400" w:type="dxa"/>
            <w:vAlign w:val="bottom"/>
            <w:gridSpan w:val="2"/>
            <w:shd w:val="clear" w:color="auto" w:fill="CFF0FC"/>
          </w:tcPr>
          <w:p>
            <w:pPr>
              <w:jc w:val="right"/>
              <w:ind w:right="9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24,334</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5" w:name="page6"/>
    <w:bookmarkEnd w:id="5"/>
    <w:p>
      <w:pPr>
        <w:jc w:val="center"/>
        <w:ind w:right="100"/>
        <w:spacing w:after="0" w:line="279" w:lineRule="auto"/>
        <w:rPr>
          <w:sz w:val="20"/>
          <w:szCs w:val="20"/>
          <w:color w:val="auto"/>
        </w:rPr>
      </w:pPr>
      <w:r>
        <w:rPr>
          <w:rFonts w:ascii="Arial" w:cs="Arial" w:eastAsia="Arial" w:hAnsi="Arial"/>
          <w:sz w:val="18"/>
          <w:szCs w:val="18"/>
          <w:color w:val="auto"/>
        </w:rPr>
        <w:t xml:space="preserve">MARTIN MARIETTA MATERIALS, INC. AND CONSOLIDATED SUBSIDIARIES CONSOLIDATED STATEMENT OF TOTAL EQUITY </w:t>
      </w:r>
      <w:r>
        <w:rPr>
          <w:rFonts w:ascii="Arial" w:cs="Arial" w:eastAsia="Arial" w:hAnsi="Arial"/>
          <w:sz w:val="18"/>
          <w:szCs w:val="18"/>
          <w:i w:val="1"/>
          <w:i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Shares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Common</w:t>
            </w:r>
          </w:p>
        </w:tc>
        <w:tc>
          <w:tcPr>
            <w:tcW w:w="6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Common</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Paid-</w:t>
            </w:r>
          </w:p>
        </w:tc>
        <w:tc>
          <w:tcPr>
            <w:tcW w:w="180" w:type="dxa"/>
            <w:vAlign w:val="bottom"/>
          </w:tcPr>
          <w:p>
            <w:pPr>
              <w:spacing w:after="0"/>
              <w:rPr>
                <w:sz w:val="18"/>
                <w:szCs w:val="18"/>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Accumulated Other</w:t>
            </w:r>
          </w:p>
        </w:tc>
        <w:tc>
          <w:tcPr>
            <w:tcW w:w="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Retained</w:t>
            </w:r>
          </w:p>
        </w:tc>
        <w:tc>
          <w:tcPr>
            <w:tcW w:w="1100" w:type="dxa"/>
            <w:vAlign w:val="bottom"/>
            <w:gridSpan w:val="3"/>
          </w:tcPr>
          <w:p>
            <w:pPr>
              <w:spacing w:after="0"/>
              <w:rPr>
                <w:sz w:val="20"/>
                <w:szCs w:val="20"/>
                <w:color w:val="auto"/>
              </w:rPr>
            </w:pPr>
            <w:r>
              <w:rPr>
                <w:rFonts w:ascii="Arial" w:cs="Arial" w:eastAsia="Arial" w:hAnsi="Arial"/>
                <w:sz w:val="18"/>
                <w:szCs w:val="18"/>
                <w:color w:val="auto"/>
                <w:w w:val="97"/>
              </w:rPr>
              <w:t>Shareholders'</w:t>
            </w:r>
          </w:p>
        </w:tc>
        <w:tc>
          <w:tcPr>
            <w:tcW w:w="1580" w:type="dxa"/>
            <w:vAlign w:val="bottom"/>
            <w:gridSpan w:val="4"/>
          </w:tcPr>
          <w:p>
            <w:pPr>
              <w:ind w:left="60"/>
              <w:spacing w:after="0"/>
              <w:rPr>
                <w:sz w:val="20"/>
                <w:szCs w:val="20"/>
                <w:color w:val="auto"/>
              </w:rPr>
            </w:pPr>
            <w:r>
              <w:rPr>
                <w:rFonts w:ascii="Arial" w:cs="Arial" w:eastAsia="Arial" w:hAnsi="Arial"/>
                <w:sz w:val="18"/>
                <w:szCs w:val="18"/>
                <w:color w:val="auto"/>
              </w:rPr>
              <w:t>Noncontrolling</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30"/>
        </w:trPr>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Stock</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Stock</w:t>
            </w: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in Capital</w:t>
            </w:r>
          </w:p>
        </w:tc>
        <w:tc>
          <w:tcPr>
            <w:tcW w:w="1840" w:type="dxa"/>
            <w:vAlign w:val="bottom"/>
            <w:gridSpan w:val="4"/>
          </w:tcPr>
          <w:p>
            <w:pPr>
              <w:ind w:left="180"/>
              <w:spacing w:after="0"/>
              <w:rPr>
                <w:sz w:val="20"/>
                <w:szCs w:val="20"/>
                <w:color w:val="auto"/>
              </w:rPr>
            </w:pPr>
            <w:r>
              <w:rPr>
                <w:rFonts w:ascii="Arial" w:cs="Arial" w:eastAsia="Arial" w:hAnsi="Arial"/>
                <w:sz w:val="18"/>
                <w:szCs w:val="18"/>
                <w:color w:val="auto"/>
                <w:w w:val="96"/>
              </w:rPr>
              <w:t>Comprehensive Loss</w:t>
            </w:r>
          </w:p>
        </w:tc>
        <w:tc>
          <w:tcPr>
            <w:tcW w:w="6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Earnings</w:t>
            </w:r>
          </w:p>
        </w:tc>
        <w:tc>
          <w:tcPr>
            <w:tcW w:w="16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Interests</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Equity</w:t>
            </w:r>
          </w:p>
        </w:tc>
      </w:tr>
      <w:tr>
        <w:trPr>
          <w:trHeight w:val="209"/>
        </w:trPr>
        <w:tc>
          <w:tcPr>
            <w:tcW w:w="20" w:type="dxa"/>
            <w:vAlign w:val="bottom"/>
          </w:tcPr>
          <w:p>
            <w:pPr>
              <w:spacing w:after="0"/>
              <w:rPr>
                <w:sz w:val="18"/>
                <w:szCs w:val="18"/>
                <w:color w:val="auto"/>
              </w:rPr>
            </w:pPr>
          </w:p>
        </w:tc>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Balance at December 31,</w:t>
            </w: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67,293</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671</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$ 3,243,619</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(106,159)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2"/>
              </w:rPr>
              <w:t>$ 1,213,035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4,351,166</w:t>
            </w:r>
          </w:p>
        </w:tc>
        <w:tc>
          <w:tcPr>
            <w:tcW w:w="12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1,582</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$ 4,352,748</w:t>
            </w:r>
          </w:p>
        </w:tc>
        <w:tc>
          <w:tcPr>
            <w:tcW w:w="10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Consolidated net</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earnings</w:t>
            </w: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88,065</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88,065</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88,138</w:t>
            </w:r>
          </w:p>
        </w:tc>
        <w:tc>
          <w:tcPr>
            <w:tcW w:w="100" w:type="dxa"/>
            <w:vAlign w:val="bottom"/>
            <w:shd w:val="clear" w:color="auto" w:fill="CFF0FC"/>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Other comprehensive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(loss) earnings,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tcPr>
          <w:p>
            <w:pPr>
              <w:ind w:left="460"/>
              <w:spacing w:after="0"/>
              <w:rPr>
                <w:sz w:val="20"/>
                <w:szCs w:val="20"/>
                <w:color w:val="auto"/>
              </w:rPr>
            </w:pPr>
            <w:r>
              <w:rPr>
                <w:rFonts w:ascii="Arial" w:cs="Arial" w:eastAsia="Arial" w:hAnsi="Arial"/>
                <w:sz w:val="18"/>
                <w:szCs w:val="18"/>
                <w:color w:val="auto"/>
              </w:rPr>
              <w:t>net of tax</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(6,655)</w:t>
            </w:r>
          </w:p>
        </w:tc>
        <w:tc>
          <w:tcPr>
            <w:tcW w:w="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(6,655)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(6,650)</w:t>
            </w:r>
          </w:p>
        </w:tc>
      </w:tr>
      <w:tr>
        <w:trPr>
          <w:trHeight w:val="230"/>
        </w:trPr>
        <w:tc>
          <w:tcPr>
            <w:tcW w:w="20" w:type="dxa"/>
            <w:vAlign w:val="bottom"/>
          </w:tcPr>
          <w:p>
            <w:pPr>
              <w:spacing w:after="0"/>
              <w:rPr>
                <w:sz w:val="19"/>
                <w:szCs w:val="19"/>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Dividends declared</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(54,285)</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(54,285)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(54,285)</w:t>
            </w:r>
          </w:p>
        </w:tc>
      </w:tr>
      <w:tr>
        <w:trPr>
          <w:trHeight w:val="215"/>
        </w:trPr>
        <w:tc>
          <w:tcPr>
            <w:tcW w:w="20" w:type="dxa"/>
            <w:vAlign w:val="bottom"/>
          </w:tcPr>
          <w:p>
            <w:pPr>
              <w:spacing w:after="0"/>
              <w:rPr>
                <w:sz w:val="18"/>
                <w:szCs w:val="18"/>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Issuances of common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stock for stock</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tcPr>
          <w:p>
            <w:pPr>
              <w:ind w:left="460"/>
              <w:spacing w:after="0"/>
              <w:rPr>
                <w:sz w:val="20"/>
                <w:szCs w:val="20"/>
                <w:color w:val="auto"/>
              </w:rPr>
            </w:pPr>
            <w:r>
              <w:rPr>
                <w:rFonts w:ascii="Arial" w:cs="Arial" w:eastAsia="Arial" w:hAnsi="Arial"/>
                <w:sz w:val="18"/>
                <w:szCs w:val="18"/>
                <w:color w:val="auto"/>
              </w:rPr>
              <w:t>award plans</w:t>
            </w:r>
          </w:p>
        </w:tc>
        <w:tc>
          <w:tcPr>
            <w:tcW w:w="74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22,955</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22,958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22,958</w:t>
            </w:r>
          </w:p>
        </w:tc>
        <w:tc>
          <w:tcPr>
            <w:tcW w:w="10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Repurchases of</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common stock</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(670)</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(99,994)</w:t>
            </w: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(100,000)</w:t>
            </w:r>
          </w:p>
        </w:tc>
      </w:tr>
      <w:tr>
        <w:trPr>
          <w:trHeight w:val="215"/>
        </w:trPr>
        <w:tc>
          <w:tcPr>
            <w:tcW w:w="20" w:type="dxa"/>
            <w:vAlign w:val="bottom"/>
          </w:tcPr>
          <w:p>
            <w:pPr>
              <w:spacing w:after="0"/>
              <w:rPr>
                <w:sz w:val="18"/>
                <w:szCs w:val="18"/>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Stock-based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compensation expense</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7,524</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7,524</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1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June 30, 2015</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$ 3,274,098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$ 1,146,821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4,308,773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$ 4,310,433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6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237" w:lineRule="exact"/>
        <w:rPr>
          <w:sz w:val="20"/>
          <w:szCs w:val="20"/>
          <w:color w:val="auto"/>
        </w:rPr>
      </w:pPr>
    </w:p>
    <w:p>
      <w:pPr>
        <w:ind w:left="380" w:right="8400" w:hanging="372"/>
        <w:spacing w:after="0" w:line="355" w:lineRule="auto"/>
        <w:tabs>
          <w:tab w:leader="none" w:pos="392"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Organization</w:t>
      </w:r>
    </w:p>
    <w:p>
      <w:pPr>
        <w:jc w:val="both"/>
        <w:ind w:left="380"/>
        <w:spacing w:after="0" w:line="273" w:lineRule="auto"/>
        <w:rPr>
          <w:rFonts w:ascii="Arial" w:cs="Arial" w:eastAsia="Arial" w:hAnsi="Arial"/>
          <w:sz w:val="20"/>
          <w:szCs w:val="20"/>
          <w:b w:val="1"/>
          <w:bCs w:val="1"/>
          <w:color w:val="auto"/>
        </w:rPr>
      </w:pPr>
      <w:r>
        <w:rPr>
          <w:rFonts w:ascii="Arial" w:cs="Arial" w:eastAsia="Arial" w:hAnsi="Arial"/>
          <w:sz w:val="18"/>
          <w:szCs w:val="18"/>
          <w:color w:val="auto"/>
        </w:rPr>
        <w:t>Martin Marietta Materials, Inc. (the “Corporation” or “Martin Marietta”) is engaged principally in the construction aggregates business. The aggregates product line accounted for 58% of 2014 consolidated net sales and includes crushed stone, sand and gravel, and is used for construction of highways and other infrastructure projects, and in the nonresidential and residential construction industries. Aggregates products are also used in the railroad, agricultural, utility and environmental industries. These aggregates products, along with the Corporation’s aggregates-related downstream product lines, which accounted for 25% of 2014 consolidated net sales and include asphalt products, ready mixed concrete and road paving construction services, are sold and shipped from a network of more than 400 quarries, distribution facilities and plants to customers in 32 states, Canada, the Bahamas and the Caribbean Islands. The aggregates and aggregates-related downstream product lines are reported collectively as the “Aggregates business”.</w:t>
      </w:r>
    </w:p>
    <w:p>
      <w:pPr>
        <w:spacing w:after="0" w:line="169"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Corporation currently conducts the Aggregates business through three reportable segments: the Mid-America Group, the Southeast Group and the West Group.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AGGREGATES BUSINESS</w:t>
      </w:r>
    </w:p>
    <w:p>
      <w:pPr>
        <w:spacing w:after="0" w:line="22" w:lineRule="exact"/>
        <w:rPr>
          <w:sz w:val="20"/>
          <w:szCs w:val="20"/>
          <w:color w:val="auto"/>
        </w:rPr>
      </w:pPr>
    </w:p>
    <w:tbl>
      <w:tblPr>
        <w:tblLayout w:type="fixed"/>
        <w:tblInd w:w="480" w:type="dxa"/>
        <w:tblCellMar>
          <w:top w:w="0" w:type="dxa"/>
          <w:left w:w="0" w:type="dxa"/>
          <w:bottom w:w="0" w:type="dxa"/>
          <w:right w:w="0" w:type="dxa"/>
        </w:tblCellMar>
      </w:tblPr>
      <w:tr>
        <w:trPr>
          <w:trHeight w:val="237"/>
        </w:trPr>
        <w:tc>
          <w:tcPr>
            <w:tcW w:w="216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Reportable Segments</w:t>
            </w:r>
          </w:p>
        </w:tc>
        <w:tc>
          <w:tcPr>
            <w:tcW w:w="300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20"/>
                <w:szCs w:val="20"/>
                <w:color w:val="auto"/>
                <w:w w:val="93"/>
              </w:rPr>
              <w:t>Mid-America Group</w:t>
            </w:r>
          </w:p>
        </w:tc>
        <w:tc>
          <w:tcPr>
            <w:tcW w:w="26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88"/>
              </w:rPr>
              <w:t>Southeast Group</w:t>
            </w: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206"/>
        </w:trPr>
        <w:tc>
          <w:tcPr>
            <w:tcW w:w="202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Operating Locations</w:t>
            </w:r>
          </w:p>
        </w:tc>
        <w:tc>
          <w:tcPr>
            <w:tcW w:w="140" w:type="dxa"/>
            <w:vAlign w:val="bottom"/>
          </w:tcPr>
          <w:p>
            <w:pPr>
              <w:spacing w:after="0"/>
              <w:rPr>
                <w:sz w:val="17"/>
                <w:szCs w:val="17"/>
                <w:color w:val="auto"/>
              </w:rPr>
            </w:pPr>
          </w:p>
        </w:tc>
        <w:tc>
          <w:tcPr>
            <w:tcW w:w="28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Indiana, Iowa,</w:t>
            </w:r>
          </w:p>
        </w:tc>
        <w:tc>
          <w:tcPr>
            <w:tcW w:w="140" w:type="dxa"/>
            <w:vAlign w:val="bottom"/>
          </w:tcPr>
          <w:p>
            <w:pPr>
              <w:spacing w:after="0"/>
              <w:rPr>
                <w:sz w:val="17"/>
                <w:szCs w:val="17"/>
                <w:color w:val="auto"/>
              </w:rPr>
            </w:pPr>
          </w:p>
        </w:tc>
        <w:tc>
          <w:tcPr>
            <w:tcW w:w="25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Alabama, Florida, Georgia,</w:t>
            </w:r>
          </w:p>
        </w:tc>
        <w:tc>
          <w:tcPr>
            <w:tcW w:w="120" w:type="dxa"/>
            <w:vAlign w:val="bottom"/>
          </w:tcPr>
          <w:p>
            <w:pPr>
              <w:spacing w:after="0"/>
              <w:rPr>
                <w:sz w:val="17"/>
                <w:szCs w:val="17"/>
                <w:color w:val="auto"/>
              </w:rPr>
            </w:pPr>
          </w:p>
        </w:tc>
        <w:tc>
          <w:tcPr>
            <w:tcW w:w="26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Arkansas, Colorado, southern</w:t>
            </w:r>
          </w:p>
        </w:tc>
      </w:tr>
      <w:tr>
        <w:trPr>
          <w:trHeight w:val="230"/>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northern Kansas, Kentucky,</w:t>
            </w:r>
          </w:p>
        </w:tc>
        <w:tc>
          <w:tcPr>
            <w:tcW w:w="2620" w:type="dxa"/>
            <w:vAlign w:val="bottom"/>
            <w:gridSpan w:val="2"/>
          </w:tcPr>
          <w:p>
            <w:pPr>
              <w:jc w:val="center"/>
              <w:ind w:right="120"/>
              <w:spacing w:after="0"/>
              <w:rPr>
                <w:sz w:val="20"/>
                <w:szCs w:val="20"/>
                <w:color w:val="auto"/>
              </w:rPr>
            </w:pPr>
            <w:r>
              <w:rPr>
                <w:rFonts w:ascii="Arial" w:cs="Arial" w:eastAsia="Arial" w:hAnsi="Arial"/>
                <w:sz w:val="20"/>
                <w:szCs w:val="20"/>
                <w:color w:val="auto"/>
                <w:w w:val="88"/>
              </w:rPr>
              <w:t>Mississippi, Tennessee, Nova</w:t>
            </w:r>
          </w:p>
        </w:tc>
        <w:tc>
          <w:tcPr>
            <w:tcW w:w="2680" w:type="dxa"/>
            <w:vAlign w:val="bottom"/>
          </w:tcPr>
          <w:p>
            <w:pPr>
              <w:jc w:val="center"/>
              <w:spacing w:after="0"/>
              <w:rPr>
                <w:sz w:val="20"/>
                <w:szCs w:val="20"/>
                <w:color w:val="auto"/>
              </w:rPr>
            </w:pPr>
            <w:r>
              <w:rPr>
                <w:rFonts w:ascii="Arial" w:cs="Arial" w:eastAsia="Arial" w:hAnsi="Arial"/>
                <w:sz w:val="20"/>
                <w:szCs w:val="20"/>
                <w:color w:val="auto"/>
                <w:w w:val="85"/>
              </w:rPr>
              <w:t>Kansas,</w:t>
            </w:r>
          </w:p>
        </w:tc>
      </w:tr>
      <w:tr>
        <w:trPr>
          <w:trHeight w:val="230"/>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20"/>
                <w:szCs w:val="20"/>
                <w:color w:val="auto"/>
                <w:w w:val="92"/>
              </w:rPr>
              <w:t>Maryland, Minnesota, Missouri,</w:t>
            </w:r>
          </w:p>
        </w:tc>
        <w:tc>
          <w:tcPr>
            <w:tcW w:w="2620" w:type="dxa"/>
            <w:vAlign w:val="bottom"/>
            <w:gridSpan w:val="2"/>
          </w:tcPr>
          <w:p>
            <w:pPr>
              <w:jc w:val="center"/>
              <w:ind w:right="120"/>
              <w:spacing w:after="0"/>
              <w:rPr>
                <w:sz w:val="20"/>
                <w:szCs w:val="20"/>
                <w:color w:val="auto"/>
              </w:rPr>
            </w:pPr>
            <w:r>
              <w:rPr>
                <w:rFonts w:ascii="Arial" w:cs="Arial" w:eastAsia="Arial" w:hAnsi="Arial"/>
                <w:sz w:val="20"/>
                <w:szCs w:val="20"/>
                <w:color w:val="auto"/>
                <w:w w:val="87"/>
              </w:rPr>
              <w:t>Scotia and the Bahamas</w:t>
            </w:r>
          </w:p>
        </w:tc>
        <w:tc>
          <w:tcPr>
            <w:tcW w:w="2680" w:type="dxa"/>
            <w:vAlign w:val="bottom"/>
          </w:tcPr>
          <w:p>
            <w:pPr>
              <w:jc w:val="center"/>
              <w:spacing w:after="0"/>
              <w:rPr>
                <w:sz w:val="20"/>
                <w:szCs w:val="20"/>
                <w:color w:val="auto"/>
              </w:rPr>
            </w:pPr>
            <w:r>
              <w:rPr>
                <w:rFonts w:ascii="Arial" w:cs="Arial" w:eastAsia="Arial" w:hAnsi="Arial"/>
                <w:sz w:val="20"/>
                <w:szCs w:val="20"/>
                <w:color w:val="auto"/>
                <w:w w:val="88"/>
              </w:rPr>
              <w:t>Louisiana, western Nebraska,</w:t>
            </w:r>
          </w:p>
        </w:tc>
      </w:tr>
      <w:tr>
        <w:trPr>
          <w:trHeight w:val="230"/>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20"/>
                <w:szCs w:val="20"/>
                <w:color w:val="auto"/>
                <w:w w:val="88"/>
              </w:rPr>
              <w:t>eastern Nebraska, North Carolina,</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20"/>
                <w:szCs w:val="20"/>
                <w:color w:val="auto"/>
                <w:w w:val="88"/>
              </w:rPr>
              <w:t>Nevada, Oklahoma, Texas, Utah</w:t>
            </w:r>
          </w:p>
        </w:tc>
      </w:tr>
      <w:tr>
        <w:trPr>
          <w:trHeight w:val="230"/>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Ohio,</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20"/>
                <w:szCs w:val="20"/>
                <w:color w:val="auto"/>
                <w:w w:val="91"/>
              </w:rPr>
              <w:t>and Wyoming</w:t>
            </w:r>
          </w:p>
        </w:tc>
      </w:tr>
      <w:tr>
        <w:trPr>
          <w:trHeight w:val="230"/>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South Carolina,</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30"/>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20"/>
                <w:szCs w:val="20"/>
                <w:color w:val="auto"/>
                <w:w w:val="90"/>
              </w:rPr>
              <w:t>Virginia, Washington and</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50"/>
        </w:trPr>
        <w:tc>
          <w:tcPr>
            <w:tcW w:w="2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West Virginia</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bl>
    <w:p>
      <w:pPr>
        <w:spacing w:after="0" w:line="195" w:lineRule="exact"/>
        <w:rPr>
          <w:sz w:val="20"/>
          <w:szCs w:val="20"/>
          <w:color w:val="auto"/>
        </w:rPr>
      </w:pPr>
    </w:p>
    <w:p>
      <w:pPr>
        <w:jc w:val="both"/>
        <w:ind w:left="380"/>
        <w:spacing w:after="0" w:line="258" w:lineRule="auto"/>
        <w:rPr>
          <w:sz w:val="20"/>
          <w:szCs w:val="20"/>
          <w:color w:val="auto"/>
        </w:rPr>
      </w:pPr>
      <w:r>
        <w:rPr>
          <w:rFonts w:ascii="Arial" w:cs="Arial" w:eastAsia="Arial" w:hAnsi="Arial"/>
          <w:sz w:val="19"/>
          <w:szCs w:val="19"/>
          <w:color w:val="auto"/>
        </w:rPr>
        <w:t>The Corporation has a Cement segment, which was acquired July 1, 2014 and accounted for 8% of 2014 consolidated net sales, with production facilities located in Midlothian, Texas, south of Dallas/Fort Worth; Hunter, Texas, south of San Antonio; and Oro Grande, near Los Angeles, California. The cement business produces Portland and specialty cements, such as masonry and oil well cements. Similar to the Aggregates business, cement is used in infrastructure projects, nonresidential and residential construction, and the railroad, agricultural, utility and environmental industries. The high calcium limestone reserves used as a raw material are a part of owned property adjacent to each of the plants. The Corporation also operates cement terminals, a packaging facility and cement grinding facility at the Crestmore plant near Riverside, California.</w:t>
      </w:r>
    </w:p>
    <w:p>
      <w:pPr>
        <w:spacing w:after="0" w:line="179" w:lineRule="exact"/>
        <w:rPr>
          <w:sz w:val="20"/>
          <w:szCs w:val="20"/>
          <w:color w:val="auto"/>
        </w:rPr>
      </w:pPr>
    </w:p>
    <w:p>
      <w:pPr>
        <w:jc w:val="both"/>
        <w:ind w:left="380"/>
        <w:spacing w:after="0" w:line="291" w:lineRule="auto"/>
        <w:rPr>
          <w:sz w:val="20"/>
          <w:szCs w:val="20"/>
          <w:color w:val="auto"/>
        </w:rPr>
      </w:pPr>
      <w:r>
        <w:rPr>
          <w:rFonts w:ascii="Arial" w:cs="Arial" w:eastAsia="Arial" w:hAnsi="Arial"/>
          <w:sz w:val="18"/>
          <w:szCs w:val="18"/>
          <w:color w:val="auto"/>
        </w:rPr>
        <w:t>The Corporation has a Magnesia Specialties segment with manufacturing facilities in Manistee, Michigan and Woodville, Ohio. The Magnesia Specialties segment, which accounted for 9% of 2014 consolidated net sales, produces magnesia-based chemicals products used in industrial, agricultural and environmental applications and dolomitic lime sold primarily to customers in the steel industry.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7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380" w:right="7380" w:hanging="372"/>
        <w:spacing w:after="0" w:line="355" w:lineRule="auto"/>
        <w:tabs>
          <w:tab w:leader="none" w:pos="392"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 Basis of Presentation</w:t>
      </w:r>
    </w:p>
    <w:p>
      <w:pPr>
        <w:jc w:val="both"/>
        <w:ind w:left="380"/>
        <w:spacing w:after="0" w:line="271" w:lineRule="auto"/>
        <w:rPr>
          <w:rFonts w:ascii="Arial" w:cs="Arial" w:eastAsia="Arial" w:hAnsi="Arial"/>
          <w:sz w:val="20"/>
          <w:szCs w:val="20"/>
          <w:b w:val="1"/>
          <w:bCs w:val="1"/>
          <w:color w:val="auto"/>
        </w:rPr>
      </w:pPr>
      <w:r>
        <w:rPr>
          <w:rFonts w:ascii="Arial" w:cs="Arial" w:eastAsia="Arial" w:hAnsi="Arial"/>
          <w:sz w:val="18"/>
          <w:szCs w:val="18"/>
          <w:color w:val="auto"/>
        </w:rPr>
        <w:t>The accompanying unaudited consolidated financial statements of the Corporation have been prepared in accordance with generally accepted accounting principles for interim financial information and with the instructions to the Quarterly Report on Form 10-Q and in Article 10 of Regulation S-X. The Corporation has continued to follow the accounting policies set forth in the audited consolidated financial statements and related notes thereto included in the Corporation’s Annual Report on Form 10-K for the year ended December 31, 2014. In the opinion of management, the interim consolidated financial information provided herein reflects all adjustments, consisting of normal recurring accruals, necessary for a fair presentation of the results of operations, financial position and cash flows for the interim periods. The consolidated results of operations for the six months ended June 30, 2015 are not indicative of the results expected for other interim periods or the full year. The consolidated balance sheet at December 31, 2014 has been derived from the audited consolidated financial statements at that date but does not include all of the information and notes required by generally accepted accounting principles for complete financial statements. These consolidated financial statements should be read in conjunction with the audited consolidated financial statements and notes thereto included in the Corporation’s Annual Report on Form 10-K for the year ended December 31, 2014.</w:t>
      </w:r>
    </w:p>
    <w:p>
      <w:pPr>
        <w:spacing w:after="0" w:line="164"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 Standard</w:t>
      </w:r>
    </w:p>
    <w:p>
      <w:pPr>
        <w:spacing w:after="0" w:line="113" w:lineRule="exact"/>
        <w:rPr>
          <w:rFonts w:ascii="Arial" w:cs="Arial" w:eastAsia="Arial" w:hAnsi="Arial"/>
          <w:sz w:val="20"/>
          <w:szCs w:val="20"/>
          <w:b w:val="1"/>
          <w:bCs w:val="1"/>
          <w:color w:val="auto"/>
        </w:rPr>
      </w:pPr>
    </w:p>
    <w:p>
      <w:pPr>
        <w:jc w:val="both"/>
        <w:ind w:left="380"/>
        <w:spacing w:after="0" w:line="278" w:lineRule="auto"/>
        <w:rPr>
          <w:rFonts w:ascii="Arial" w:cs="Arial" w:eastAsia="Arial" w:hAnsi="Arial"/>
          <w:sz w:val="20"/>
          <w:szCs w:val="20"/>
          <w:b w:val="1"/>
          <w:bCs w:val="1"/>
          <w:color w:val="auto"/>
        </w:rPr>
      </w:pPr>
      <w:r>
        <w:rPr>
          <w:rFonts w:ascii="Arial" w:cs="Arial" w:eastAsia="Arial" w:hAnsi="Arial"/>
          <w:sz w:val="18"/>
          <w:szCs w:val="18"/>
          <w:color w:val="auto"/>
        </w:rPr>
        <w:t>The FASB issued an accounting standard update that amends the accounting guidance on revenue recognition. The new standard intends to provide a more robust framework for addressing revenue issues, improve comparability of revenue recognition practices and improve disclosure requirements. The new standard is effective for interim and annual reporting periods beginning after December 15, 2017 and can be applied on a full retrospective or modified retrospective approach. The Corporation is currently evaluating the impact of the provisions of the new standard, and at this time does not expect the impact to be material to its consolidated results of operations.</w:t>
      </w:r>
    </w:p>
    <w:p>
      <w:pPr>
        <w:spacing w:after="0" w:line="159"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w:t>
      </w:r>
    </w:p>
    <w:p>
      <w:pPr>
        <w:spacing w:after="0" w:line="113"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Consolidated comprehensive earnings/loss for the Corporation consist of consolidated net earnings or loss; adjustments for the funded status of pension and postretirement benefit plans; foreign currency translation adjustments; and the amortization of the value of terminated forward starting interest rate swap agreements into interest expense, and are presented in the Corporation’s consolidated statements of earnings and comprehensive earnings.</w:t>
      </w:r>
    </w:p>
    <w:p>
      <w:pPr>
        <w:spacing w:after="0" w:line="8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Comprehensive earnings attributable to Martin Marietta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5"/>
          </w:tcPr>
          <w:p>
            <w:pPr>
              <w:ind w:left="200"/>
              <w:spacing w:after="0"/>
              <w:rPr>
                <w:sz w:val="20"/>
                <w:szCs w:val="20"/>
                <w:color w:val="auto"/>
              </w:rPr>
            </w:pPr>
            <w:r>
              <w:rPr>
                <w:rFonts w:ascii="Arial" w:cs="Arial" w:eastAsia="Arial" w:hAnsi="Arial"/>
                <w:sz w:val="20"/>
                <w:szCs w:val="20"/>
                <w:color w:val="auto"/>
              </w:rPr>
              <w:t>Three Months Ended</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5"/>
          </w:tcPr>
          <w:p>
            <w:pPr>
              <w:ind w:left="240"/>
              <w:spacing w:after="0"/>
              <w:rPr>
                <w:sz w:val="20"/>
                <w:szCs w:val="20"/>
                <w:color w:val="auto"/>
              </w:rPr>
            </w:pPr>
            <w:r>
              <w:rPr>
                <w:rFonts w:ascii="Arial" w:cs="Arial" w:eastAsia="Arial" w:hAnsi="Arial"/>
                <w:sz w:val="20"/>
                <w:szCs w:val="20"/>
                <w:color w:val="auto"/>
              </w:rPr>
              <w:t>Six Months Ended</w:t>
            </w:r>
          </w:p>
        </w:tc>
        <w:tc>
          <w:tcPr>
            <w:tcW w:w="0" w:type="dxa"/>
            <w:vAlign w:val="bottom"/>
          </w:tcPr>
          <w:p>
            <w:pPr>
              <w:spacing w:after="0"/>
              <w:rPr>
                <w:sz w:val="1"/>
                <w:szCs w:val="1"/>
                <w:color w:val="auto"/>
              </w:rPr>
            </w:pPr>
          </w:p>
        </w:tc>
      </w:tr>
      <w:tr>
        <w:trPr>
          <w:trHeight w:val="246"/>
        </w:trPr>
        <w:tc>
          <w:tcPr>
            <w:tcW w:w="5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June 30,</w:t>
            </w: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2014</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w w:val="98"/>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820" w:type="dxa"/>
            <w:vAlign w:val="bottom"/>
            <w:vMerge w:val="restart"/>
          </w:tcPr>
          <w:p>
            <w:pPr>
              <w:spacing w:after="0"/>
              <w:rPr>
                <w:sz w:val="20"/>
                <w:szCs w:val="20"/>
                <w:color w:val="auto"/>
              </w:rPr>
            </w:pPr>
            <w:r>
              <w:rPr>
                <w:rFonts w:ascii="Arial" w:cs="Arial" w:eastAsia="Arial" w:hAnsi="Arial"/>
                <w:sz w:val="20"/>
                <w:szCs w:val="20"/>
                <w:color w:val="auto"/>
              </w:rPr>
              <w:t>Net earnings attributable to Martin Marietta</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60" w:type="dxa"/>
            <w:vAlign w:val="bottom"/>
            <w:gridSpan w:val="6"/>
          </w:tcPr>
          <w:p>
            <w:pPr>
              <w:ind w:left="100"/>
              <w:spacing w:after="0"/>
              <w:rPr>
                <w:sz w:val="20"/>
                <w:szCs w:val="20"/>
                <w:color w:val="auto"/>
              </w:rPr>
            </w:pPr>
            <w:r>
              <w:rPr>
                <w:rFonts w:ascii="Arial" w:cs="Arial" w:eastAsia="Arial" w:hAnsi="Arial"/>
                <w:sz w:val="20"/>
                <w:szCs w:val="20"/>
                <w:i w:val="1"/>
                <w:iCs w:val="1"/>
                <w:color w:val="auto"/>
              </w:rPr>
              <w:t>(Dollars in Thousands)</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8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820" w:type="dxa"/>
            <w:vAlign w:val="bottom"/>
          </w:tcPr>
          <w:p>
            <w:pPr>
              <w:ind w:left="260"/>
              <w:spacing w:after="0"/>
              <w:rPr>
                <w:sz w:val="20"/>
                <w:szCs w:val="20"/>
                <w:color w:val="auto"/>
              </w:rPr>
            </w:pPr>
            <w:r>
              <w:rPr>
                <w:rFonts w:ascii="Arial" w:cs="Arial" w:eastAsia="Arial" w:hAnsi="Arial"/>
                <w:sz w:val="20"/>
                <w:szCs w:val="20"/>
                <w:color w:val="auto"/>
              </w:rPr>
              <w:t>Materials, Inc.</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81,938</w:t>
            </w:r>
          </w:p>
        </w:tc>
        <w:tc>
          <w:tcPr>
            <w:tcW w:w="220" w:type="dxa"/>
            <w:vAlign w:val="bottom"/>
          </w:tcPr>
          <w:p>
            <w:pPr>
              <w:spacing w:after="0"/>
              <w:rPr>
                <w:sz w:val="21"/>
                <w:szCs w:val="21"/>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59,521</w:t>
            </w:r>
          </w:p>
        </w:tc>
        <w:tc>
          <w:tcPr>
            <w:tcW w:w="10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88,065</w:t>
            </w:r>
          </w:p>
        </w:tc>
        <w:tc>
          <w:tcPr>
            <w:tcW w:w="220" w:type="dxa"/>
            <w:vAlign w:val="bottom"/>
          </w:tcPr>
          <w:p>
            <w:pPr>
              <w:spacing w:after="0"/>
              <w:rPr>
                <w:sz w:val="21"/>
                <w:szCs w:val="21"/>
                <w:color w:val="auto"/>
              </w:rPr>
            </w:pP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37,904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spacing w:after="0"/>
              <w:rPr>
                <w:sz w:val="20"/>
                <w:szCs w:val="20"/>
                <w:color w:val="auto"/>
              </w:rPr>
            </w:pPr>
            <w:r>
              <w:rPr>
                <w:rFonts w:ascii="Arial" w:cs="Arial" w:eastAsia="Arial" w:hAnsi="Arial"/>
                <w:sz w:val="20"/>
                <w:szCs w:val="20"/>
                <w:color w:val="auto"/>
              </w:rPr>
              <w:t>Other comprehensive (loss) earnings, net of tax</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(6,091)</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603</w:t>
            </w:r>
          </w:p>
        </w:tc>
        <w:tc>
          <w:tcPr>
            <w:tcW w:w="100" w:type="dxa"/>
            <w:vAlign w:val="bottom"/>
            <w:shd w:val="clear" w:color="auto" w:fill="CFF0FC"/>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(6,655)</w:t>
            </w: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1,973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820" w:type="dxa"/>
            <w:vAlign w:val="bottom"/>
          </w:tcPr>
          <w:p>
            <w:pPr>
              <w:spacing w:after="0" w:line="220" w:lineRule="exact"/>
              <w:rPr>
                <w:sz w:val="20"/>
                <w:szCs w:val="20"/>
                <w:color w:val="auto"/>
              </w:rPr>
            </w:pPr>
            <w:r>
              <w:rPr>
                <w:rFonts w:ascii="Arial" w:cs="Arial" w:eastAsia="Arial" w:hAnsi="Arial"/>
                <w:sz w:val="20"/>
                <w:szCs w:val="20"/>
                <w:color w:val="auto"/>
              </w:rPr>
              <w:t>Comprehensive earnings attributable to</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820" w:type="dxa"/>
            <w:vAlign w:val="bottom"/>
          </w:tcPr>
          <w:p>
            <w:pPr>
              <w:ind w:left="260"/>
              <w:spacing w:after="0"/>
              <w:rPr>
                <w:sz w:val="20"/>
                <w:szCs w:val="20"/>
                <w:color w:val="auto"/>
              </w:rPr>
            </w:pPr>
            <w:r>
              <w:rPr>
                <w:rFonts w:ascii="Arial" w:cs="Arial" w:eastAsia="Arial" w:hAnsi="Arial"/>
                <w:sz w:val="20"/>
                <w:szCs w:val="20"/>
                <w:color w:val="auto"/>
              </w:rPr>
              <w:t>Martin Marietta Materials, Inc.</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75,847</w:t>
            </w:r>
          </w:p>
        </w:tc>
        <w:tc>
          <w:tcPr>
            <w:tcW w:w="220" w:type="dxa"/>
            <w:vAlign w:val="bottom"/>
          </w:tcPr>
          <w:p>
            <w:pPr>
              <w:spacing w:after="0"/>
              <w:rPr>
                <w:sz w:val="21"/>
                <w:szCs w:val="21"/>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60,124</w:t>
            </w:r>
          </w:p>
        </w:tc>
        <w:tc>
          <w:tcPr>
            <w:tcW w:w="10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81,410</w:t>
            </w:r>
          </w:p>
        </w:tc>
        <w:tc>
          <w:tcPr>
            <w:tcW w:w="220" w:type="dxa"/>
            <w:vAlign w:val="bottom"/>
          </w:tcPr>
          <w:p>
            <w:pPr>
              <w:spacing w:after="0"/>
              <w:rPr>
                <w:sz w:val="21"/>
                <w:szCs w:val="21"/>
                <w:color w:val="auto"/>
              </w:rPr>
            </w:pP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39,877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256"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 (continued)</w:t>
      </w:r>
    </w:p>
    <w:p>
      <w:pPr>
        <w:spacing w:after="0" w:line="11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Comprehensive earnings (loss) attributable to noncontrolling interests, consisting of net earnings or loss and adjustments for the funded status of pension and postretirement benefit plans,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20" w:type="dxa"/>
            <w:vAlign w:val="bottom"/>
          </w:tcPr>
          <w:p>
            <w:pPr>
              <w:spacing w:after="0"/>
              <w:rPr>
                <w:sz w:val="21"/>
                <w:szCs w:val="21"/>
                <w:color w:val="auto"/>
              </w:rPr>
            </w:pPr>
          </w:p>
        </w:tc>
        <w:tc>
          <w:tcPr>
            <w:tcW w:w="2800" w:type="dxa"/>
            <w:vAlign w:val="bottom"/>
            <w:gridSpan w:val="6"/>
          </w:tcPr>
          <w:p>
            <w:pPr>
              <w:ind w:left="500"/>
              <w:spacing w:after="0"/>
              <w:rPr>
                <w:sz w:val="20"/>
                <w:szCs w:val="20"/>
                <w:color w:val="auto"/>
              </w:rPr>
            </w:pPr>
            <w:r>
              <w:rPr>
                <w:rFonts w:ascii="Arial" w:cs="Arial" w:eastAsia="Arial" w:hAnsi="Arial"/>
                <w:sz w:val="20"/>
                <w:szCs w:val="20"/>
                <w:color w:val="auto"/>
              </w:rPr>
              <w:t>Three Months Ended</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5"/>
          </w:tcPr>
          <w:p>
            <w:pPr>
              <w:jc w:val="right"/>
              <w:ind w:right="720"/>
              <w:spacing w:after="0"/>
              <w:rPr>
                <w:sz w:val="20"/>
                <w:szCs w:val="20"/>
                <w:color w:val="auto"/>
              </w:rPr>
            </w:pPr>
            <w:r>
              <w:rPr>
                <w:rFonts w:ascii="Arial" w:cs="Arial" w:eastAsia="Arial" w:hAnsi="Arial"/>
                <w:sz w:val="20"/>
                <w:szCs w:val="20"/>
                <w:color w:val="auto"/>
              </w:rPr>
              <w:t>Six Months Ended</w:t>
            </w:r>
          </w:p>
        </w:tc>
      </w:tr>
      <w:tr>
        <w:trPr>
          <w:trHeight w:val="246"/>
        </w:trPr>
        <w:tc>
          <w:tcPr>
            <w:tcW w:w="57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0"/>
                <w:szCs w:val="20"/>
                <w:color w:val="auto"/>
                <w:w w:val="96"/>
              </w:rPr>
              <w:t>June 30,</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June 30,</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720" w:type="dxa"/>
            <w:vAlign w:val="bottom"/>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2015</w:t>
            </w: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2014</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2015</w:t>
            </w: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2014</w:t>
            </w:r>
          </w:p>
        </w:tc>
        <w:tc>
          <w:tcPr>
            <w:tcW w:w="100" w:type="dxa"/>
            <w:vAlign w:val="bottom"/>
          </w:tcPr>
          <w:p>
            <w:pPr>
              <w:spacing w:after="0"/>
              <w:rPr>
                <w:sz w:val="20"/>
                <w:szCs w:val="20"/>
                <w:color w:val="auto"/>
              </w:rPr>
            </w:pPr>
          </w:p>
        </w:tc>
      </w:tr>
      <w:tr>
        <w:trPr>
          <w:trHeight w:val="233"/>
        </w:trPr>
        <w:tc>
          <w:tcPr>
            <w:tcW w:w="5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gridSpan w:val="6"/>
          </w:tcPr>
          <w:p>
            <w:pPr>
              <w:ind w:left="100"/>
              <w:spacing w:after="0"/>
              <w:rPr>
                <w:sz w:val="20"/>
                <w:szCs w:val="20"/>
                <w:color w:val="auto"/>
              </w:rPr>
            </w:pPr>
            <w:r>
              <w:rPr>
                <w:rFonts w:ascii="Arial" w:cs="Arial" w:eastAsia="Arial" w:hAnsi="Arial"/>
                <w:sz w:val="20"/>
                <w:szCs w:val="20"/>
                <w:i w:val="1"/>
                <w:iCs w:val="1"/>
                <w:color w:val="auto"/>
              </w:rPr>
              <w:t>(Dollars in Thousands)</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5720" w:type="dxa"/>
            <w:vAlign w:val="bottom"/>
          </w:tcPr>
          <w:p>
            <w:pPr>
              <w:spacing w:after="0"/>
              <w:rPr>
                <w:sz w:val="20"/>
                <w:szCs w:val="20"/>
                <w:color w:val="auto"/>
              </w:rPr>
            </w:pPr>
            <w:r>
              <w:rPr>
                <w:rFonts w:ascii="Arial" w:cs="Arial" w:eastAsia="Arial" w:hAnsi="Arial"/>
                <w:sz w:val="20"/>
                <w:szCs w:val="20"/>
                <w:color w:val="auto"/>
              </w:rPr>
              <w:t>Net earnings (loss) attributable to noncontrolling interests</w:t>
            </w:r>
          </w:p>
        </w:tc>
        <w:tc>
          <w:tcPr>
            <w:tcW w:w="920" w:type="dxa"/>
            <w:vAlign w:val="bottom"/>
          </w:tcPr>
          <w:p>
            <w:pPr>
              <w:jc w:val="right"/>
              <w:ind w:right="721"/>
              <w:spacing w:after="0"/>
              <w:rPr>
                <w:sz w:val="20"/>
                <w:szCs w:val="20"/>
                <w:color w:val="auto"/>
              </w:rPr>
            </w:pPr>
            <w:r>
              <w:rPr>
                <w:rFonts w:ascii="Arial" w:cs="Arial" w:eastAsia="Arial" w:hAnsi="Arial"/>
                <w:sz w:val="20"/>
                <w:szCs w:val="20"/>
                <w:color w:val="auto"/>
                <w:w w:val="71"/>
              </w:rPr>
              <w:t>$</w:t>
            </w:r>
          </w:p>
        </w:tc>
        <w:tc>
          <w:tcPr>
            <w:tcW w:w="340" w:type="dxa"/>
            <w:vAlign w:val="bottom"/>
          </w:tcPr>
          <w:p>
            <w:pPr>
              <w:jc w:val="right"/>
              <w:spacing w:after="0"/>
              <w:rPr>
                <w:sz w:val="20"/>
                <w:szCs w:val="20"/>
                <w:color w:val="auto"/>
              </w:rPr>
            </w:pPr>
            <w:r>
              <w:rPr>
                <w:rFonts w:ascii="Arial" w:cs="Arial" w:eastAsia="Arial" w:hAnsi="Arial"/>
                <w:sz w:val="20"/>
                <w:szCs w:val="20"/>
                <w:color w:val="auto"/>
              </w:rPr>
              <w:t>41</w:t>
            </w:r>
          </w:p>
        </w:tc>
        <w:tc>
          <w:tcPr>
            <w:tcW w:w="52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103</w:t>
            </w:r>
          </w:p>
        </w:tc>
        <w:tc>
          <w:tcPr>
            <w:tcW w:w="100" w:type="dxa"/>
            <w:vAlign w:val="bottom"/>
          </w:tcPr>
          <w:p>
            <w:pPr>
              <w:spacing w:after="0"/>
              <w:rPr>
                <w:sz w:val="21"/>
                <w:szCs w:val="2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73</w:t>
            </w:r>
          </w:p>
        </w:tc>
        <w:tc>
          <w:tcPr>
            <w:tcW w:w="20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20"/>
                <w:szCs w:val="20"/>
                <w:color w:val="auto"/>
              </w:rPr>
              <w:t>(1,432)</w:t>
            </w:r>
          </w:p>
        </w:tc>
      </w:tr>
      <w:tr>
        <w:trPr>
          <w:trHeight w:val="243"/>
        </w:trPr>
        <w:tc>
          <w:tcPr>
            <w:tcW w:w="5720" w:type="dxa"/>
            <w:vAlign w:val="bottom"/>
            <w:shd w:val="clear" w:color="auto" w:fill="CFF0FC"/>
          </w:tcPr>
          <w:p>
            <w:pPr>
              <w:spacing w:after="0"/>
              <w:rPr>
                <w:sz w:val="20"/>
                <w:szCs w:val="20"/>
                <w:color w:val="auto"/>
              </w:rPr>
            </w:pPr>
            <w:r>
              <w:rPr>
                <w:rFonts w:ascii="Arial" w:cs="Arial" w:eastAsia="Arial" w:hAnsi="Arial"/>
                <w:sz w:val="20"/>
                <w:szCs w:val="20"/>
                <w:color w:val="auto"/>
              </w:rPr>
              <w:t>Other comprehensive earnings, net of tax</w:t>
            </w:r>
          </w:p>
        </w:tc>
        <w:tc>
          <w:tcPr>
            <w:tcW w:w="92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18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w:t>
            </w:r>
          </w:p>
        </w:tc>
        <w:tc>
          <w:tcPr>
            <w:tcW w:w="20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100" w:type="dxa"/>
            <w:vAlign w:val="bottom"/>
            <w:shd w:val="clear" w:color="auto" w:fill="CFF0FC"/>
          </w:tcPr>
          <w:p>
            <w:pPr>
              <w:spacing w:after="0"/>
              <w:rPr>
                <w:sz w:val="21"/>
                <w:szCs w:val="21"/>
                <w:color w:val="auto"/>
              </w:rPr>
            </w:pPr>
          </w:p>
        </w:tc>
      </w:tr>
      <w:tr>
        <w:trPr>
          <w:trHeight w:val="220"/>
        </w:trPr>
        <w:tc>
          <w:tcPr>
            <w:tcW w:w="5720" w:type="dxa"/>
            <w:vAlign w:val="bottom"/>
          </w:tcPr>
          <w:p>
            <w:pPr>
              <w:spacing w:after="0" w:line="220" w:lineRule="exact"/>
              <w:rPr>
                <w:sz w:val="20"/>
                <w:szCs w:val="20"/>
                <w:color w:val="auto"/>
              </w:rPr>
            </w:pPr>
            <w:r>
              <w:rPr>
                <w:rFonts w:ascii="Arial" w:cs="Arial" w:eastAsia="Arial" w:hAnsi="Arial"/>
                <w:sz w:val="20"/>
                <w:szCs w:val="20"/>
                <w:color w:val="auto"/>
              </w:rPr>
              <w:t>Comprehensive earnings (loss) attributable to</w:t>
            </w: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5720" w:type="dxa"/>
            <w:vAlign w:val="bottom"/>
          </w:tcPr>
          <w:p>
            <w:pPr>
              <w:ind w:left="260"/>
              <w:spacing w:after="0"/>
              <w:rPr>
                <w:sz w:val="20"/>
                <w:szCs w:val="20"/>
                <w:color w:val="auto"/>
              </w:rPr>
            </w:pPr>
            <w:r>
              <w:rPr>
                <w:rFonts w:ascii="Arial" w:cs="Arial" w:eastAsia="Arial" w:hAnsi="Arial"/>
                <w:sz w:val="20"/>
                <w:szCs w:val="20"/>
                <w:color w:val="auto"/>
              </w:rPr>
              <w:t>noncontrolling interests</w:t>
            </w:r>
          </w:p>
        </w:tc>
        <w:tc>
          <w:tcPr>
            <w:tcW w:w="920" w:type="dxa"/>
            <w:vAlign w:val="bottom"/>
          </w:tcPr>
          <w:p>
            <w:pPr>
              <w:jc w:val="right"/>
              <w:ind w:right="721"/>
              <w:spacing w:after="0"/>
              <w:rPr>
                <w:sz w:val="20"/>
                <w:szCs w:val="20"/>
                <w:color w:val="auto"/>
              </w:rPr>
            </w:pPr>
            <w:r>
              <w:rPr>
                <w:rFonts w:ascii="Arial" w:cs="Arial" w:eastAsia="Arial" w:hAnsi="Arial"/>
                <w:sz w:val="20"/>
                <w:szCs w:val="20"/>
                <w:color w:val="auto"/>
                <w:w w:val="71"/>
              </w:rPr>
              <w:t>$</w:t>
            </w:r>
          </w:p>
        </w:tc>
        <w:tc>
          <w:tcPr>
            <w:tcW w:w="340" w:type="dxa"/>
            <w:vAlign w:val="bottom"/>
          </w:tcPr>
          <w:p>
            <w:pPr>
              <w:jc w:val="right"/>
              <w:spacing w:after="0"/>
              <w:rPr>
                <w:sz w:val="20"/>
                <w:szCs w:val="20"/>
                <w:color w:val="auto"/>
              </w:rPr>
            </w:pPr>
            <w:r>
              <w:rPr>
                <w:rFonts w:ascii="Arial" w:cs="Arial" w:eastAsia="Arial" w:hAnsi="Arial"/>
                <w:sz w:val="20"/>
                <w:szCs w:val="20"/>
                <w:color w:val="auto"/>
              </w:rPr>
              <w:t>43</w:t>
            </w:r>
          </w:p>
        </w:tc>
        <w:tc>
          <w:tcPr>
            <w:tcW w:w="52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104</w:t>
            </w:r>
          </w:p>
        </w:tc>
        <w:tc>
          <w:tcPr>
            <w:tcW w:w="100" w:type="dxa"/>
            <w:vAlign w:val="bottom"/>
          </w:tcPr>
          <w:p>
            <w:pPr>
              <w:spacing w:after="0"/>
              <w:rPr>
                <w:sz w:val="21"/>
                <w:szCs w:val="2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78</w:t>
            </w:r>
          </w:p>
        </w:tc>
        <w:tc>
          <w:tcPr>
            <w:tcW w:w="20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20"/>
                <w:szCs w:val="20"/>
                <w:color w:val="auto"/>
              </w:rPr>
              <w:t>(1,430)</w:t>
            </w:r>
          </w:p>
        </w:tc>
      </w:tr>
      <w:tr>
        <w:trPr>
          <w:trHeight w:val="20"/>
        </w:trPr>
        <w:tc>
          <w:tcPr>
            <w:tcW w:w="5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Accumulated other comprehensive loss consists of unrealized gains and losses related to the funded status of pension and postretirement benefit plans; foreign currency translation; and the unamortized value of terminated forward starting interest rate swap agreements, and is presented on the Corporation’s consolidated balance sheets.</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accumulated other comprehensive loss, net of tax,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i w:val="1"/>
                <w:iCs w:val="1"/>
                <w:color w:val="auto"/>
                <w:w w:val="92"/>
              </w:rPr>
              <w:t>(Dollars in Thousands)</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2"/>
        </w:trPr>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Unamortized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Value of</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Terminated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Accumulated</w:t>
            </w:r>
          </w:p>
        </w:tc>
      </w:tr>
      <w:tr>
        <w:trPr>
          <w:trHeight w:val="230"/>
        </w:trPr>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Pension and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Forward Starting</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r>
      <w:tr>
        <w:trPr>
          <w:trHeight w:val="230"/>
        </w:trPr>
        <w:tc>
          <w:tcPr>
            <w:tcW w:w="592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Postretirement</w:t>
            </w: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Foreign</w:t>
            </w:r>
          </w:p>
        </w:tc>
        <w:tc>
          <w:tcPr>
            <w:tcW w:w="12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 Rate</w:t>
            </w:r>
          </w:p>
        </w:tc>
        <w:tc>
          <w:tcPr>
            <w:tcW w:w="80" w:type="dxa"/>
            <w:vAlign w:val="bottom"/>
          </w:tcPr>
          <w:p>
            <w:pPr>
              <w:spacing w:after="0"/>
              <w:rPr>
                <w:sz w:val="19"/>
                <w:szCs w:val="19"/>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color w:val="auto"/>
                <w:w w:val="99"/>
              </w:rPr>
              <w:t>Comprehensive</w:t>
            </w:r>
          </w:p>
        </w:tc>
      </w:tr>
      <w:tr>
        <w:trPr>
          <w:trHeight w:val="230"/>
        </w:trPr>
        <w:tc>
          <w:tcPr>
            <w:tcW w:w="5920" w:type="dxa"/>
            <w:vAlign w:val="bottom"/>
          </w:tcPr>
          <w:p>
            <w:pPr>
              <w:spacing w:after="0"/>
              <w:rPr>
                <w:sz w:val="20"/>
                <w:szCs w:val="20"/>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Benefit Plans</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Currency</w:t>
            </w:r>
          </w:p>
        </w:tc>
        <w:tc>
          <w:tcPr>
            <w:tcW w:w="12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Swap</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Loss</w:t>
            </w:r>
          </w:p>
        </w:tc>
      </w:tr>
      <w:tr>
        <w:trPr>
          <w:trHeight w:val="223"/>
        </w:trPr>
        <w:tc>
          <w:tcPr>
            <w:tcW w:w="59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760" w:type="dxa"/>
            <w:vAlign w:val="bottom"/>
            <w:tcBorders>
              <w:top w:val="single" w:sz="8" w:color="auto"/>
              <w:bottom w:val="single" w:sz="8" w:color="auto"/>
            </w:tcBorders>
            <w:gridSpan w:val="6"/>
          </w:tcPr>
          <w:p>
            <w:pPr>
              <w:jc w:val="center"/>
              <w:ind w:right="120"/>
              <w:spacing w:after="0"/>
              <w:rPr>
                <w:sz w:val="20"/>
                <w:szCs w:val="20"/>
                <w:color w:val="auto"/>
              </w:rPr>
            </w:pPr>
            <w:r>
              <w:rPr>
                <w:rFonts w:ascii="Arial" w:cs="Arial" w:eastAsia="Arial" w:hAnsi="Arial"/>
                <w:sz w:val="18"/>
                <w:szCs w:val="18"/>
                <w:color w:val="auto"/>
                <w:w w:val="89"/>
              </w:rPr>
              <w:t>Three Months Ended June 30, 2015</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(105,151)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(2,562)</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(106,723)</w:t>
            </w:r>
          </w:p>
        </w:tc>
        <w:tc>
          <w:tcPr>
            <w:tcW w:w="120" w:type="dxa"/>
            <w:vAlign w:val="bottom"/>
          </w:tcPr>
          <w:p>
            <w:pPr>
              <w:spacing w:after="0"/>
              <w:rPr>
                <w:sz w:val="19"/>
                <w:szCs w:val="19"/>
                <w:color w:val="auto"/>
              </w:rPr>
            </w:pPr>
          </w:p>
        </w:tc>
      </w:tr>
      <w:tr>
        <w:trPr>
          <w:trHeight w:val="209"/>
        </w:trPr>
        <w:tc>
          <w:tcPr>
            <w:tcW w:w="592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8"/>
                <w:szCs w:val="18"/>
                <w:color w:val="auto"/>
              </w:rPr>
              <w:t>Other comprehensive (loss) earnings before</w:t>
            </w:r>
          </w:p>
        </w:tc>
        <w:tc>
          <w:tcPr>
            <w:tcW w:w="120" w:type="dxa"/>
            <w:vAlign w:val="bottom"/>
            <w:tcBorders>
              <w:top w:val="single" w:sz="8" w:color="auto"/>
            </w:tcBorders>
            <w:shd w:val="clear" w:color="auto" w:fill="CFF2FA"/>
          </w:tcPr>
          <w:p>
            <w:pPr>
              <w:spacing w:after="0"/>
              <w:rPr>
                <w:sz w:val="18"/>
                <w:szCs w:val="18"/>
                <w:color w:val="auto"/>
              </w:rPr>
            </w:pPr>
          </w:p>
        </w:tc>
        <w:tc>
          <w:tcPr>
            <w:tcW w:w="1040" w:type="dxa"/>
            <w:vAlign w:val="bottom"/>
            <w:tcBorders>
              <w:top w:val="single" w:sz="8" w:color="auto"/>
            </w:tcBorders>
            <w:shd w:val="clear" w:color="auto" w:fill="CFF2FA"/>
          </w:tcPr>
          <w:p>
            <w:pPr>
              <w:spacing w:after="0"/>
              <w:rPr>
                <w:sz w:val="18"/>
                <w:szCs w:val="18"/>
                <w:color w:val="auto"/>
              </w:rPr>
            </w:pPr>
          </w:p>
        </w:tc>
        <w:tc>
          <w:tcPr>
            <w:tcW w:w="200" w:type="dxa"/>
            <w:vAlign w:val="bottom"/>
            <w:tcBorders>
              <w:top w:val="single" w:sz="8" w:color="CFF2FA"/>
            </w:tcBorders>
            <w:shd w:val="clear" w:color="auto" w:fill="CFF2FA"/>
          </w:tcPr>
          <w:p>
            <w:pPr>
              <w:spacing w:after="0"/>
              <w:rPr>
                <w:sz w:val="18"/>
                <w:szCs w:val="18"/>
                <w:color w:val="auto"/>
              </w:rPr>
            </w:pPr>
          </w:p>
        </w:tc>
        <w:tc>
          <w:tcPr>
            <w:tcW w:w="160" w:type="dxa"/>
            <w:vAlign w:val="bottom"/>
            <w:tcBorders>
              <w:top w:val="single" w:sz="8" w:color="auto"/>
            </w:tcBorders>
            <w:shd w:val="clear" w:color="auto" w:fill="CFF2FA"/>
          </w:tcPr>
          <w:p>
            <w:pPr>
              <w:spacing w:after="0"/>
              <w:rPr>
                <w:sz w:val="18"/>
                <w:szCs w:val="18"/>
                <w:color w:val="auto"/>
              </w:rPr>
            </w:pPr>
          </w:p>
        </w:tc>
        <w:tc>
          <w:tcPr>
            <w:tcW w:w="1000" w:type="dxa"/>
            <w:vAlign w:val="bottom"/>
            <w:tcBorders>
              <w:top w:val="single" w:sz="8" w:color="auto"/>
            </w:tcBorders>
            <w:shd w:val="clear" w:color="auto" w:fill="CFF2FA"/>
          </w:tcPr>
          <w:p>
            <w:pPr>
              <w:spacing w:after="0"/>
              <w:rPr>
                <w:sz w:val="18"/>
                <w:szCs w:val="18"/>
                <w:color w:val="auto"/>
              </w:rPr>
            </w:pPr>
          </w:p>
        </w:tc>
        <w:tc>
          <w:tcPr>
            <w:tcW w:w="220" w:type="dxa"/>
            <w:vAlign w:val="bottom"/>
            <w:tcBorders>
              <w:top w:val="single" w:sz="8" w:color="CFF2FA"/>
            </w:tcBorders>
            <w:shd w:val="clear" w:color="auto" w:fill="CFF2FA"/>
          </w:tcPr>
          <w:p>
            <w:pPr>
              <w:spacing w:after="0"/>
              <w:rPr>
                <w:sz w:val="18"/>
                <w:szCs w:val="18"/>
                <w:color w:val="auto"/>
              </w:rPr>
            </w:pPr>
          </w:p>
        </w:tc>
        <w:tc>
          <w:tcPr>
            <w:tcW w:w="120" w:type="dxa"/>
            <w:vAlign w:val="bottom"/>
            <w:tcBorders>
              <w:top w:val="single" w:sz="8" w:color="auto"/>
            </w:tcBorders>
            <w:shd w:val="clear" w:color="auto" w:fill="CFF2FA"/>
          </w:tcPr>
          <w:p>
            <w:pPr>
              <w:spacing w:after="0"/>
              <w:rPr>
                <w:sz w:val="18"/>
                <w:szCs w:val="18"/>
                <w:color w:val="auto"/>
              </w:rPr>
            </w:pPr>
          </w:p>
        </w:tc>
        <w:tc>
          <w:tcPr>
            <w:tcW w:w="1120" w:type="dxa"/>
            <w:vAlign w:val="bottom"/>
            <w:tcBorders>
              <w:top w:val="single" w:sz="8" w:color="auto"/>
            </w:tcBorders>
            <w:shd w:val="clear" w:color="auto" w:fill="CFF2FA"/>
          </w:tcPr>
          <w:p>
            <w:pPr>
              <w:spacing w:after="0"/>
              <w:rPr>
                <w:sz w:val="18"/>
                <w:szCs w:val="18"/>
                <w:color w:val="auto"/>
              </w:rPr>
            </w:pPr>
          </w:p>
        </w:tc>
        <w:tc>
          <w:tcPr>
            <w:tcW w:w="140" w:type="dxa"/>
            <w:vAlign w:val="bottom"/>
            <w:tcBorders>
              <w:top w:val="single" w:sz="8" w:color="CFF2FA"/>
            </w:tcBorders>
            <w:shd w:val="clear" w:color="auto" w:fill="CFF2FA"/>
          </w:tcPr>
          <w:p>
            <w:pPr>
              <w:spacing w:after="0"/>
              <w:rPr>
                <w:sz w:val="18"/>
                <w:szCs w:val="18"/>
                <w:color w:val="auto"/>
              </w:rPr>
            </w:pPr>
          </w:p>
        </w:tc>
        <w:tc>
          <w:tcPr>
            <w:tcW w:w="80" w:type="dxa"/>
            <w:vAlign w:val="bottom"/>
            <w:tcBorders>
              <w:top w:val="single" w:sz="8" w:color="CFF2FA"/>
            </w:tcBorders>
            <w:shd w:val="clear" w:color="auto" w:fill="CFF2FA"/>
          </w:tcPr>
          <w:p>
            <w:pPr>
              <w:spacing w:after="0"/>
              <w:rPr>
                <w:sz w:val="18"/>
                <w:szCs w:val="18"/>
                <w:color w:val="auto"/>
              </w:rPr>
            </w:pPr>
          </w:p>
        </w:tc>
        <w:tc>
          <w:tcPr>
            <w:tcW w:w="100" w:type="dxa"/>
            <w:vAlign w:val="bottom"/>
            <w:tcBorders>
              <w:top w:val="single" w:sz="8" w:color="auto"/>
            </w:tcBorders>
            <w:shd w:val="clear" w:color="auto" w:fill="CFF2FA"/>
          </w:tcPr>
          <w:p>
            <w:pPr>
              <w:spacing w:after="0"/>
              <w:rPr>
                <w:sz w:val="18"/>
                <w:szCs w:val="18"/>
                <w:color w:val="auto"/>
              </w:rPr>
            </w:pPr>
          </w:p>
        </w:tc>
        <w:tc>
          <w:tcPr>
            <w:tcW w:w="1080" w:type="dxa"/>
            <w:vAlign w:val="bottom"/>
            <w:tcBorders>
              <w:top w:val="single" w:sz="8" w:color="auto"/>
            </w:tcBorders>
            <w:shd w:val="clear" w:color="auto" w:fill="CFF2FA"/>
          </w:tcPr>
          <w:p>
            <w:pPr>
              <w:spacing w:after="0"/>
              <w:rPr>
                <w:sz w:val="18"/>
                <w:szCs w:val="18"/>
                <w:color w:val="auto"/>
              </w:rPr>
            </w:pPr>
          </w:p>
        </w:tc>
        <w:tc>
          <w:tcPr>
            <w:tcW w:w="120" w:type="dxa"/>
            <w:vAlign w:val="bottom"/>
            <w:tcBorders>
              <w:top w:val="single" w:sz="8" w:color="CFF2FA"/>
            </w:tcBorders>
            <w:shd w:val="clear" w:color="auto" w:fill="CFF2FA"/>
          </w:tcPr>
          <w:p>
            <w:pPr>
              <w:spacing w:after="0"/>
              <w:rPr>
                <w:sz w:val="18"/>
                <w:szCs w:val="18"/>
                <w:color w:val="auto"/>
              </w:rPr>
            </w:pPr>
          </w:p>
        </w:tc>
      </w:tr>
      <w:tr>
        <w:trPr>
          <w:trHeight w:val="230"/>
        </w:trPr>
        <w:tc>
          <w:tcPr>
            <w:tcW w:w="59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reclassifications, net of tax</w:t>
            </w:r>
          </w:p>
        </w:tc>
        <w:tc>
          <w:tcPr>
            <w:tcW w:w="120" w:type="dxa"/>
            <w:vAlign w:val="bottom"/>
            <w:shd w:val="clear" w:color="auto" w:fill="CFF2FA"/>
          </w:tcPr>
          <w:p>
            <w:pPr>
              <w:spacing w:after="0"/>
              <w:rPr>
                <w:sz w:val="20"/>
                <w:szCs w:val="20"/>
                <w:color w:val="auto"/>
              </w:rPr>
            </w:pPr>
          </w:p>
        </w:tc>
        <w:tc>
          <w:tcPr>
            <w:tcW w:w="124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(10,670)</w:t>
            </w:r>
          </w:p>
        </w:tc>
        <w:tc>
          <w:tcPr>
            <w:tcW w:w="160" w:type="dxa"/>
            <w:vAlign w:val="bottom"/>
            <w:shd w:val="clear" w:color="auto" w:fill="CFF2FA"/>
          </w:tcPr>
          <w:p>
            <w:pPr>
              <w:spacing w:after="0"/>
              <w:rPr>
                <w:sz w:val="20"/>
                <w:szCs w:val="20"/>
                <w:color w:val="auto"/>
              </w:rPr>
            </w:pPr>
          </w:p>
        </w:tc>
        <w:tc>
          <w:tcPr>
            <w:tcW w:w="10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126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200" w:type="dxa"/>
            <w:vAlign w:val="bottom"/>
            <w:gridSpan w:val="2"/>
            <w:shd w:val="clear" w:color="auto" w:fill="CFF2FA"/>
          </w:tcPr>
          <w:p>
            <w:pPr>
              <w:jc w:val="right"/>
              <w:ind w:right="60"/>
              <w:spacing w:after="0"/>
              <w:rPr>
                <w:sz w:val="20"/>
                <w:szCs w:val="20"/>
                <w:color w:val="auto"/>
              </w:rPr>
            </w:pPr>
            <w:r>
              <w:rPr>
                <w:rFonts w:ascii="Arial" w:cs="Arial" w:eastAsia="Arial" w:hAnsi="Arial"/>
                <w:sz w:val="18"/>
                <w:szCs w:val="18"/>
                <w:color w:val="auto"/>
              </w:rPr>
              <w:t>(10,441)</w:t>
            </w:r>
          </w:p>
        </w:tc>
      </w:tr>
      <w:tr>
        <w:trPr>
          <w:trHeight w:val="215"/>
        </w:trPr>
        <w:tc>
          <w:tcPr>
            <w:tcW w:w="592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920" w:type="dxa"/>
            <w:vAlign w:val="bottom"/>
          </w:tcPr>
          <w:p>
            <w:pPr>
              <w:ind w:left="240"/>
              <w:spacing w:after="0"/>
              <w:rPr>
                <w:sz w:val="20"/>
                <w:szCs w:val="20"/>
                <w:color w:val="auto"/>
              </w:rPr>
            </w:pPr>
            <w:r>
              <w:rPr>
                <w:rFonts w:ascii="Arial" w:cs="Arial" w:eastAsia="Arial" w:hAnsi="Arial"/>
                <w:sz w:val="18"/>
                <w:szCs w:val="18"/>
                <w:color w:val="auto"/>
              </w:rPr>
              <w:t>comprehensive loss, net of tax</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20"/>
                <w:szCs w:val="20"/>
                <w:color w:val="auto"/>
              </w:rPr>
            </w:pPr>
          </w:p>
        </w:tc>
      </w:tr>
      <w:tr>
        <w:trPr>
          <w:trHeight w:val="223"/>
        </w:trPr>
        <w:tc>
          <w:tcPr>
            <w:tcW w:w="592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8"/>
                <w:szCs w:val="18"/>
                <w:color w:val="auto"/>
              </w:rPr>
              <w:t>Other comprehensive (loss) earnings, net of tax</w:t>
            </w: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0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(6,512)</w:t>
            </w:r>
          </w:p>
        </w:tc>
        <w:tc>
          <w:tcPr>
            <w:tcW w:w="200" w:type="dxa"/>
            <w:vAlign w:val="bottom"/>
            <w:tcBorders>
              <w:top w:val="single" w:sz="8" w:color="CFF2FA"/>
            </w:tcBorders>
            <w:shd w:val="clear" w:color="auto" w:fill="CFF2FA"/>
          </w:tcPr>
          <w:p>
            <w:pPr>
              <w:spacing w:after="0"/>
              <w:rPr>
                <w:sz w:val="19"/>
                <w:szCs w:val="19"/>
                <w:color w:val="auto"/>
              </w:rPr>
            </w:pPr>
          </w:p>
        </w:tc>
        <w:tc>
          <w:tcPr>
            <w:tcW w:w="160" w:type="dxa"/>
            <w:vAlign w:val="bottom"/>
            <w:tcBorders>
              <w:top w:val="single" w:sz="8" w:color="auto"/>
              <w:bottom w:val="single" w:sz="8" w:color="auto"/>
            </w:tcBorders>
            <w:shd w:val="clear" w:color="auto" w:fill="CFF2FA"/>
          </w:tcPr>
          <w:p>
            <w:pPr>
              <w:spacing w:after="0"/>
              <w:rPr>
                <w:sz w:val="19"/>
                <w:szCs w:val="19"/>
                <w:color w:val="auto"/>
              </w:rPr>
            </w:pPr>
          </w:p>
        </w:tc>
        <w:tc>
          <w:tcPr>
            <w:tcW w:w="10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1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Borders>
              <w:top w:val="single" w:sz="8" w:color="CFF2FA"/>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spacing w:after="0"/>
              <w:rPr>
                <w:sz w:val="19"/>
                <w:szCs w:val="19"/>
                <w:color w:val="auto"/>
              </w:rPr>
            </w:pPr>
          </w:p>
        </w:tc>
        <w:tc>
          <w:tcPr>
            <w:tcW w:w="10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(6,091)</w:t>
            </w:r>
          </w:p>
        </w:tc>
        <w:tc>
          <w:tcPr>
            <w:tcW w:w="120" w:type="dxa"/>
            <w:vAlign w:val="bottom"/>
            <w:tcBorders>
              <w:top w:val="single" w:sz="8" w:color="CFF2FA"/>
            </w:tcBorders>
            <w:shd w:val="clear" w:color="auto" w:fill="CFF2FA"/>
          </w:tcPr>
          <w:p>
            <w:pPr>
              <w:spacing w:after="0"/>
              <w:rPr>
                <w:sz w:val="19"/>
                <w:szCs w:val="19"/>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(111,663)</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(112,814)</w:t>
            </w:r>
          </w:p>
        </w:tc>
        <w:tc>
          <w:tcPr>
            <w:tcW w:w="12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0"/>
        </w:trPr>
        <w:tc>
          <w:tcPr>
            <w:tcW w:w="59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8"/>
                <w:szCs w:val="18"/>
                <w:color w:val="auto"/>
                <w:w w:val="89"/>
              </w:rPr>
              <w:t>Three Months Ended June 30, 2014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FF2FA"/>
            </w:tcBorders>
          </w:tcPr>
          <w:p>
            <w:pPr>
              <w:spacing w:after="0"/>
              <w:rPr>
                <w:sz w:val="24"/>
                <w:szCs w:val="24"/>
                <w:color w:val="auto"/>
              </w:rPr>
            </w:pP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(44,267)</w:t>
            </w:r>
          </w:p>
        </w:tc>
        <w:tc>
          <w:tcPr>
            <w:tcW w:w="16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4,816</w:t>
            </w:r>
          </w:p>
        </w:tc>
        <w:tc>
          <w:tcPr>
            <w:tcW w:w="22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(3,293)</w:t>
            </w:r>
          </w:p>
        </w:tc>
        <w:tc>
          <w:tcPr>
            <w:tcW w:w="180" w:type="dxa"/>
            <w:vAlign w:val="bottom"/>
            <w:gridSpan w:val="2"/>
            <w:shd w:val="clear" w:color="auto" w:fill="CFF2FA"/>
          </w:tcPr>
          <w:p>
            <w:pPr>
              <w:ind w:left="8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(42,744)</w:t>
            </w:r>
          </w:p>
        </w:tc>
        <w:tc>
          <w:tcPr>
            <w:tcW w:w="120" w:type="dxa"/>
            <w:vAlign w:val="bottom"/>
            <w:shd w:val="clear" w:color="auto" w:fill="CFF2FA"/>
          </w:tcPr>
          <w:p>
            <w:pPr>
              <w:spacing w:after="0"/>
              <w:rPr>
                <w:sz w:val="19"/>
                <w:szCs w:val="19"/>
                <w:color w:val="auto"/>
              </w:rPr>
            </w:pPr>
          </w:p>
        </w:tc>
      </w:tr>
      <w:tr>
        <w:trPr>
          <w:trHeight w:val="209"/>
        </w:trPr>
        <w:tc>
          <w:tcPr>
            <w:tcW w:w="5920" w:type="dxa"/>
            <w:vAlign w:val="bottom"/>
          </w:tcPr>
          <w:p>
            <w:pPr>
              <w:spacing w:after="0"/>
              <w:rPr>
                <w:sz w:val="20"/>
                <w:szCs w:val="20"/>
                <w:color w:val="auto"/>
              </w:rPr>
            </w:pPr>
            <w:r>
              <w:rPr>
                <w:rFonts w:ascii="Arial" w:cs="Arial" w:eastAsia="Arial" w:hAnsi="Arial"/>
                <w:sz w:val="18"/>
                <w:szCs w:val="18"/>
                <w:color w:val="auto"/>
              </w:rPr>
              <w:t>Other comprehensive (loss) earnings before</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920" w:type="dxa"/>
            <w:vAlign w:val="bottom"/>
          </w:tcPr>
          <w:p>
            <w:pPr>
              <w:ind w:left="240"/>
              <w:spacing w:after="0"/>
              <w:rPr>
                <w:sz w:val="20"/>
                <w:szCs w:val="20"/>
                <w:color w:val="auto"/>
              </w:rPr>
            </w:pPr>
            <w:r>
              <w:rPr>
                <w:rFonts w:ascii="Arial" w:cs="Arial" w:eastAsia="Arial" w:hAnsi="Arial"/>
                <w:sz w:val="18"/>
                <w:szCs w:val="18"/>
                <w:color w:val="auto"/>
              </w:rPr>
              <w:t>reclassifications, net of tax</w:t>
            </w: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0"/>
                <w:szCs w:val="20"/>
                <w:color w:val="auto"/>
              </w:rPr>
            </w:pPr>
          </w:p>
        </w:tc>
      </w:tr>
      <w:tr>
        <w:trPr>
          <w:trHeight w:val="215"/>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Amounts reclassified from accumulated other</w:t>
            </w:r>
          </w:p>
        </w:tc>
        <w:tc>
          <w:tcPr>
            <w:tcW w:w="120" w:type="dxa"/>
            <w:vAlign w:val="bottom"/>
            <w:shd w:val="clear" w:color="auto" w:fill="CFF2FA"/>
          </w:tcPr>
          <w:p>
            <w:pPr>
              <w:spacing w:after="0"/>
              <w:rPr>
                <w:sz w:val="18"/>
                <w:szCs w:val="18"/>
                <w:color w:val="auto"/>
              </w:rPr>
            </w:pPr>
          </w:p>
        </w:tc>
        <w:tc>
          <w:tcPr>
            <w:tcW w:w="104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100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12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0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r>
      <w:tr>
        <w:trPr>
          <w:trHeight w:val="230"/>
        </w:trPr>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comprehensive earnings, net of tax</w:t>
            </w:r>
          </w:p>
        </w:tc>
        <w:tc>
          <w:tcPr>
            <w:tcW w:w="120" w:type="dxa"/>
            <w:vAlign w:val="bottom"/>
            <w:shd w:val="clear" w:color="auto" w:fill="CFF2FA"/>
          </w:tcPr>
          <w:p>
            <w:pPr>
              <w:spacing w:after="0"/>
              <w:rPr>
                <w:sz w:val="20"/>
                <w:szCs w:val="20"/>
                <w:color w:val="auto"/>
              </w:rPr>
            </w:pPr>
          </w:p>
        </w:tc>
        <w:tc>
          <w:tcPr>
            <w:tcW w:w="10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2FA"/>
          </w:tcPr>
          <w:p>
            <w:pPr>
              <w:spacing w:after="0"/>
              <w:rPr>
                <w:sz w:val="20"/>
                <w:szCs w:val="20"/>
                <w:color w:val="auto"/>
              </w:rPr>
            </w:pPr>
          </w:p>
        </w:tc>
        <w:tc>
          <w:tcPr>
            <w:tcW w:w="160" w:type="dxa"/>
            <w:vAlign w:val="bottom"/>
            <w:shd w:val="clear" w:color="auto" w:fill="CFF2FA"/>
          </w:tcPr>
          <w:p>
            <w:pPr>
              <w:spacing w:after="0"/>
              <w:rPr>
                <w:sz w:val="20"/>
                <w:szCs w:val="20"/>
                <w:color w:val="auto"/>
              </w:rPr>
            </w:pPr>
          </w:p>
        </w:tc>
        <w:tc>
          <w:tcPr>
            <w:tcW w:w="1220" w:type="dxa"/>
            <w:vAlign w:val="bottom"/>
            <w:gridSpan w:val="2"/>
            <w:shd w:val="clear" w:color="auto" w:fill="CFF2FA"/>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2FA"/>
          </w:tcPr>
          <w:p>
            <w:pPr>
              <w:spacing w:after="0"/>
              <w:rPr>
                <w:sz w:val="20"/>
                <w:szCs w:val="20"/>
                <w:color w:val="auto"/>
              </w:rPr>
            </w:pPr>
          </w:p>
        </w:tc>
        <w:tc>
          <w:tcPr>
            <w:tcW w:w="11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FF2FA"/>
          </w:tcPr>
          <w:p>
            <w:pPr>
              <w:spacing w:after="0"/>
              <w:rPr>
                <w:sz w:val="20"/>
                <w:szCs w:val="20"/>
                <w:color w:val="auto"/>
              </w:rPr>
            </w:pPr>
          </w:p>
        </w:tc>
        <w:tc>
          <w:tcPr>
            <w:tcW w:w="8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FF2FA"/>
          </w:tcPr>
          <w:p>
            <w:pPr>
              <w:spacing w:after="0"/>
              <w:rPr>
                <w:sz w:val="20"/>
                <w:szCs w:val="20"/>
                <w:color w:val="auto"/>
              </w:rPr>
            </w:pPr>
          </w:p>
        </w:tc>
      </w:tr>
      <w:tr>
        <w:trPr>
          <w:trHeight w:val="223"/>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(loss) earnings, net of tax</w:t>
            </w: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Borders>
              <w:bottom w:val="single" w:sz="8" w:color="CFF2FA"/>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20" w:type="dxa"/>
            <w:vAlign w:val="bottom"/>
            <w:tcBorders>
              <w:bottom w:val="single" w:sz="8" w:color="CFF2FA"/>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FF2FA"/>
            </w:tcBorders>
          </w:tcPr>
          <w:p>
            <w:pPr>
              <w:spacing w:after="0"/>
              <w:rPr>
                <w:sz w:val="19"/>
                <w:szCs w:val="19"/>
                <w:color w:val="auto"/>
              </w:rPr>
            </w:pPr>
          </w:p>
        </w:tc>
      </w:tr>
      <w:tr>
        <w:trPr>
          <w:trHeight w:val="223"/>
        </w:trPr>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(44,685)</w:t>
            </w:r>
          </w:p>
        </w:tc>
        <w:tc>
          <w:tcPr>
            <w:tcW w:w="200" w:type="dxa"/>
            <w:vAlign w:val="bottom"/>
            <w:tcBorders>
              <w:bottom w:val="single" w:sz="8" w:color="CFF2FA"/>
            </w:tcBorders>
            <w:shd w:val="clear" w:color="auto" w:fill="CFF2FA"/>
          </w:tcPr>
          <w:p>
            <w:pPr>
              <w:spacing w:after="0"/>
              <w:rPr>
                <w:sz w:val="19"/>
                <w:szCs w:val="19"/>
                <w:color w:val="auto"/>
              </w:rPr>
            </w:pPr>
          </w:p>
        </w:tc>
        <w:tc>
          <w:tcPr>
            <w:tcW w:w="1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5,658</w:t>
            </w:r>
          </w:p>
        </w:tc>
        <w:tc>
          <w:tcPr>
            <w:tcW w:w="220" w:type="dxa"/>
            <w:vAlign w:val="bottom"/>
            <w:tcBorders>
              <w:bottom w:val="single" w:sz="8" w:color="CFF2FA"/>
            </w:tcBorders>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(3,114)</w:t>
            </w:r>
          </w:p>
        </w:tc>
        <w:tc>
          <w:tcPr>
            <w:tcW w:w="14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10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(42,141)</w:t>
            </w:r>
          </w:p>
        </w:tc>
        <w:tc>
          <w:tcPr>
            <w:tcW w:w="120" w:type="dxa"/>
            <w:vAlign w:val="bottom"/>
            <w:tcBorders>
              <w:bottom w:val="single" w:sz="8" w:color="CFF2FA"/>
            </w:tcBorders>
            <w:shd w:val="clear" w:color="auto" w:fill="CFF2FA"/>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215"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 (continued)</w:t>
      </w:r>
    </w:p>
    <w:p>
      <w:pPr>
        <w:spacing w:after="0" w:line="221"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other comprehensive loss before reclassifications for pension and postretirement benefit plans is net of tax benefit of $6,793,000 and $276,000 for the three months ended June 30, 2015 and 2014, respectively.</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20"/>
                <w:szCs w:val="20"/>
                <w:i w:val="1"/>
                <w:iCs w:val="1"/>
                <w:color w:val="auto"/>
                <w:w w:val="91"/>
              </w:rPr>
              <w:t>(Dollars in Thousands)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3"/>
        </w:trPr>
        <w:tc>
          <w:tcPr>
            <w:tcW w:w="5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20"/>
                <w:szCs w:val="20"/>
                <w:color w:val="auto"/>
                <w:w w:val="89"/>
              </w:rPr>
              <w:t>Unamortized</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20"/>
                <w:szCs w:val="20"/>
                <w:color w:val="auto"/>
                <w:w w:val="89"/>
              </w:rPr>
              <w:t>Value of</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20"/>
                <w:szCs w:val="20"/>
                <w:color w:val="auto"/>
                <w:w w:val="88"/>
              </w:rPr>
              <w:t>Terminated</w:t>
            </w:r>
          </w:p>
        </w:tc>
        <w:tc>
          <w:tcPr>
            <w:tcW w:w="1360" w:type="dxa"/>
            <w:vAlign w:val="bottom"/>
            <w:gridSpan w:val="3"/>
          </w:tcPr>
          <w:p>
            <w:pPr>
              <w:jc w:val="center"/>
              <w:ind w:right="100"/>
              <w:spacing w:after="0"/>
              <w:rPr>
                <w:sz w:val="20"/>
                <w:szCs w:val="20"/>
                <w:color w:val="auto"/>
              </w:rPr>
            </w:pPr>
            <w:r>
              <w:rPr>
                <w:rFonts w:ascii="Arial" w:cs="Arial" w:eastAsia="Arial" w:hAnsi="Arial"/>
                <w:sz w:val="20"/>
                <w:szCs w:val="20"/>
                <w:color w:val="auto"/>
                <w:w w:val="91"/>
              </w:rPr>
              <w:t>Accumulated</w:t>
            </w:r>
          </w:p>
        </w:tc>
      </w:tr>
      <w:tr>
        <w:trPr>
          <w:trHeight w:val="243"/>
        </w:trPr>
        <w:tc>
          <w:tcPr>
            <w:tcW w:w="5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20"/>
                <w:szCs w:val="20"/>
                <w:color w:val="auto"/>
                <w:w w:val="84"/>
              </w:rPr>
              <w:t>Pension and</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4"/>
          </w:tcPr>
          <w:p>
            <w:pPr>
              <w:ind w:left="80"/>
              <w:spacing w:after="0"/>
              <w:rPr>
                <w:sz w:val="20"/>
                <w:szCs w:val="20"/>
                <w:color w:val="auto"/>
              </w:rPr>
            </w:pPr>
            <w:r>
              <w:rPr>
                <w:rFonts w:ascii="Arial" w:cs="Arial" w:eastAsia="Arial" w:hAnsi="Arial"/>
                <w:sz w:val="20"/>
                <w:szCs w:val="20"/>
                <w:color w:val="auto"/>
              </w:rPr>
              <w:t>Forward Starting</w:t>
            </w:r>
          </w:p>
        </w:tc>
        <w:tc>
          <w:tcPr>
            <w:tcW w:w="260" w:type="dxa"/>
            <w:vAlign w:val="bottom"/>
          </w:tcPr>
          <w:p>
            <w:pPr>
              <w:spacing w:after="0"/>
              <w:rPr>
                <w:sz w:val="21"/>
                <w:szCs w:val="21"/>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20"/>
                <w:szCs w:val="20"/>
                <w:color w:val="auto"/>
                <w:w w:val="87"/>
              </w:rPr>
              <w:t>Other</w:t>
            </w:r>
          </w:p>
        </w:tc>
      </w:tr>
      <w:tr>
        <w:trPr>
          <w:trHeight w:val="243"/>
        </w:trPr>
        <w:tc>
          <w:tcPr>
            <w:tcW w:w="5740" w:type="dxa"/>
            <w:vAlign w:val="bottom"/>
          </w:tcPr>
          <w:p>
            <w:pPr>
              <w:spacing w:after="0"/>
              <w:rPr>
                <w:sz w:val="21"/>
                <w:szCs w:val="21"/>
                <w:color w:val="auto"/>
              </w:rPr>
            </w:pPr>
          </w:p>
        </w:tc>
        <w:tc>
          <w:tcPr>
            <w:tcW w:w="1320" w:type="dxa"/>
            <w:vAlign w:val="bottom"/>
            <w:gridSpan w:val="3"/>
          </w:tcPr>
          <w:p>
            <w:pPr>
              <w:ind w:left="20"/>
              <w:spacing w:after="0"/>
              <w:rPr>
                <w:sz w:val="20"/>
                <w:szCs w:val="20"/>
                <w:color w:val="auto"/>
              </w:rPr>
            </w:pPr>
            <w:r>
              <w:rPr>
                <w:rFonts w:ascii="Arial" w:cs="Arial" w:eastAsia="Arial" w:hAnsi="Arial"/>
                <w:sz w:val="20"/>
                <w:szCs w:val="20"/>
                <w:color w:val="auto"/>
                <w:w w:val="98"/>
              </w:rPr>
              <w:t>Postretirement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20"/>
                <w:szCs w:val="20"/>
                <w:color w:val="auto"/>
              </w:rPr>
              <w:t>Foreign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20"/>
                <w:szCs w:val="20"/>
                <w:color w:val="auto"/>
                <w:w w:val="89"/>
              </w:rPr>
              <w:t>Interest Rate</w:t>
            </w:r>
          </w:p>
        </w:tc>
        <w:tc>
          <w:tcPr>
            <w:tcW w:w="1360" w:type="dxa"/>
            <w:vAlign w:val="bottom"/>
            <w:gridSpan w:val="3"/>
          </w:tcPr>
          <w:p>
            <w:pPr>
              <w:spacing w:after="0"/>
              <w:rPr>
                <w:sz w:val="20"/>
                <w:szCs w:val="20"/>
                <w:color w:val="auto"/>
              </w:rPr>
            </w:pPr>
            <w:r>
              <w:rPr>
                <w:rFonts w:ascii="Arial" w:cs="Arial" w:eastAsia="Arial" w:hAnsi="Arial"/>
                <w:sz w:val="20"/>
                <w:szCs w:val="20"/>
                <w:color w:val="auto"/>
                <w:w w:val="95"/>
              </w:rPr>
              <w:t>Comprehensive</w:t>
            </w:r>
          </w:p>
        </w:tc>
      </w:tr>
      <w:tr>
        <w:trPr>
          <w:trHeight w:val="246"/>
        </w:trPr>
        <w:tc>
          <w:tcPr>
            <w:tcW w:w="5740" w:type="dxa"/>
            <w:vAlign w:val="bottom"/>
          </w:tcPr>
          <w:p>
            <w:pPr>
              <w:spacing w:after="0"/>
              <w:rPr>
                <w:sz w:val="21"/>
                <w:szCs w:val="21"/>
                <w:color w:val="auto"/>
              </w:rPr>
            </w:pPr>
          </w:p>
        </w:tc>
        <w:tc>
          <w:tcPr>
            <w:tcW w:w="1320" w:type="dxa"/>
            <w:vAlign w:val="bottom"/>
            <w:gridSpan w:val="3"/>
          </w:tcPr>
          <w:p>
            <w:pPr>
              <w:ind w:left="60"/>
              <w:spacing w:after="0"/>
              <w:rPr>
                <w:sz w:val="20"/>
                <w:szCs w:val="20"/>
                <w:color w:val="auto"/>
              </w:rPr>
            </w:pPr>
            <w:r>
              <w:rPr>
                <w:rFonts w:ascii="Arial" w:cs="Arial" w:eastAsia="Arial" w:hAnsi="Arial"/>
                <w:sz w:val="20"/>
                <w:szCs w:val="20"/>
                <w:color w:val="auto"/>
              </w:rPr>
              <w:t>Benefit Plans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20"/>
                <w:szCs w:val="20"/>
                <w:color w:val="auto"/>
                <w:w w:val="96"/>
              </w:rPr>
              <w:t>Currency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20"/>
                <w:szCs w:val="20"/>
                <w:color w:val="auto"/>
                <w:w w:val="87"/>
              </w:rPr>
              <w:t>Swap</w:t>
            </w:r>
          </w:p>
        </w:tc>
        <w:tc>
          <w:tcPr>
            <w:tcW w:w="260" w:type="dxa"/>
            <w:vAlign w:val="bottom"/>
          </w:tcPr>
          <w:p>
            <w:pPr>
              <w:spacing w:after="0"/>
              <w:rPr>
                <w:sz w:val="21"/>
                <w:szCs w:val="21"/>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20"/>
                <w:szCs w:val="20"/>
                <w:color w:val="auto"/>
                <w:w w:val="89"/>
              </w:rPr>
              <w:t>Loss</w:t>
            </w:r>
          </w:p>
        </w:tc>
      </w:tr>
      <w:tr>
        <w:trPr>
          <w:trHeight w:val="237"/>
        </w:trPr>
        <w:tc>
          <w:tcPr>
            <w:tcW w:w="574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920" w:type="dxa"/>
            <w:vAlign w:val="bottom"/>
            <w:tcBorders>
              <w:top w:val="single" w:sz="8" w:color="auto"/>
              <w:bottom w:val="single" w:sz="8" w:color="auto"/>
            </w:tcBorders>
            <w:gridSpan w:val="7"/>
          </w:tcPr>
          <w:p>
            <w:pPr>
              <w:jc w:val="center"/>
              <w:ind w:right="160"/>
              <w:spacing w:after="0"/>
              <w:rPr>
                <w:sz w:val="20"/>
                <w:szCs w:val="20"/>
                <w:color w:val="auto"/>
              </w:rPr>
            </w:pPr>
            <w:r>
              <w:rPr>
                <w:rFonts w:ascii="Arial" w:cs="Arial" w:eastAsia="Arial" w:hAnsi="Arial"/>
                <w:sz w:val="20"/>
                <w:szCs w:val="20"/>
                <w:color w:val="auto"/>
                <w:w w:val="89"/>
              </w:rPr>
              <w:t>Six Months Ended June 30, 2015</w:t>
            </w: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FF2FA"/>
            </w:tcBorders>
          </w:tcPr>
          <w:p>
            <w:pPr>
              <w:spacing w:after="0"/>
              <w:rPr>
                <w:sz w:val="20"/>
                <w:szCs w:val="20"/>
                <w:color w:val="auto"/>
              </w:rPr>
            </w:pPr>
          </w:p>
        </w:tc>
      </w:tr>
      <w:tr>
        <w:trPr>
          <w:trHeight w:val="237"/>
        </w:trPr>
        <w:tc>
          <w:tcPr>
            <w:tcW w:w="574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00" w:type="dxa"/>
            <w:vAlign w:val="bottom"/>
            <w:shd w:val="clear" w:color="auto" w:fill="CFF0FC"/>
          </w:tcPr>
          <w:p>
            <w:pPr>
              <w:spacing w:after="0"/>
              <w:rPr>
                <w:sz w:val="20"/>
                <w:szCs w:val="20"/>
                <w:color w:val="auto"/>
              </w:rPr>
            </w:pPr>
            <w:r>
              <w:rPr>
                <w:rFonts w:ascii="Arial" w:cs="Arial" w:eastAsia="Arial" w:hAnsi="Arial"/>
                <w:sz w:val="20"/>
                <w:szCs w:val="20"/>
                <w:color w:val="auto"/>
                <w:w w:val="71"/>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(106,688)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3,278</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20"/>
                <w:szCs w:val="20"/>
                <w:color w:val="auto"/>
                <w:w w:val="89"/>
              </w:rPr>
              <w:t>$</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(2,749)</w:t>
            </w:r>
          </w:p>
        </w:tc>
        <w:tc>
          <w:tcPr>
            <w:tcW w:w="260" w:type="dxa"/>
            <w:vAlign w:val="bottom"/>
            <w:shd w:val="clear" w:color="auto" w:fill="CFF2FA"/>
          </w:tcPr>
          <w:p>
            <w:pPr>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(106,159)</w:t>
            </w:r>
          </w:p>
        </w:tc>
        <w:tc>
          <w:tcPr>
            <w:tcW w:w="100" w:type="dxa"/>
            <w:vAlign w:val="bottom"/>
            <w:shd w:val="clear" w:color="auto" w:fill="CFF2FA"/>
          </w:tcPr>
          <w:p>
            <w:pPr>
              <w:spacing w:after="0"/>
              <w:rPr>
                <w:sz w:val="20"/>
                <w:szCs w:val="20"/>
                <w:color w:val="auto"/>
              </w:rPr>
            </w:pPr>
          </w:p>
        </w:tc>
      </w:tr>
      <w:tr>
        <w:trPr>
          <w:trHeight w:val="220"/>
        </w:trPr>
        <w:tc>
          <w:tcPr>
            <w:tcW w:w="5740" w:type="dxa"/>
            <w:vAlign w:val="bottom"/>
          </w:tcPr>
          <w:p>
            <w:pPr>
              <w:spacing w:after="0" w:line="220" w:lineRule="exact"/>
              <w:rPr>
                <w:sz w:val="20"/>
                <w:szCs w:val="20"/>
                <w:color w:val="auto"/>
              </w:rPr>
            </w:pPr>
            <w:r>
              <w:rPr>
                <w:rFonts w:ascii="Arial" w:cs="Arial" w:eastAsia="Arial" w:hAnsi="Arial"/>
                <w:sz w:val="20"/>
                <w:szCs w:val="20"/>
                <w:color w:val="auto"/>
              </w:rPr>
              <w:t>Other comprehensive loss before</w:t>
            </w: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5740" w:type="dxa"/>
            <w:vAlign w:val="bottom"/>
          </w:tcPr>
          <w:p>
            <w:pPr>
              <w:ind w:left="260"/>
              <w:spacing w:after="0"/>
              <w:rPr>
                <w:sz w:val="20"/>
                <w:szCs w:val="20"/>
                <w:color w:val="auto"/>
              </w:rPr>
            </w:pPr>
            <w:r>
              <w:rPr>
                <w:rFonts w:ascii="Arial" w:cs="Arial" w:eastAsia="Arial" w:hAnsi="Arial"/>
                <w:sz w:val="20"/>
                <w:szCs w:val="20"/>
                <w:color w:val="auto"/>
              </w:rPr>
              <w:t>reclassifications, net of tax</w:t>
            </w: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20"/>
                <w:szCs w:val="20"/>
                <w:color w:val="auto"/>
              </w:rPr>
              <w:t>(10,845)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20"/>
                <w:szCs w:val="20"/>
                <w:color w:val="auto"/>
              </w:rPr>
              <w:t>(2,059)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20"/>
                <w:szCs w:val="20"/>
                <w:color w:val="auto"/>
              </w:rPr>
              <w:t>(12,904)</w:t>
            </w:r>
          </w:p>
        </w:tc>
      </w:tr>
      <w:tr>
        <w:trPr>
          <w:trHeight w:val="226"/>
        </w:trPr>
        <w:tc>
          <w:tcPr>
            <w:tcW w:w="57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Amounts reclassified from accumulated</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0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r>
      <w:tr>
        <w:trPr>
          <w:trHeight w:val="246"/>
        </w:trPr>
        <w:tc>
          <w:tcPr>
            <w:tcW w:w="5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other comprehensive (loss) earnings, net of tax</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5,870</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379</w:t>
            </w:r>
          </w:p>
        </w:tc>
        <w:tc>
          <w:tcPr>
            <w:tcW w:w="20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2FA"/>
          </w:tcPr>
          <w:p>
            <w:pPr>
              <w:spacing w:after="0"/>
              <w:rPr>
                <w:sz w:val="21"/>
                <w:szCs w:val="21"/>
                <w:color w:val="auto"/>
              </w:rPr>
            </w:pPr>
          </w:p>
        </w:tc>
        <w:tc>
          <w:tcPr>
            <w:tcW w:w="10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6,249</w:t>
            </w:r>
          </w:p>
        </w:tc>
        <w:tc>
          <w:tcPr>
            <w:tcW w:w="100" w:type="dxa"/>
            <w:vAlign w:val="bottom"/>
            <w:shd w:val="clear" w:color="auto" w:fill="CFF2FA"/>
          </w:tcPr>
          <w:p>
            <w:pPr>
              <w:spacing w:after="0"/>
              <w:rPr>
                <w:sz w:val="21"/>
                <w:szCs w:val="21"/>
                <w:color w:val="auto"/>
              </w:rPr>
            </w:pPr>
          </w:p>
        </w:tc>
      </w:tr>
      <w:tr>
        <w:trPr>
          <w:trHeight w:val="237"/>
        </w:trPr>
        <w:tc>
          <w:tcPr>
            <w:tcW w:w="57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(loss) earnings, net of tax</w:t>
            </w: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(4,975)</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(2,059)</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379</w:t>
            </w:r>
          </w:p>
        </w:tc>
        <w:tc>
          <w:tcPr>
            <w:tcW w:w="20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(6,655)</w:t>
            </w:r>
          </w:p>
        </w:tc>
        <w:tc>
          <w:tcPr>
            <w:tcW w:w="100" w:type="dxa"/>
            <w:vAlign w:val="bottom"/>
            <w:tcBorders>
              <w:bottom w:val="single" w:sz="8" w:color="CFF2FA"/>
            </w:tcBorders>
          </w:tcPr>
          <w:p>
            <w:pPr>
              <w:spacing w:after="0"/>
              <w:rPr>
                <w:sz w:val="20"/>
                <w:szCs w:val="20"/>
                <w:color w:val="auto"/>
              </w:rPr>
            </w:pPr>
          </w:p>
        </w:tc>
      </w:tr>
      <w:tr>
        <w:trPr>
          <w:trHeight w:val="237"/>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(111,663)</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1,219</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(2,370)</w:t>
            </w:r>
          </w:p>
        </w:tc>
        <w:tc>
          <w:tcPr>
            <w:tcW w:w="200" w:type="dxa"/>
            <w:vAlign w:val="bottom"/>
            <w:tcBorders>
              <w:bottom w:val="single" w:sz="8" w:color="CFF0FC"/>
              <w:right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(112,814)</w:t>
            </w:r>
          </w:p>
        </w:tc>
        <w:tc>
          <w:tcPr>
            <w:tcW w:w="100" w:type="dxa"/>
            <w:vAlign w:val="bottom"/>
            <w:tcBorders>
              <w:bottom w:val="single" w:sz="8" w:color="CFF2FA"/>
            </w:tcBorders>
            <w:shd w:val="clear" w:color="auto" w:fill="CFF2FA"/>
          </w:tcPr>
          <w:p>
            <w:pPr>
              <w:spacing w:after="0"/>
              <w:rPr>
                <w:sz w:val="20"/>
                <w:szCs w:val="20"/>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574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20"/>
                <w:szCs w:val="20"/>
                <w:color w:val="auto"/>
                <w:w w:val="89"/>
              </w:rPr>
              <w:t>Six Months Ended June 30, 2014</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7"/>
        </w:trPr>
        <w:tc>
          <w:tcPr>
            <w:tcW w:w="574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00" w:type="dxa"/>
            <w:vAlign w:val="bottom"/>
            <w:shd w:val="clear" w:color="auto" w:fill="CFF0FC"/>
          </w:tcPr>
          <w:p>
            <w:pPr>
              <w:spacing w:after="0"/>
              <w:rPr>
                <w:sz w:val="20"/>
                <w:szCs w:val="20"/>
                <w:color w:val="auto"/>
              </w:rPr>
            </w:pPr>
            <w:r>
              <w:rPr>
                <w:rFonts w:ascii="Arial" w:cs="Arial" w:eastAsia="Arial" w:hAnsi="Arial"/>
                <w:sz w:val="20"/>
                <w:szCs w:val="20"/>
                <w:color w:val="auto"/>
                <w:w w:val="71"/>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(44,549)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3,902</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20"/>
                <w:szCs w:val="20"/>
                <w:color w:val="auto"/>
                <w:w w:val="89"/>
              </w:rPr>
              <w:t>$</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(3,467)</w:t>
            </w:r>
          </w:p>
        </w:tc>
        <w:tc>
          <w:tcPr>
            <w:tcW w:w="260" w:type="dxa"/>
            <w:vAlign w:val="bottom"/>
            <w:shd w:val="clear" w:color="auto" w:fill="CFF0FC"/>
          </w:tcPr>
          <w:p>
            <w:pPr>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(44,114)</w:t>
            </w:r>
          </w:p>
        </w:tc>
        <w:tc>
          <w:tcPr>
            <w:tcW w:w="100" w:type="dxa"/>
            <w:vAlign w:val="bottom"/>
            <w:shd w:val="clear" w:color="auto" w:fill="CFF0FC"/>
          </w:tcPr>
          <w:p>
            <w:pPr>
              <w:spacing w:after="0"/>
              <w:rPr>
                <w:sz w:val="20"/>
                <w:szCs w:val="20"/>
                <w:color w:val="auto"/>
              </w:rPr>
            </w:pPr>
          </w:p>
        </w:tc>
      </w:tr>
      <w:tr>
        <w:trPr>
          <w:trHeight w:val="220"/>
        </w:trPr>
        <w:tc>
          <w:tcPr>
            <w:tcW w:w="5740" w:type="dxa"/>
            <w:vAlign w:val="bottom"/>
          </w:tcPr>
          <w:p>
            <w:pPr>
              <w:spacing w:after="0" w:line="220" w:lineRule="exact"/>
              <w:rPr>
                <w:sz w:val="20"/>
                <w:szCs w:val="20"/>
                <w:color w:val="auto"/>
              </w:rPr>
            </w:pPr>
            <w:r>
              <w:rPr>
                <w:rFonts w:ascii="Arial" w:cs="Arial" w:eastAsia="Arial" w:hAnsi="Arial"/>
                <w:sz w:val="20"/>
                <w:szCs w:val="20"/>
                <w:color w:val="auto"/>
              </w:rPr>
              <w:t>Other comprehensive (loss) earnings before</w:t>
            </w: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5740" w:type="dxa"/>
            <w:vAlign w:val="bottom"/>
          </w:tcPr>
          <w:p>
            <w:pPr>
              <w:ind w:left="260"/>
              <w:spacing w:after="0"/>
              <w:rPr>
                <w:sz w:val="20"/>
                <w:szCs w:val="20"/>
                <w:color w:val="auto"/>
              </w:rPr>
            </w:pPr>
            <w:r>
              <w:rPr>
                <w:rFonts w:ascii="Arial" w:cs="Arial" w:eastAsia="Arial" w:hAnsi="Arial"/>
                <w:sz w:val="20"/>
                <w:szCs w:val="20"/>
                <w:color w:val="auto"/>
              </w:rPr>
              <w:t>reclassifications, net of tax</w:t>
            </w: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20"/>
                <w:szCs w:val="20"/>
                <w:color w:val="auto"/>
              </w:rPr>
              <w:t>(430)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1,756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1,326</w:t>
            </w:r>
          </w:p>
        </w:tc>
        <w:tc>
          <w:tcPr>
            <w:tcW w:w="100" w:type="dxa"/>
            <w:vAlign w:val="bottom"/>
          </w:tcPr>
          <w:p>
            <w:pPr>
              <w:spacing w:after="0"/>
              <w:rPr>
                <w:sz w:val="21"/>
                <w:szCs w:val="21"/>
                <w:color w:val="auto"/>
              </w:rPr>
            </w:pPr>
          </w:p>
        </w:tc>
      </w:tr>
      <w:tr>
        <w:trPr>
          <w:trHeight w:val="226"/>
        </w:trPr>
        <w:tc>
          <w:tcPr>
            <w:tcW w:w="57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Amounts reclassified from accumulated</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other comprehensive earnings, net of tax</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294</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353</w:t>
            </w:r>
          </w:p>
        </w:tc>
        <w:tc>
          <w:tcPr>
            <w:tcW w:w="20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647</w:t>
            </w:r>
          </w:p>
        </w:tc>
        <w:tc>
          <w:tcPr>
            <w:tcW w:w="100" w:type="dxa"/>
            <w:vAlign w:val="bottom"/>
            <w:shd w:val="clear" w:color="auto" w:fill="CFF0FC"/>
          </w:tcPr>
          <w:p>
            <w:pPr>
              <w:spacing w:after="0"/>
              <w:rPr>
                <w:sz w:val="21"/>
                <w:szCs w:val="21"/>
                <w:color w:val="auto"/>
              </w:rPr>
            </w:pPr>
          </w:p>
        </w:tc>
      </w:tr>
      <w:tr>
        <w:trPr>
          <w:trHeight w:val="237"/>
        </w:trPr>
        <w:tc>
          <w:tcPr>
            <w:tcW w:w="57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(loss) earnings, net of tax</w:t>
            </w: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(136)</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1,756</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353</w:t>
            </w:r>
          </w:p>
        </w:tc>
        <w:tc>
          <w:tcPr>
            <w:tcW w:w="20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1,973</w:t>
            </w:r>
          </w:p>
        </w:tc>
        <w:tc>
          <w:tcPr>
            <w:tcW w:w="100" w:type="dxa"/>
            <w:vAlign w:val="bottom"/>
            <w:tcBorders>
              <w:bottom w:val="single" w:sz="8" w:color="CFF0FC"/>
            </w:tcBorders>
          </w:tcPr>
          <w:p>
            <w:pPr>
              <w:spacing w:after="0"/>
              <w:rPr>
                <w:sz w:val="20"/>
                <w:szCs w:val="20"/>
                <w:color w:val="auto"/>
              </w:rPr>
            </w:pPr>
          </w:p>
        </w:tc>
      </w:tr>
      <w:tr>
        <w:trPr>
          <w:trHeight w:val="237"/>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(44,685)</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5,658</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(3,114)</w:t>
            </w:r>
          </w:p>
        </w:tc>
        <w:tc>
          <w:tcPr>
            <w:tcW w:w="200" w:type="dxa"/>
            <w:vAlign w:val="bottom"/>
            <w:tcBorders>
              <w:bottom w:val="single" w:sz="8" w:color="CFF0FC"/>
              <w:right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(42,141)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other comprehensive loss before reclassifications for pension and postretirement benefit plans is net of tax benefit of $6,904,000 and $280,000 for the six months ended June 30, 2015 and 2014,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 (continued)</w:t>
      </w:r>
    </w:p>
    <w:p>
      <w:pPr>
        <w:spacing w:after="0" w:line="11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Changes in net noncurrent deferred tax assets recorded in accumulated other comprehensive loss are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6"/>
          </w:tcPr>
          <w:p>
            <w:pPr>
              <w:jc w:val="center"/>
              <w:spacing w:after="0"/>
              <w:rPr>
                <w:sz w:val="20"/>
                <w:szCs w:val="20"/>
                <w:color w:val="auto"/>
              </w:rPr>
            </w:pPr>
            <w:r>
              <w:rPr>
                <w:rFonts w:ascii="Arial" w:cs="Arial" w:eastAsia="Arial" w:hAnsi="Arial"/>
                <w:sz w:val="20"/>
                <w:szCs w:val="20"/>
                <w:i w:val="1"/>
                <w:iCs w:val="1"/>
                <w:color w:val="auto"/>
                <w:w w:val="91"/>
              </w:rPr>
              <w:t>(Dollars in Thousands)</w:t>
            </w:r>
          </w:p>
        </w:tc>
        <w:tc>
          <w:tcPr>
            <w:tcW w:w="6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0"/>
        </w:trPr>
        <w:tc>
          <w:tcPr>
            <w:tcW w:w="6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3"/>
          </w:tcPr>
          <w:p>
            <w:pPr>
              <w:jc w:val="center"/>
              <w:ind w:right="380"/>
              <w:spacing w:after="0" w:line="220" w:lineRule="exact"/>
              <w:rPr>
                <w:sz w:val="20"/>
                <w:szCs w:val="20"/>
                <w:color w:val="auto"/>
              </w:rPr>
            </w:pPr>
            <w:r>
              <w:rPr>
                <w:rFonts w:ascii="Arial" w:cs="Arial" w:eastAsia="Arial" w:hAnsi="Arial"/>
                <w:sz w:val="20"/>
                <w:szCs w:val="20"/>
                <w:color w:val="auto"/>
                <w:w w:val="91"/>
              </w:rPr>
              <w:t>Unamortized</w:t>
            </w: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20"/>
                <w:szCs w:val="20"/>
                <w:color w:val="auto"/>
                <w:w w:val="89"/>
              </w:rPr>
              <w:t>Value of</w:t>
            </w: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20"/>
                <w:szCs w:val="20"/>
                <w:color w:val="auto"/>
                <w:w w:val="88"/>
              </w:rPr>
              <w:t>Terminated</w:t>
            </w: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21"/>
              <w:spacing w:after="0"/>
              <w:rPr>
                <w:sz w:val="20"/>
                <w:szCs w:val="20"/>
                <w:color w:val="auto"/>
              </w:rPr>
            </w:pPr>
            <w:r>
              <w:rPr>
                <w:rFonts w:ascii="Arial" w:cs="Arial" w:eastAsia="Arial" w:hAnsi="Arial"/>
                <w:sz w:val="20"/>
                <w:szCs w:val="20"/>
                <w:color w:val="auto"/>
                <w:w w:val="86"/>
              </w:rPr>
              <w:t>Pension and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4"/>
          </w:tcPr>
          <w:p>
            <w:pPr>
              <w:jc w:val="center"/>
              <w:ind w:right="240"/>
              <w:spacing w:after="0"/>
              <w:rPr>
                <w:sz w:val="20"/>
                <w:szCs w:val="20"/>
                <w:color w:val="auto"/>
              </w:rPr>
            </w:pPr>
            <w:r>
              <w:rPr>
                <w:rFonts w:ascii="Arial" w:cs="Arial" w:eastAsia="Arial" w:hAnsi="Arial"/>
                <w:sz w:val="20"/>
                <w:szCs w:val="20"/>
                <w:color w:val="auto"/>
                <w:w w:val="91"/>
              </w:rPr>
              <w:t>Forward Starting</w:t>
            </w:r>
          </w:p>
        </w:tc>
        <w:tc>
          <w:tcPr>
            <w:tcW w:w="1460" w:type="dxa"/>
            <w:vAlign w:val="bottom"/>
            <w:gridSpan w:val="3"/>
          </w:tcPr>
          <w:p>
            <w:pPr>
              <w:jc w:val="center"/>
              <w:ind w:right="140"/>
              <w:spacing w:after="0"/>
              <w:rPr>
                <w:sz w:val="20"/>
                <w:szCs w:val="20"/>
                <w:color w:val="auto"/>
              </w:rPr>
            </w:pPr>
            <w:r>
              <w:rPr>
                <w:rFonts w:ascii="Arial" w:cs="Arial" w:eastAsia="Arial" w:hAnsi="Arial"/>
                <w:sz w:val="20"/>
                <w:szCs w:val="20"/>
                <w:color w:val="auto"/>
                <w:w w:val="91"/>
              </w:rPr>
              <w:t>Net Noncurrent</w:t>
            </w:r>
          </w:p>
        </w:tc>
      </w:tr>
      <w:tr>
        <w:trPr>
          <w:trHeight w:val="230"/>
        </w:trPr>
        <w:tc>
          <w:tcPr>
            <w:tcW w:w="6780" w:type="dxa"/>
            <w:vAlign w:val="bottom"/>
          </w:tcPr>
          <w:p>
            <w:pPr>
              <w:spacing w:after="0"/>
              <w:rPr>
                <w:sz w:val="19"/>
                <w:szCs w:val="19"/>
                <w:color w:val="auto"/>
              </w:rPr>
            </w:pPr>
          </w:p>
        </w:tc>
        <w:tc>
          <w:tcPr>
            <w:tcW w:w="1320" w:type="dxa"/>
            <w:vAlign w:val="bottom"/>
            <w:gridSpan w:val="2"/>
          </w:tcPr>
          <w:p>
            <w:pPr>
              <w:jc w:val="center"/>
              <w:spacing w:after="0"/>
              <w:rPr>
                <w:sz w:val="20"/>
                <w:szCs w:val="20"/>
                <w:color w:val="auto"/>
              </w:rPr>
            </w:pPr>
            <w:r>
              <w:rPr>
                <w:rFonts w:ascii="Arial" w:cs="Arial" w:eastAsia="Arial" w:hAnsi="Arial"/>
                <w:sz w:val="20"/>
                <w:szCs w:val="20"/>
                <w:color w:val="auto"/>
                <w:w w:val="89"/>
              </w:rPr>
              <w:t>Postretirement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3"/>
          </w:tcPr>
          <w:p>
            <w:pPr>
              <w:jc w:val="center"/>
              <w:ind w:right="380"/>
              <w:spacing w:after="0"/>
              <w:rPr>
                <w:sz w:val="20"/>
                <w:szCs w:val="20"/>
                <w:color w:val="auto"/>
              </w:rPr>
            </w:pPr>
            <w:r>
              <w:rPr>
                <w:rFonts w:ascii="Arial" w:cs="Arial" w:eastAsia="Arial" w:hAnsi="Arial"/>
                <w:sz w:val="20"/>
                <w:szCs w:val="20"/>
                <w:color w:val="auto"/>
                <w:w w:val="87"/>
              </w:rPr>
              <w:t>Interest Rate</w:t>
            </w:r>
          </w:p>
        </w:tc>
        <w:tc>
          <w:tcPr>
            <w:tcW w:w="1460" w:type="dxa"/>
            <w:vAlign w:val="bottom"/>
            <w:gridSpan w:val="3"/>
          </w:tcPr>
          <w:p>
            <w:pPr>
              <w:jc w:val="center"/>
              <w:ind w:right="140"/>
              <w:spacing w:after="0"/>
              <w:rPr>
                <w:sz w:val="20"/>
                <w:szCs w:val="20"/>
                <w:color w:val="auto"/>
              </w:rPr>
            </w:pPr>
            <w:r>
              <w:rPr>
                <w:rFonts w:ascii="Arial" w:cs="Arial" w:eastAsia="Arial" w:hAnsi="Arial"/>
                <w:sz w:val="20"/>
                <w:szCs w:val="20"/>
                <w:color w:val="auto"/>
                <w:w w:val="89"/>
              </w:rPr>
              <w:t>Deferred Tax</w:t>
            </w:r>
          </w:p>
        </w:tc>
      </w:tr>
      <w:tr>
        <w:trPr>
          <w:trHeight w:val="246"/>
        </w:trPr>
        <w:tc>
          <w:tcPr>
            <w:tcW w:w="67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color w:val="auto"/>
                <w:w w:val="89"/>
              </w:rPr>
              <w:t>Benefit Plans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color w:val="auto"/>
                <w:w w:val="87"/>
              </w:rPr>
              <w:t>Swap</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6"/>
              </w:rPr>
              <w:t>Assets</w:t>
            </w:r>
          </w:p>
        </w:tc>
        <w:tc>
          <w:tcPr>
            <w:tcW w:w="120" w:type="dxa"/>
            <w:vAlign w:val="bottom"/>
          </w:tcPr>
          <w:p>
            <w:pPr>
              <w:spacing w:after="0"/>
              <w:rPr>
                <w:sz w:val="21"/>
                <w:szCs w:val="21"/>
                <w:color w:val="auto"/>
              </w:rPr>
            </w:pPr>
          </w:p>
        </w:tc>
      </w:tr>
      <w:tr>
        <w:trPr>
          <w:trHeight w:val="480"/>
        </w:trPr>
        <w:tc>
          <w:tcPr>
            <w:tcW w:w="6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center"/>
              <w:ind w:left="461"/>
              <w:spacing w:after="0"/>
              <w:rPr>
                <w:sz w:val="20"/>
                <w:szCs w:val="20"/>
                <w:color w:val="auto"/>
              </w:rPr>
            </w:pPr>
            <w:r>
              <w:rPr>
                <w:rFonts w:ascii="Arial" w:cs="Arial" w:eastAsia="Arial" w:hAnsi="Arial"/>
                <w:sz w:val="20"/>
                <w:szCs w:val="20"/>
                <w:color w:val="auto"/>
                <w:w w:val="88"/>
              </w:rPr>
              <w:t>Three Months Ended June 30, 2015</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6780" w:type="dxa"/>
            <w:vAlign w:val="bottom"/>
          </w:tcPr>
          <w:p>
            <w:pPr>
              <w:ind w:left="260"/>
              <w:spacing w:after="0"/>
              <w:rPr>
                <w:sz w:val="20"/>
                <w:szCs w:val="20"/>
                <w:color w:val="auto"/>
              </w:rPr>
            </w:pPr>
            <w:r>
              <w:rPr>
                <w:rFonts w:ascii="Arial" w:cs="Arial" w:eastAsia="Arial" w:hAnsi="Arial"/>
                <w:sz w:val="20"/>
                <w:szCs w:val="20"/>
                <w:color w:val="auto"/>
              </w:rPr>
              <w:t>Balance at beginning of period</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67,552</w:t>
            </w:r>
          </w:p>
        </w:tc>
        <w:tc>
          <w:tcPr>
            <w:tcW w:w="36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1,679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441"/>
              <w:spacing w:after="0"/>
              <w:rPr>
                <w:sz w:val="20"/>
                <w:szCs w:val="20"/>
                <w:color w:val="auto"/>
              </w:rPr>
            </w:pPr>
            <w:r>
              <w:rPr>
                <w:rFonts w:ascii="Arial" w:cs="Arial" w:eastAsia="Arial" w:hAnsi="Arial"/>
                <w:sz w:val="20"/>
                <w:szCs w:val="20"/>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69,231</w:t>
            </w:r>
          </w:p>
        </w:tc>
        <w:tc>
          <w:tcPr>
            <w:tcW w:w="120" w:type="dxa"/>
            <w:vAlign w:val="bottom"/>
          </w:tcPr>
          <w:p>
            <w:pPr>
              <w:spacing w:after="0"/>
              <w:rPr>
                <w:sz w:val="20"/>
                <w:szCs w:val="20"/>
                <w:color w:val="auto"/>
              </w:rPr>
            </w:pPr>
          </w:p>
        </w:tc>
      </w:tr>
      <w:tr>
        <w:trPr>
          <w:trHeight w:val="243"/>
        </w:trPr>
        <w:tc>
          <w:tcPr>
            <w:tcW w:w="6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Tax effect of other comprehensive earnings</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4,073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(125)</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3,948</w:t>
            </w:r>
          </w:p>
        </w:tc>
        <w:tc>
          <w:tcPr>
            <w:tcW w:w="120" w:type="dxa"/>
            <w:vAlign w:val="bottom"/>
            <w:shd w:val="clear" w:color="auto" w:fill="CFF0FC"/>
          </w:tcPr>
          <w:p>
            <w:pPr>
              <w:spacing w:after="0"/>
              <w:rPr>
                <w:sz w:val="21"/>
                <w:szCs w:val="21"/>
                <w:color w:val="auto"/>
              </w:rPr>
            </w:pPr>
          </w:p>
        </w:tc>
      </w:tr>
      <w:tr>
        <w:trPr>
          <w:trHeight w:val="237"/>
        </w:trPr>
        <w:tc>
          <w:tcPr>
            <w:tcW w:w="6780" w:type="dxa"/>
            <w:vAlign w:val="bottom"/>
          </w:tcPr>
          <w:p>
            <w:pPr>
              <w:ind w:left="260"/>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71,625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20"/>
                <w:szCs w:val="2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73,179</w:t>
            </w:r>
          </w:p>
        </w:tc>
        <w:tc>
          <w:tcPr>
            <w:tcW w:w="120" w:type="dxa"/>
            <w:vAlign w:val="bottom"/>
          </w:tcPr>
          <w:p>
            <w:pPr>
              <w:spacing w:after="0"/>
              <w:rPr>
                <w:sz w:val="20"/>
                <w:szCs w:val="20"/>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7"/>
        </w:trPr>
        <w:tc>
          <w:tcPr>
            <w:tcW w:w="678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center"/>
              <w:ind w:left="461"/>
              <w:spacing w:after="0"/>
              <w:rPr>
                <w:sz w:val="20"/>
                <w:szCs w:val="20"/>
                <w:color w:val="auto"/>
              </w:rPr>
            </w:pPr>
            <w:r>
              <w:rPr>
                <w:rFonts w:ascii="Arial" w:cs="Arial" w:eastAsia="Arial" w:hAnsi="Arial"/>
                <w:sz w:val="20"/>
                <w:szCs w:val="20"/>
                <w:color w:val="auto"/>
                <w:w w:val="88"/>
              </w:rPr>
              <w:t>Three Months Ended June 30, 2014</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37"/>
        </w:trPr>
        <w:tc>
          <w:tcPr>
            <w:tcW w:w="6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Balance at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29,016</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2,155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441"/>
              <w:spacing w:after="0"/>
              <w:rPr>
                <w:sz w:val="20"/>
                <w:szCs w:val="20"/>
                <w:color w:val="auto"/>
              </w:rPr>
            </w:pPr>
            <w:r>
              <w:rPr>
                <w:rFonts w:ascii="Arial" w:cs="Arial" w:eastAsia="Arial" w:hAnsi="Arial"/>
                <w:sz w:val="20"/>
                <w:szCs w:val="2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31,171</w:t>
            </w:r>
          </w:p>
        </w:tc>
        <w:tc>
          <w:tcPr>
            <w:tcW w:w="120" w:type="dxa"/>
            <w:vAlign w:val="bottom"/>
            <w:shd w:val="clear" w:color="auto" w:fill="CFF0FC"/>
          </w:tcPr>
          <w:p>
            <w:pPr>
              <w:spacing w:after="0"/>
              <w:rPr>
                <w:sz w:val="20"/>
                <w:szCs w:val="20"/>
                <w:color w:val="auto"/>
              </w:rPr>
            </w:pPr>
          </w:p>
        </w:tc>
      </w:tr>
      <w:tr>
        <w:trPr>
          <w:trHeight w:val="243"/>
        </w:trPr>
        <w:tc>
          <w:tcPr>
            <w:tcW w:w="6780" w:type="dxa"/>
            <w:vAlign w:val="bottom"/>
          </w:tcPr>
          <w:p>
            <w:pPr>
              <w:ind w:left="260"/>
              <w:spacing w:after="0"/>
              <w:rPr>
                <w:sz w:val="20"/>
                <w:szCs w:val="20"/>
                <w:color w:val="auto"/>
              </w:rPr>
            </w:pPr>
            <w:r>
              <w:rPr>
                <w:rFonts w:ascii="Arial" w:cs="Arial" w:eastAsia="Arial" w:hAnsi="Arial"/>
                <w:sz w:val="20"/>
                <w:szCs w:val="20"/>
                <w:color w:val="auto"/>
              </w:rPr>
              <w:t>Tax effect of other comprehensive earnings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(116)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155</w:t>
            </w:r>
          </w:p>
        </w:tc>
        <w:tc>
          <w:tcPr>
            <w:tcW w:w="120" w:type="dxa"/>
            <w:vAlign w:val="bottom"/>
          </w:tcPr>
          <w:p>
            <w:pPr>
              <w:spacing w:after="0"/>
              <w:rPr>
                <w:sz w:val="21"/>
                <w:szCs w:val="21"/>
                <w:color w:val="auto"/>
              </w:rPr>
            </w:pPr>
          </w:p>
        </w:tc>
      </w:tr>
      <w:tr>
        <w:trPr>
          <w:trHeight w:val="237"/>
        </w:trPr>
        <w:tc>
          <w:tcPr>
            <w:tcW w:w="6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29,287</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2,039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ind w:right="441"/>
              <w:spacing w:after="0"/>
              <w:rPr>
                <w:sz w:val="20"/>
                <w:szCs w:val="20"/>
                <w:color w:val="auto"/>
              </w:rPr>
            </w:pPr>
            <w:r>
              <w:rPr>
                <w:rFonts w:ascii="Arial" w:cs="Arial" w:eastAsia="Arial" w:hAnsi="Arial"/>
                <w:sz w:val="20"/>
                <w:szCs w:val="20"/>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31,326</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7"/>
        </w:trPr>
        <w:tc>
          <w:tcPr>
            <w:tcW w:w="6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center"/>
              <w:ind w:left="481"/>
              <w:spacing w:after="0"/>
              <w:rPr>
                <w:sz w:val="20"/>
                <w:szCs w:val="20"/>
                <w:color w:val="auto"/>
              </w:rPr>
            </w:pPr>
            <w:r>
              <w:rPr>
                <w:rFonts w:ascii="Arial" w:cs="Arial" w:eastAsia="Arial" w:hAnsi="Arial"/>
                <w:sz w:val="20"/>
                <w:szCs w:val="20"/>
                <w:color w:val="auto"/>
                <w:w w:val="89"/>
              </w:rPr>
              <w:t>Six Months Ended June 30, 2015</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6780" w:type="dxa"/>
            <w:vAlign w:val="bottom"/>
          </w:tcPr>
          <w:p>
            <w:pPr>
              <w:ind w:left="260"/>
              <w:spacing w:after="0"/>
              <w:rPr>
                <w:sz w:val="20"/>
                <w:szCs w:val="20"/>
                <w:color w:val="auto"/>
              </w:rPr>
            </w:pPr>
            <w:r>
              <w:rPr>
                <w:rFonts w:ascii="Arial" w:cs="Arial" w:eastAsia="Arial" w:hAnsi="Arial"/>
                <w:sz w:val="20"/>
                <w:szCs w:val="20"/>
                <w:color w:val="auto"/>
              </w:rPr>
              <w:t>Balance at beginning of period</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68,568</w:t>
            </w:r>
          </w:p>
        </w:tc>
        <w:tc>
          <w:tcPr>
            <w:tcW w:w="36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1,799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441"/>
              <w:spacing w:after="0"/>
              <w:rPr>
                <w:sz w:val="20"/>
                <w:szCs w:val="20"/>
                <w:color w:val="auto"/>
              </w:rPr>
            </w:pPr>
            <w:r>
              <w:rPr>
                <w:rFonts w:ascii="Arial" w:cs="Arial" w:eastAsia="Arial" w:hAnsi="Arial"/>
                <w:sz w:val="20"/>
                <w:szCs w:val="20"/>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70,367</w:t>
            </w:r>
          </w:p>
        </w:tc>
        <w:tc>
          <w:tcPr>
            <w:tcW w:w="120" w:type="dxa"/>
            <w:vAlign w:val="bottom"/>
          </w:tcPr>
          <w:p>
            <w:pPr>
              <w:spacing w:after="0"/>
              <w:rPr>
                <w:sz w:val="20"/>
                <w:szCs w:val="20"/>
                <w:color w:val="auto"/>
              </w:rPr>
            </w:pPr>
          </w:p>
        </w:tc>
      </w:tr>
      <w:tr>
        <w:trPr>
          <w:trHeight w:val="243"/>
        </w:trPr>
        <w:tc>
          <w:tcPr>
            <w:tcW w:w="6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Tax effect of other comprehensive earnings</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3,057</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(245)</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2,812</w:t>
            </w:r>
          </w:p>
        </w:tc>
        <w:tc>
          <w:tcPr>
            <w:tcW w:w="120" w:type="dxa"/>
            <w:vAlign w:val="bottom"/>
            <w:shd w:val="clear" w:color="auto" w:fill="CFF0FC"/>
          </w:tcPr>
          <w:p>
            <w:pPr>
              <w:spacing w:after="0"/>
              <w:rPr>
                <w:sz w:val="21"/>
                <w:szCs w:val="21"/>
                <w:color w:val="auto"/>
              </w:rPr>
            </w:pPr>
          </w:p>
        </w:tc>
      </w:tr>
      <w:tr>
        <w:trPr>
          <w:trHeight w:val="237"/>
        </w:trPr>
        <w:tc>
          <w:tcPr>
            <w:tcW w:w="6780" w:type="dxa"/>
            <w:vAlign w:val="bottom"/>
          </w:tcPr>
          <w:p>
            <w:pPr>
              <w:ind w:left="260"/>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71,625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20"/>
                <w:szCs w:val="2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73,179</w:t>
            </w:r>
          </w:p>
        </w:tc>
        <w:tc>
          <w:tcPr>
            <w:tcW w:w="120" w:type="dxa"/>
            <w:vAlign w:val="bottom"/>
          </w:tcPr>
          <w:p>
            <w:pPr>
              <w:spacing w:after="0"/>
              <w:rPr>
                <w:sz w:val="20"/>
                <w:szCs w:val="20"/>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7"/>
        </w:trPr>
        <w:tc>
          <w:tcPr>
            <w:tcW w:w="678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center"/>
              <w:ind w:left="481"/>
              <w:spacing w:after="0"/>
              <w:rPr>
                <w:sz w:val="20"/>
                <w:szCs w:val="20"/>
                <w:color w:val="auto"/>
              </w:rPr>
            </w:pPr>
            <w:r>
              <w:rPr>
                <w:rFonts w:ascii="Arial" w:cs="Arial" w:eastAsia="Arial" w:hAnsi="Arial"/>
                <w:sz w:val="20"/>
                <w:szCs w:val="20"/>
                <w:color w:val="auto"/>
                <w:w w:val="89"/>
              </w:rPr>
              <w:t>Six Months Ended June 30, 2014</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37"/>
        </w:trPr>
        <w:tc>
          <w:tcPr>
            <w:tcW w:w="6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Balance at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29,198</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2,269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441"/>
              <w:spacing w:after="0"/>
              <w:rPr>
                <w:sz w:val="20"/>
                <w:szCs w:val="20"/>
                <w:color w:val="auto"/>
              </w:rPr>
            </w:pPr>
            <w:r>
              <w:rPr>
                <w:rFonts w:ascii="Arial" w:cs="Arial" w:eastAsia="Arial" w:hAnsi="Arial"/>
                <w:sz w:val="20"/>
                <w:szCs w:val="2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31,467</w:t>
            </w:r>
          </w:p>
        </w:tc>
        <w:tc>
          <w:tcPr>
            <w:tcW w:w="120" w:type="dxa"/>
            <w:vAlign w:val="bottom"/>
            <w:shd w:val="clear" w:color="auto" w:fill="CFF0FC"/>
          </w:tcPr>
          <w:p>
            <w:pPr>
              <w:spacing w:after="0"/>
              <w:rPr>
                <w:sz w:val="20"/>
                <w:szCs w:val="20"/>
                <w:color w:val="auto"/>
              </w:rPr>
            </w:pPr>
          </w:p>
        </w:tc>
      </w:tr>
      <w:tr>
        <w:trPr>
          <w:trHeight w:val="243"/>
        </w:trPr>
        <w:tc>
          <w:tcPr>
            <w:tcW w:w="6780" w:type="dxa"/>
            <w:vAlign w:val="bottom"/>
          </w:tcPr>
          <w:p>
            <w:pPr>
              <w:ind w:left="260"/>
              <w:spacing w:after="0"/>
              <w:rPr>
                <w:sz w:val="20"/>
                <w:szCs w:val="20"/>
                <w:color w:val="auto"/>
              </w:rPr>
            </w:pPr>
            <w:r>
              <w:rPr>
                <w:rFonts w:ascii="Arial" w:cs="Arial" w:eastAsia="Arial" w:hAnsi="Arial"/>
                <w:sz w:val="20"/>
                <w:szCs w:val="20"/>
                <w:color w:val="auto"/>
              </w:rPr>
              <w:t>Tax effect of other comprehensive earnings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(230)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20"/>
                <w:szCs w:val="20"/>
                <w:color w:val="auto"/>
              </w:rPr>
              <w:t>(141)</w:t>
            </w:r>
          </w:p>
        </w:tc>
      </w:tr>
      <w:tr>
        <w:trPr>
          <w:trHeight w:val="237"/>
        </w:trPr>
        <w:tc>
          <w:tcPr>
            <w:tcW w:w="6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29,287</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2,039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ind w:right="441"/>
              <w:spacing w:after="0"/>
              <w:rPr>
                <w:sz w:val="20"/>
                <w:szCs w:val="20"/>
                <w:color w:val="auto"/>
              </w:rPr>
            </w:pPr>
            <w:r>
              <w:rPr>
                <w:rFonts w:ascii="Arial" w:cs="Arial" w:eastAsia="Arial" w:hAnsi="Arial"/>
                <w:sz w:val="20"/>
                <w:szCs w:val="20"/>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31,326</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400" w:hanging="392"/>
        <w:spacing w:after="0"/>
        <w:tabs>
          <w:tab w:leader="none" w:pos="4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 (continued)</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Reclassifications out of accumulated other comprehensive loss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7"/>
                <w:szCs w:val="17"/>
                <w:color w:val="auto"/>
              </w:rPr>
              <w:t>Three Months Ended</w:t>
            </w:r>
          </w:p>
        </w:tc>
        <w:tc>
          <w:tcPr>
            <w:tcW w:w="220" w:type="dxa"/>
            <w:vAlign w:val="bottom"/>
          </w:tcPr>
          <w:p>
            <w:pPr>
              <w:spacing w:after="0"/>
              <w:rPr>
                <w:sz w:val="18"/>
                <w:szCs w:val="18"/>
                <w:color w:val="auto"/>
              </w:rPr>
            </w:pPr>
          </w:p>
        </w:tc>
        <w:tc>
          <w:tcPr>
            <w:tcW w:w="2240" w:type="dxa"/>
            <w:vAlign w:val="bottom"/>
            <w:gridSpan w:val="5"/>
          </w:tcPr>
          <w:p>
            <w:pPr>
              <w:jc w:val="right"/>
              <w:ind w:right="660"/>
              <w:spacing w:after="0"/>
              <w:rPr>
                <w:sz w:val="20"/>
                <w:szCs w:val="20"/>
                <w:color w:val="auto"/>
              </w:rPr>
            </w:pPr>
            <w:r>
              <w:rPr>
                <w:rFonts w:ascii="Arial" w:cs="Arial" w:eastAsia="Arial" w:hAnsi="Arial"/>
                <w:sz w:val="17"/>
                <w:szCs w:val="17"/>
                <w:color w:val="auto"/>
              </w:rPr>
              <w:t>Six Months Ended</w:t>
            </w:r>
          </w:p>
        </w:tc>
        <w:tc>
          <w:tcPr>
            <w:tcW w:w="3180" w:type="dxa"/>
            <w:vAlign w:val="bottom"/>
          </w:tcPr>
          <w:p>
            <w:pPr>
              <w:jc w:val="center"/>
              <w:spacing w:after="0"/>
              <w:rPr>
                <w:sz w:val="20"/>
                <w:szCs w:val="20"/>
                <w:color w:val="auto"/>
              </w:rPr>
            </w:pPr>
            <w:r>
              <w:rPr>
                <w:rFonts w:ascii="Arial" w:cs="Arial" w:eastAsia="Arial" w:hAnsi="Arial"/>
                <w:sz w:val="17"/>
                <w:szCs w:val="17"/>
                <w:color w:val="auto"/>
                <w:w w:val="92"/>
              </w:rPr>
              <w:t>Affected line items in the 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7"/>
                <w:szCs w:val="17"/>
                <w:color w:val="auto"/>
              </w:rPr>
              <w:t>June 30,</w:t>
            </w: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7"/>
                <w:szCs w:val="17"/>
                <w:color w:val="auto"/>
              </w:rPr>
              <w:t>June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7"/>
                <w:szCs w:val="17"/>
                <w:color w:val="auto"/>
                <w:w w:val="87"/>
              </w:rPr>
              <w:t>statements of earnings and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2015</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2014</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2015</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2014</w:t>
            </w:r>
          </w:p>
        </w:tc>
        <w:tc>
          <w:tcPr>
            <w:tcW w:w="12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comprehensive earnings</w:t>
            </w:r>
          </w:p>
        </w:tc>
        <w:tc>
          <w:tcPr>
            <w:tcW w:w="0" w:type="dxa"/>
            <w:vAlign w:val="bottom"/>
          </w:tcPr>
          <w:p>
            <w:pPr>
              <w:spacing w:after="0"/>
              <w:rPr>
                <w:sz w:val="1"/>
                <w:szCs w:val="1"/>
                <w:color w:val="auto"/>
              </w:rPr>
            </w:pPr>
          </w:p>
        </w:tc>
      </w:tr>
      <w:tr>
        <w:trPr>
          <w:trHeight w:val="210"/>
        </w:trPr>
        <w:tc>
          <w:tcPr>
            <w:tcW w:w="2740" w:type="dxa"/>
            <w:vAlign w:val="bottom"/>
            <w:gridSpan w:val="2"/>
            <w:vMerge w:val="restart"/>
          </w:tcPr>
          <w:p>
            <w:pPr>
              <w:spacing w:after="0"/>
              <w:rPr>
                <w:sz w:val="20"/>
                <w:szCs w:val="20"/>
                <w:color w:val="auto"/>
              </w:rPr>
            </w:pPr>
            <w:r>
              <w:rPr>
                <w:rFonts w:ascii="Arial" w:cs="Arial" w:eastAsia="Arial" w:hAnsi="Arial"/>
                <w:sz w:val="17"/>
                <w:szCs w:val="17"/>
                <w:color w:val="auto"/>
              </w:rPr>
              <w:t>Pension and postretirement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5"/>
          </w:tcPr>
          <w:p>
            <w:pPr>
              <w:jc w:val="right"/>
              <w:ind w:right="600"/>
              <w:spacing w:after="0"/>
              <w:rPr>
                <w:sz w:val="20"/>
                <w:szCs w:val="20"/>
                <w:color w:val="auto"/>
              </w:rPr>
            </w:pPr>
            <w:r>
              <w:rPr>
                <w:rFonts w:ascii="Arial" w:cs="Arial" w:eastAsia="Arial" w:hAnsi="Arial"/>
                <w:sz w:val="17"/>
                <w:szCs w:val="17"/>
                <w:i w:val="1"/>
                <w:iCs w:val="1"/>
                <w:color w:val="auto"/>
                <w:w w:val="98"/>
              </w:rPr>
              <w:t>(Dollars in Thousands)</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4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7"/>
                <w:szCs w:val="17"/>
                <w:color w:val="auto"/>
              </w:rPr>
              <w:t>benefit plans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Amortization of:</w:t>
            </w: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480"/>
              <w:spacing w:after="0"/>
              <w:rPr>
                <w:sz w:val="20"/>
                <w:szCs w:val="20"/>
                <w:color w:val="auto"/>
              </w:rPr>
            </w:pPr>
            <w:r>
              <w:rPr>
                <w:rFonts w:ascii="Arial" w:cs="Arial" w:eastAsia="Arial" w:hAnsi="Arial"/>
                <w:sz w:val="17"/>
                <w:szCs w:val="17"/>
                <w:color w:val="auto"/>
              </w:rPr>
              <w:t>Prior service credit</w:t>
            </w:r>
          </w:p>
        </w:tc>
        <w:tc>
          <w:tcPr>
            <w:tcW w:w="70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(469)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(791)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(939)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(1,404)</w:t>
            </w: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FF0FC"/>
          </w:tcPr>
          <w:p>
            <w:pPr>
              <w:ind w:left="480"/>
              <w:spacing w:after="0"/>
              <w:rPr>
                <w:sz w:val="20"/>
                <w:szCs w:val="20"/>
                <w:color w:val="auto"/>
              </w:rPr>
            </w:pPr>
            <w:r>
              <w:rPr>
                <w:rFonts w:ascii="Arial" w:cs="Arial" w:eastAsia="Arial" w:hAnsi="Arial"/>
                <w:sz w:val="17"/>
                <w:szCs w:val="17"/>
                <w:color w:val="auto"/>
              </w:rPr>
              <w:t>Actuarial loss</w:t>
            </w:r>
          </w:p>
        </w:tc>
        <w:tc>
          <w:tcPr>
            <w:tcW w:w="4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7,274</w:t>
            </w:r>
          </w:p>
        </w:tc>
        <w:tc>
          <w:tcPr>
            <w:tcW w:w="2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804</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10,546</w:t>
            </w:r>
          </w:p>
        </w:tc>
        <w:tc>
          <w:tcPr>
            <w:tcW w:w="2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1,889</w:t>
            </w:r>
          </w:p>
        </w:tc>
        <w:tc>
          <w:tcPr>
            <w:tcW w:w="120" w:type="dxa"/>
            <w:vAlign w:val="bottom"/>
            <w:shd w:val="clear" w:color="auto" w:fill="CFF0FC"/>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Pr>
          <w:p>
            <w:pPr>
              <w:spacing w:after="0" w:line="192" w:lineRule="exact"/>
              <w:rPr>
                <w:sz w:val="20"/>
                <w:szCs w:val="20"/>
                <w:color w:val="auto"/>
              </w:rPr>
            </w:pPr>
            <w:r>
              <w:rPr>
                <w:rFonts w:ascii="Arial" w:cs="Arial" w:eastAsia="Arial" w:hAnsi="Arial"/>
                <w:sz w:val="17"/>
                <w:szCs w:val="17"/>
                <w:color w:val="auto"/>
              </w:rPr>
              <w:t>Cost of sales; Selling, general</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6,805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9,607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485</w:t>
            </w:r>
          </w:p>
        </w:tc>
        <w:tc>
          <w:tcPr>
            <w:tcW w:w="1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7"/>
                <w:szCs w:val="17"/>
                <w:color w:val="auto"/>
              </w:rPr>
              <w:t>and administrative expenses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Tax benefit</w:t>
            </w: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(2,647)</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(3,737)</w:t>
            </w:r>
          </w:p>
        </w:tc>
        <w:tc>
          <w:tcPr>
            <w:tcW w:w="260" w:type="dxa"/>
            <w:vAlign w:val="bottom"/>
            <w:shd w:val="clear" w:color="auto" w:fill="CFF0FC"/>
          </w:tcPr>
          <w:p>
            <w:pPr>
              <w:spacing w:after="0"/>
              <w:rPr>
                <w:sz w:val="18"/>
                <w:szCs w:val="18"/>
                <w:color w:val="auto"/>
              </w:rPr>
            </w:pPr>
          </w:p>
        </w:tc>
        <w:tc>
          <w:tcPr>
            <w:tcW w:w="4100" w:type="dxa"/>
            <w:vAlign w:val="bottom"/>
            <w:gridSpan w:val="3"/>
            <w:shd w:val="clear" w:color="auto" w:fill="CFF0FC"/>
          </w:tcPr>
          <w:p>
            <w:pPr>
              <w:ind w:left="480"/>
              <w:spacing w:after="0"/>
              <w:rPr>
                <w:sz w:val="20"/>
                <w:szCs w:val="20"/>
                <w:color w:val="auto"/>
              </w:rPr>
            </w:pPr>
            <w:r>
              <w:rPr>
                <w:rFonts w:ascii="Arial" w:cs="Arial" w:eastAsia="Arial" w:hAnsi="Arial"/>
                <w:sz w:val="17"/>
                <w:szCs w:val="17"/>
                <w:color w:val="auto"/>
              </w:rPr>
              <w:t>(191) Income tax benefit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Borders>
              <w:bottom w:val="single" w:sz="8" w:color="CFF0FC"/>
            </w:tcBorders>
          </w:tcPr>
          <w:p>
            <w:pPr>
              <w:spacing w:after="0"/>
              <w:rPr>
                <w:sz w:val="21"/>
                <w:szCs w:val="21"/>
                <w:color w:val="auto"/>
              </w:rPr>
            </w:pPr>
          </w:p>
        </w:tc>
        <w:tc>
          <w:tcPr>
            <w:tcW w:w="4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4,158</w:t>
            </w:r>
          </w:p>
        </w:tc>
        <w:tc>
          <w:tcPr>
            <w:tcW w:w="2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2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5,870</w:t>
            </w:r>
          </w:p>
        </w:tc>
        <w:tc>
          <w:tcPr>
            <w:tcW w:w="2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294</w:t>
            </w:r>
          </w:p>
        </w:tc>
        <w:tc>
          <w:tcPr>
            <w:tcW w:w="120" w:type="dxa"/>
            <w:vAlign w:val="bottom"/>
            <w:tcBorders>
              <w:bottom w:val="single" w:sz="8" w:color="CFF0FC"/>
            </w:tcBorders>
          </w:tcPr>
          <w:p>
            <w:pPr>
              <w:spacing w:after="0"/>
              <w:rPr>
                <w:sz w:val="21"/>
                <w:szCs w:val="21"/>
                <w:color w:val="auto"/>
              </w:rPr>
            </w:pPr>
          </w:p>
        </w:tc>
        <w:tc>
          <w:tcPr>
            <w:tcW w:w="3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Unamortized value of terminated</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ind w:left="200"/>
              <w:spacing w:after="0"/>
              <w:rPr>
                <w:sz w:val="20"/>
                <w:szCs w:val="20"/>
                <w:color w:val="auto"/>
              </w:rPr>
            </w:pPr>
            <w:r>
              <w:rPr>
                <w:rFonts w:ascii="Arial" w:cs="Arial" w:eastAsia="Arial" w:hAnsi="Arial"/>
                <w:sz w:val="17"/>
                <w:szCs w:val="17"/>
                <w:color w:val="auto"/>
              </w:rPr>
              <w:t>forward starting interest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7"/>
                <w:szCs w:val="17"/>
                <w:color w:val="auto"/>
              </w:rPr>
              <w:t>rate swap</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Additional interest expense</w:t>
            </w:r>
          </w:p>
        </w:tc>
        <w:tc>
          <w:tcPr>
            <w:tcW w:w="700" w:type="dxa"/>
            <w:vAlign w:val="bottom"/>
            <w:gridSpan w:val="2"/>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583</w:t>
            </w:r>
          </w:p>
        </w:tc>
        <w:tc>
          <w:tcPr>
            <w:tcW w:w="120" w:type="dxa"/>
            <w:vAlign w:val="bottom"/>
            <w:shd w:val="clear" w:color="auto" w:fill="CFF0FC"/>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40"/>
              <w:spacing w:after="0"/>
              <w:rPr>
                <w:sz w:val="20"/>
                <w:szCs w:val="20"/>
                <w:color w:val="auto"/>
              </w:rPr>
            </w:pPr>
            <w:r>
              <w:rPr>
                <w:rFonts w:ascii="Arial" w:cs="Arial" w:eastAsia="Arial" w:hAnsi="Arial"/>
                <w:sz w:val="17"/>
                <w:szCs w:val="17"/>
                <w:color w:val="auto"/>
              </w:rPr>
              <w:t>Tax benefit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(125)</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(116)</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(245)</w:t>
            </w:r>
          </w:p>
        </w:tc>
        <w:tc>
          <w:tcPr>
            <w:tcW w:w="260" w:type="dxa"/>
            <w:vAlign w:val="bottom"/>
          </w:tcPr>
          <w:p>
            <w:pPr>
              <w:spacing w:after="0"/>
              <w:rPr>
                <w:sz w:val="18"/>
                <w:szCs w:val="18"/>
                <w:color w:val="auto"/>
              </w:rPr>
            </w:pPr>
          </w:p>
        </w:tc>
        <w:tc>
          <w:tcPr>
            <w:tcW w:w="4100" w:type="dxa"/>
            <w:vAlign w:val="bottom"/>
            <w:gridSpan w:val="3"/>
          </w:tcPr>
          <w:p>
            <w:pPr>
              <w:ind w:left="480"/>
              <w:spacing w:after="0"/>
              <w:rPr>
                <w:sz w:val="20"/>
                <w:szCs w:val="20"/>
                <w:color w:val="auto"/>
              </w:rPr>
            </w:pPr>
            <w:r>
              <w:rPr>
                <w:rFonts w:ascii="Arial" w:cs="Arial" w:eastAsia="Arial" w:hAnsi="Arial"/>
                <w:sz w:val="17"/>
                <w:szCs w:val="17"/>
                <w:color w:val="auto"/>
              </w:rPr>
              <w:t>(230) Income tax benefit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CFF0FC"/>
              <w:bottom w:val="single" w:sz="8" w:color="CFF0FC"/>
            </w:tcBorders>
            <w:shd w:val="clear" w:color="auto" w:fill="CFF0FC"/>
          </w:tcPr>
          <w:p>
            <w:pPr>
              <w:spacing w:after="0"/>
              <w:rPr>
                <w:sz w:val="18"/>
                <w:szCs w:val="18"/>
                <w:color w:val="auto"/>
              </w:rPr>
            </w:pPr>
          </w:p>
        </w:tc>
        <w:tc>
          <w:tcPr>
            <w:tcW w:w="4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1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Earnings per Common Share</w:t>
      </w:r>
    </w:p>
    <w:p>
      <w:pPr>
        <w:spacing w:after="0" w:line="114" w:lineRule="exact"/>
        <w:rPr>
          <w:sz w:val="20"/>
          <w:szCs w:val="20"/>
          <w:color w:val="auto"/>
        </w:rPr>
      </w:pPr>
    </w:p>
    <w:p>
      <w:pPr>
        <w:jc w:val="both"/>
        <w:ind w:left="380"/>
        <w:spacing w:after="0" w:line="272" w:lineRule="auto"/>
        <w:rPr>
          <w:sz w:val="20"/>
          <w:szCs w:val="20"/>
          <w:color w:val="auto"/>
        </w:rPr>
      </w:pPr>
      <w:r>
        <w:rPr>
          <w:rFonts w:ascii="Arial" w:cs="Arial" w:eastAsia="Arial" w:hAnsi="Arial"/>
          <w:sz w:val="18"/>
          <w:szCs w:val="18"/>
          <w:color w:val="auto"/>
        </w:rPr>
        <w:t>The numerator for basic and diluted earnings (loss) per common share is net earnings/loss attributable to Martin Marietta reduced by dividends and undistributed earnings attributable to the Corporation’s unvested restricted stock awards and incentive stock awards.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Corporation’s Board of Directors under certain stock-based compensation arrangements if the conversion is dilutive. For the three and six months ended June 30, 2015 and 2014, the diluted per-share computations reflect a change in the number of common shares outstanding to include the number of additional shares that would have been outstanding if the potentially dilutive common shares had been issued.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FORM 10-Q</w:t>
      </w:r>
    </w:p>
    <w:p>
      <w:pPr>
        <w:jc w:val="center"/>
        <w:ind w:right="60"/>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380" w:right="7440" w:hanging="372"/>
        <w:spacing w:after="0" w:line="444" w:lineRule="auto"/>
        <w:tabs>
          <w:tab w:leader="none" w:pos="392"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(continued) Earnings per Common Share (continued)</w:t>
      </w:r>
    </w:p>
    <w:p>
      <w:pPr>
        <w:ind w:left="380"/>
        <w:spacing w:after="0"/>
        <w:rPr>
          <w:rFonts w:ascii="Arial" w:cs="Arial" w:eastAsia="Arial" w:hAnsi="Arial"/>
          <w:sz w:val="16"/>
          <w:szCs w:val="16"/>
          <w:b w:val="1"/>
          <w:bCs w:val="1"/>
          <w:color w:val="auto"/>
        </w:rPr>
      </w:pPr>
      <w:r>
        <w:rPr>
          <w:rFonts w:ascii="Arial" w:cs="Arial" w:eastAsia="Arial" w:hAnsi="Arial"/>
          <w:sz w:val="20"/>
          <w:szCs w:val="20"/>
          <w:color w:val="auto"/>
        </w:rPr>
        <w:t>The following table reconciles the numerator and denominator for basic and diluted earnings per common share:</w:t>
      </w:r>
    </w:p>
    <w:p>
      <w:pPr>
        <w:spacing w:after="0" w:line="20" w:lineRule="exact"/>
        <w:rPr>
          <w:sz w:val="20"/>
          <w:szCs w:val="20"/>
          <w:color w:val="auto"/>
        </w:rPr>
      </w:pPr>
    </w:p>
    <w:tbl>
      <w:tblPr>
        <w:tblLayout w:type="fixed"/>
        <w:tblInd w:w="6120" w:type="dxa"/>
        <w:tblCellMar>
          <w:top w:w="0" w:type="dxa"/>
          <w:left w:w="0" w:type="dxa"/>
          <w:bottom w:w="0" w:type="dxa"/>
          <w:right w:w="0" w:type="dxa"/>
        </w:tblCellMar>
      </w:tblPr>
      <w:tr>
        <w:trPr>
          <w:trHeight w:val="236"/>
        </w:trPr>
        <w:tc>
          <w:tcPr>
            <w:tcW w:w="2780" w:type="dxa"/>
            <w:vAlign w:val="bottom"/>
            <w:gridSpan w:val="3"/>
          </w:tcPr>
          <w:p>
            <w:pPr>
              <w:jc w:val="center"/>
              <w:ind w:right="220"/>
              <w:spacing w:after="0"/>
              <w:rPr>
                <w:sz w:val="20"/>
                <w:szCs w:val="20"/>
                <w:color w:val="auto"/>
              </w:rPr>
            </w:pPr>
            <w:r>
              <w:rPr>
                <w:rFonts w:ascii="Arial" w:cs="Arial" w:eastAsia="Arial" w:hAnsi="Arial"/>
                <w:sz w:val="20"/>
                <w:szCs w:val="20"/>
                <w:color w:val="auto"/>
                <w:w w:val="89"/>
              </w:rPr>
              <w:t>Three Months Ended</w:t>
            </w:r>
          </w:p>
        </w:tc>
        <w:tc>
          <w:tcPr>
            <w:tcW w:w="2520" w:type="dxa"/>
            <w:vAlign w:val="bottom"/>
            <w:gridSpan w:val="2"/>
          </w:tcPr>
          <w:p>
            <w:pPr>
              <w:jc w:val="center"/>
              <w:spacing w:after="0"/>
              <w:rPr>
                <w:sz w:val="20"/>
                <w:szCs w:val="20"/>
                <w:color w:val="auto"/>
              </w:rPr>
            </w:pPr>
            <w:r>
              <w:rPr>
                <w:rFonts w:ascii="Arial" w:cs="Arial" w:eastAsia="Arial" w:hAnsi="Arial"/>
                <w:sz w:val="20"/>
                <w:szCs w:val="20"/>
                <w:color w:val="auto"/>
                <w:w w:val="91"/>
              </w:rPr>
              <w:t>Six Months Ended</w:t>
            </w:r>
          </w:p>
        </w:tc>
      </w:tr>
      <w:tr>
        <w:trPr>
          <w:trHeight w:val="246"/>
        </w:trPr>
        <w:tc>
          <w:tcPr>
            <w:tcW w:w="860" w:type="dxa"/>
            <w:vAlign w:val="bottom"/>
          </w:tcPr>
          <w:p>
            <w:pPr>
              <w:spacing w:after="0"/>
              <w:rPr>
                <w:sz w:val="21"/>
                <w:szCs w:val="21"/>
                <w:color w:val="auto"/>
              </w:rPr>
            </w:pPr>
          </w:p>
        </w:tc>
        <w:tc>
          <w:tcPr>
            <w:tcW w:w="1920" w:type="dxa"/>
            <w:vAlign w:val="bottom"/>
            <w:gridSpan w:val="2"/>
          </w:tcPr>
          <w:p>
            <w:pPr>
              <w:jc w:val="center"/>
              <w:ind w:right="1060"/>
              <w:spacing w:after="0"/>
              <w:rPr>
                <w:sz w:val="20"/>
                <w:szCs w:val="20"/>
                <w:color w:val="auto"/>
              </w:rPr>
            </w:pPr>
            <w:r>
              <w:rPr>
                <w:rFonts w:ascii="Arial" w:cs="Arial" w:eastAsia="Arial" w:hAnsi="Arial"/>
                <w:sz w:val="20"/>
                <w:szCs w:val="20"/>
                <w:color w:val="auto"/>
                <w:w w:val="85"/>
              </w:rPr>
              <w:t>June 30,</w:t>
            </w:r>
          </w:p>
        </w:tc>
        <w:tc>
          <w:tcPr>
            <w:tcW w:w="860" w:type="dxa"/>
            <w:vAlign w:val="bottom"/>
          </w:tcPr>
          <w:p>
            <w:pPr>
              <w:spacing w:after="0"/>
              <w:rPr>
                <w:sz w:val="21"/>
                <w:szCs w:val="21"/>
                <w:color w:val="auto"/>
              </w:rPr>
            </w:pPr>
          </w:p>
        </w:tc>
        <w:tc>
          <w:tcPr>
            <w:tcW w:w="1660" w:type="dxa"/>
            <w:vAlign w:val="bottom"/>
          </w:tcPr>
          <w:p>
            <w:pPr>
              <w:jc w:val="center"/>
              <w:ind w:right="781"/>
              <w:spacing w:after="0"/>
              <w:rPr>
                <w:sz w:val="20"/>
                <w:szCs w:val="20"/>
                <w:color w:val="auto"/>
              </w:rPr>
            </w:pPr>
            <w:r>
              <w:rPr>
                <w:rFonts w:ascii="Arial" w:cs="Arial" w:eastAsia="Arial" w:hAnsi="Arial"/>
                <w:sz w:val="20"/>
                <w:szCs w:val="20"/>
                <w:color w:val="auto"/>
                <w:w w:val="85"/>
              </w:rPr>
              <w:t>June 30,</w:t>
            </w:r>
          </w:p>
        </w:tc>
      </w:tr>
      <w:tr>
        <w:trPr>
          <w:trHeight w:val="237"/>
        </w:trPr>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2015</w:t>
            </w:r>
          </w:p>
        </w:tc>
        <w:tc>
          <w:tcPr>
            <w:tcW w:w="172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rPr>
              <w:t>2014</w:t>
            </w:r>
          </w:p>
        </w:tc>
        <w:tc>
          <w:tcPr>
            <w:tcW w:w="20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2015</w:t>
            </w:r>
          </w:p>
        </w:tc>
        <w:tc>
          <w:tcPr>
            <w:tcW w:w="16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20"/>
                <w:szCs w:val="20"/>
                <w:color w:val="auto"/>
              </w:rPr>
              <w:t>2014</w:t>
            </w:r>
          </w:p>
        </w:tc>
      </w:tr>
      <w:tr>
        <w:trPr>
          <w:trHeight w:val="244"/>
        </w:trPr>
        <w:tc>
          <w:tcPr>
            <w:tcW w:w="860" w:type="dxa"/>
            <w:vAlign w:val="bottom"/>
          </w:tcPr>
          <w:p>
            <w:pPr>
              <w:spacing w:after="0"/>
              <w:rPr>
                <w:sz w:val="21"/>
                <w:szCs w:val="21"/>
                <w:color w:val="auto"/>
              </w:rPr>
            </w:pPr>
          </w:p>
        </w:tc>
        <w:tc>
          <w:tcPr>
            <w:tcW w:w="2780" w:type="dxa"/>
            <w:vAlign w:val="bottom"/>
            <w:gridSpan w:val="3"/>
          </w:tcPr>
          <w:p>
            <w:pPr>
              <w:jc w:val="right"/>
              <w:ind w:right="301"/>
              <w:spacing w:after="0"/>
              <w:rPr>
                <w:sz w:val="20"/>
                <w:szCs w:val="20"/>
                <w:color w:val="auto"/>
              </w:rPr>
            </w:pPr>
            <w:r>
              <w:rPr>
                <w:rFonts w:ascii="Arial" w:cs="Arial" w:eastAsia="Arial" w:hAnsi="Arial"/>
                <w:sz w:val="20"/>
                <w:szCs w:val="20"/>
                <w:i w:val="1"/>
                <w:iCs w:val="1"/>
                <w:color w:val="auto"/>
              </w:rPr>
              <w:t>(In Thousands)</w:t>
            </w:r>
          </w:p>
        </w:tc>
        <w:tc>
          <w:tcPr>
            <w:tcW w:w="1660" w:type="dxa"/>
            <w:vAlign w:val="bottom"/>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480"/>
          </w:cols>
          <w:pgMar w:left="240" w:top="122" w:right="179" w:bottom="1440" w:gutter="0" w:footer="0" w:header="0"/>
        </w:sectPr>
      </w:pPr>
    </w:p>
    <w:p>
      <w:pPr>
        <w:ind w:left="300" w:right="1020" w:hanging="296"/>
        <w:spacing w:after="0" w:line="244" w:lineRule="auto"/>
        <w:rPr>
          <w:sz w:val="20"/>
          <w:szCs w:val="20"/>
          <w:color w:val="auto"/>
        </w:rPr>
      </w:pPr>
      <w:r>
        <w:rPr>
          <w:rFonts w:ascii="Arial" w:cs="Arial" w:eastAsia="Arial" w:hAnsi="Arial"/>
          <w:sz w:val="20"/>
          <w:szCs w:val="20"/>
          <w:color w:val="auto"/>
        </w:rPr>
        <w:t>Net earnings from continuing operations attributable to Martin Marietta Materials, Inc.</w:t>
      </w:r>
    </w:p>
    <w:p>
      <w:pPr>
        <w:spacing w:after="0" w:line="2" w:lineRule="exact"/>
        <w:rPr>
          <w:sz w:val="20"/>
          <w:szCs w:val="20"/>
          <w:color w:val="auto"/>
        </w:rPr>
      </w:pPr>
    </w:p>
    <w:p>
      <w:pPr>
        <w:ind w:left="260" w:right="740" w:hanging="246"/>
        <w:spacing w:after="0" w:line="249" w:lineRule="auto"/>
        <w:rPr>
          <w:sz w:val="20"/>
          <w:szCs w:val="20"/>
          <w:color w:val="auto"/>
        </w:rPr>
      </w:pPr>
      <w:r>
        <w:rPr>
          <w:rFonts w:ascii="Arial" w:cs="Arial" w:eastAsia="Arial" w:hAnsi="Arial"/>
          <w:sz w:val="20"/>
          <w:szCs w:val="20"/>
          <w:color w:val="auto"/>
        </w:rPr>
        <w:t>Less: Distributed and undistributed earnings attributable to unvested awards</w:t>
      </w:r>
    </w:p>
    <w:p>
      <w:pPr>
        <w:spacing w:after="0" w:line="2" w:lineRule="exact"/>
        <w:rPr>
          <w:sz w:val="20"/>
          <w:szCs w:val="20"/>
          <w:color w:val="auto"/>
        </w:rPr>
      </w:pPr>
    </w:p>
    <w:p>
      <w:pPr>
        <w:ind w:left="260" w:right="980" w:hanging="246"/>
        <w:spacing w:after="0" w:line="259" w:lineRule="auto"/>
        <w:rPr>
          <w:sz w:val="20"/>
          <w:szCs w:val="20"/>
          <w:color w:val="auto"/>
        </w:rPr>
      </w:pPr>
      <w:r>
        <w:rPr>
          <w:rFonts w:ascii="Arial" w:cs="Arial" w:eastAsia="Arial" w:hAnsi="Arial"/>
          <w:sz w:val="19"/>
          <w:szCs w:val="19"/>
          <w:color w:val="auto"/>
        </w:rPr>
        <w:t>Basic and diluted net earnings available to common shareholders from continuing operations attributable to Martin Marietta Materials, Inc.</w:t>
      </w:r>
    </w:p>
    <w:p>
      <w:pPr>
        <w:spacing w:after="0" w:line="2" w:lineRule="exact"/>
        <w:rPr>
          <w:sz w:val="20"/>
          <w:szCs w:val="20"/>
          <w:color w:val="auto"/>
        </w:rPr>
      </w:pPr>
    </w:p>
    <w:p>
      <w:pPr>
        <w:ind w:left="260" w:right="1660" w:hanging="246"/>
        <w:spacing w:after="0" w:line="312" w:lineRule="auto"/>
        <w:rPr>
          <w:sz w:val="20"/>
          <w:szCs w:val="20"/>
          <w:color w:val="auto"/>
        </w:rPr>
      </w:pPr>
      <w:r>
        <w:rPr>
          <w:rFonts w:ascii="Arial" w:cs="Arial" w:eastAsia="Arial" w:hAnsi="Arial"/>
          <w:sz w:val="16"/>
          <w:szCs w:val="16"/>
          <w:color w:val="auto"/>
        </w:rPr>
        <w:t>Basic and diluted net loss available to common shareholders from discontinued operations</w:t>
      </w:r>
    </w:p>
    <w:p>
      <w:pPr>
        <w:spacing w:after="0" w:line="1" w:lineRule="exact"/>
        <w:rPr>
          <w:sz w:val="20"/>
          <w:szCs w:val="20"/>
          <w:color w:val="auto"/>
        </w:rPr>
      </w:pPr>
    </w:p>
    <w:p>
      <w:pPr>
        <w:ind w:left="260" w:right="480" w:hanging="246"/>
        <w:spacing w:after="0" w:line="316" w:lineRule="auto"/>
        <w:rPr>
          <w:sz w:val="20"/>
          <w:szCs w:val="20"/>
          <w:color w:val="auto"/>
        </w:rPr>
      </w:pPr>
      <w:r>
        <w:rPr>
          <w:rFonts w:ascii="Arial" w:cs="Arial" w:eastAsia="Arial" w:hAnsi="Arial"/>
          <w:sz w:val="18"/>
          <w:szCs w:val="18"/>
          <w:color w:val="auto"/>
        </w:rPr>
        <w:t>Basic and diluted net earnings available to common shareholders attributable to Martin Marietta Materials, Inc.</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Basic weighted-average common shares outstanding</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Effect of dilutive employee and director awards</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Diluted weighted-average common shares outstanding</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81,938</w:t>
            </w:r>
          </w:p>
        </w:tc>
        <w:tc>
          <w:tcPr>
            <w:tcW w:w="240" w:type="dxa"/>
            <w:vAlign w:val="bottom"/>
          </w:tcPr>
          <w:p>
            <w:pPr>
              <w:spacing w:after="0"/>
              <w:rPr>
                <w:sz w:val="21"/>
                <w:szCs w:val="21"/>
                <w:color w:val="auto"/>
              </w:rPr>
            </w:pP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59,577</w:t>
            </w:r>
          </w:p>
        </w:tc>
        <w:tc>
          <w:tcPr>
            <w:tcW w:w="200" w:type="dxa"/>
            <w:vAlign w:val="bottom"/>
          </w:tcPr>
          <w:p>
            <w:pPr>
              <w:spacing w:after="0"/>
              <w:rPr>
                <w:sz w:val="21"/>
                <w:szCs w:val="21"/>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88,065</w:t>
            </w:r>
          </w:p>
        </w:tc>
        <w:tc>
          <w:tcPr>
            <w:tcW w:w="5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37,974</w:t>
            </w:r>
          </w:p>
        </w:tc>
        <w:tc>
          <w:tcPr>
            <w:tcW w:w="60" w:type="dxa"/>
            <w:vAlign w:val="bottom"/>
          </w:tcPr>
          <w:p>
            <w:pPr>
              <w:spacing w:after="0"/>
              <w:rPr>
                <w:sz w:val="21"/>
                <w:szCs w:val="21"/>
                <w:color w:val="auto"/>
              </w:rPr>
            </w:pPr>
          </w:p>
        </w:tc>
      </w:tr>
      <w:tr>
        <w:trPr>
          <w:trHeight w:val="473"/>
        </w:trPr>
        <w:tc>
          <w:tcPr>
            <w:tcW w:w="36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20"/>
                <w:szCs w:val="20"/>
                <w:color w:val="auto"/>
              </w:rPr>
              <w:t>(876)</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246</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403</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154</w:t>
            </w:r>
          </w:p>
        </w:tc>
        <w:tc>
          <w:tcPr>
            <w:tcW w:w="60" w:type="dxa"/>
            <w:vAlign w:val="bottom"/>
          </w:tcPr>
          <w:p>
            <w:pPr>
              <w:spacing w:after="0"/>
              <w:rPr>
                <w:sz w:val="24"/>
                <w:szCs w:val="24"/>
                <w:color w:val="auto"/>
              </w:rPr>
            </w:pPr>
          </w:p>
        </w:tc>
      </w:tr>
      <w:tr>
        <w:trPr>
          <w:trHeight w:val="118"/>
        </w:trPr>
        <w:tc>
          <w:tcPr>
            <w:tcW w:w="3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700"/>
        </w:trPr>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82,814</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59,331</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87,662</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37,820</w:t>
            </w:r>
          </w:p>
        </w:tc>
        <w:tc>
          <w:tcPr>
            <w:tcW w:w="60" w:type="dxa"/>
            <w:vAlign w:val="bottom"/>
          </w:tcPr>
          <w:p>
            <w:pPr>
              <w:spacing w:after="0"/>
              <w:rPr>
                <w:sz w:val="24"/>
                <w:szCs w:val="24"/>
                <w:color w:val="auto"/>
              </w:rPr>
            </w:pPr>
          </w:p>
        </w:tc>
      </w:tr>
      <w:tr>
        <w:trPr>
          <w:trHeight w:val="469"/>
        </w:trPr>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(56)</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(70)</w:t>
            </w:r>
          </w:p>
        </w:tc>
      </w:tr>
      <w:tr>
        <w:trPr>
          <w:trHeight w:val="20"/>
        </w:trPr>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82,814</w:t>
            </w:r>
          </w:p>
        </w:tc>
        <w:tc>
          <w:tcPr>
            <w:tcW w:w="240" w:type="dxa"/>
            <w:vAlign w:val="bottom"/>
          </w:tcPr>
          <w:p>
            <w:pPr>
              <w:spacing w:after="0"/>
              <w:rPr>
                <w:sz w:val="24"/>
                <w:szCs w:val="24"/>
                <w:color w:val="auto"/>
              </w:rPr>
            </w:pP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59,275</w:t>
            </w:r>
          </w:p>
        </w:tc>
        <w:tc>
          <w:tcPr>
            <w:tcW w:w="200" w:type="dxa"/>
            <w:vAlign w:val="bottom"/>
          </w:tcPr>
          <w:p>
            <w:pPr>
              <w:spacing w:after="0"/>
              <w:rPr>
                <w:sz w:val="24"/>
                <w:szCs w:val="24"/>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87,662</w:t>
            </w:r>
          </w:p>
        </w:tc>
        <w:tc>
          <w:tcPr>
            <w:tcW w:w="5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37,750</w:t>
            </w:r>
          </w:p>
        </w:tc>
        <w:tc>
          <w:tcPr>
            <w:tcW w:w="60" w:type="dxa"/>
            <w:vAlign w:val="bottom"/>
          </w:tcPr>
          <w:p>
            <w:pPr>
              <w:spacing w:after="0"/>
              <w:rPr>
                <w:sz w:val="24"/>
                <w:szCs w:val="24"/>
                <w:color w:val="auto"/>
              </w:rPr>
            </w:pP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3"/>
        </w:trPr>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67,373</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46,395</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67,392</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46,355</w:t>
            </w:r>
          </w:p>
        </w:tc>
        <w:tc>
          <w:tcPr>
            <w:tcW w:w="60" w:type="dxa"/>
            <w:vAlign w:val="bottom"/>
          </w:tcPr>
          <w:p>
            <w:pPr>
              <w:spacing w:after="0"/>
              <w:rPr>
                <w:sz w:val="24"/>
                <w:szCs w:val="24"/>
                <w:color w:val="auto"/>
              </w:rPr>
            </w:pPr>
          </w:p>
        </w:tc>
      </w:tr>
      <w:tr>
        <w:trPr>
          <w:trHeight w:val="246"/>
        </w:trPr>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260</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w:t>
            </w: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262</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w:t>
            </w:r>
          </w:p>
        </w:tc>
        <w:tc>
          <w:tcPr>
            <w:tcW w:w="60" w:type="dxa"/>
            <w:vAlign w:val="bottom"/>
          </w:tcPr>
          <w:p>
            <w:pPr>
              <w:spacing w:after="0"/>
              <w:rPr>
                <w:sz w:val="21"/>
                <w:szCs w:val="2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67,633</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46,529</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67,654</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46,477</w:t>
            </w:r>
          </w:p>
        </w:tc>
        <w:tc>
          <w:tcPr>
            <w:tcW w:w="60" w:type="dxa"/>
            <w:vAlign w:val="bottom"/>
          </w:tcPr>
          <w:p>
            <w:pPr>
              <w:spacing w:after="0"/>
              <w:rPr>
                <w:sz w:val="20"/>
                <w:szCs w:val="20"/>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-2040255</wp:posOffset>
            </wp:positionV>
            <wp:extent cx="7310120"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0120" cy="30035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-1285875</wp:posOffset>
            </wp:positionV>
            <wp:extent cx="7310120"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0120" cy="30035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-668020</wp:posOffset>
            </wp:positionV>
            <wp:extent cx="73101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0120" cy="17145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-342265</wp:posOffset>
            </wp:positionV>
            <wp:extent cx="73101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01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720"/>
            <w:col w:w="5360"/>
          </w:cols>
          <w:pgMar w:left="240" w:top="122" w:right="179" w:bottom="1440" w:gutter="0" w:footer="0" w:header="0"/>
          <w:type w:val="continuous"/>
        </w:sectPr>
      </w:pPr>
    </w:p>
    <w:p>
      <w:pPr>
        <w:spacing w:after="0" w:line="398"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Combinations and Assets Held for Sale</w:t>
      </w:r>
    </w:p>
    <w:p>
      <w:pPr>
        <w:spacing w:after="0" w:line="113" w:lineRule="exact"/>
        <w:rPr>
          <w:rFonts w:ascii="Arial" w:cs="Arial" w:eastAsia="Arial" w:hAnsi="Arial"/>
          <w:sz w:val="20"/>
          <w:szCs w:val="20"/>
          <w:b w:val="1"/>
          <w:bCs w:val="1"/>
          <w:color w:val="auto"/>
        </w:rPr>
      </w:pPr>
    </w:p>
    <w:p>
      <w:pPr>
        <w:jc w:val="both"/>
        <w:ind w:left="380" w:right="60"/>
        <w:spacing w:after="0" w:line="269" w:lineRule="auto"/>
        <w:rPr>
          <w:rFonts w:ascii="Arial" w:cs="Arial" w:eastAsia="Arial" w:hAnsi="Arial"/>
          <w:sz w:val="20"/>
          <w:szCs w:val="20"/>
          <w:b w:val="1"/>
          <w:bCs w:val="1"/>
          <w:color w:val="auto"/>
        </w:rPr>
      </w:pPr>
      <w:r>
        <w:rPr>
          <w:rFonts w:ascii="Arial" w:cs="Arial" w:eastAsia="Arial" w:hAnsi="Arial"/>
          <w:sz w:val="19"/>
          <w:szCs w:val="19"/>
          <w:color w:val="auto"/>
        </w:rPr>
        <w:t>The Corporation acquired Texas Industries, Inc. (“TXI”) on July 1, 2014. For the three and six months ended June 30, 2015, total revenues of $243,837,000 and $467,896,000, respectively, and earnings from operations of $25,242,000 and $33,936,000, respectively, were attributable to TXI operations and included in the Corporation’s consolidated statements of earnings.</w:t>
      </w:r>
    </w:p>
    <w:p>
      <w:pPr>
        <w:spacing w:after="0" w:line="170" w:lineRule="exact"/>
        <w:rPr>
          <w:sz w:val="20"/>
          <w:szCs w:val="20"/>
          <w:color w:val="auto"/>
        </w:rPr>
      </w:pPr>
    </w:p>
    <w:p>
      <w:pPr>
        <w:jc w:val="both"/>
        <w:ind w:left="380" w:right="80"/>
        <w:spacing w:after="0" w:line="250" w:lineRule="auto"/>
        <w:rPr>
          <w:sz w:val="20"/>
          <w:szCs w:val="20"/>
          <w:color w:val="auto"/>
        </w:rPr>
      </w:pPr>
      <w:r>
        <w:rPr>
          <w:rFonts w:ascii="Arial" w:cs="Arial" w:eastAsia="Arial" w:hAnsi="Arial"/>
          <w:sz w:val="20"/>
          <w:szCs w:val="20"/>
          <w:color w:val="auto"/>
        </w:rPr>
        <w:t>Acquisition-related expenses, net, associated with TXI were $2,135,000 and $3,586,000 for the three and six months ended June 30, 2015, respectively. For the three and six months ended June 30, 2014, acquisition-related expenses, net, associated with TXI were $5,265,000 and $14,991,000, respectively.</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Page 13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80"/>
          </w:cols>
          <w:pgMar w:left="240" w:top="122" w:right="17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Combinations and Assets Held for Sale (continued)</w:t>
      </w:r>
    </w:p>
    <w:p>
      <w:pPr>
        <w:spacing w:after="0" w:line="221"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u w:val="single" w:color="auto"/>
          <w:color w:val="auto"/>
        </w:rPr>
        <w:t>Unaudited Pro Forma Financial Information</w:t>
      </w:r>
    </w:p>
    <w:p>
      <w:pPr>
        <w:spacing w:after="0" w:line="107" w:lineRule="exact"/>
        <w:rPr>
          <w:rFonts w:ascii="Arial" w:cs="Arial" w:eastAsia="Arial" w:hAnsi="Arial"/>
          <w:sz w:val="20"/>
          <w:szCs w:val="20"/>
          <w:b w:val="1"/>
          <w:bCs w:val="1"/>
          <w:color w:val="auto"/>
        </w:rPr>
      </w:pPr>
    </w:p>
    <w:p>
      <w:pPr>
        <w:jc w:val="both"/>
        <w:ind w:left="380"/>
        <w:spacing w:after="0" w:line="276" w:lineRule="auto"/>
        <w:rPr>
          <w:rFonts w:ascii="Arial" w:cs="Arial" w:eastAsia="Arial" w:hAnsi="Arial"/>
          <w:sz w:val="20"/>
          <w:szCs w:val="20"/>
          <w:b w:val="1"/>
          <w:bCs w:val="1"/>
          <w:color w:val="auto"/>
        </w:rPr>
      </w:pPr>
      <w:r>
        <w:rPr>
          <w:rFonts w:ascii="Arial" w:cs="Arial" w:eastAsia="Arial" w:hAnsi="Arial"/>
          <w:sz w:val="18"/>
          <w:szCs w:val="18"/>
          <w:color w:val="auto"/>
        </w:rPr>
        <w:t>The unaudited pro forma financial information in the table below summarizes the combined consolidated results of operations for the Corporation and TXI as though the companies were combined as of January 1, 2014. Transactions between Martin Marietta and TXI during the periods presented in the pro forma financial statements have been eliminated as if Martin Marietta and TXI were consolidated affiliates during the periods. Financial information for periods prior to the July 1, 2014 actual acquisition date included in the pro forma earnings does not reflect any cost savings or associated costs to achieve such savings from operating efficiencies, synergies, debt refinancing, utilization of TXI net operating loss carryforwards or other restructuring that resulted from the combination.</w:t>
      </w:r>
    </w:p>
    <w:p>
      <w:pPr>
        <w:spacing w:after="0" w:line="165"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unaudited pro forma financial information for the three and six months ended June 30, 2014 includes TXI’s historical operating results for the three and six months ended May 31, 2014 (due to a difference in TXI’s historical reporting periods).</w:t>
      </w:r>
    </w:p>
    <w:p>
      <w:pPr>
        <w:spacing w:after="0" w:line="68" w:lineRule="exact"/>
        <w:rPr>
          <w:rFonts w:ascii="Arial" w:cs="Arial" w:eastAsia="Arial" w:hAnsi="Arial"/>
          <w:sz w:val="20"/>
          <w:szCs w:val="20"/>
          <w:b w:val="1"/>
          <w:bCs w:val="1"/>
          <w:color w:val="auto"/>
        </w:rPr>
      </w:pPr>
    </w:p>
    <w:p>
      <w:pPr>
        <w:jc w:val="both"/>
        <w:ind w:left="380" w:right="2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The pro forma financial statements do not purport to project the future financial position or operating results of the combined company. The pro forma financial information presented below is for informational purposes only and is not indicative of the results of operations that would have been achieved if the acquisitions had taken place as of January 1, 2014.</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260" w:right="1840" w:hanging="246"/>
        <w:spacing w:after="0" w:line="253" w:lineRule="auto"/>
        <w:rPr>
          <w:sz w:val="20"/>
          <w:szCs w:val="20"/>
          <w:color w:val="auto"/>
        </w:rPr>
      </w:pPr>
      <w:r>
        <w:rPr>
          <w:rFonts w:ascii="Arial" w:cs="Arial" w:eastAsia="Arial" w:hAnsi="Arial"/>
          <w:sz w:val="20"/>
          <w:szCs w:val="20"/>
          <w:color w:val="auto"/>
        </w:rPr>
        <w:t>Earnings (Loss) from continuing operations attributable to controlling interest</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20"/>
          <w:szCs w:val="20"/>
          <w:u w:val="single" w:color="auto"/>
          <w:color w:val="auto"/>
        </w:rPr>
        <w:t>Assets Held for Sale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40" w:type="dxa"/>
            <w:vAlign w:val="bottom"/>
          </w:tcPr>
          <w:p>
            <w:pPr>
              <w:spacing w:after="0"/>
              <w:rPr>
                <w:sz w:val="21"/>
                <w:szCs w:val="21"/>
                <w:color w:val="auto"/>
              </w:rPr>
            </w:pPr>
          </w:p>
        </w:tc>
        <w:tc>
          <w:tcPr>
            <w:tcW w:w="2020" w:type="dxa"/>
            <w:vAlign w:val="bottom"/>
          </w:tcPr>
          <w:p>
            <w:pPr>
              <w:jc w:val="right"/>
              <w:ind w:right="221"/>
              <w:spacing w:after="0"/>
              <w:rPr>
                <w:sz w:val="20"/>
                <w:szCs w:val="20"/>
                <w:color w:val="auto"/>
              </w:rPr>
            </w:pPr>
            <w:r>
              <w:rPr>
                <w:rFonts w:ascii="Arial" w:cs="Arial" w:eastAsia="Arial" w:hAnsi="Arial"/>
                <w:sz w:val="20"/>
                <w:szCs w:val="20"/>
                <w:color w:val="auto"/>
                <w:w w:val="89"/>
              </w:rPr>
              <w:t>Three Months Ended</w:t>
            </w:r>
          </w:p>
        </w:tc>
        <w:tc>
          <w:tcPr>
            <w:tcW w:w="30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20"/>
                <w:szCs w:val="20"/>
                <w:color w:val="auto"/>
                <w:w w:val="91"/>
              </w:rPr>
              <w:t>Six Months Ended</w:t>
            </w:r>
          </w:p>
        </w:tc>
      </w:tr>
      <w:tr>
        <w:trPr>
          <w:trHeight w:val="246"/>
        </w:trPr>
        <w:tc>
          <w:tcPr>
            <w:tcW w:w="140" w:type="dxa"/>
            <w:vAlign w:val="bottom"/>
          </w:tcPr>
          <w:p>
            <w:pPr>
              <w:spacing w:after="0"/>
              <w:rPr>
                <w:sz w:val="21"/>
                <w:szCs w:val="21"/>
                <w:color w:val="auto"/>
              </w:rPr>
            </w:pPr>
          </w:p>
        </w:tc>
        <w:tc>
          <w:tcPr>
            <w:tcW w:w="2020" w:type="dxa"/>
            <w:vAlign w:val="bottom"/>
          </w:tcPr>
          <w:p>
            <w:pPr>
              <w:jc w:val="right"/>
              <w:ind w:right="501"/>
              <w:spacing w:after="0"/>
              <w:rPr>
                <w:sz w:val="20"/>
                <w:szCs w:val="20"/>
                <w:color w:val="auto"/>
              </w:rPr>
            </w:pPr>
            <w:r>
              <w:rPr>
                <w:rFonts w:ascii="Arial" w:cs="Arial" w:eastAsia="Arial" w:hAnsi="Arial"/>
                <w:sz w:val="20"/>
                <w:szCs w:val="20"/>
                <w:color w:val="auto"/>
              </w:rPr>
              <w:t>June 30, 2014</w:t>
            </w:r>
          </w:p>
        </w:tc>
        <w:tc>
          <w:tcPr>
            <w:tcW w:w="300" w:type="dxa"/>
            <w:vAlign w:val="bottom"/>
          </w:tcPr>
          <w:p>
            <w:pPr>
              <w:spacing w:after="0"/>
              <w:rPr>
                <w:sz w:val="21"/>
                <w:szCs w:val="21"/>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20"/>
                <w:szCs w:val="20"/>
                <w:color w:val="auto"/>
              </w:rPr>
              <w:t>June 30, 2014</w:t>
            </w:r>
          </w:p>
        </w:tc>
      </w:tr>
      <w:tr>
        <w:trPr>
          <w:trHeight w:val="233"/>
        </w:trPr>
        <w:tc>
          <w:tcPr>
            <w:tcW w:w="140" w:type="dxa"/>
            <w:vAlign w:val="bottom"/>
            <w:tcBorders>
              <w:top w:val="single" w:sz="8" w:color="auto"/>
            </w:tcBorders>
          </w:tcPr>
          <w:p>
            <w:pPr>
              <w:spacing w:after="0"/>
              <w:rPr>
                <w:sz w:val="20"/>
                <w:szCs w:val="20"/>
                <w:color w:val="auto"/>
              </w:rPr>
            </w:pPr>
          </w:p>
        </w:tc>
        <w:tc>
          <w:tcPr>
            <w:tcW w:w="3980" w:type="dxa"/>
            <w:vAlign w:val="bottom"/>
            <w:tcBorders>
              <w:top w:val="single" w:sz="8" w:color="auto"/>
            </w:tcBorders>
            <w:gridSpan w:val="3"/>
          </w:tcPr>
          <w:p>
            <w:pPr>
              <w:jc w:val="right"/>
              <w:ind w:right="1041"/>
              <w:spacing w:after="0"/>
              <w:rPr>
                <w:sz w:val="20"/>
                <w:szCs w:val="20"/>
                <w:color w:val="auto"/>
              </w:rPr>
            </w:pPr>
            <w:r>
              <w:rPr>
                <w:rFonts w:ascii="Arial" w:cs="Arial" w:eastAsia="Arial" w:hAnsi="Arial"/>
                <w:sz w:val="20"/>
                <w:szCs w:val="20"/>
                <w:i w:val="1"/>
                <w:iCs w:val="1"/>
                <w:color w:val="auto"/>
              </w:rPr>
              <w:t>(Dollars in Thousands)</w:t>
            </w:r>
          </w:p>
        </w:tc>
        <w:tc>
          <w:tcPr>
            <w:tcW w:w="60" w:type="dxa"/>
            <w:vAlign w:val="bottom"/>
          </w:tcPr>
          <w:p>
            <w:pPr>
              <w:spacing w:after="0"/>
              <w:rPr>
                <w:sz w:val="20"/>
                <w:szCs w:val="20"/>
                <w:color w:val="auto"/>
              </w:rPr>
            </w:pPr>
          </w:p>
        </w:tc>
      </w:tr>
      <w:tr>
        <w:trPr>
          <w:trHeight w:val="250"/>
        </w:trPr>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20" w:type="dxa"/>
            <w:vAlign w:val="bottom"/>
          </w:tcPr>
          <w:p>
            <w:pPr>
              <w:jc w:val="right"/>
              <w:ind w:right="61"/>
              <w:spacing w:after="0"/>
              <w:rPr>
                <w:sz w:val="20"/>
                <w:szCs w:val="20"/>
                <w:color w:val="auto"/>
              </w:rPr>
            </w:pPr>
            <w:r>
              <w:rPr>
                <w:rFonts w:ascii="Arial" w:cs="Arial" w:eastAsia="Arial" w:hAnsi="Arial"/>
                <w:sz w:val="20"/>
                <w:szCs w:val="20"/>
                <w:color w:val="auto"/>
              </w:rPr>
              <w:t>831,760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1,395,150</w:t>
            </w:r>
          </w:p>
        </w:tc>
        <w:tc>
          <w:tcPr>
            <w:tcW w:w="60" w:type="dxa"/>
            <w:vAlign w:val="bottom"/>
          </w:tcPr>
          <w:p>
            <w:pPr>
              <w:spacing w:after="0"/>
              <w:rPr>
                <w:sz w:val="21"/>
                <w:szCs w:val="21"/>
                <w:color w:val="auto"/>
              </w:rPr>
            </w:pPr>
          </w:p>
        </w:tc>
      </w:tr>
      <w:tr>
        <w:trPr>
          <w:trHeight w:val="351"/>
        </w:trPr>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020" w:type="dxa"/>
            <w:vAlign w:val="bottom"/>
          </w:tcPr>
          <w:p>
            <w:pPr>
              <w:jc w:val="right"/>
              <w:ind w:right="61"/>
              <w:spacing w:after="0"/>
              <w:rPr>
                <w:sz w:val="20"/>
                <w:szCs w:val="20"/>
                <w:color w:val="auto"/>
              </w:rPr>
            </w:pPr>
            <w:r>
              <w:rPr>
                <w:rFonts w:ascii="Arial" w:cs="Arial" w:eastAsia="Arial" w:hAnsi="Arial"/>
                <w:sz w:val="20"/>
                <w:szCs w:val="20"/>
                <w:color w:val="auto"/>
              </w:rPr>
              <w:t>68,313</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(11,474)</w:t>
            </w:r>
          </w:p>
        </w:tc>
      </w:tr>
    </w:tbl>
    <w:p>
      <w:pPr>
        <w:spacing w:after="0" w:line="654" w:lineRule="exact"/>
        <w:rPr>
          <w:sz w:val="20"/>
          <w:szCs w:val="20"/>
          <w:color w:val="auto"/>
        </w:rPr>
      </w:pPr>
    </w:p>
    <w:p>
      <w:pPr>
        <w:sectPr>
          <w:pgSz w:w="11900" w:h="16838" w:orient="portrait"/>
          <w:cols w:equalWidth="0" w:num="2">
            <w:col w:w="6460" w:space="720"/>
            <w:col w:w="4240"/>
          </w:cols>
          <w:pgMar w:left="240" w:top="122" w:right="239" w:bottom="1440" w:gutter="0" w:footer="0" w:header="0"/>
          <w:type w:val="continuous"/>
        </w:sectPr>
      </w:pPr>
    </w:p>
    <w:p>
      <w:pPr>
        <w:jc w:val="both"/>
        <w:ind w:left="380"/>
        <w:spacing w:after="0" w:line="250" w:lineRule="auto"/>
        <w:rPr>
          <w:sz w:val="20"/>
          <w:szCs w:val="20"/>
          <w:color w:val="auto"/>
        </w:rPr>
      </w:pPr>
      <w:r>
        <w:rPr>
          <w:rFonts w:ascii="Arial" w:cs="Arial" w:eastAsia="Arial" w:hAnsi="Arial"/>
          <w:sz w:val="20"/>
          <w:szCs w:val="20"/>
          <w:color w:val="auto"/>
        </w:rPr>
        <w:t>At June 30, 2015, the Corporation classified assets related to the California cement operations as assets held for sale, and primarily included the cement plant, mobile equipment and intangible assets. In addition, assets held for sale also included inventory. These assets are reported within the Cement Group segment in Note 10.</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There are liabilities that will be transferred as part of the sale, which are reported in other current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Goodwill</w:t>
      </w:r>
    </w:p>
    <w:p>
      <w:pPr>
        <w:spacing w:after="0" w:line="235"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The following table shows the changes in goodwill by reportable segment and in total:</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9"/>
          </w:tcPr>
          <w:p>
            <w:pPr>
              <w:jc w:val="center"/>
              <w:ind w:right="3"/>
              <w:spacing w:after="0"/>
              <w:rPr>
                <w:sz w:val="20"/>
                <w:szCs w:val="20"/>
                <w:color w:val="auto"/>
              </w:rPr>
            </w:pPr>
            <w:r>
              <w:rPr>
                <w:rFonts w:ascii="Arial" w:cs="Arial" w:eastAsia="Arial" w:hAnsi="Arial"/>
                <w:sz w:val="20"/>
                <w:szCs w:val="20"/>
                <w:i w:val="1"/>
                <w:iCs w:val="1"/>
                <w:color w:val="auto"/>
                <w:w w:val="91"/>
              </w:rPr>
              <w:t>(Dollars in Thousands)</w:t>
            </w: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19"/>
                <w:szCs w:val="19"/>
                <w:color w:val="auto"/>
              </w:rPr>
            </w:pPr>
          </w:p>
        </w:tc>
        <w:tc>
          <w:tcPr>
            <w:tcW w:w="1380" w:type="dxa"/>
            <w:vAlign w:val="bottom"/>
            <w:gridSpan w:val="3"/>
          </w:tcPr>
          <w:p>
            <w:pPr>
              <w:jc w:val="right"/>
              <w:ind w:right="180"/>
              <w:spacing w:after="0" w:line="228" w:lineRule="exact"/>
              <w:rPr>
                <w:sz w:val="20"/>
                <w:szCs w:val="20"/>
                <w:color w:val="auto"/>
              </w:rPr>
            </w:pPr>
            <w:r>
              <w:rPr>
                <w:rFonts w:ascii="Arial" w:cs="Arial" w:eastAsia="Arial" w:hAnsi="Arial"/>
                <w:sz w:val="20"/>
                <w:szCs w:val="20"/>
                <w:b w:val="1"/>
                <w:bCs w:val="1"/>
                <w:color w:val="auto"/>
                <w:w w:val="98"/>
              </w:rPr>
              <w:t>Mid-America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41"/>
              <w:spacing w:after="0" w:line="228" w:lineRule="exact"/>
              <w:rPr>
                <w:sz w:val="20"/>
                <w:szCs w:val="20"/>
                <w:color w:val="auto"/>
              </w:rPr>
            </w:pPr>
            <w:r>
              <w:rPr>
                <w:rFonts w:ascii="Arial" w:cs="Arial" w:eastAsia="Arial" w:hAnsi="Arial"/>
                <w:sz w:val="20"/>
                <w:szCs w:val="20"/>
                <w:b w:val="1"/>
                <w:bCs w:val="1"/>
                <w:color w:val="auto"/>
                <w:w w:val="90"/>
              </w:rPr>
              <w:t>Southeast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left="21"/>
              <w:spacing w:after="0" w:line="228" w:lineRule="exact"/>
              <w:rPr>
                <w:sz w:val="20"/>
                <w:szCs w:val="20"/>
                <w:color w:val="auto"/>
              </w:rPr>
            </w:pPr>
            <w:r>
              <w:rPr>
                <w:rFonts w:ascii="Arial" w:cs="Arial" w:eastAsia="Arial" w:hAnsi="Arial"/>
                <w:sz w:val="20"/>
                <w:szCs w:val="20"/>
                <w:b w:val="1"/>
                <w:bCs w:val="1"/>
                <w:color w:val="auto"/>
                <w:w w:val="87"/>
              </w:rPr>
              <w:t>West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20"/>
                <w:szCs w:val="20"/>
                <w:b w:val="1"/>
                <w:bCs w:val="1"/>
                <w:color w:val="auto"/>
              </w:rPr>
              <w:t>Group</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81"/>
              <w:spacing w:after="0"/>
              <w:rPr>
                <w:sz w:val="20"/>
                <w:szCs w:val="20"/>
                <w:color w:val="auto"/>
              </w:rPr>
            </w:pPr>
            <w:r>
              <w:rPr>
                <w:rFonts w:ascii="Arial" w:cs="Arial" w:eastAsia="Arial" w:hAnsi="Arial"/>
                <w:sz w:val="20"/>
                <w:szCs w:val="20"/>
                <w:b w:val="1"/>
                <w:bCs w:val="1"/>
                <w:color w:val="auto"/>
              </w:rPr>
              <w:t>Group</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center"/>
              <w:ind w:left="1"/>
              <w:spacing w:after="0"/>
              <w:rPr>
                <w:sz w:val="20"/>
                <w:szCs w:val="20"/>
                <w:color w:val="auto"/>
              </w:rPr>
            </w:pPr>
            <w:r>
              <w:rPr>
                <w:rFonts w:ascii="Arial" w:cs="Arial" w:eastAsia="Arial" w:hAnsi="Arial"/>
                <w:sz w:val="20"/>
                <w:szCs w:val="20"/>
                <w:b w:val="1"/>
                <w:bCs w:val="1"/>
                <w:color w:val="auto"/>
                <w:w w:val="93"/>
              </w:rPr>
              <w:t>Group</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20"/>
                <w:szCs w:val="20"/>
                <w:b w:val="1"/>
                <w:bCs w:val="1"/>
                <w:color w:val="auto"/>
                <w:w w:val="95"/>
              </w:rPr>
              <w:t>Cement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87"/>
              </w:rPr>
              <w:t>Total</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040" w:type="dxa"/>
            <w:vAlign w:val="bottom"/>
            <w:tcBorders>
              <w:top w:val="single" w:sz="8" w:color="auto"/>
              <w:bottom w:val="single" w:sz="8" w:color="auto"/>
            </w:tcBorders>
            <w:gridSpan w:val="13"/>
          </w:tcPr>
          <w:p>
            <w:pPr>
              <w:jc w:val="center"/>
              <w:ind w:right="240"/>
              <w:spacing w:after="0"/>
              <w:rPr>
                <w:sz w:val="20"/>
                <w:szCs w:val="20"/>
                <w:color w:val="auto"/>
              </w:rPr>
            </w:pPr>
            <w:r>
              <w:rPr>
                <w:rFonts w:ascii="Arial" w:cs="Arial" w:eastAsia="Arial" w:hAnsi="Arial"/>
                <w:sz w:val="20"/>
                <w:szCs w:val="20"/>
                <w:color w:val="auto"/>
                <w:w w:val="89"/>
              </w:rPr>
              <w:t>Six Months Ended June 30, 2015</w:t>
            </w: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Balance at January 1, 2015</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282,117</w:t>
            </w:r>
          </w:p>
        </w:tc>
        <w:tc>
          <w:tcPr>
            <w:tcW w:w="8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50,346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852,436</w:t>
            </w:r>
          </w:p>
        </w:tc>
        <w:tc>
          <w:tcPr>
            <w:tcW w:w="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83"/>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883,900</w:t>
            </w:r>
          </w:p>
        </w:tc>
        <w:tc>
          <w:tcPr>
            <w:tcW w:w="1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1"/>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2,068,799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20"/>
                <w:szCs w:val="20"/>
                <w:color w:val="auto"/>
              </w:rPr>
              <w:t>Adjustments to purchase price allocations</w:t>
            </w:r>
          </w:p>
        </w:tc>
        <w:tc>
          <w:tcPr>
            <w:tcW w:w="2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20"/>
                <w:szCs w:val="20"/>
                <w:color w:val="auto"/>
              </w:rPr>
              <w:t>15,882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20"/>
                <w:szCs w:val="20"/>
                <w:color w:val="auto"/>
              </w:rPr>
              <w:t>(18,978)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20"/>
                <w:szCs w:val="20"/>
                <w:color w:val="auto"/>
              </w:rPr>
              <w:t>(3,096)</w:t>
            </w:r>
          </w:p>
        </w:tc>
        <w:tc>
          <w:tcPr>
            <w:tcW w:w="0" w:type="dxa"/>
            <w:vAlign w:val="bottom"/>
          </w:tcPr>
          <w:p>
            <w:pPr>
              <w:spacing w:after="0"/>
              <w:rPr>
                <w:sz w:val="1"/>
                <w:szCs w:val="1"/>
                <w:color w:val="auto"/>
              </w:rPr>
            </w:pPr>
          </w:p>
        </w:tc>
      </w:tr>
      <w:tr>
        <w:trPr>
          <w:trHeight w:val="243"/>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Acquisitions</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893</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20"/>
                <w:szCs w:val="20"/>
                <w:color w:val="auto"/>
              </w:rPr>
              <w:t>Divestitures</w:t>
            </w:r>
          </w:p>
        </w:tc>
        <w:tc>
          <w:tcPr>
            <w:tcW w:w="2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(714)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20"/>
                <w:szCs w:val="20"/>
                <w:color w:val="auto"/>
              </w:rPr>
              <w:t>(714)</w:t>
            </w:r>
          </w:p>
        </w:tc>
        <w:tc>
          <w:tcPr>
            <w:tcW w:w="0" w:type="dxa"/>
            <w:vAlign w:val="bottom"/>
          </w:tcPr>
          <w:p>
            <w:pPr>
              <w:spacing w:after="0"/>
              <w:rPr>
                <w:sz w:val="1"/>
                <w:szCs w:val="1"/>
                <w:color w:val="auto"/>
              </w:rPr>
            </w:pPr>
          </w:p>
        </w:tc>
      </w:tr>
      <w:tr>
        <w:trPr>
          <w:trHeight w:val="237"/>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June 30, 2015</w:t>
            </w: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281,403</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50,346</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20"/>
                <w:szCs w:val="20"/>
                <w:color w:val="auto"/>
              </w:rPr>
              <w:t>869,211</w:t>
            </w: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864,922</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2,065,882</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20"/>
                <w:szCs w:val="20"/>
                <w:b w:val="1"/>
                <w:bCs w:val="1"/>
                <w:color w:val="auto"/>
              </w:rPr>
              <w:t>4.   Inventories, Net</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21"/>
              <w:spacing w:after="0"/>
              <w:rPr>
                <w:sz w:val="20"/>
                <w:szCs w:val="20"/>
                <w:color w:val="auto"/>
              </w:rPr>
            </w:pPr>
            <w:r>
              <w:rPr>
                <w:rFonts w:ascii="Arial" w:cs="Arial" w:eastAsia="Arial" w:hAnsi="Arial"/>
                <w:sz w:val="20"/>
                <w:szCs w:val="20"/>
                <w:color w:val="auto"/>
                <w:w w:val="91"/>
              </w:rPr>
              <w:t>June 30,</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5"/>
          </w:tcPr>
          <w:p>
            <w:pPr>
              <w:jc w:val="center"/>
              <w:ind w:right="320"/>
              <w:spacing w:after="0"/>
              <w:rPr>
                <w:sz w:val="20"/>
                <w:szCs w:val="20"/>
                <w:color w:val="auto"/>
              </w:rPr>
            </w:pPr>
            <w:r>
              <w:rPr>
                <w:rFonts w:ascii="Arial" w:cs="Arial" w:eastAsia="Arial" w:hAnsi="Arial"/>
                <w:sz w:val="20"/>
                <w:szCs w:val="20"/>
                <w:color w:val="auto"/>
                <w:w w:val="89"/>
              </w:rPr>
              <w:t>December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20"/>
                <w:szCs w:val="20"/>
                <w:color w:val="auto"/>
                <w:w w:val="85"/>
              </w:rPr>
              <w:t>June 30,</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w w:val="94"/>
              </w:rPr>
              <w:t>2015</w:t>
            </w: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01"/>
              <w:spacing w:after="0"/>
              <w:rPr>
                <w:sz w:val="20"/>
                <w:szCs w:val="20"/>
                <w:color w:val="auto"/>
              </w:rPr>
            </w:pPr>
            <w:r>
              <w:rPr>
                <w:rFonts w:ascii="Arial" w:cs="Arial" w:eastAsia="Arial" w:hAnsi="Arial"/>
                <w:sz w:val="20"/>
                <w:szCs w:val="20"/>
                <w:color w:val="auto"/>
                <w:w w:val="89"/>
              </w:rPr>
              <w:t>2014</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89"/>
              </w:rPr>
              <w:t>2014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11"/>
          </w:tcPr>
          <w:p>
            <w:pPr>
              <w:jc w:val="center"/>
              <w:ind w:left="601"/>
              <w:spacing w:after="0"/>
              <w:rPr>
                <w:sz w:val="20"/>
                <w:szCs w:val="20"/>
                <w:color w:val="auto"/>
              </w:rPr>
            </w:pPr>
            <w:r>
              <w:rPr>
                <w:rFonts w:ascii="Arial" w:cs="Arial" w:eastAsia="Arial" w:hAnsi="Arial"/>
                <w:sz w:val="20"/>
                <w:szCs w:val="20"/>
                <w:i w:val="1"/>
                <w:iCs w:val="1"/>
                <w:color w:val="auto"/>
                <w:w w:val="92"/>
              </w:rPr>
              <w:t>(Dollars in Thousands)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Finished products</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427,298</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413,766</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358,759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20"/>
                <w:szCs w:val="20"/>
                <w:color w:val="auto"/>
              </w:rPr>
              <w:t>Products in process and raw materials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60,498</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65,250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20,732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Supplies and expendable parts</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112,587</w:t>
            </w:r>
          </w:p>
        </w:tc>
        <w:tc>
          <w:tcPr>
            <w:tcW w:w="220" w:type="dxa"/>
            <w:vAlign w:val="bottom"/>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125,092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65,287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600,383</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604,108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444,778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Less: Allowances</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(120,527)</w:t>
            </w: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(119,189)</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(96,610)</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20"/>
                <w:szCs w:val="20"/>
                <w:color w:val="auto"/>
              </w:rPr>
              <w:t>Total</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479,856</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w w:val="71"/>
              </w:rPr>
              <w:t>$</w:t>
            </w:r>
          </w:p>
        </w:tc>
        <w:tc>
          <w:tcPr>
            <w:tcW w:w="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484,919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gridSpan w:val="2"/>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348,168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900" w:type="dxa"/>
            <w:vAlign w:val="bottom"/>
          </w:tcPr>
          <w:p>
            <w:pPr>
              <w:spacing w:after="0"/>
              <w:rPr>
                <w:sz w:val="20"/>
                <w:szCs w:val="20"/>
                <w:color w:val="auto"/>
              </w:rPr>
            </w:pPr>
            <w:r>
              <w:rPr>
                <w:rFonts w:ascii="Arial" w:cs="Arial" w:eastAsia="Arial" w:hAnsi="Arial"/>
                <w:sz w:val="20"/>
                <w:szCs w:val="20"/>
                <w:b w:val="1"/>
                <w:bCs w:val="1"/>
                <w:color w:val="auto"/>
              </w:rPr>
              <w:t>5.   Long-Term Debt</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452"/>
        </w:trPr>
        <w:tc>
          <w:tcPr>
            <w:tcW w:w="6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ind w:left="120"/>
              <w:spacing w:after="0"/>
              <w:rPr>
                <w:sz w:val="20"/>
                <w:szCs w:val="20"/>
                <w:color w:val="auto"/>
              </w:rPr>
            </w:pPr>
            <w:r>
              <w:rPr>
                <w:rFonts w:ascii="Arial" w:cs="Arial" w:eastAsia="Arial" w:hAnsi="Arial"/>
                <w:sz w:val="20"/>
                <w:szCs w:val="20"/>
                <w:color w:val="auto"/>
              </w:rPr>
              <w:t>June 30,</w:t>
            </w:r>
          </w:p>
        </w:tc>
        <w:tc>
          <w:tcPr>
            <w:tcW w:w="100" w:type="dxa"/>
            <w:vAlign w:val="bottom"/>
          </w:tcPr>
          <w:p>
            <w:pPr>
              <w:spacing w:after="0"/>
              <w:rPr>
                <w:sz w:val="24"/>
                <w:szCs w:val="24"/>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20"/>
                <w:szCs w:val="20"/>
                <w:color w:val="auto"/>
                <w:w w:val="89"/>
              </w:rPr>
              <w:t>December 31,</w:t>
            </w:r>
          </w:p>
        </w:tc>
        <w:tc>
          <w:tcPr>
            <w:tcW w:w="22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20"/>
                <w:szCs w:val="20"/>
                <w:color w:val="auto"/>
                <w:w w:val="98"/>
              </w:rPr>
              <w:t>June 30,</w:t>
            </w:r>
          </w:p>
        </w:tc>
      </w:tr>
      <w:tr>
        <w:trPr>
          <w:trHeight w:val="246"/>
        </w:trPr>
        <w:tc>
          <w:tcPr>
            <w:tcW w:w="69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2015</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
              <w:spacing w:after="0"/>
              <w:rPr>
                <w:sz w:val="20"/>
                <w:szCs w:val="20"/>
                <w:color w:val="auto"/>
              </w:rPr>
            </w:pPr>
            <w:r>
              <w:rPr>
                <w:rFonts w:ascii="Arial" w:cs="Arial" w:eastAsia="Arial" w:hAnsi="Arial"/>
                <w:sz w:val="20"/>
                <w:szCs w:val="20"/>
                <w:color w:val="auto"/>
                <w:w w:val="89"/>
              </w:rPr>
              <w:t>2014</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2014</w:t>
            </w:r>
          </w:p>
        </w:tc>
        <w:tc>
          <w:tcPr>
            <w:tcW w:w="120" w:type="dxa"/>
            <w:vAlign w:val="bottom"/>
          </w:tcPr>
          <w:p>
            <w:pPr>
              <w:spacing w:after="0"/>
              <w:rPr>
                <w:sz w:val="21"/>
                <w:szCs w:val="21"/>
                <w:color w:val="auto"/>
              </w:rPr>
            </w:pPr>
          </w:p>
        </w:tc>
      </w:tr>
      <w:tr>
        <w:trPr>
          <w:trHeight w:val="237"/>
        </w:trPr>
        <w:tc>
          <w:tcPr>
            <w:tcW w:w="6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gridSpan w:val="8"/>
          </w:tcPr>
          <w:p>
            <w:pPr>
              <w:jc w:val="center"/>
              <w:ind w:left="801"/>
              <w:spacing w:after="0"/>
              <w:rPr>
                <w:sz w:val="20"/>
                <w:szCs w:val="20"/>
                <w:color w:val="auto"/>
              </w:rPr>
            </w:pPr>
            <w:r>
              <w:rPr>
                <w:rFonts w:ascii="Arial" w:cs="Arial" w:eastAsia="Arial" w:hAnsi="Arial"/>
                <w:sz w:val="20"/>
                <w:szCs w:val="20"/>
                <w:i w:val="1"/>
                <w:iCs w:val="1"/>
                <w:color w:val="auto"/>
                <w:w w:val="92"/>
              </w:rPr>
              <w:t>(Dollars in Thousands)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6900" w:type="dxa"/>
            <w:vAlign w:val="bottom"/>
            <w:shd w:val="clear" w:color="auto" w:fill="CFF0FC"/>
          </w:tcPr>
          <w:p>
            <w:pPr>
              <w:spacing w:after="0"/>
              <w:rPr>
                <w:sz w:val="20"/>
                <w:szCs w:val="20"/>
                <w:color w:val="auto"/>
              </w:rPr>
            </w:pPr>
            <w:r>
              <w:rPr>
                <w:rFonts w:ascii="Arial" w:cs="Arial" w:eastAsia="Arial" w:hAnsi="Arial"/>
                <w:sz w:val="20"/>
                <w:szCs w:val="20"/>
                <w:color w:val="auto"/>
              </w:rPr>
              <w:t>6.6% Senior Notes, due 2018</w:t>
            </w:r>
          </w:p>
        </w:tc>
        <w:tc>
          <w:tcPr>
            <w:tcW w:w="20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299,243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299,123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299,006</w:t>
            </w:r>
          </w:p>
        </w:tc>
        <w:tc>
          <w:tcPr>
            <w:tcW w:w="120" w:type="dxa"/>
            <w:vAlign w:val="bottom"/>
            <w:shd w:val="clear" w:color="auto" w:fill="CFF0FC"/>
          </w:tcPr>
          <w:p>
            <w:pPr>
              <w:spacing w:after="0"/>
              <w:rPr>
                <w:sz w:val="21"/>
                <w:szCs w:val="21"/>
                <w:color w:val="auto"/>
              </w:rPr>
            </w:pPr>
          </w:p>
        </w:tc>
      </w:tr>
      <w:tr>
        <w:trPr>
          <w:trHeight w:val="243"/>
        </w:trPr>
        <w:tc>
          <w:tcPr>
            <w:tcW w:w="6900" w:type="dxa"/>
            <w:vAlign w:val="bottom"/>
          </w:tcPr>
          <w:p>
            <w:pPr>
              <w:spacing w:after="0"/>
              <w:rPr>
                <w:sz w:val="20"/>
                <w:szCs w:val="20"/>
                <w:color w:val="auto"/>
              </w:rPr>
            </w:pPr>
            <w:r>
              <w:rPr>
                <w:rFonts w:ascii="Arial" w:cs="Arial" w:eastAsia="Arial" w:hAnsi="Arial"/>
                <w:sz w:val="20"/>
                <w:szCs w:val="20"/>
                <w:color w:val="auto"/>
              </w:rPr>
              <w:t>7% Debentures, due 2025</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124,516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124,500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124,485</w:t>
            </w:r>
          </w:p>
        </w:tc>
        <w:tc>
          <w:tcPr>
            <w:tcW w:w="120" w:type="dxa"/>
            <w:vAlign w:val="bottom"/>
          </w:tcPr>
          <w:p>
            <w:pPr>
              <w:spacing w:after="0"/>
              <w:rPr>
                <w:sz w:val="21"/>
                <w:szCs w:val="21"/>
                <w:color w:val="auto"/>
              </w:rPr>
            </w:pPr>
          </w:p>
        </w:tc>
      </w:tr>
      <w:tr>
        <w:trPr>
          <w:trHeight w:val="243"/>
        </w:trPr>
        <w:tc>
          <w:tcPr>
            <w:tcW w:w="6900" w:type="dxa"/>
            <w:vAlign w:val="bottom"/>
            <w:shd w:val="clear" w:color="auto" w:fill="CFF0FC"/>
          </w:tcPr>
          <w:p>
            <w:pPr>
              <w:spacing w:after="0"/>
              <w:rPr>
                <w:sz w:val="20"/>
                <w:szCs w:val="20"/>
                <w:color w:val="auto"/>
              </w:rPr>
            </w:pPr>
            <w:r>
              <w:rPr>
                <w:rFonts w:ascii="Arial" w:cs="Arial" w:eastAsia="Arial" w:hAnsi="Arial"/>
                <w:sz w:val="20"/>
                <w:szCs w:val="20"/>
                <w:color w:val="auto"/>
              </w:rPr>
              <w:t>6.25% Senior Notes, due 2037</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228,208</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228,184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228,165</w:t>
            </w:r>
          </w:p>
        </w:tc>
        <w:tc>
          <w:tcPr>
            <w:tcW w:w="120" w:type="dxa"/>
            <w:vAlign w:val="bottom"/>
            <w:shd w:val="clear" w:color="auto" w:fill="CFF0FC"/>
          </w:tcPr>
          <w:p>
            <w:pPr>
              <w:spacing w:after="0"/>
              <w:rPr>
                <w:sz w:val="21"/>
                <w:szCs w:val="21"/>
                <w:color w:val="auto"/>
              </w:rPr>
            </w:pPr>
          </w:p>
        </w:tc>
      </w:tr>
      <w:tr>
        <w:trPr>
          <w:trHeight w:val="243"/>
        </w:trPr>
        <w:tc>
          <w:tcPr>
            <w:tcW w:w="6900" w:type="dxa"/>
            <w:vAlign w:val="bottom"/>
          </w:tcPr>
          <w:p>
            <w:pPr>
              <w:spacing w:after="0"/>
              <w:rPr>
                <w:sz w:val="20"/>
                <w:szCs w:val="20"/>
                <w:color w:val="auto"/>
              </w:rPr>
            </w:pPr>
            <w:r>
              <w:rPr>
                <w:rFonts w:ascii="Arial" w:cs="Arial" w:eastAsia="Arial" w:hAnsi="Arial"/>
                <w:sz w:val="20"/>
                <w:szCs w:val="20"/>
                <w:color w:val="auto"/>
              </w:rPr>
              <w:t>4.25 % Senior Notes, due 2024</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395,511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395,309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r>
      <w:tr>
        <w:trPr>
          <w:trHeight w:val="226"/>
        </w:trPr>
        <w:tc>
          <w:tcPr>
            <w:tcW w:w="69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Floating Rate Notes, due 2017, interest rate of 1.38% and</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6"/>
        </w:trPr>
        <w:tc>
          <w:tcPr>
            <w:tcW w:w="6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1.33% at June 30, 2015 and December 31, 2014, respectively</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299,108</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298,869</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r>
      <w:tr>
        <w:trPr>
          <w:trHeight w:val="226"/>
        </w:trPr>
        <w:tc>
          <w:tcPr>
            <w:tcW w:w="6900" w:type="dxa"/>
            <w:vAlign w:val="bottom"/>
          </w:tcPr>
          <w:p>
            <w:pPr>
              <w:spacing w:after="0" w:line="227" w:lineRule="exact"/>
              <w:rPr>
                <w:sz w:val="20"/>
                <w:szCs w:val="20"/>
                <w:color w:val="auto"/>
              </w:rPr>
            </w:pPr>
            <w:r>
              <w:rPr>
                <w:rFonts w:ascii="Arial" w:cs="Arial" w:eastAsia="Arial" w:hAnsi="Arial"/>
                <w:sz w:val="20"/>
                <w:szCs w:val="20"/>
                <w:color w:val="auto"/>
              </w:rPr>
              <w:t>Term Loan Facility, due 2018, interest rate of 1.69% at June 30,</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6900" w:type="dxa"/>
            <w:vAlign w:val="bottom"/>
          </w:tcPr>
          <w:p>
            <w:pPr>
              <w:ind w:left="260"/>
              <w:spacing w:after="0"/>
              <w:rPr>
                <w:sz w:val="20"/>
                <w:szCs w:val="20"/>
                <w:color w:val="auto"/>
              </w:rPr>
            </w:pPr>
            <w:r>
              <w:rPr>
                <w:rFonts w:ascii="Arial" w:cs="Arial" w:eastAsia="Arial" w:hAnsi="Arial"/>
                <w:sz w:val="20"/>
                <w:szCs w:val="20"/>
                <w:color w:val="auto"/>
              </w:rPr>
              <w:t>2015; 1.67% at December 31, 2014; and 1.65% at June 30, 2014</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230,167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236,258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242,350</w:t>
            </w:r>
          </w:p>
        </w:tc>
        <w:tc>
          <w:tcPr>
            <w:tcW w:w="120" w:type="dxa"/>
            <w:vAlign w:val="bottom"/>
          </w:tcPr>
          <w:p>
            <w:pPr>
              <w:spacing w:after="0"/>
              <w:rPr>
                <w:sz w:val="21"/>
                <w:szCs w:val="21"/>
                <w:color w:val="auto"/>
              </w:rPr>
            </w:pPr>
          </w:p>
        </w:tc>
      </w:tr>
      <w:tr>
        <w:trPr>
          <w:trHeight w:val="243"/>
        </w:trPr>
        <w:tc>
          <w:tcPr>
            <w:tcW w:w="6900" w:type="dxa"/>
            <w:vAlign w:val="bottom"/>
            <w:shd w:val="clear" w:color="auto" w:fill="CFF0FC"/>
          </w:tcPr>
          <w:p>
            <w:pPr>
              <w:spacing w:after="0"/>
              <w:rPr>
                <w:sz w:val="20"/>
                <w:szCs w:val="20"/>
                <w:color w:val="auto"/>
              </w:rPr>
            </w:pPr>
            <w:r>
              <w:rPr>
                <w:rFonts w:ascii="Arial" w:cs="Arial" w:eastAsia="Arial" w:hAnsi="Arial"/>
                <w:sz w:val="20"/>
                <w:szCs w:val="20"/>
                <w:color w:val="auto"/>
              </w:rPr>
              <w:t>Revolving Facility, interest rate of 1.40% at June 30, 2014</w:t>
            </w:r>
          </w:p>
        </w:tc>
        <w:tc>
          <w:tcPr>
            <w:tcW w:w="200" w:type="dxa"/>
            <w:vAlign w:val="bottom"/>
            <w:shd w:val="clear" w:color="auto" w:fill="CFF0FC"/>
          </w:tcPr>
          <w:p>
            <w:pPr>
              <w:spacing w:after="0"/>
              <w:rPr>
                <w:sz w:val="21"/>
                <w:szCs w:val="21"/>
                <w:color w:val="auto"/>
              </w:rPr>
            </w:pPr>
          </w:p>
        </w:tc>
        <w:tc>
          <w:tcPr>
            <w:tcW w:w="1320" w:type="dxa"/>
            <w:vAlign w:val="bottom"/>
            <w:gridSpan w:val="3"/>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1440" w:type="dxa"/>
            <w:vAlign w:val="bottom"/>
            <w:gridSpan w:val="3"/>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40,000</w:t>
            </w:r>
          </w:p>
        </w:tc>
        <w:tc>
          <w:tcPr>
            <w:tcW w:w="120" w:type="dxa"/>
            <w:vAlign w:val="bottom"/>
            <w:shd w:val="clear" w:color="auto" w:fill="CFF0FC"/>
          </w:tcPr>
          <w:p>
            <w:pPr>
              <w:spacing w:after="0"/>
              <w:rPr>
                <w:sz w:val="21"/>
                <w:szCs w:val="21"/>
                <w:color w:val="auto"/>
              </w:rPr>
            </w:pPr>
          </w:p>
        </w:tc>
      </w:tr>
      <w:tr>
        <w:trPr>
          <w:trHeight w:val="226"/>
        </w:trPr>
        <w:tc>
          <w:tcPr>
            <w:tcW w:w="6900" w:type="dxa"/>
            <w:vAlign w:val="bottom"/>
          </w:tcPr>
          <w:p>
            <w:pPr>
              <w:spacing w:after="0" w:line="227" w:lineRule="exact"/>
              <w:rPr>
                <w:sz w:val="20"/>
                <w:szCs w:val="20"/>
                <w:color w:val="auto"/>
              </w:rPr>
            </w:pPr>
            <w:r>
              <w:rPr>
                <w:rFonts w:ascii="Arial" w:cs="Arial" w:eastAsia="Arial" w:hAnsi="Arial"/>
                <w:sz w:val="20"/>
                <w:szCs w:val="20"/>
                <w:color w:val="auto"/>
              </w:rPr>
              <w:t>Trade Receivable Facility, interest rate of 0.88% and 0.75% at</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6900" w:type="dxa"/>
            <w:vAlign w:val="bottom"/>
          </w:tcPr>
          <w:p>
            <w:pPr>
              <w:ind w:left="260"/>
              <w:spacing w:after="0"/>
              <w:rPr>
                <w:sz w:val="20"/>
                <w:szCs w:val="20"/>
                <w:color w:val="auto"/>
              </w:rPr>
            </w:pPr>
            <w:r>
              <w:rPr>
                <w:rFonts w:ascii="Arial" w:cs="Arial" w:eastAsia="Arial" w:hAnsi="Arial"/>
                <w:sz w:val="20"/>
                <w:szCs w:val="20"/>
                <w:color w:val="auto"/>
              </w:rPr>
              <w:t>June 30, 3015 and 2014, respectively</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80,000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150,000</w:t>
            </w:r>
          </w:p>
        </w:tc>
        <w:tc>
          <w:tcPr>
            <w:tcW w:w="120" w:type="dxa"/>
            <w:vAlign w:val="bottom"/>
          </w:tcPr>
          <w:p>
            <w:pPr>
              <w:spacing w:after="0"/>
              <w:rPr>
                <w:sz w:val="21"/>
                <w:szCs w:val="21"/>
                <w:color w:val="auto"/>
              </w:rPr>
            </w:pPr>
          </w:p>
        </w:tc>
      </w:tr>
      <w:tr>
        <w:trPr>
          <w:trHeight w:val="243"/>
        </w:trPr>
        <w:tc>
          <w:tcPr>
            <w:tcW w:w="6900" w:type="dxa"/>
            <w:vAlign w:val="bottom"/>
            <w:shd w:val="clear" w:color="auto" w:fill="CFF0FC"/>
          </w:tcPr>
          <w:p>
            <w:pPr>
              <w:spacing w:after="0"/>
              <w:rPr>
                <w:sz w:val="20"/>
                <w:szCs w:val="20"/>
                <w:color w:val="auto"/>
              </w:rPr>
            </w:pPr>
            <w:r>
              <w:rPr>
                <w:rFonts w:ascii="Arial" w:cs="Arial" w:eastAsia="Arial" w:hAnsi="Arial"/>
                <w:sz w:val="20"/>
                <w:szCs w:val="20"/>
                <w:color w:val="auto"/>
              </w:rPr>
              <w:t>Other notes</w:t>
            </w:r>
          </w:p>
        </w:tc>
        <w:tc>
          <w:tcPr>
            <w:tcW w:w="2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1,248</w:t>
            </w:r>
          </w:p>
        </w:tc>
        <w:tc>
          <w:tcPr>
            <w:tcW w:w="1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3,152</w:t>
            </w:r>
          </w:p>
        </w:tc>
        <w:tc>
          <w:tcPr>
            <w:tcW w:w="1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795</w:t>
            </w:r>
          </w:p>
        </w:tc>
        <w:tc>
          <w:tcPr>
            <w:tcW w:w="120" w:type="dxa"/>
            <w:vAlign w:val="bottom"/>
            <w:shd w:val="clear" w:color="auto" w:fill="CFF0FC"/>
          </w:tcPr>
          <w:p>
            <w:pPr>
              <w:spacing w:after="0"/>
              <w:rPr>
                <w:sz w:val="21"/>
                <w:szCs w:val="21"/>
                <w:color w:val="auto"/>
              </w:rPr>
            </w:pPr>
          </w:p>
        </w:tc>
      </w:tr>
      <w:tr>
        <w:trPr>
          <w:trHeight w:val="237"/>
        </w:trPr>
        <w:tc>
          <w:tcPr>
            <w:tcW w:w="6900" w:type="dxa"/>
            <w:vAlign w:val="bottom"/>
          </w:tcPr>
          <w:p>
            <w:pPr>
              <w:spacing w:after="0"/>
              <w:rPr>
                <w:sz w:val="20"/>
                <w:szCs w:val="20"/>
                <w:color w:val="auto"/>
              </w:rPr>
            </w:pPr>
            <w:r>
              <w:rPr>
                <w:rFonts w:ascii="Arial" w:cs="Arial" w:eastAsia="Arial" w:hAnsi="Arial"/>
                <w:sz w:val="20"/>
                <w:szCs w:val="20"/>
                <w:color w:val="auto"/>
              </w:rPr>
              <w:t>Total debt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1,658,001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1,585,395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1,084,801</w:t>
            </w:r>
          </w:p>
        </w:tc>
        <w:tc>
          <w:tcPr>
            <w:tcW w:w="120" w:type="dxa"/>
            <w:vAlign w:val="bottom"/>
          </w:tcPr>
          <w:p>
            <w:pPr>
              <w:spacing w:after="0"/>
              <w:rPr>
                <w:sz w:val="20"/>
                <w:szCs w:val="20"/>
                <w:color w:val="auto"/>
              </w:rPr>
            </w:pPr>
          </w:p>
        </w:tc>
      </w:tr>
      <w:tr>
        <w:trPr>
          <w:trHeight w:val="243"/>
        </w:trPr>
        <w:tc>
          <w:tcPr>
            <w:tcW w:w="6900" w:type="dxa"/>
            <w:vAlign w:val="bottom"/>
            <w:shd w:val="clear" w:color="auto" w:fill="CFF0FC"/>
          </w:tcPr>
          <w:p>
            <w:pPr>
              <w:spacing w:after="0"/>
              <w:rPr>
                <w:sz w:val="20"/>
                <w:szCs w:val="20"/>
                <w:color w:val="auto"/>
              </w:rPr>
            </w:pPr>
            <w:r>
              <w:rPr>
                <w:rFonts w:ascii="Arial" w:cs="Arial" w:eastAsia="Arial" w:hAnsi="Arial"/>
                <w:sz w:val="20"/>
                <w:szCs w:val="20"/>
                <w:color w:val="auto"/>
              </w:rPr>
              <w:t>Less: Current maturities</w:t>
            </w: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(15,966)</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(14,336)</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(12,404)</w:t>
            </w:r>
          </w:p>
        </w:tc>
      </w:tr>
      <w:tr>
        <w:trPr>
          <w:trHeight w:val="237"/>
        </w:trPr>
        <w:tc>
          <w:tcPr>
            <w:tcW w:w="6900" w:type="dxa"/>
            <w:vAlign w:val="bottom"/>
          </w:tcPr>
          <w:p>
            <w:pPr>
              <w:spacing w:after="0"/>
              <w:rPr>
                <w:sz w:val="20"/>
                <w:szCs w:val="20"/>
                <w:color w:val="auto"/>
              </w:rPr>
            </w:pPr>
            <w:r>
              <w:rPr>
                <w:rFonts w:ascii="Arial" w:cs="Arial" w:eastAsia="Arial" w:hAnsi="Arial"/>
                <w:sz w:val="20"/>
                <w:szCs w:val="20"/>
                <w:color w:val="auto"/>
              </w:rPr>
              <w:t>Long-term debt</w:t>
            </w: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1,642,035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1,571,059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1,072,397</w:t>
            </w:r>
          </w:p>
        </w:tc>
        <w:tc>
          <w:tcPr>
            <w:tcW w:w="120" w:type="dxa"/>
            <w:vAlign w:val="bottom"/>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4" w:lineRule="exact"/>
        <w:rPr>
          <w:sz w:val="20"/>
          <w:szCs w:val="20"/>
          <w:color w:val="auto"/>
        </w:rPr>
      </w:pPr>
    </w:p>
    <w:p>
      <w:pPr>
        <w:jc w:val="both"/>
        <w:ind w:left="380"/>
        <w:spacing w:after="0" w:line="256" w:lineRule="auto"/>
        <w:rPr>
          <w:sz w:val="20"/>
          <w:szCs w:val="20"/>
          <w:color w:val="auto"/>
        </w:rPr>
      </w:pPr>
      <w:r>
        <w:rPr>
          <w:rFonts w:ascii="Arial" w:cs="Arial" w:eastAsia="Arial" w:hAnsi="Arial"/>
          <w:sz w:val="19"/>
          <w:szCs w:val="19"/>
          <w:color w:val="auto"/>
        </w:rPr>
        <w:t>The Corporation, through a wholly-owned special purpose subsidiary, has a $250,000,000 trade receivable securitization facility (the “Trade Receivable Facility”), which matures on September 30, 2016. The Trade Receivable Facility, with SunTrust Bank, Regions Bank, PNC Bank, N.A. and certain other lenders that may become a party to the facility from time to time, is backed by eligible trade receivables, as defined, of $450,791,000, $369,575,000 and $311,792,000 at June 30, 2015, December 31, 2014 and June 30, 2014, respectively. These receivables are originated by the Corporation and then sold to the wholly-owned special purpose subsidiary by the Corporation. The Corporation continues to be responsible for the servicing and administration of the receivables purchased by the wholly-owned special purpose subsidiary. Borrowings under the Trade Receivable Facility bear interest at a rate equal to one-month LIBOR plus 0.7% and are limited to the lesser of the facility limit or the borrowing base, as defined, of $377,688,000, $313,428,000 and $258,787,000 at June 30, 2015, December 31, 2014 and June 30, 2014, respectively. The Trade Receivable Facility contains a cross-default provision to the Corporation’s other debt agreements.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Long-Term Debt (continued)</w:t>
      </w:r>
    </w:p>
    <w:p>
      <w:pPr>
        <w:spacing w:after="0" w:line="181" w:lineRule="exact"/>
        <w:rPr>
          <w:rFonts w:ascii="Arial" w:cs="Arial" w:eastAsia="Arial" w:hAnsi="Arial"/>
          <w:sz w:val="20"/>
          <w:szCs w:val="20"/>
          <w:b w:val="1"/>
          <w:bCs w:val="1"/>
          <w:color w:val="auto"/>
        </w:rPr>
      </w:pPr>
    </w:p>
    <w:p>
      <w:pPr>
        <w:jc w:val="both"/>
        <w:ind w:left="380"/>
        <w:spacing w:after="0" w:line="256" w:lineRule="auto"/>
        <w:rPr>
          <w:rFonts w:ascii="Arial" w:cs="Arial" w:eastAsia="Arial" w:hAnsi="Arial"/>
          <w:sz w:val="20"/>
          <w:szCs w:val="20"/>
          <w:b w:val="1"/>
          <w:bCs w:val="1"/>
          <w:color w:val="auto"/>
        </w:rPr>
      </w:pPr>
      <w:r>
        <w:rPr>
          <w:rFonts w:ascii="Arial" w:cs="Arial" w:eastAsia="Arial" w:hAnsi="Arial"/>
          <w:sz w:val="19"/>
          <w:szCs w:val="19"/>
          <w:color w:val="auto"/>
        </w:rPr>
        <w:t>The Corporation’s Credit Agreement, which provides a $250,000,000 senior unsecured term loan (the “Term Loan Facility”) and a $350,000,000 five-year senior unsecured revolving facility (the “Revolving Facility”), requires the Corporation’s ratio of consolidated debt to consolidated earnings before interest, taxes, depreciation, depletion and amortization (“EBITDA”), as defined by the Credit Agreement, for the trailing twelve months (the “Ratio”) to not exceed 3.50x as of the end of any fiscal quarter, provided that the Corporation may exclude from the Ratio debt incurred in connection with certain acquisitions for a period of 180 days so long as the Corporation, as a consequence of such specified acquisition, does not have its rating on long-term unsecured debt fall below BBB by Standard &amp; Poor’s or Baa2 by Moody’s and the Ratio calculated without such exclusion does not exceed 3.75x. Additionally, if no amounts are outstanding under both the Revolving Facility and the Trade Receivable Facility, consolidated debt, including debt for which the Corporation is a co-borrower, may be reduced by the Corporation’s unrestricted cash and cash equivalents in excess of $50,000,000, such reduction not to exceed $200,000,000, for purposes of the covenant calculation.</w:t>
      </w:r>
    </w:p>
    <w:p>
      <w:pPr>
        <w:spacing w:after="0" w:line="154" w:lineRule="exact"/>
        <w:rPr>
          <w:rFonts w:ascii="Arial" w:cs="Arial" w:eastAsia="Arial" w:hAnsi="Arial"/>
          <w:sz w:val="20"/>
          <w:szCs w:val="20"/>
          <w:b w:val="1"/>
          <w:bCs w:val="1"/>
          <w:color w:val="auto"/>
        </w:rPr>
      </w:pPr>
    </w:p>
    <w:p>
      <w:pPr>
        <w:jc w:val="both"/>
        <w:ind w:left="38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In 2014, the Corporation amended the Credit Agreement to ensure the impact of the business combination with TXI does not impair liquidity available under the Term Loan Facility and the Revolving Facility. The amendment adjusts consolidated EBITDA to add back fees, costs or expenses relating to the TXI business combination incurred on or prior to the closing of the combination not to exceed $95,000,000; any integration or similar costs or expenses related to the TXI business combination incurred in any period prior to the second anniversary of the closing of the TXI business combination not to exceed $70,000,000; and any make-whole fees incurred in connection with the redemption of TXI’s 9.25% senior notes due 2020. The Corporation was in compliance with this Ratio at June 30, 2015.</w:t>
      </w:r>
    </w:p>
    <w:p>
      <w:pPr>
        <w:spacing w:after="0" w:line="152"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Available borrowings under the Revolving Facility are reduced by any outstanding letters of credit issued by the Corporation under the Revolving Facility. At June 30, 2015, December 31, 2014 and June 30, 2014, the Corporation had $2,507,000 of outstanding letters of credit issued under the Revolving Facility.</w:t>
      </w:r>
    </w:p>
    <w:p>
      <w:pPr>
        <w:spacing w:after="0" w:line="145" w:lineRule="exact"/>
        <w:rPr>
          <w:rFonts w:ascii="Arial" w:cs="Arial" w:eastAsia="Arial" w:hAnsi="Arial"/>
          <w:sz w:val="20"/>
          <w:szCs w:val="20"/>
          <w:b w:val="1"/>
          <w:bCs w:val="1"/>
          <w:color w:val="auto"/>
        </w:rPr>
      </w:pPr>
    </w:p>
    <w:p>
      <w:pPr>
        <w:jc w:val="both"/>
        <w:ind w:left="380"/>
        <w:spacing w:after="0" w:line="278" w:lineRule="auto"/>
        <w:rPr>
          <w:rFonts w:ascii="Arial" w:cs="Arial" w:eastAsia="Arial" w:hAnsi="Arial"/>
          <w:sz w:val="20"/>
          <w:szCs w:val="20"/>
          <w:b w:val="1"/>
          <w:bCs w:val="1"/>
          <w:color w:val="auto"/>
        </w:rPr>
      </w:pPr>
      <w:r>
        <w:rPr>
          <w:rFonts w:ascii="Arial" w:cs="Arial" w:eastAsia="Arial" w:hAnsi="Arial"/>
          <w:sz w:val="18"/>
          <w:szCs w:val="18"/>
          <w:color w:val="auto"/>
        </w:rPr>
        <w:t>Accumulated other comprehensive loss includes the unamortized value of terminated forward starting interest rate swap agreements. For the three and six months ended June 30, 2015, the Corporation recognized $317,000 and $624,000, respectively, as additional interest expense. For the three and six months ended June 30, 2014, the Corporation recognized $295,000 and $583,000, respectively, as additional interest expense. The ongoing amortization of the terminated value of the forward starting interest rate swap agreements will increase annual interest expense by approximately $1,200,000 until the maturity of the 6.6% Senior Notes in 2018.</w:t>
      </w:r>
    </w:p>
    <w:p>
      <w:pPr>
        <w:spacing w:after="0" w:line="159" w:lineRule="exact"/>
        <w:rPr>
          <w:rFonts w:ascii="Arial" w:cs="Arial" w:eastAsia="Arial" w:hAnsi="Arial"/>
          <w:sz w:val="20"/>
          <w:szCs w:val="20"/>
          <w:b w:val="1"/>
          <w:bCs w:val="1"/>
          <w:color w:val="auto"/>
        </w:rPr>
      </w:pPr>
    </w:p>
    <w:p>
      <w:pPr>
        <w:ind w:left="400" w:hanging="392"/>
        <w:spacing w:after="0"/>
        <w:tabs>
          <w:tab w:leader="none" w:pos="4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11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Corporation’s financial instruments include cash equivalents, accounts receivable, notes receivable, bank overdraft, accounts payable, publicly-registered long-term notes, debentures and other long-term debt.</w:t>
      </w:r>
    </w:p>
    <w:p>
      <w:pPr>
        <w:spacing w:after="0" w:line="176"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Cash equivalents are placed primarily in money market funds, money market demand deposit accounts and Eurodollar time deposits. The Corporation’s cash equivalents have maturities of less than three months. Due to the short maturity of these investments, they are carried on the consolidated balance sheets at cost,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3"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 (continued)</w:t>
      </w:r>
    </w:p>
    <w:p>
      <w:pPr>
        <w:spacing w:after="0" w:line="221"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Accounts receivable are due from a large number of customers, primarily in the construction industry, and are dispersed across wide geographic and economic regions. However, accounts receivable are more heavily concentrated in certain states (namely, Texas, Colorado, North Carolina, Iowa and Georgia). The estimated fair values of accounts receivable approximate their carrying amounts due to the short-term nature of the receivables.</w:t>
      </w:r>
    </w:p>
    <w:p>
      <w:pPr>
        <w:spacing w:after="0" w:line="191"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Notes receivable are primarily promissory notes with customers and are not publicly traded. Management estimates that the fair value of notes receivable approximates the carrying amount. The estimated fair values of notes receivable approximate their carrying amounts due to the short-term nature of the receivables.</w:t>
      </w:r>
    </w:p>
    <w:p>
      <w:pPr>
        <w:spacing w:after="0" w:line="186"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bank overdraft represents amounts to be funded to financial institutions for checks that have cleared the bank. The estimated fair value of the bank overdraft approximates its carrying value due to the short-term nature of the overdraft.</w:t>
      </w:r>
    </w:p>
    <w:p>
      <w:pPr>
        <w:spacing w:after="0" w:line="176"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Accounts payable represent amounts owed to suppliers and vendors. The estimated fair value of accounts payable approximates its carrying amount due to the short-term nature of the payables.</w:t>
      </w:r>
    </w:p>
    <w:p>
      <w:pPr>
        <w:spacing w:after="0" w:line="176" w:lineRule="exact"/>
        <w:rPr>
          <w:rFonts w:ascii="Arial" w:cs="Arial" w:eastAsia="Arial" w:hAnsi="Arial"/>
          <w:sz w:val="20"/>
          <w:szCs w:val="20"/>
          <w:b w:val="1"/>
          <w:bCs w:val="1"/>
          <w:color w:val="auto"/>
        </w:rPr>
      </w:pPr>
    </w:p>
    <w:p>
      <w:pPr>
        <w:jc w:val="both"/>
        <w:ind w:left="380"/>
        <w:spacing w:after="0" w:line="259" w:lineRule="auto"/>
        <w:rPr>
          <w:rFonts w:ascii="Arial" w:cs="Arial" w:eastAsia="Arial" w:hAnsi="Arial"/>
          <w:sz w:val="20"/>
          <w:szCs w:val="20"/>
          <w:b w:val="1"/>
          <w:bCs w:val="1"/>
          <w:color w:val="auto"/>
        </w:rPr>
      </w:pPr>
      <w:r>
        <w:rPr>
          <w:rFonts w:ascii="Arial" w:cs="Arial" w:eastAsia="Arial" w:hAnsi="Arial"/>
          <w:sz w:val="19"/>
          <w:szCs w:val="19"/>
          <w:color w:val="auto"/>
        </w:rPr>
        <w:t>The carrying values and fair values of the Corporation’s long-term debt were $1,658,001,000 and $1,729,511,000, respectively, at June 30, 2015; $1,585,395,000 and $1,680,584,000, respectively, at December 31, 2014; and $1,084,801,000 and $1,168,302,000, respectively, at June 30, 2014. The estimated fair value of the publicly-registered long-term notes was estimated based on Level 1 of the fair value hierarchy using quoted market prices. The fair value of the Notes was based on Level 2 of the fair value hierarchy using quoted market prices for similar debt instruments. The estimated fair value of other borrowings, which primarily represents variable-rate debt, approximates its carrying amount as the interest rates reset periodically.</w:t>
      </w:r>
    </w:p>
    <w:p>
      <w:pPr>
        <w:spacing w:after="0" w:line="172" w:lineRule="exact"/>
        <w:rPr>
          <w:rFonts w:ascii="Arial" w:cs="Arial" w:eastAsia="Arial" w:hAnsi="Arial"/>
          <w:sz w:val="20"/>
          <w:szCs w:val="20"/>
          <w:b w:val="1"/>
          <w:bCs w:val="1"/>
          <w:color w:val="auto"/>
        </w:rPr>
      </w:pPr>
    </w:p>
    <w:p>
      <w:pPr>
        <w:ind w:left="400" w:hanging="392"/>
        <w:spacing w:after="0"/>
        <w:tabs>
          <w:tab w:leader="none" w:pos="4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49" w:lineRule="exact"/>
        <w:rPr>
          <w:sz w:val="20"/>
          <w:szCs w:val="20"/>
          <w:color w:val="auto"/>
        </w:rPr>
      </w:pPr>
    </w:p>
    <w:p>
      <w:pPr>
        <w:ind w:left="8460"/>
        <w:spacing w:after="0"/>
        <w:rPr>
          <w:sz w:val="20"/>
          <w:szCs w:val="20"/>
          <w:color w:val="auto"/>
        </w:rPr>
      </w:pPr>
      <w:r>
        <w:rPr>
          <w:rFonts w:ascii="Arial" w:cs="Arial" w:eastAsia="Arial" w:hAnsi="Arial"/>
          <w:sz w:val="20"/>
          <w:szCs w:val="20"/>
          <w:color w:val="auto"/>
        </w:rPr>
        <w:t>Six Months Ended 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2015</w:t>
            </w:r>
          </w:p>
        </w:tc>
        <w:tc>
          <w:tcPr>
            <w:tcW w:w="4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20"/>
                <w:szCs w:val="20"/>
                <w:color w:val="auto"/>
              </w:rPr>
              <w:t>2014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900" w:type="dxa"/>
            <w:vAlign w:val="bottom"/>
          </w:tcPr>
          <w:p>
            <w:pPr>
              <w:spacing w:after="0"/>
              <w:rPr>
                <w:sz w:val="20"/>
                <w:szCs w:val="20"/>
                <w:color w:val="auto"/>
              </w:rPr>
            </w:pPr>
            <w:r>
              <w:rPr>
                <w:rFonts w:ascii="Arial" w:cs="Arial" w:eastAsia="Arial" w:hAnsi="Arial"/>
                <w:sz w:val="20"/>
                <w:szCs w:val="20"/>
                <w:color w:val="auto"/>
              </w:rPr>
              <w:t>Estimated effective income tax rate:</w:t>
            </w: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7900" w:type="dxa"/>
            <w:vAlign w:val="bottom"/>
          </w:tcPr>
          <w:p>
            <w:pPr>
              <w:ind w:left="260"/>
              <w:spacing w:after="0"/>
              <w:rPr>
                <w:sz w:val="20"/>
                <w:szCs w:val="20"/>
                <w:color w:val="auto"/>
              </w:rPr>
            </w:pPr>
            <w:r>
              <w:rPr>
                <w:rFonts w:ascii="Arial" w:cs="Arial" w:eastAsia="Arial" w:hAnsi="Arial"/>
                <w:sz w:val="20"/>
                <w:szCs w:val="20"/>
                <w:color w:val="auto"/>
              </w:rPr>
              <w:t>Continuing operations</w:t>
            </w:r>
          </w:p>
        </w:tc>
        <w:tc>
          <w:tcPr>
            <w:tcW w:w="104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20"/>
                <w:szCs w:val="20"/>
                <w:color w:val="auto"/>
              </w:rPr>
              <w:t>30.2%</w:t>
            </w:r>
          </w:p>
        </w:tc>
        <w:tc>
          <w:tcPr>
            <w:tcW w:w="1720" w:type="dxa"/>
            <w:vAlign w:val="bottom"/>
            <w:gridSpan w:val="2"/>
          </w:tcPr>
          <w:p>
            <w:pPr>
              <w:jc w:val="right"/>
              <w:ind w:right="40"/>
              <w:spacing w:after="0"/>
              <w:rPr>
                <w:sz w:val="20"/>
                <w:szCs w:val="20"/>
                <w:color w:val="auto"/>
              </w:rPr>
            </w:pPr>
            <w:r>
              <w:rPr>
                <w:rFonts w:ascii="Arial" w:cs="Arial" w:eastAsia="Arial" w:hAnsi="Arial"/>
                <w:sz w:val="20"/>
                <w:szCs w:val="20"/>
                <w:color w:val="auto"/>
              </w:rPr>
              <w:t>29.8%</w:t>
            </w:r>
          </w:p>
        </w:tc>
        <w:tc>
          <w:tcPr>
            <w:tcW w:w="0" w:type="dxa"/>
            <w:vAlign w:val="bottom"/>
          </w:tcPr>
          <w:p>
            <w:pPr>
              <w:spacing w:after="0"/>
              <w:rPr>
                <w:sz w:val="1"/>
                <w:szCs w:val="1"/>
                <w:color w:val="auto"/>
              </w:rPr>
            </w:pPr>
          </w:p>
        </w:tc>
      </w:tr>
      <w:tr>
        <w:trPr>
          <w:trHeight w:val="20"/>
        </w:trPr>
        <w:tc>
          <w:tcPr>
            <w:tcW w:w="790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20"/>
                <w:szCs w:val="20"/>
                <w:color w:val="auto"/>
              </w:rPr>
              <w:t>Discontinued operations</w:t>
            </w: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vMerge w:val="restart"/>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line="224" w:lineRule="exact"/>
              <w:rPr>
                <w:sz w:val="20"/>
                <w:szCs w:val="20"/>
                <w:color w:val="auto"/>
              </w:rPr>
            </w:pPr>
            <w:r>
              <w:rPr>
                <w:rFonts w:ascii="Arial" w:cs="Arial" w:eastAsia="Arial" w:hAnsi="Arial"/>
                <w:sz w:val="20"/>
                <w:szCs w:val="20"/>
                <w:color w:val="auto"/>
              </w:rPr>
              <w:t>—</w:t>
            </w:r>
          </w:p>
        </w:tc>
        <w:tc>
          <w:tcPr>
            <w:tcW w:w="300" w:type="dxa"/>
            <w:vAlign w:val="bottom"/>
            <w:vMerge w:val="continue"/>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line="224" w:lineRule="exact"/>
              <w:rPr>
                <w:sz w:val="20"/>
                <w:szCs w:val="20"/>
                <w:color w:val="auto"/>
              </w:rPr>
            </w:pPr>
            <w:r>
              <w:rPr>
                <w:rFonts w:ascii="Arial" w:cs="Arial" w:eastAsia="Arial" w:hAnsi="Arial"/>
                <w:sz w:val="20"/>
                <w:szCs w:val="20"/>
                <w:color w:val="auto"/>
              </w:rPr>
              <w:t>26.4%</w:t>
            </w:r>
          </w:p>
        </w:tc>
        <w:tc>
          <w:tcPr>
            <w:tcW w:w="0" w:type="dxa"/>
            <w:vAlign w:val="bottom"/>
          </w:tcPr>
          <w:p>
            <w:pPr>
              <w:spacing w:after="0"/>
              <w:rPr>
                <w:sz w:val="1"/>
                <w:szCs w:val="1"/>
                <w:color w:val="auto"/>
              </w:rPr>
            </w:pPr>
          </w:p>
        </w:tc>
      </w:tr>
      <w:tr>
        <w:trPr>
          <w:trHeight w:val="20"/>
        </w:trPr>
        <w:tc>
          <w:tcPr>
            <w:tcW w:w="79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tcPr>
          <w:p>
            <w:pPr>
              <w:ind w:left="260"/>
              <w:spacing w:after="0" w:line="224" w:lineRule="exact"/>
              <w:rPr>
                <w:sz w:val="20"/>
                <w:szCs w:val="20"/>
                <w:color w:val="auto"/>
              </w:rPr>
            </w:pPr>
            <w:r>
              <w:rPr>
                <w:rFonts w:ascii="Arial" w:cs="Arial" w:eastAsia="Arial" w:hAnsi="Arial"/>
                <w:sz w:val="20"/>
                <w:szCs w:val="20"/>
                <w:color w:val="auto"/>
              </w:rPr>
              <w:t>Consolidated overall</w:t>
            </w:r>
          </w:p>
        </w:tc>
        <w:tc>
          <w:tcPr>
            <w:tcW w:w="1040" w:type="dxa"/>
            <w:vAlign w:val="bottom"/>
          </w:tcPr>
          <w:p>
            <w:pPr>
              <w:spacing w:after="0"/>
              <w:rPr>
                <w:sz w:val="19"/>
                <w:szCs w:val="19"/>
                <w:color w:val="auto"/>
              </w:rPr>
            </w:pPr>
          </w:p>
        </w:tc>
        <w:tc>
          <w:tcPr>
            <w:tcW w:w="760" w:type="dxa"/>
            <w:vAlign w:val="bottom"/>
            <w:gridSpan w:val="2"/>
          </w:tcPr>
          <w:p>
            <w:pPr>
              <w:jc w:val="right"/>
              <w:ind w:right="120"/>
              <w:spacing w:after="0" w:line="224" w:lineRule="exact"/>
              <w:rPr>
                <w:sz w:val="20"/>
                <w:szCs w:val="20"/>
                <w:color w:val="auto"/>
              </w:rPr>
            </w:pPr>
            <w:r>
              <w:rPr>
                <w:rFonts w:ascii="Arial" w:cs="Arial" w:eastAsia="Arial" w:hAnsi="Arial"/>
                <w:sz w:val="20"/>
                <w:szCs w:val="20"/>
                <w:color w:val="auto"/>
              </w:rPr>
              <w:t>30.2%</w:t>
            </w:r>
          </w:p>
        </w:tc>
        <w:tc>
          <w:tcPr>
            <w:tcW w:w="1720" w:type="dxa"/>
            <w:vAlign w:val="bottom"/>
            <w:gridSpan w:val="2"/>
          </w:tcPr>
          <w:p>
            <w:pPr>
              <w:jc w:val="right"/>
              <w:ind w:right="40"/>
              <w:spacing w:after="0" w:line="224" w:lineRule="exact"/>
              <w:rPr>
                <w:sz w:val="20"/>
                <w:szCs w:val="20"/>
                <w:color w:val="auto"/>
              </w:rPr>
            </w:pPr>
            <w:r>
              <w:rPr>
                <w:rFonts w:ascii="Arial" w:cs="Arial" w:eastAsia="Arial" w:hAnsi="Arial"/>
                <w:sz w:val="20"/>
                <w:szCs w:val="20"/>
                <w:color w:val="auto"/>
              </w:rPr>
              <w:t>29.8%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The Corporation’s effective income tax rate reflects the effect of federal and state income taxes and the impact of differences in book and tax accounting arising from the net permanent benefits associated with the statutory depletion deduction for mineral reserves and the domestic production deduction. The effective income tax rate for discontinued operations reflect the tax effects of individual operations’ transactions and are not indicative of the Corporation’s overall effective income tax rate.</w:t>
      </w:r>
    </w:p>
    <w:p>
      <w:pPr>
        <w:spacing w:after="0" w:line="192"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The Corporation records interest accrued in relation to unrecognized tax benefits as income tax expense. Penalties, if incurred, are recorded as operating expenses in the consolidated statements of earnings and comprehensive earnings.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58"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Postretirement Benefits</w:t>
      </w:r>
    </w:p>
    <w:p>
      <w:pPr>
        <w:spacing w:after="0" w:line="11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19"/>
          <w:szCs w:val="19"/>
          <w:color w:val="auto"/>
        </w:rPr>
        <w:t>The estimated components of the recorded net periodic benefit cost (credit) for pension and postretirement benefits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20"/>
                <w:szCs w:val="20"/>
                <w:color w:val="auto"/>
                <w:w w:val="91"/>
              </w:rPr>
              <w:t>Three Months Ended June 30,</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4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Pension</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281"/>
              <w:spacing w:after="0"/>
              <w:rPr>
                <w:sz w:val="20"/>
                <w:szCs w:val="20"/>
                <w:color w:val="auto"/>
              </w:rPr>
            </w:pPr>
            <w:r>
              <w:rPr>
                <w:rFonts w:ascii="Arial" w:cs="Arial" w:eastAsia="Arial" w:hAnsi="Arial"/>
                <w:sz w:val="20"/>
                <w:szCs w:val="20"/>
                <w:color w:val="auto"/>
                <w:w w:val="94"/>
              </w:rPr>
              <w:t>Postretirement Benefits</w:t>
            </w:r>
          </w:p>
        </w:tc>
        <w:tc>
          <w:tcPr>
            <w:tcW w:w="120" w:type="dxa"/>
            <w:vAlign w:val="bottom"/>
          </w:tcPr>
          <w:p>
            <w:pPr>
              <w:spacing w:after="0"/>
              <w:rPr>
                <w:sz w:val="20"/>
                <w:szCs w:val="20"/>
                <w:color w:val="auto"/>
              </w:rPr>
            </w:pPr>
          </w:p>
        </w:tc>
      </w:tr>
      <w:tr>
        <w:trPr>
          <w:trHeight w:val="237"/>
        </w:trPr>
        <w:tc>
          <w:tcPr>
            <w:tcW w:w="4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2014</w:t>
            </w: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2015</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2014</w:t>
            </w:r>
          </w:p>
        </w:tc>
        <w:tc>
          <w:tcPr>
            <w:tcW w:w="120" w:type="dxa"/>
            <w:vAlign w:val="bottom"/>
          </w:tcPr>
          <w:p>
            <w:pPr>
              <w:spacing w:after="0"/>
              <w:rPr>
                <w:sz w:val="20"/>
                <w:szCs w:val="20"/>
                <w:color w:val="auto"/>
              </w:rPr>
            </w:pPr>
          </w:p>
        </w:tc>
      </w:tr>
      <w:tr>
        <w:trPr>
          <w:trHeight w:val="233"/>
        </w:trPr>
        <w:tc>
          <w:tcPr>
            <w:tcW w:w="4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6"/>
          </w:tcPr>
          <w:p>
            <w:pPr>
              <w:jc w:val="right"/>
              <w:ind w:right="480"/>
              <w:spacing w:after="0"/>
              <w:rPr>
                <w:sz w:val="20"/>
                <w:szCs w:val="20"/>
                <w:color w:val="auto"/>
              </w:rPr>
            </w:pPr>
            <w:r>
              <w:rPr>
                <w:rFonts w:ascii="Arial" w:cs="Arial" w:eastAsia="Arial" w:hAnsi="Arial"/>
                <w:sz w:val="20"/>
                <w:szCs w:val="20"/>
                <w:i w:val="1"/>
                <w:iCs w:val="1"/>
                <w:color w:val="auto"/>
                <w:w w:val="95"/>
              </w:rPr>
              <w:t>(Dollars in Thousands)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6"/>
        </w:trPr>
        <w:tc>
          <w:tcPr>
            <w:tcW w:w="4260" w:type="dxa"/>
            <w:vAlign w:val="bottom"/>
          </w:tcPr>
          <w:p>
            <w:pPr>
              <w:spacing w:after="0"/>
              <w:rPr>
                <w:sz w:val="20"/>
                <w:szCs w:val="20"/>
                <w:color w:val="auto"/>
              </w:rPr>
            </w:pPr>
            <w:r>
              <w:rPr>
                <w:rFonts w:ascii="Arial" w:cs="Arial" w:eastAsia="Arial" w:hAnsi="Arial"/>
                <w:sz w:val="20"/>
                <w:szCs w:val="20"/>
                <w:color w:val="auto"/>
              </w:rPr>
              <w:t>Service cost</w:t>
            </w:r>
          </w:p>
        </w:tc>
        <w:tc>
          <w:tcPr>
            <w:tcW w:w="19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5,513</w:t>
            </w:r>
          </w:p>
        </w:tc>
        <w:tc>
          <w:tcPr>
            <w:tcW w:w="220" w:type="dxa"/>
            <w:vAlign w:val="bottom"/>
          </w:tcPr>
          <w:p>
            <w:pPr>
              <w:spacing w:after="0"/>
              <w:rPr>
                <w:sz w:val="21"/>
                <w:szCs w:val="21"/>
                <w:color w:val="auto"/>
              </w:rPr>
            </w:pP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3,092</w:t>
            </w:r>
          </w:p>
        </w:tc>
        <w:tc>
          <w:tcPr>
            <w:tcW w:w="160" w:type="dxa"/>
            <w:vAlign w:val="bottom"/>
          </w:tcPr>
          <w:p>
            <w:pPr>
              <w:spacing w:after="0"/>
              <w:rPr>
                <w:sz w:val="21"/>
                <w:szCs w:val="21"/>
                <w:color w:val="auto"/>
              </w:rPr>
            </w:pPr>
          </w:p>
        </w:tc>
        <w:tc>
          <w:tcPr>
            <w:tcW w:w="30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34</w:t>
            </w:r>
          </w:p>
        </w:tc>
        <w:tc>
          <w:tcPr>
            <w:tcW w:w="140" w:type="dxa"/>
            <w:vAlign w:val="bottom"/>
          </w:tcPr>
          <w:p>
            <w:pPr>
              <w:spacing w:after="0"/>
              <w:rPr>
                <w:sz w:val="21"/>
                <w:szCs w:val="21"/>
                <w:color w:val="auto"/>
              </w:rPr>
            </w:pPr>
          </w:p>
        </w:tc>
        <w:tc>
          <w:tcPr>
            <w:tcW w:w="3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51</w:t>
            </w:r>
          </w:p>
        </w:tc>
        <w:tc>
          <w:tcPr>
            <w:tcW w:w="120" w:type="dxa"/>
            <w:vAlign w:val="bottom"/>
          </w:tcPr>
          <w:p>
            <w:pPr>
              <w:spacing w:after="0"/>
              <w:rPr>
                <w:sz w:val="21"/>
                <w:szCs w:val="21"/>
                <w:color w:val="auto"/>
              </w:rPr>
            </w:pPr>
          </w:p>
        </w:tc>
      </w:tr>
      <w:tr>
        <w:trPr>
          <w:trHeight w:val="243"/>
        </w:trPr>
        <w:tc>
          <w:tcPr>
            <w:tcW w:w="4260" w:type="dxa"/>
            <w:vAlign w:val="bottom"/>
            <w:shd w:val="clear" w:color="auto" w:fill="CFF0FC"/>
          </w:tcPr>
          <w:p>
            <w:pPr>
              <w:spacing w:after="0"/>
              <w:rPr>
                <w:sz w:val="20"/>
                <w:szCs w:val="20"/>
                <w:color w:val="auto"/>
              </w:rPr>
            </w:pPr>
            <w:r>
              <w:rPr>
                <w:rFonts w:ascii="Arial" w:cs="Arial" w:eastAsia="Arial" w:hAnsi="Arial"/>
                <w:sz w:val="20"/>
                <w:szCs w:val="20"/>
                <w:color w:val="auto"/>
              </w:rPr>
              <w:t>Interest cost</w:t>
            </w:r>
          </w:p>
        </w:tc>
        <w:tc>
          <w:tcPr>
            <w:tcW w:w="1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8,213</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5,624</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229</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305</w:t>
            </w:r>
          </w:p>
        </w:tc>
        <w:tc>
          <w:tcPr>
            <w:tcW w:w="120" w:type="dxa"/>
            <w:vAlign w:val="bottom"/>
            <w:shd w:val="clear" w:color="auto" w:fill="CFF0FC"/>
          </w:tcPr>
          <w:p>
            <w:pPr>
              <w:spacing w:after="0"/>
              <w:rPr>
                <w:sz w:val="21"/>
                <w:szCs w:val="21"/>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20"/>
                <w:szCs w:val="20"/>
                <w:color w:val="auto"/>
              </w:rPr>
              <w:t>Expected return on assets</w:t>
            </w:r>
          </w:p>
        </w:tc>
        <w:tc>
          <w:tcPr>
            <w:tcW w:w="1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20"/>
                <w:szCs w:val="20"/>
                <w:color w:val="auto"/>
              </w:rPr>
              <w:t>(8,887)</w:t>
            </w:r>
          </w:p>
        </w:tc>
        <w:tc>
          <w:tcPr>
            <w:tcW w:w="2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20"/>
                <w:szCs w:val="20"/>
                <w:color w:val="auto"/>
              </w:rPr>
              <w:t>(6,677)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r>
      <w:tr>
        <w:trPr>
          <w:trHeight w:val="243"/>
        </w:trPr>
        <w:tc>
          <w:tcPr>
            <w:tcW w:w="426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w:t>
            </w:r>
          </w:p>
        </w:tc>
        <w:tc>
          <w:tcPr>
            <w:tcW w:w="1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260" w:type="dxa"/>
            <w:vAlign w:val="bottom"/>
          </w:tcPr>
          <w:p>
            <w:pPr>
              <w:ind w:left="260"/>
              <w:spacing w:after="0"/>
              <w:rPr>
                <w:sz w:val="20"/>
                <w:szCs w:val="20"/>
                <w:color w:val="auto"/>
              </w:rPr>
            </w:pPr>
            <w:r>
              <w:rPr>
                <w:rFonts w:ascii="Arial" w:cs="Arial" w:eastAsia="Arial" w:hAnsi="Arial"/>
                <w:sz w:val="20"/>
                <w:szCs w:val="20"/>
                <w:color w:val="auto"/>
              </w:rPr>
              <w:t>Prior service cost (credit)</w:t>
            </w:r>
          </w:p>
        </w:tc>
        <w:tc>
          <w:tcPr>
            <w:tcW w:w="1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96</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(570)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20"/>
                <w:szCs w:val="20"/>
                <w:color w:val="auto"/>
              </w:rPr>
              <w:t>(887)</w:t>
            </w:r>
          </w:p>
        </w:tc>
      </w:tr>
      <w:tr>
        <w:trPr>
          <w:trHeight w:val="243"/>
        </w:trPr>
        <w:tc>
          <w:tcPr>
            <w:tcW w:w="42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Actuarial loss (gain)</w:t>
            </w:r>
          </w:p>
        </w:tc>
        <w:tc>
          <w:tcPr>
            <w:tcW w:w="1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7,351</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877</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(77)</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(73)</w:t>
            </w:r>
          </w:p>
        </w:tc>
      </w:tr>
      <w:tr>
        <w:trPr>
          <w:trHeight w:val="243"/>
        </w:trPr>
        <w:tc>
          <w:tcPr>
            <w:tcW w:w="4260" w:type="dxa"/>
            <w:vAlign w:val="bottom"/>
          </w:tcPr>
          <w:p>
            <w:pPr>
              <w:ind w:left="260"/>
              <w:spacing w:after="0"/>
              <w:rPr>
                <w:sz w:val="20"/>
                <w:szCs w:val="20"/>
                <w:color w:val="auto"/>
              </w:rPr>
            </w:pPr>
            <w:r>
              <w:rPr>
                <w:rFonts w:ascii="Arial" w:cs="Arial" w:eastAsia="Arial" w:hAnsi="Arial"/>
                <w:sz w:val="20"/>
                <w:szCs w:val="20"/>
                <w:color w:val="auto"/>
              </w:rPr>
              <w:t>Special termination benefit</w:t>
            </w:r>
          </w:p>
        </w:tc>
        <w:tc>
          <w:tcPr>
            <w:tcW w:w="1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1,206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r>
      <w:tr>
        <w:trPr>
          <w:trHeight w:val="237"/>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periodic benefit cost (credit)</w:t>
            </w:r>
          </w:p>
        </w:tc>
        <w:tc>
          <w:tcPr>
            <w:tcW w:w="168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13,497</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3,012</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(384)</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(604)</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20"/>
                <w:szCs w:val="20"/>
                <w:color w:val="auto"/>
                <w:w w:val="95"/>
              </w:rPr>
              <w:t>Six Months Ended June 30,</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4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Pension</w:t>
            </w: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261"/>
              <w:spacing w:after="0"/>
              <w:rPr>
                <w:sz w:val="20"/>
                <w:szCs w:val="20"/>
                <w:color w:val="auto"/>
              </w:rPr>
            </w:pPr>
            <w:r>
              <w:rPr>
                <w:rFonts w:ascii="Arial" w:cs="Arial" w:eastAsia="Arial" w:hAnsi="Arial"/>
                <w:sz w:val="20"/>
                <w:szCs w:val="20"/>
                <w:color w:val="auto"/>
                <w:w w:val="94"/>
              </w:rPr>
              <w:t>Postretirement Benefits</w:t>
            </w:r>
          </w:p>
        </w:tc>
        <w:tc>
          <w:tcPr>
            <w:tcW w:w="80" w:type="dxa"/>
            <w:vAlign w:val="bottom"/>
          </w:tcPr>
          <w:p>
            <w:pPr>
              <w:spacing w:after="0"/>
              <w:rPr>
                <w:sz w:val="20"/>
                <w:szCs w:val="20"/>
                <w:color w:val="auto"/>
              </w:rPr>
            </w:pPr>
          </w:p>
        </w:tc>
      </w:tr>
      <w:tr>
        <w:trPr>
          <w:trHeight w:val="237"/>
        </w:trPr>
        <w:tc>
          <w:tcPr>
            <w:tcW w:w="4200" w:type="dxa"/>
            <w:vAlign w:val="bottom"/>
            <w:tcBorders>
              <w:bottom w:val="single" w:sz="8" w:color="CFF0FC"/>
            </w:tcBorders>
          </w:tcPr>
          <w:p>
            <w:pPr>
              <w:spacing w:after="0"/>
              <w:rPr>
                <w:sz w:val="20"/>
                <w:szCs w:val="20"/>
                <w:color w:val="auto"/>
              </w:rPr>
            </w:pPr>
          </w:p>
        </w:tc>
        <w:tc>
          <w:tcPr>
            <w:tcW w:w="16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2015</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2014</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2015</w:t>
            </w: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2014</w:t>
            </w:r>
          </w:p>
        </w:tc>
        <w:tc>
          <w:tcPr>
            <w:tcW w:w="80" w:type="dxa"/>
            <w:vAlign w:val="bottom"/>
            <w:tcBorders>
              <w:bottom w:val="single" w:sz="8" w:color="CFF0FC"/>
            </w:tcBorders>
          </w:tcPr>
          <w:p>
            <w:pPr>
              <w:spacing w:after="0"/>
              <w:rPr>
                <w:sz w:val="20"/>
                <w:szCs w:val="20"/>
                <w:color w:val="auto"/>
              </w:rPr>
            </w:pPr>
          </w:p>
        </w:tc>
      </w:tr>
      <w:tr>
        <w:trPr>
          <w:trHeight w:val="237"/>
        </w:trPr>
        <w:tc>
          <w:tcPr>
            <w:tcW w:w="42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560" w:type="dxa"/>
            <w:vAlign w:val="bottom"/>
            <w:gridSpan w:val="5"/>
            <w:shd w:val="clear" w:color="auto" w:fill="CFF0FC"/>
          </w:tcPr>
          <w:p>
            <w:pPr>
              <w:jc w:val="right"/>
              <w:ind w:right="640"/>
              <w:spacing w:after="0"/>
              <w:rPr>
                <w:sz w:val="20"/>
                <w:szCs w:val="20"/>
                <w:color w:val="auto"/>
              </w:rPr>
            </w:pPr>
            <w:r>
              <w:rPr>
                <w:rFonts w:ascii="Arial" w:cs="Arial" w:eastAsia="Arial" w:hAnsi="Arial"/>
                <w:sz w:val="20"/>
                <w:szCs w:val="20"/>
                <w:i w:val="1"/>
                <w:iCs w:val="1"/>
                <w:color w:val="auto"/>
                <w:w w:val="94"/>
              </w:rPr>
              <w:t>(Dollars in Thousands)</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20"/>
                <w:szCs w:val="20"/>
                <w:color w:val="auto"/>
              </w:rPr>
              <w:t>Service cost</w:t>
            </w:r>
          </w:p>
        </w:tc>
        <w:tc>
          <w:tcPr>
            <w:tcW w:w="188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11,505</w:t>
            </w:r>
          </w:p>
        </w:tc>
        <w:tc>
          <w:tcPr>
            <w:tcW w:w="140" w:type="dxa"/>
            <w:vAlign w:val="bottom"/>
          </w:tcPr>
          <w:p>
            <w:pPr>
              <w:spacing w:after="0"/>
              <w:rPr>
                <w:sz w:val="21"/>
                <w:szCs w:val="21"/>
                <w:color w:val="auto"/>
              </w:rPr>
            </w:pPr>
          </w:p>
        </w:tc>
        <w:tc>
          <w:tcPr>
            <w:tcW w:w="36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7,131</w:t>
            </w:r>
          </w:p>
        </w:tc>
        <w:tc>
          <w:tcPr>
            <w:tcW w:w="200" w:type="dxa"/>
            <w:vAlign w:val="bottom"/>
          </w:tcPr>
          <w:p>
            <w:pPr>
              <w:spacing w:after="0"/>
              <w:rPr>
                <w:sz w:val="21"/>
                <w:szCs w:val="21"/>
                <w:color w:val="auto"/>
              </w:rPr>
            </w:pP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68</w:t>
            </w:r>
          </w:p>
        </w:tc>
        <w:tc>
          <w:tcPr>
            <w:tcW w:w="120" w:type="dxa"/>
            <w:vAlign w:val="bottom"/>
          </w:tcPr>
          <w:p>
            <w:pPr>
              <w:spacing w:after="0"/>
              <w:rPr>
                <w:sz w:val="21"/>
                <w:szCs w:val="21"/>
                <w:color w:val="auto"/>
              </w:rPr>
            </w:pPr>
          </w:p>
        </w:tc>
        <w:tc>
          <w:tcPr>
            <w:tcW w:w="30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93</w:t>
            </w:r>
          </w:p>
        </w:tc>
        <w:tc>
          <w:tcPr>
            <w:tcW w:w="80" w:type="dxa"/>
            <w:vAlign w:val="bottom"/>
          </w:tcPr>
          <w:p>
            <w:pPr>
              <w:spacing w:after="0"/>
              <w:rPr>
                <w:sz w:val="21"/>
                <w:szCs w:val="21"/>
                <w:color w:val="auto"/>
              </w:rPr>
            </w:pPr>
          </w:p>
        </w:tc>
      </w:tr>
      <w:tr>
        <w:trPr>
          <w:trHeight w:val="243"/>
        </w:trPr>
        <w:tc>
          <w:tcPr>
            <w:tcW w:w="4200" w:type="dxa"/>
            <w:vAlign w:val="bottom"/>
            <w:shd w:val="clear" w:color="auto" w:fill="CFF0FC"/>
          </w:tcPr>
          <w:p>
            <w:pPr>
              <w:spacing w:after="0"/>
              <w:rPr>
                <w:sz w:val="20"/>
                <w:szCs w:val="20"/>
                <w:color w:val="auto"/>
              </w:rPr>
            </w:pPr>
            <w:r>
              <w:rPr>
                <w:rFonts w:ascii="Arial" w:cs="Arial" w:eastAsia="Arial" w:hAnsi="Arial"/>
                <w:sz w:val="20"/>
                <w:szCs w:val="20"/>
                <w:color w:val="auto"/>
              </w:rPr>
              <w:t>Interest cost</w:t>
            </w:r>
          </w:p>
        </w:tc>
        <w:tc>
          <w:tcPr>
            <w:tcW w:w="1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16,575</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12,971</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464</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559</w:t>
            </w:r>
          </w:p>
        </w:tc>
        <w:tc>
          <w:tcPr>
            <w:tcW w:w="80" w:type="dxa"/>
            <w:vAlign w:val="bottom"/>
            <w:shd w:val="clear" w:color="auto" w:fill="CFF0FC"/>
          </w:tcPr>
          <w:p>
            <w:pPr>
              <w:spacing w:after="0"/>
              <w:rPr>
                <w:sz w:val="21"/>
                <w:szCs w:val="2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20"/>
                <w:szCs w:val="20"/>
                <w:color w:val="auto"/>
              </w:rPr>
              <w:t>Expected return on assets</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20"/>
                <w:szCs w:val="20"/>
                <w:color w:val="auto"/>
              </w:rPr>
              <w:t>(18,190)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20"/>
                <w:szCs w:val="20"/>
                <w:color w:val="auto"/>
              </w:rPr>
              <w:t>(15,400)</w:t>
            </w:r>
          </w:p>
        </w:tc>
        <w:tc>
          <w:tcPr>
            <w:tcW w:w="2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243"/>
        </w:trPr>
        <w:tc>
          <w:tcPr>
            <w:tcW w:w="420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w:t>
            </w:r>
          </w:p>
        </w:tc>
        <w:tc>
          <w:tcPr>
            <w:tcW w:w="1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20"/>
                <w:szCs w:val="20"/>
                <w:color w:val="auto"/>
              </w:rPr>
              <w:t>Prior service cost (credit)</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211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223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20"/>
                <w:szCs w:val="20"/>
                <w:color w:val="auto"/>
              </w:rPr>
              <w:t>(1,150)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20"/>
                <w:szCs w:val="20"/>
                <w:color w:val="auto"/>
              </w:rPr>
              <w:t>(1,627)</w:t>
            </w:r>
          </w:p>
        </w:tc>
      </w:tr>
      <w:tr>
        <w:trPr>
          <w:trHeight w:val="243"/>
        </w:trPr>
        <w:tc>
          <w:tcPr>
            <w:tcW w:w="42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Actuarial loss (gain)</w:t>
            </w:r>
          </w:p>
        </w:tc>
        <w:tc>
          <w:tcPr>
            <w:tcW w:w="1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10,700</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2,022</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(154)</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(133)</w:t>
            </w:r>
          </w:p>
        </w:tc>
      </w:tr>
      <w:tr>
        <w:trPr>
          <w:trHeight w:val="243"/>
        </w:trPr>
        <w:tc>
          <w:tcPr>
            <w:tcW w:w="4200" w:type="dxa"/>
            <w:vAlign w:val="bottom"/>
          </w:tcPr>
          <w:p>
            <w:pPr>
              <w:ind w:left="260"/>
              <w:spacing w:after="0"/>
              <w:rPr>
                <w:sz w:val="20"/>
                <w:szCs w:val="20"/>
                <w:color w:val="auto"/>
              </w:rPr>
            </w:pPr>
            <w:r>
              <w:rPr>
                <w:rFonts w:ascii="Arial" w:cs="Arial" w:eastAsia="Arial" w:hAnsi="Arial"/>
                <w:sz w:val="20"/>
                <w:szCs w:val="20"/>
                <w:color w:val="auto"/>
              </w:rPr>
              <w:t>Special termination benefit</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1,462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237"/>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periodic benefit cost (credit)</w:t>
            </w:r>
          </w:p>
        </w:tc>
        <w:tc>
          <w:tcPr>
            <w:tcW w:w="162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22,263</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6,947</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(772)</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(1,108)</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380" w:right="8000" w:hanging="372"/>
        <w:spacing w:after="0" w:line="394" w:lineRule="auto"/>
        <w:tabs>
          <w:tab w:leader="none" w:pos="39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u w:val="single" w:color="auto"/>
          <w:color w:val="auto"/>
        </w:rPr>
        <w:t>Legal and Administrative Proceedings</w:t>
      </w:r>
    </w:p>
    <w:p>
      <w:pPr>
        <w:spacing w:after="0" w:line="1" w:lineRule="exact"/>
        <w:rPr>
          <w:rFonts w:ascii="Arial" w:cs="Arial" w:eastAsia="Arial" w:hAnsi="Arial"/>
          <w:sz w:val="18"/>
          <w:szCs w:val="18"/>
          <w:b w:val="1"/>
          <w:bCs w:val="1"/>
          <w:color w:val="auto"/>
        </w:rPr>
      </w:pPr>
    </w:p>
    <w:p>
      <w:pPr>
        <w:jc w:val="both"/>
        <w:ind w:left="380"/>
        <w:spacing w:after="0" w:line="263" w:lineRule="auto"/>
        <w:rPr>
          <w:rFonts w:ascii="Arial" w:cs="Arial" w:eastAsia="Arial" w:hAnsi="Arial"/>
          <w:sz w:val="18"/>
          <w:szCs w:val="18"/>
          <w:b w:val="1"/>
          <w:bCs w:val="1"/>
          <w:color w:val="auto"/>
        </w:rPr>
      </w:pPr>
      <w:r>
        <w:rPr>
          <w:rFonts w:ascii="Arial" w:cs="Arial" w:eastAsia="Arial" w:hAnsi="Arial"/>
          <w:sz w:val="19"/>
          <w:szCs w:val="19"/>
          <w:color w:val="auto"/>
        </w:rPr>
        <w:t>The Corporation is engaged in certain legal and administrative proceedings incidental to its normal business activities. In the opinion of management and counsel, based upon currently-available facts, it is remote that the ultimate outcome of any litigation and other proceedings, including those pertaining to environmental matters, relating to the Corporation and its subsidiaries, will have a material adverse effect on the overall results of the Corporation’s operations, its cash flows or its financial position.</w:t>
      </w:r>
    </w:p>
    <w:p>
      <w:pPr>
        <w:spacing w:after="0" w:line="176"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20"/>
          <w:szCs w:val="20"/>
          <w:u w:val="single" w:color="auto"/>
          <w:color w:val="auto"/>
        </w:rPr>
        <w:t>Borrowing Arrangements with Affiliate</w:t>
      </w:r>
    </w:p>
    <w:p>
      <w:pPr>
        <w:spacing w:after="0" w:line="107" w:lineRule="exact"/>
        <w:rPr>
          <w:rFonts w:ascii="Arial" w:cs="Arial" w:eastAsia="Arial" w:hAnsi="Arial"/>
          <w:sz w:val="18"/>
          <w:szCs w:val="18"/>
          <w:b w:val="1"/>
          <w:bCs w:val="1"/>
          <w:color w:val="auto"/>
        </w:rPr>
      </w:pPr>
    </w:p>
    <w:p>
      <w:pPr>
        <w:jc w:val="both"/>
        <w:ind w:left="380"/>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The Corporation is a co-borrower with an unconsolidated affiliate for a $25,000,000 revolving line of credit agreement with BB&amp;T Bank. The affiliate has agreed to reimburse and indemnify the Corporation for any payments and expenses the Corporation may incur from this agreement. The Corporation holds a lien on the affiliate’s membership interest in a joint venture as collateral for payment under the revolving line of credit.</w:t>
      </w:r>
    </w:p>
    <w:p>
      <w:pPr>
        <w:spacing w:after="0" w:line="83" w:lineRule="exact"/>
        <w:rPr>
          <w:rFonts w:ascii="Arial" w:cs="Arial" w:eastAsia="Arial" w:hAnsi="Arial"/>
          <w:sz w:val="18"/>
          <w:szCs w:val="18"/>
          <w:b w:val="1"/>
          <w:bCs w:val="1"/>
          <w:color w:val="auto"/>
        </w:rPr>
      </w:pPr>
    </w:p>
    <w:p>
      <w:pPr>
        <w:jc w:val="both"/>
        <w:ind w:left="380"/>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In 2013, the Corporation loaned $3,402,000 to this unconsolidated affiliate to repay in full the outstanding balance of the affiliate’s loan with Bank of America, N.A. in 2013 and entered into a loan agreement with the affiliate for monthly repayment of principal and interest of that loan amount. The loan was repaid in full during first quarter 2015. As of December 31, 2014 and June 30, 2014, the amounts due from the affiliate related to this loan was $1,808,000 and $2,455,000, respectively.</w:t>
      </w:r>
    </w:p>
    <w:p>
      <w:pPr>
        <w:spacing w:after="0" w:line="83" w:lineRule="exact"/>
        <w:rPr>
          <w:rFonts w:ascii="Arial" w:cs="Arial" w:eastAsia="Arial" w:hAnsi="Arial"/>
          <w:sz w:val="18"/>
          <w:szCs w:val="18"/>
          <w:b w:val="1"/>
          <w:bCs w:val="1"/>
          <w:color w:val="auto"/>
        </w:rPr>
      </w:pPr>
    </w:p>
    <w:p>
      <w:pPr>
        <w:ind w:left="380"/>
        <w:spacing w:after="0" w:line="260" w:lineRule="auto"/>
        <w:rPr>
          <w:rFonts w:ascii="Arial" w:cs="Arial" w:eastAsia="Arial" w:hAnsi="Arial"/>
          <w:sz w:val="18"/>
          <w:szCs w:val="18"/>
          <w:b w:val="1"/>
          <w:bCs w:val="1"/>
          <w:color w:val="auto"/>
        </w:rPr>
      </w:pPr>
      <w:r>
        <w:rPr>
          <w:rFonts w:ascii="Arial" w:cs="Arial" w:eastAsia="Arial" w:hAnsi="Arial"/>
          <w:sz w:val="20"/>
          <w:szCs w:val="20"/>
          <w:color w:val="auto"/>
        </w:rPr>
        <w:t>In addition, the Corporation has a $6,000,000 outstanding loan due from this unconsolidated affiliate as of June 30, 2015, December 31, 2014 and June 30, 2014.</w:t>
      </w:r>
    </w:p>
    <w:p>
      <w:pPr>
        <w:spacing w:after="0" w:line="176"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20"/>
          <w:szCs w:val="20"/>
          <w:u w:val="single" w:color="auto"/>
          <w:color w:val="auto"/>
        </w:rPr>
        <w:t>Employees</w:t>
      </w:r>
    </w:p>
    <w:p>
      <w:pPr>
        <w:spacing w:after="0" w:line="107" w:lineRule="exact"/>
        <w:rPr>
          <w:rFonts w:ascii="Arial" w:cs="Arial" w:eastAsia="Arial" w:hAnsi="Arial"/>
          <w:sz w:val="18"/>
          <w:szCs w:val="18"/>
          <w:b w:val="1"/>
          <w:bCs w:val="1"/>
          <w:color w:val="auto"/>
        </w:rPr>
      </w:pPr>
    </w:p>
    <w:p>
      <w:pPr>
        <w:jc w:val="both"/>
        <w:ind w:left="380"/>
        <w:spacing w:after="0" w:line="257" w:lineRule="auto"/>
        <w:rPr>
          <w:rFonts w:ascii="Arial" w:cs="Arial" w:eastAsia="Arial" w:hAnsi="Arial"/>
          <w:sz w:val="18"/>
          <w:szCs w:val="18"/>
          <w:b w:val="1"/>
          <w:bCs w:val="1"/>
          <w:color w:val="auto"/>
        </w:rPr>
      </w:pPr>
      <w:r>
        <w:rPr>
          <w:rFonts w:ascii="Arial" w:cs="Arial" w:eastAsia="Arial" w:hAnsi="Arial"/>
          <w:sz w:val="19"/>
          <w:szCs w:val="19"/>
          <w:color w:val="auto"/>
        </w:rPr>
        <w:t>Approximately 12% of the Corporation’s employees are represented by a labor union. All such employees are hourly employees. The Corporation maintains collective bargaining agreements relating to the union employees with the Aggregates business, Cement and Magnesia Specialties segments. For the Cement segment located in California and Texas, 100% of its hourly employees at the Oro Grande cement plant and Crestmore clinker grinding facility, both located in California, are represented by labor unions. The Oro Grande collective bargaining agreement expires June 2016, and the Crestmore collective bargaining agreement expires in August 2016. For the Magnesia Specialties segment located in Manistee, Michigan and Woodville, Ohio, 100% of its hourly employees are represented by labor unions. The Manistee collective bargaining agreement expires in August 2019, and the Woodville collective bargaining agreement expires in May 2018.</w:t>
      </w:r>
    </w:p>
    <w:p>
      <w:pPr>
        <w:spacing w:after="0" w:line="283" w:lineRule="exact"/>
        <w:rPr>
          <w:rFonts w:ascii="Arial" w:cs="Arial" w:eastAsia="Arial" w:hAnsi="Arial"/>
          <w:sz w:val="18"/>
          <w:szCs w:val="18"/>
          <w:b w:val="1"/>
          <w:bCs w:val="1"/>
          <w:color w:val="auto"/>
        </w:rPr>
      </w:pPr>
    </w:p>
    <w:p>
      <w:pPr>
        <w:ind w:left="400" w:hanging="392"/>
        <w:spacing w:after="0"/>
        <w:tabs>
          <w:tab w:leader="none" w:pos="40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w:t>
      </w:r>
    </w:p>
    <w:p>
      <w:pPr>
        <w:spacing w:after="0" w:line="113" w:lineRule="exact"/>
        <w:rPr>
          <w:rFonts w:ascii="Arial" w:cs="Arial" w:eastAsia="Arial" w:hAnsi="Arial"/>
          <w:sz w:val="20"/>
          <w:szCs w:val="20"/>
          <w:b w:val="1"/>
          <w:bCs w:val="1"/>
          <w:color w:val="auto"/>
        </w:rPr>
      </w:pPr>
    </w:p>
    <w:p>
      <w:pPr>
        <w:jc w:val="both"/>
        <w:ind w:left="38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The Aggregates business contains three reportable business segments: Mid-America Group, Southeast Group and West Group. The Corporation also has Cement and Magnesia Specialties segments. Corporate loss from operations primarily includes depreciation on capitalized interest, expenses for certain corporate administrative functions, business development and integration expenses, unallocated corporate expenses and other nonrecurring and/or non-operational adjustments. Intersegment sales represent net sales from one segment to another segment.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20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 (Continued)</w:t>
      </w:r>
    </w:p>
    <w:p>
      <w:pPr>
        <w:spacing w:after="0" w:line="113"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The following tables display selected financial data for continuing operations for the Corporation’s reportable business segments. Total revenues and net sales in the table below, as well as the consolidated statements of earnings and comprehensive earnings, do not include intersegment sales as these sales are eliminated.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20"/>
                <w:szCs w:val="20"/>
                <w:color w:val="auto"/>
                <w:w w:val="99"/>
              </w:rPr>
              <w:t>Three Months Ended</w:t>
            </w:r>
          </w:p>
        </w:tc>
        <w:tc>
          <w:tcPr>
            <w:tcW w:w="240" w:type="dxa"/>
            <w:vAlign w:val="bottom"/>
          </w:tcPr>
          <w:p>
            <w:pPr>
              <w:spacing w:after="0"/>
              <w:rPr>
                <w:sz w:val="21"/>
                <w:szCs w:val="21"/>
                <w:color w:val="auto"/>
              </w:rPr>
            </w:pPr>
          </w:p>
        </w:tc>
        <w:tc>
          <w:tcPr>
            <w:tcW w:w="2500" w:type="dxa"/>
            <w:vAlign w:val="bottom"/>
            <w:gridSpan w:val="5"/>
          </w:tcPr>
          <w:p>
            <w:pPr>
              <w:jc w:val="right"/>
              <w:ind w:right="700"/>
              <w:spacing w:after="0"/>
              <w:rPr>
                <w:sz w:val="20"/>
                <w:szCs w:val="20"/>
                <w:color w:val="auto"/>
              </w:rPr>
            </w:pPr>
            <w:r>
              <w:rPr>
                <w:rFonts w:ascii="Arial" w:cs="Arial" w:eastAsia="Arial" w:hAnsi="Arial"/>
                <w:sz w:val="20"/>
                <w:szCs w:val="20"/>
                <w:color w:val="auto"/>
              </w:rPr>
              <w:t>Six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June 30,</w:t>
            </w:r>
          </w:p>
        </w:tc>
        <w:tc>
          <w:tcPr>
            <w:tcW w:w="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June 30,</w:t>
            </w:r>
          </w:p>
        </w:tc>
        <w:tc>
          <w:tcPr>
            <w:tcW w:w="9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2015</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2014</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260" w:type="dxa"/>
            <w:vAlign w:val="bottom"/>
            <w:gridSpan w:val="5"/>
            <w:vMerge w:val="restart"/>
          </w:tcPr>
          <w:p>
            <w:pPr>
              <w:spacing w:after="0"/>
              <w:rPr>
                <w:sz w:val="20"/>
                <w:szCs w:val="20"/>
                <w:color w:val="auto"/>
              </w:rPr>
            </w:pPr>
            <w:r>
              <w:rPr>
                <w:rFonts w:ascii="Arial" w:cs="Arial" w:eastAsia="Arial" w:hAnsi="Arial"/>
                <w:sz w:val="20"/>
                <w:szCs w:val="20"/>
                <w:color w:val="auto"/>
              </w:rPr>
              <w:t>Total revenues:</w:t>
            </w: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00" w:type="dxa"/>
            <w:vAlign w:val="bottom"/>
            <w:gridSpan w:val="5"/>
          </w:tcPr>
          <w:p>
            <w:pPr>
              <w:ind w:left="80"/>
              <w:spacing w:after="0"/>
              <w:rPr>
                <w:sz w:val="20"/>
                <w:szCs w:val="20"/>
                <w:color w:val="auto"/>
              </w:rPr>
            </w:pPr>
            <w:r>
              <w:rPr>
                <w:rFonts w:ascii="Arial" w:cs="Arial" w:eastAsia="Arial" w:hAnsi="Arial"/>
                <w:sz w:val="20"/>
                <w:szCs w:val="20"/>
                <w:i w:val="1"/>
                <w:iCs w:val="1"/>
                <w:color w:val="auto"/>
              </w:rPr>
              <w:t>(Dollars in Thousands)</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260" w:type="dxa"/>
            <w:vAlign w:val="bottom"/>
            <w:gridSpan w:val="5"/>
            <w:vMerge w:val="continue"/>
          </w:tcPr>
          <w:p>
            <w:pPr>
              <w:spacing w:after="0"/>
              <w:rPr>
                <w:sz w:val="16"/>
                <w:szCs w:val="16"/>
                <w:color w:val="auto"/>
              </w:rPr>
            </w:pP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186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257,649</w:t>
            </w:r>
          </w:p>
        </w:tc>
        <w:tc>
          <w:tcPr>
            <w:tcW w:w="14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240,526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398,482</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356,235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4"/>
          </w:tcPr>
          <w:p>
            <w:pPr>
              <w:spacing w:after="0"/>
              <w:rPr>
                <w:sz w:val="20"/>
                <w:szCs w:val="20"/>
                <w:color w:val="auto"/>
              </w:rPr>
            </w:pPr>
            <w:r>
              <w:rPr>
                <w:rFonts w:ascii="Arial" w:cs="Arial" w:eastAsia="Arial" w:hAnsi="Arial"/>
                <w:sz w:val="20"/>
                <w:szCs w:val="20"/>
                <w:color w:val="auto"/>
              </w:rPr>
              <w:t>Southeast Group</w:t>
            </w: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81,518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75,168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146,195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134,988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West Group</w:t>
            </w:r>
          </w:p>
        </w:tc>
        <w:tc>
          <w:tcPr>
            <w:tcW w:w="16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411,235</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286,811</w:t>
            </w:r>
          </w:p>
        </w:tc>
        <w:tc>
          <w:tcPr>
            <w:tcW w:w="2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731,807</w:t>
            </w:r>
          </w:p>
        </w:tc>
        <w:tc>
          <w:tcPr>
            <w:tcW w:w="22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477,598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gridSpan w:val="5"/>
          </w:tcPr>
          <w:p>
            <w:pPr>
              <w:spacing w:after="0"/>
              <w:rPr>
                <w:sz w:val="20"/>
                <w:szCs w:val="20"/>
                <w:color w:val="auto"/>
              </w:rPr>
            </w:pPr>
            <w:r>
              <w:rPr>
                <w:rFonts w:ascii="Arial" w:cs="Arial" w:eastAsia="Arial" w:hAnsi="Arial"/>
                <w:sz w:val="20"/>
                <w:szCs w:val="20"/>
                <w:color w:val="auto"/>
              </w:rPr>
              <w:t>Total Aggregates Business</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750,402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602,505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1,276,484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968,821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Cement</w:t>
            </w:r>
          </w:p>
        </w:tc>
        <w:tc>
          <w:tcPr>
            <w:tcW w:w="16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105,899</w:t>
            </w: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207,999</w:t>
            </w:r>
          </w:p>
        </w:tc>
        <w:tc>
          <w:tcPr>
            <w:tcW w:w="22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Magnesia Specialties</w:t>
            </w:r>
          </w:p>
        </w:tc>
        <w:tc>
          <w:tcPr>
            <w:tcW w:w="16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65,118</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66,720</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128,282</w:t>
            </w:r>
          </w:p>
        </w:tc>
        <w:tc>
          <w:tcPr>
            <w:tcW w:w="2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129,034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Total</w:t>
            </w:r>
          </w:p>
        </w:tc>
        <w:tc>
          <w:tcPr>
            <w:tcW w:w="16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921,419</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669,225</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1,612,765</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1,097,855</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40" w:type="dxa"/>
            <w:vAlign w:val="bottom"/>
            <w:gridSpan w:val="4"/>
            <w:shd w:val="clear" w:color="auto" w:fill="CFF0FC"/>
          </w:tcPr>
          <w:p>
            <w:pPr>
              <w:spacing w:after="0" w:line="203" w:lineRule="exact"/>
              <w:rPr>
                <w:sz w:val="20"/>
                <w:szCs w:val="20"/>
                <w:color w:val="auto"/>
              </w:rPr>
            </w:pPr>
            <w:r>
              <w:rPr>
                <w:rFonts w:ascii="Arial" w:cs="Arial" w:eastAsia="Arial" w:hAnsi="Arial"/>
                <w:sz w:val="20"/>
                <w:szCs w:val="20"/>
                <w:color w:val="auto"/>
              </w:rPr>
              <w:t>Net sales:</w:t>
            </w:r>
          </w:p>
        </w:tc>
        <w:tc>
          <w:tcPr>
            <w:tcW w:w="1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40" w:type="dxa"/>
            <w:vAlign w:val="bottom"/>
            <w:gridSpan w:val="4"/>
          </w:tcPr>
          <w:p>
            <w:pPr>
              <w:spacing w:after="0"/>
              <w:rPr>
                <w:sz w:val="20"/>
                <w:szCs w:val="20"/>
                <w:color w:val="auto"/>
              </w:rPr>
            </w:pPr>
            <w:r>
              <w:rPr>
                <w:rFonts w:ascii="Arial" w:cs="Arial" w:eastAsia="Arial" w:hAnsi="Arial"/>
                <w:sz w:val="20"/>
                <w:szCs w:val="20"/>
                <w:color w:val="auto"/>
              </w:rPr>
              <w:t>Mid-America Group</w:t>
            </w:r>
          </w:p>
        </w:tc>
        <w:tc>
          <w:tcPr>
            <w:tcW w:w="186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237,415</w:t>
            </w:r>
          </w:p>
        </w:tc>
        <w:tc>
          <w:tcPr>
            <w:tcW w:w="140" w:type="dxa"/>
            <w:vAlign w:val="bottom"/>
          </w:tcPr>
          <w:p>
            <w:pPr>
              <w:spacing w:after="0"/>
              <w:rPr>
                <w:sz w:val="21"/>
                <w:szCs w:val="21"/>
                <w:color w:val="auto"/>
              </w:rPr>
            </w:pPr>
          </w:p>
        </w:tc>
        <w:tc>
          <w:tcPr>
            <w:tcW w:w="38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218,703</w:t>
            </w:r>
          </w:p>
        </w:tc>
        <w:tc>
          <w:tcPr>
            <w:tcW w:w="22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367,120</w:t>
            </w:r>
          </w:p>
        </w:tc>
        <w:tc>
          <w:tcPr>
            <w:tcW w:w="22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325,236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1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76,483</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70,725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136,253</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126,106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West Group</w:t>
            </w:r>
          </w:p>
        </w:tc>
        <w:tc>
          <w:tcPr>
            <w:tcW w:w="16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375,489</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250,589</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662,570</w:t>
            </w:r>
          </w:p>
        </w:tc>
        <w:tc>
          <w:tcPr>
            <w:tcW w:w="2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411,004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Total Aggregates Business</w:t>
            </w:r>
          </w:p>
        </w:tc>
        <w:tc>
          <w:tcPr>
            <w:tcW w:w="16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689,387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540,017</w:t>
            </w:r>
          </w:p>
        </w:tc>
        <w:tc>
          <w:tcPr>
            <w:tcW w:w="2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1,165,943</w:t>
            </w:r>
          </w:p>
        </w:tc>
        <w:tc>
          <w:tcPr>
            <w:tcW w:w="22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862,346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60" w:type="dxa"/>
            <w:vAlign w:val="bottom"/>
            <w:gridSpan w:val="5"/>
          </w:tcPr>
          <w:p>
            <w:pPr>
              <w:spacing w:after="0"/>
              <w:rPr>
                <w:sz w:val="20"/>
                <w:szCs w:val="20"/>
                <w:color w:val="auto"/>
              </w:rPr>
            </w:pPr>
            <w:r>
              <w:rPr>
                <w:rFonts w:ascii="Arial" w:cs="Arial" w:eastAsia="Arial" w:hAnsi="Arial"/>
                <w:sz w:val="20"/>
                <w:szCs w:val="20"/>
                <w:color w:val="auto"/>
              </w:rPr>
              <w:t>Cement</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100,405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196,970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6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60,457</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61,920</w:t>
            </w:r>
          </w:p>
        </w:tc>
        <w:tc>
          <w:tcPr>
            <w:tcW w:w="2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119,211</w:t>
            </w:r>
          </w:p>
        </w:tc>
        <w:tc>
          <w:tcPr>
            <w:tcW w:w="22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119,269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260" w:type="dxa"/>
            <w:vAlign w:val="bottom"/>
            <w:gridSpan w:val="5"/>
          </w:tcPr>
          <w:p>
            <w:pPr>
              <w:spacing w:after="0"/>
              <w:rPr>
                <w:sz w:val="20"/>
                <w:szCs w:val="20"/>
                <w:color w:val="auto"/>
              </w:rPr>
            </w:pPr>
            <w:r>
              <w:rPr>
                <w:rFonts w:ascii="Arial" w:cs="Arial" w:eastAsia="Arial" w:hAnsi="Arial"/>
                <w:sz w:val="20"/>
                <w:szCs w:val="20"/>
                <w:color w:val="auto"/>
              </w:rPr>
              <w:t>Total</w:t>
            </w:r>
          </w:p>
        </w:tc>
        <w:tc>
          <w:tcPr>
            <w:tcW w:w="1620" w:type="dxa"/>
            <w:vAlign w:val="bottom"/>
          </w:tcPr>
          <w:p>
            <w:pPr>
              <w:spacing w:after="0"/>
              <w:rPr>
                <w:sz w:val="24"/>
                <w:szCs w:val="24"/>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850,249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601,937</w:t>
            </w:r>
          </w:p>
        </w:tc>
        <w:tc>
          <w:tcPr>
            <w:tcW w:w="220" w:type="dxa"/>
            <w:vAlign w:val="bottom"/>
          </w:tcPr>
          <w:p>
            <w:pPr>
              <w:spacing w:after="0"/>
              <w:rPr>
                <w:sz w:val="24"/>
                <w:szCs w:val="24"/>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1,482,124</w:t>
            </w:r>
          </w:p>
        </w:tc>
        <w:tc>
          <w:tcPr>
            <w:tcW w:w="220" w:type="dxa"/>
            <w:vAlign w:val="bottom"/>
          </w:tcPr>
          <w:p>
            <w:pPr>
              <w:spacing w:after="0"/>
              <w:rPr>
                <w:sz w:val="24"/>
                <w:szCs w:val="24"/>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981,615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40" w:type="dxa"/>
            <w:vAlign w:val="bottom"/>
            <w:gridSpan w:val="4"/>
          </w:tcPr>
          <w:p>
            <w:pPr>
              <w:spacing w:after="0" w:line="203" w:lineRule="exact"/>
              <w:rPr>
                <w:sz w:val="20"/>
                <w:szCs w:val="20"/>
                <w:color w:val="auto"/>
              </w:rPr>
            </w:pPr>
            <w:r>
              <w:rPr>
                <w:rFonts w:ascii="Arial" w:cs="Arial" w:eastAsia="Arial" w:hAnsi="Arial"/>
                <w:sz w:val="20"/>
                <w:szCs w:val="20"/>
                <w:color w:val="auto"/>
              </w:rPr>
              <w:t>Earnings (Loss) from operations:</w:t>
            </w: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186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66,894</w:t>
            </w:r>
          </w:p>
        </w:tc>
        <w:tc>
          <w:tcPr>
            <w:tcW w:w="14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57,283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62,691</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45,517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4"/>
          </w:tcPr>
          <w:p>
            <w:pPr>
              <w:spacing w:after="0"/>
              <w:rPr>
                <w:sz w:val="20"/>
                <w:szCs w:val="20"/>
                <w:color w:val="auto"/>
              </w:rPr>
            </w:pPr>
            <w:r>
              <w:rPr>
                <w:rFonts w:ascii="Arial" w:cs="Arial" w:eastAsia="Arial" w:hAnsi="Arial"/>
                <w:sz w:val="20"/>
                <w:szCs w:val="20"/>
                <w:color w:val="auto"/>
              </w:rPr>
              <w:t>Southeast Group</w:t>
            </w: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4,818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20"/>
                <w:szCs w:val="20"/>
                <w:color w:val="auto"/>
              </w:rPr>
              <w:t>(1,302)</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3,269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20"/>
                <w:szCs w:val="20"/>
                <w:color w:val="auto"/>
              </w:rPr>
              <w:t>(7,413)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West Group</w:t>
            </w:r>
          </w:p>
        </w:tc>
        <w:tc>
          <w:tcPr>
            <w:tcW w:w="16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49,177</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30,873</w:t>
            </w:r>
          </w:p>
        </w:tc>
        <w:tc>
          <w:tcPr>
            <w:tcW w:w="2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63,676</w:t>
            </w:r>
          </w:p>
        </w:tc>
        <w:tc>
          <w:tcPr>
            <w:tcW w:w="22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32,954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gridSpan w:val="5"/>
          </w:tcPr>
          <w:p>
            <w:pPr>
              <w:spacing w:after="0"/>
              <w:rPr>
                <w:sz w:val="20"/>
                <w:szCs w:val="20"/>
                <w:color w:val="auto"/>
              </w:rPr>
            </w:pPr>
            <w:r>
              <w:rPr>
                <w:rFonts w:ascii="Arial" w:cs="Arial" w:eastAsia="Arial" w:hAnsi="Arial"/>
                <w:sz w:val="20"/>
                <w:szCs w:val="20"/>
                <w:color w:val="auto"/>
              </w:rPr>
              <w:t>Total Aggregates Business</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120,889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86,854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129,636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71,058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Cement</w:t>
            </w:r>
          </w:p>
        </w:tc>
        <w:tc>
          <w:tcPr>
            <w:tcW w:w="16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22,468</w:t>
            </w: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34,697</w:t>
            </w:r>
          </w:p>
        </w:tc>
        <w:tc>
          <w:tcPr>
            <w:tcW w:w="22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4"/>
          </w:tcPr>
          <w:p>
            <w:pPr>
              <w:spacing w:after="0"/>
              <w:rPr>
                <w:sz w:val="20"/>
                <w:szCs w:val="20"/>
                <w:color w:val="auto"/>
              </w:rPr>
            </w:pPr>
            <w:r>
              <w:rPr>
                <w:rFonts w:ascii="Arial" w:cs="Arial" w:eastAsia="Arial" w:hAnsi="Arial"/>
                <w:sz w:val="20"/>
                <w:szCs w:val="20"/>
                <w:color w:val="auto"/>
              </w:rPr>
              <w:t>Magnesia Specialties</w:t>
            </w: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18,751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20,995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36,541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37,280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Corporate</w:t>
            </w:r>
          </w:p>
        </w:tc>
        <w:tc>
          <w:tcPr>
            <w:tcW w:w="1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(25,124)</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(11,608)</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(38,319)</w:t>
            </w:r>
          </w:p>
        </w:tc>
        <w:tc>
          <w:tcPr>
            <w:tcW w:w="3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(27,994)</w:t>
            </w:r>
          </w:p>
        </w:tc>
        <w:tc>
          <w:tcPr>
            <w:tcW w:w="0" w:type="dxa"/>
            <w:vAlign w:val="bottom"/>
          </w:tcPr>
          <w:p>
            <w:pPr>
              <w:spacing w:after="0"/>
              <w:rPr>
                <w:sz w:val="1"/>
                <w:szCs w:val="1"/>
                <w:color w:val="auto"/>
              </w:rPr>
            </w:pPr>
          </w:p>
        </w:tc>
      </w:tr>
      <w:tr>
        <w:trPr>
          <w:trHeight w:val="237"/>
        </w:trPr>
        <w:tc>
          <w:tcPr>
            <w:tcW w:w="4260" w:type="dxa"/>
            <w:vAlign w:val="bottom"/>
            <w:gridSpan w:val="5"/>
          </w:tcPr>
          <w:p>
            <w:pPr>
              <w:spacing w:after="0"/>
              <w:rPr>
                <w:sz w:val="20"/>
                <w:szCs w:val="20"/>
                <w:color w:val="auto"/>
              </w:rPr>
            </w:pPr>
            <w:r>
              <w:rPr>
                <w:rFonts w:ascii="Arial" w:cs="Arial" w:eastAsia="Arial" w:hAnsi="Arial"/>
                <w:sz w:val="20"/>
                <w:szCs w:val="20"/>
                <w:color w:val="auto"/>
              </w:rPr>
              <w:t>Total</w:t>
            </w:r>
          </w:p>
        </w:tc>
        <w:tc>
          <w:tcPr>
            <w:tcW w:w="16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136,984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96,241</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162,555</w:t>
            </w:r>
          </w:p>
        </w:tc>
        <w:tc>
          <w:tcPr>
            <w:tcW w:w="2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80,344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21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 (continued)</w:t>
      </w:r>
    </w:p>
    <w:p>
      <w:pPr>
        <w:spacing w:after="0" w:line="113" w:lineRule="exact"/>
        <w:rPr>
          <w:rFonts w:ascii="Arial" w:cs="Arial" w:eastAsia="Arial" w:hAnsi="Arial"/>
          <w:sz w:val="20"/>
          <w:szCs w:val="20"/>
          <w:b w:val="1"/>
          <w:bCs w:val="1"/>
          <w:color w:val="auto"/>
        </w:rPr>
      </w:pPr>
    </w:p>
    <w:p>
      <w:pPr>
        <w:ind w:left="38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Cement intersegment sales, which are to the ready mixed concrete product line in the West Group, were $20,854,000 and $38,955,000 for the three and six months ended June 30, 2015, respectively.</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ind w:left="120"/>
              <w:spacing w:after="0"/>
              <w:rPr>
                <w:sz w:val="20"/>
                <w:szCs w:val="20"/>
                <w:color w:val="auto"/>
              </w:rPr>
            </w:pPr>
            <w:r>
              <w:rPr>
                <w:rFonts w:ascii="Arial" w:cs="Arial" w:eastAsia="Arial" w:hAnsi="Arial"/>
                <w:sz w:val="20"/>
                <w:szCs w:val="20"/>
                <w:color w:val="auto"/>
              </w:rPr>
              <w:t>June 30,</w:t>
            </w:r>
          </w:p>
        </w:tc>
        <w:tc>
          <w:tcPr>
            <w:tcW w:w="10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20"/>
                <w:szCs w:val="20"/>
                <w:color w:val="auto"/>
                <w:w w:val="89"/>
              </w:rPr>
              <w:t>December 31,</w:t>
            </w:r>
          </w:p>
        </w:tc>
        <w:tc>
          <w:tcPr>
            <w:tcW w:w="22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Arial" w:cs="Arial" w:eastAsia="Arial" w:hAnsi="Arial"/>
                <w:sz w:val="20"/>
                <w:szCs w:val="20"/>
                <w:color w:val="auto"/>
              </w:rPr>
              <w:t>June 30,</w:t>
            </w:r>
          </w:p>
        </w:tc>
        <w:tc>
          <w:tcPr>
            <w:tcW w:w="0" w:type="dxa"/>
            <w:vAlign w:val="bottom"/>
          </w:tcPr>
          <w:p>
            <w:pPr>
              <w:spacing w:after="0"/>
              <w:rPr>
                <w:sz w:val="1"/>
                <w:szCs w:val="1"/>
                <w:color w:val="auto"/>
              </w:rPr>
            </w:pPr>
          </w:p>
        </w:tc>
      </w:tr>
      <w:tr>
        <w:trPr>
          <w:trHeight w:val="246"/>
        </w:trPr>
        <w:tc>
          <w:tcPr>
            <w:tcW w:w="136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
              <w:spacing w:after="0"/>
              <w:rPr>
                <w:sz w:val="20"/>
                <w:szCs w:val="20"/>
                <w:color w:val="auto"/>
              </w:rPr>
            </w:pPr>
            <w:r>
              <w:rPr>
                <w:rFonts w:ascii="Arial" w:cs="Arial" w:eastAsia="Arial" w:hAnsi="Arial"/>
                <w:sz w:val="20"/>
                <w:szCs w:val="20"/>
                <w:color w:val="auto"/>
                <w:w w:val="89"/>
              </w:rPr>
              <w:t>2014</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00" w:type="dxa"/>
            <w:vAlign w:val="bottom"/>
            <w:gridSpan w:val="2"/>
            <w:vMerge w:val="restart"/>
          </w:tcPr>
          <w:p>
            <w:pPr>
              <w:spacing w:after="0"/>
              <w:rPr>
                <w:sz w:val="20"/>
                <w:szCs w:val="20"/>
                <w:color w:val="auto"/>
              </w:rPr>
            </w:pPr>
            <w:r>
              <w:rPr>
                <w:rFonts w:ascii="Arial" w:cs="Arial" w:eastAsia="Arial" w:hAnsi="Arial"/>
                <w:sz w:val="20"/>
                <w:szCs w:val="20"/>
                <w:color w:val="auto"/>
              </w:rPr>
              <w:t>Assets employed:</w:t>
            </w:r>
          </w:p>
        </w:tc>
        <w:tc>
          <w:tcPr>
            <w:tcW w:w="200" w:type="dxa"/>
            <w:vAlign w:val="bottom"/>
          </w:tcPr>
          <w:p>
            <w:pPr>
              <w:spacing w:after="0"/>
              <w:rPr>
                <w:sz w:val="21"/>
                <w:szCs w:val="21"/>
                <w:color w:val="auto"/>
              </w:rPr>
            </w:pPr>
          </w:p>
        </w:tc>
        <w:tc>
          <w:tcPr>
            <w:tcW w:w="3080" w:type="dxa"/>
            <w:vAlign w:val="bottom"/>
            <w:gridSpan w:val="6"/>
          </w:tcPr>
          <w:p>
            <w:pPr>
              <w:jc w:val="center"/>
              <w:ind w:left="801"/>
              <w:spacing w:after="0"/>
              <w:rPr>
                <w:sz w:val="20"/>
                <w:szCs w:val="20"/>
                <w:color w:val="auto"/>
              </w:rPr>
            </w:pPr>
            <w:r>
              <w:rPr>
                <w:rFonts w:ascii="Arial" w:cs="Arial" w:eastAsia="Arial" w:hAnsi="Arial"/>
                <w:sz w:val="20"/>
                <w:szCs w:val="20"/>
                <w:i w:val="1"/>
                <w:iCs w:val="1"/>
                <w:color w:val="auto"/>
                <w:w w:val="92"/>
              </w:rPr>
              <w:t>(Dollars in Thousands)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6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900" w:type="dxa"/>
            <w:vAlign w:val="bottom"/>
            <w:gridSpan w:val="2"/>
          </w:tcPr>
          <w:p>
            <w:pPr>
              <w:spacing w:after="0"/>
              <w:rPr>
                <w:sz w:val="20"/>
                <w:szCs w:val="20"/>
                <w:color w:val="auto"/>
              </w:rPr>
            </w:pPr>
            <w:r>
              <w:rPr>
                <w:rFonts w:ascii="Arial" w:cs="Arial" w:eastAsia="Arial" w:hAnsi="Arial"/>
                <w:sz w:val="20"/>
                <w:szCs w:val="20"/>
                <w:color w:val="auto"/>
              </w:rPr>
              <w:t>Mid-America Group</w:t>
            </w: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1,343,337</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1,290,833</w:t>
            </w:r>
          </w:p>
        </w:tc>
        <w:tc>
          <w:tcPr>
            <w:tcW w:w="220" w:type="dxa"/>
            <w:vAlign w:val="bottom"/>
          </w:tcPr>
          <w:p>
            <w:pPr>
              <w:spacing w:after="0"/>
              <w:rPr>
                <w:sz w:val="22"/>
                <w:szCs w:val="22"/>
                <w:color w:val="auto"/>
              </w:rPr>
            </w:pP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1,311,860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601,130</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604,044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606,933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Borders>
              <w:bottom w:val="single" w:sz="8" w:color="CFF0FC"/>
            </w:tcBorders>
            <w:gridSpan w:val="2"/>
          </w:tcPr>
          <w:p>
            <w:pPr>
              <w:spacing w:after="0"/>
              <w:rPr>
                <w:sz w:val="20"/>
                <w:szCs w:val="20"/>
                <w:color w:val="auto"/>
              </w:rPr>
            </w:pPr>
            <w:r>
              <w:rPr>
                <w:rFonts w:ascii="Arial" w:cs="Arial" w:eastAsia="Arial" w:hAnsi="Arial"/>
                <w:sz w:val="20"/>
                <w:szCs w:val="20"/>
                <w:color w:val="auto"/>
              </w:rPr>
              <w:t>West Group</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2,559,411</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2,444,400</w:t>
            </w:r>
          </w:p>
        </w:tc>
        <w:tc>
          <w:tcPr>
            <w:tcW w:w="2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1,084,291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Total Aggregates Business</w:t>
            </w:r>
          </w:p>
        </w:tc>
        <w:tc>
          <w:tcPr>
            <w:tcW w:w="2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4,503,878</w:t>
            </w:r>
          </w:p>
        </w:tc>
        <w:tc>
          <w:tcPr>
            <w:tcW w:w="2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4,339,277</w:t>
            </w:r>
          </w:p>
        </w:tc>
        <w:tc>
          <w:tcPr>
            <w:tcW w:w="2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3,003,084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00" w:type="dxa"/>
            <w:vAlign w:val="bottom"/>
            <w:gridSpan w:val="2"/>
          </w:tcPr>
          <w:p>
            <w:pPr>
              <w:spacing w:after="0"/>
              <w:rPr>
                <w:sz w:val="20"/>
                <w:szCs w:val="20"/>
                <w:color w:val="auto"/>
              </w:rPr>
            </w:pPr>
            <w:r>
              <w:rPr>
                <w:rFonts w:ascii="Arial" w:cs="Arial" w:eastAsia="Arial" w:hAnsi="Arial"/>
                <w:sz w:val="20"/>
                <w:szCs w:val="20"/>
                <w:color w:val="auto"/>
              </w:rPr>
              <w:t>Cement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2,413,867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2,451,799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148,296</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150,359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151,129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Borders>
              <w:bottom w:val="single" w:sz="8" w:color="CFF0FC"/>
            </w:tcBorders>
            <w:gridSpan w:val="2"/>
          </w:tcPr>
          <w:p>
            <w:pPr>
              <w:spacing w:after="0"/>
              <w:rPr>
                <w:sz w:val="20"/>
                <w:szCs w:val="20"/>
                <w:color w:val="auto"/>
              </w:rPr>
            </w:pPr>
            <w:r>
              <w:rPr>
                <w:rFonts w:ascii="Arial" w:cs="Arial" w:eastAsia="Arial" w:hAnsi="Arial"/>
                <w:sz w:val="20"/>
                <w:szCs w:val="20"/>
                <w:color w:val="auto"/>
              </w:rPr>
              <w:t>Corporate</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433,613</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522,957</w:t>
            </w:r>
          </w:p>
        </w:tc>
        <w:tc>
          <w:tcPr>
            <w:tcW w:w="2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201,830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Total</w:t>
            </w:r>
          </w:p>
        </w:tc>
        <w:tc>
          <w:tcPr>
            <w:tcW w:w="2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7,499,654</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7,464,392</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3,356,043</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380"/>
        <w:spacing w:after="0" w:line="243" w:lineRule="auto"/>
        <w:rPr>
          <w:sz w:val="20"/>
          <w:szCs w:val="20"/>
          <w:color w:val="auto"/>
        </w:rPr>
      </w:pPr>
      <w:r>
        <w:rPr>
          <w:rFonts w:ascii="Arial" w:cs="Arial" w:eastAsia="Arial" w:hAnsi="Arial"/>
          <w:sz w:val="20"/>
          <w:szCs w:val="20"/>
          <w:color w:val="auto"/>
        </w:rPr>
        <w:t>The assets employed at December 31, 2014 reflect a reclassification of approximately $600 million of goodwill from the Cement segment to the West Group segment compared with the amounts presented in the Segments note (Note O) to the consolidated financial statements in the 2014 Form 10-K. This correction had no impact on the consolidated balance sheet as of December 31, 2014, or the consolidated statements of earnings (including earnings per diluted share), comprehensive earnings, total equity and cash flows for the year then ended. Further, goodwill by reportable segment was correctly presented in the Goodwill and Intangible Assets note (Note B) to the 2014 consolidated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 (continued)</w:t>
      </w:r>
    </w:p>
    <w:p>
      <w:pPr>
        <w:spacing w:after="0" w:line="113" w:lineRule="exact"/>
        <w:rPr>
          <w:rFonts w:ascii="Arial" w:cs="Arial" w:eastAsia="Arial" w:hAnsi="Arial"/>
          <w:sz w:val="20"/>
          <w:szCs w:val="20"/>
          <w:b w:val="1"/>
          <w:bCs w:val="1"/>
          <w:color w:val="auto"/>
        </w:rPr>
      </w:pPr>
    </w:p>
    <w:p>
      <w:pPr>
        <w:jc w:val="both"/>
        <w:ind w:left="380"/>
        <w:spacing w:after="0" w:line="245" w:lineRule="auto"/>
        <w:rPr>
          <w:rFonts w:ascii="Arial" w:cs="Arial" w:eastAsia="Arial" w:hAnsi="Arial"/>
          <w:sz w:val="20"/>
          <w:szCs w:val="20"/>
          <w:b w:val="1"/>
          <w:bCs w:val="1"/>
          <w:color w:val="auto"/>
        </w:rPr>
      </w:pPr>
      <w:r>
        <w:rPr>
          <w:rFonts w:ascii="Arial" w:cs="Arial" w:eastAsia="Arial" w:hAnsi="Arial"/>
          <w:sz w:val="20"/>
          <w:szCs w:val="20"/>
          <w:color w:val="auto"/>
        </w:rPr>
        <w:t>The Aggregates business includes the aggregates product line and aggregates-related downstream product lines, which include asphalt, ready mixed concrete and road paving product lines. All aggregates-related downstream product lines reside in the West Group. The following tables, which are reconciled to consolidated amounts, provide net sales and gross profit by line of business: Aggregates (further divided by product line), Cement and Magnesia Specialties.</w:t>
      </w: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jc w:val="right"/>
              <w:ind w:right="600"/>
              <w:spacing w:after="0"/>
              <w:rPr>
                <w:sz w:val="20"/>
                <w:szCs w:val="20"/>
                <w:color w:val="auto"/>
              </w:rPr>
            </w:pPr>
            <w:r>
              <w:rPr>
                <w:rFonts w:ascii="Arial" w:cs="Arial" w:eastAsia="Arial" w:hAnsi="Arial"/>
                <w:sz w:val="20"/>
                <w:szCs w:val="20"/>
                <w:color w:val="auto"/>
                <w:w w:val="98"/>
              </w:rPr>
              <w:t>Three Months Ended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jc w:val="right"/>
              <w:ind w:right="680"/>
              <w:spacing w:after="0"/>
              <w:rPr>
                <w:sz w:val="20"/>
                <w:szCs w:val="20"/>
                <w:color w:val="auto"/>
              </w:rPr>
            </w:pPr>
            <w:r>
              <w:rPr>
                <w:rFonts w:ascii="Arial" w:cs="Arial" w:eastAsia="Arial" w:hAnsi="Arial"/>
                <w:sz w:val="20"/>
                <w:szCs w:val="20"/>
                <w:color w:val="auto"/>
              </w:rPr>
              <w:t>Six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June 30,</w:t>
            </w:r>
          </w:p>
        </w:tc>
        <w:tc>
          <w:tcPr>
            <w:tcW w:w="8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June 30,</w:t>
            </w:r>
          </w:p>
        </w:tc>
        <w:tc>
          <w:tcPr>
            <w:tcW w:w="9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2014</w:t>
            </w: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2015</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20" w:type="dxa"/>
            <w:vAlign w:val="bottom"/>
            <w:gridSpan w:val="4"/>
            <w:vMerge w:val="restart"/>
          </w:tcPr>
          <w:p>
            <w:pPr>
              <w:spacing w:after="0"/>
              <w:rPr>
                <w:sz w:val="20"/>
                <w:szCs w:val="20"/>
                <w:color w:val="auto"/>
              </w:rPr>
            </w:pPr>
            <w:r>
              <w:rPr>
                <w:rFonts w:ascii="Arial" w:cs="Arial" w:eastAsia="Arial" w:hAnsi="Arial"/>
                <w:sz w:val="20"/>
                <w:szCs w:val="20"/>
                <w:color w:val="auto"/>
              </w:rPr>
              <w:t>Net sales:</w:t>
            </w:r>
          </w:p>
        </w:tc>
        <w:tc>
          <w:tcPr>
            <w:tcW w:w="1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6"/>
          </w:tcPr>
          <w:p>
            <w:pPr>
              <w:jc w:val="right"/>
              <w:ind w:right="480"/>
              <w:spacing w:after="0"/>
              <w:rPr>
                <w:sz w:val="20"/>
                <w:szCs w:val="20"/>
                <w:color w:val="auto"/>
              </w:rPr>
            </w:pPr>
            <w:r>
              <w:rPr>
                <w:rFonts w:ascii="Arial" w:cs="Arial" w:eastAsia="Arial" w:hAnsi="Arial"/>
                <w:sz w:val="20"/>
                <w:szCs w:val="20"/>
                <w:i w:val="1"/>
                <w:iCs w:val="1"/>
                <w:color w:val="auto"/>
                <w:w w:val="94"/>
              </w:rPr>
              <w:t>(Dollars in Thousands)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20" w:type="dxa"/>
            <w:vAlign w:val="bottom"/>
            <w:gridSpan w:val="4"/>
            <w:vMerge w:val="continue"/>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Aggregates</w:t>
            </w:r>
          </w:p>
        </w:tc>
        <w:tc>
          <w:tcPr>
            <w:tcW w:w="216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481,616</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421,974</w:t>
            </w: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813,830</w:t>
            </w:r>
          </w:p>
        </w:tc>
        <w:tc>
          <w:tcPr>
            <w:tcW w:w="14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685,858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3"/>
          </w:tcPr>
          <w:p>
            <w:pPr>
              <w:spacing w:after="0"/>
              <w:rPr>
                <w:sz w:val="20"/>
                <w:szCs w:val="20"/>
                <w:color w:val="auto"/>
              </w:rPr>
            </w:pPr>
            <w:r>
              <w:rPr>
                <w:rFonts w:ascii="Arial" w:cs="Arial" w:eastAsia="Arial" w:hAnsi="Arial"/>
                <w:sz w:val="20"/>
                <w:szCs w:val="20"/>
                <w:color w:val="auto"/>
              </w:rPr>
              <w:t>Asphalt</w:t>
            </w:r>
          </w:p>
        </w:tc>
        <w:tc>
          <w:tcPr>
            <w:tcW w:w="1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18,896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22,627</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28,541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33,125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Ready Mixed Concrete</w:t>
            </w:r>
          </w:p>
        </w:tc>
        <w:tc>
          <w:tcPr>
            <w:tcW w:w="1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149,750</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52,379</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277,323</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90,388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Borders>
              <w:bottom w:val="single" w:sz="8" w:color="CFF0FC"/>
            </w:tcBorders>
            <w:gridSpan w:val="3"/>
          </w:tcPr>
          <w:p>
            <w:pPr>
              <w:spacing w:after="0"/>
              <w:rPr>
                <w:sz w:val="20"/>
                <w:szCs w:val="20"/>
                <w:color w:val="auto"/>
              </w:rPr>
            </w:pPr>
            <w:r>
              <w:rPr>
                <w:rFonts w:ascii="Arial" w:cs="Arial" w:eastAsia="Arial" w:hAnsi="Arial"/>
                <w:sz w:val="20"/>
                <w:szCs w:val="20"/>
                <w:color w:val="auto"/>
              </w:rPr>
              <w:t>Road Paving</w:t>
            </w:r>
          </w:p>
        </w:tc>
        <w:tc>
          <w:tcPr>
            <w:tcW w:w="19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39,125</w:t>
            </w:r>
          </w:p>
        </w:tc>
        <w:tc>
          <w:tcPr>
            <w:tcW w:w="2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43,037</w:t>
            </w:r>
          </w:p>
        </w:tc>
        <w:tc>
          <w:tcPr>
            <w:tcW w:w="16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46,249</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52,975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Aggregates Business</w:t>
            </w:r>
          </w:p>
        </w:tc>
        <w:tc>
          <w:tcPr>
            <w:tcW w:w="19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689,387</w:t>
            </w:r>
          </w:p>
        </w:tc>
        <w:tc>
          <w:tcPr>
            <w:tcW w:w="22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540,017</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1,165,943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862,346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gridSpan w:val="4"/>
          </w:tcPr>
          <w:p>
            <w:pPr>
              <w:spacing w:after="0"/>
              <w:rPr>
                <w:sz w:val="20"/>
                <w:szCs w:val="20"/>
                <w:color w:val="auto"/>
              </w:rPr>
            </w:pPr>
            <w:r>
              <w:rPr>
                <w:rFonts w:ascii="Arial" w:cs="Arial" w:eastAsia="Arial" w:hAnsi="Arial"/>
                <w:sz w:val="20"/>
                <w:szCs w:val="20"/>
                <w:color w:val="auto"/>
              </w:rPr>
              <w:t>Cement</w:t>
            </w: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100,405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196,970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9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60,457</w:t>
            </w:r>
          </w:p>
        </w:tc>
        <w:tc>
          <w:tcPr>
            <w:tcW w:w="2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61,920</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119,211</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119,269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20" w:type="dxa"/>
            <w:vAlign w:val="bottom"/>
            <w:gridSpan w:val="4"/>
          </w:tcPr>
          <w:p>
            <w:pPr>
              <w:spacing w:after="0"/>
              <w:rPr>
                <w:sz w:val="20"/>
                <w:szCs w:val="20"/>
                <w:color w:val="auto"/>
              </w:rPr>
            </w:pPr>
            <w:r>
              <w:rPr>
                <w:rFonts w:ascii="Arial" w:cs="Arial" w:eastAsia="Arial" w:hAnsi="Arial"/>
                <w:sz w:val="20"/>
                <w:szCs w:val="20"/>
                <w:color w:val="auto"/>
              </w:rPr>
              <w:t>Total</w:t>
            </w:r>
          </w:p>
        </w:tc>
        <w:tc>
          <w:tcPr>
            <w:tcW w:w="1920" w:type="dxa"/>
            <w:vAlign w:val="bottom"/>
          </w:tcPr>
          <w:p>
            <w:pPr>
              <w:spacing w:after="0"/>
              <w:rPr>
                <w:sz w:val="24"/>
                <w:szCs w:val="24"/>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850,249</w:t>
            </w:r>
          </w:p>
        </w:tc>
        <w:tc>
          <w:tcPr>
            <w:tcW w:w="220" w:type="dxa"/>
            <w:vAlign w:val="bottom"/>
          </w:tcPr>
          <w:p>
            <w:pPr>
              <w:spacing w:after="0"/>
              <w:rPr>
                <w:sz w:val="24"/>
                <w:szCs w:val="24"/>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601,937</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1,482,124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981,615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CFF0FC"/>
            </w:tcBorders>
            <w:shd w:val="clear" w:color="auto" w:fill="CFF0FC"/>
          </w:tcPr>
          <w:p>
            <w:pPr>
              <w:spacing w:after="0"/>
              <w:rPr>
                <w:sz w:val="19"/>
                <w:szCs w:val="19"/>
                <w:color w:val="auto"/>
              </w:rPr>
            </w:pPr>
          </w:p>
        </w:tc>
        <w:tc>
          <w:tcPr>
            <w:tcW w:w="2580" w:type="dxa"/>
            <w:vAlign w:val="bottom"/>
            <w:tcBorders>
              <w:top w:val="single" w:sz="8" w:color="CFF0FC"/>
            </w:tcBorders>
            <w:shd w:val="clear" w:color="auto" w:fill="CFF0FC"/>
          </w:tcPr>
          <w:p>
            <w:pPr>
              <w:spacing w:after="0"/>
              <w:rPr>
                <w:sz w:val="19"/>
                <w:szCs w:val="19"/>
                <w:color w:val="auto"/>
              </w:rPr>
            </w:pPr>
          </w:p>
        </w:tc>
        <w:tc>
          <w:tcPr>
            <w:tcW w:w="1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00" w:type="dxa"/>
            <w:vAlign w:val="bottom"/>
            <w:gridSpan w:val="3"/>
          </w:tcPr>
          <w:p>
            <w:pPr>
              <w:spacing w:after="0" w:line="203" w:lineRule="exact"/>
              <w:rPr>
                <w:sz w:val="20"/>
                <w:szCs w:val="20"/>
                <w:color w:val="auto"/>
              </w:rPr>
            </w:pPr>
            <w:r>
              <w:rPr>
                <w:rFonts w:ascii="Arial" w:cs="Arial" w:eastAsia="Arial" w:hAnsi="Arial"/>
                <w:sz w:val="20"/>
                <w:szCs w:val="20"/>
                <w:color w:val="auto"/>
              </w:rPr>
              <w:t>Gross profit (loss):</w:t>
            </w: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Aggregates</w:t>
            </w:r>
          </w:p>
        </w:tc>
        <w:tc>
          <w:tcPr>
            <w:tcW w:w="216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137,272</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100,142</w:t>
            </w: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178,690</w:t>
            </w:r>
          </w:p>
        </w:tc>
        <w:tc>
          <w:tcPr>
            <w:tcW w:w="14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110,194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3"/>
          </w:tcPr>
          <w:p>
            <w:pPr>
              <w:spacing w:after="0"/>
              <w:rPr>
                <w:sz w:val="20"/>
                <w:szCs w:val="20"/>
                <w:color w:val="auto"/>
              </w:rPr>
            </w:pPr>
            <w:r>
              <w:rPr>
                <w:rFonts w:ascii="Arial" w:cs="Arial" w:eastAsia="Arial" w:hAnsi="Arial"/>
                <w:sz w:val="20"/>
                <w:szCs w:val="20"/>
                <w:color w:val="auto"/>
              </w:rPr>
              <w:t>Asphalt</w:t>
            </w:r>
          </w:p>
        </w:tc>
        <w:tc>
          <w:tcPr>
            <w:tcW w:w="1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4,314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4,869</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2,851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3,443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Ready Mixed Concrete</w:t>
            </w:r>
          </w:p>
        </w:tc>
        <w:tc>
          <w:tcPr>
            <w:tcW w:w="1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9,341</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6,982</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11,424</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9,926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3"/>
          </w:tcPr>
          <w:p>
            <w:pPr>
              <w:spacing w:after="0"/>
              <w:rPr>
                <w:sz w:val="20"/>
                <w:szCs w:val="20"/>
                <w:color w:val="auto"/>
              </w:rPr>
            </w:pPr>
            <w:r>
              <w:rPr>
                <w:rFonts w:ascii="Arial" w:cs="Arial" w:eastAsia="Arial" w:hAnsi="Arial"/>
                <w:sz w:val="20"/>
                <w:szCs w:val="20"/>
                <w:color w:val="auto"/>
              </w:rPr>
              <w:t>Road Paving</w:t>
            </w:r>
          </w:p>
        </w:tc>
        <w:tc>
          <w:tcPr>
            <w:tcW w:w="1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3,577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20"/>
                <w:szCs w:val="20"/>
                <w:color w:val="auto"/>
              </w:rPr>
              <w:t>(249)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265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20"/>
                <w:szCs w:val="20"/>
                <w:color w:val="auto"/>
              </w:rPr>
              <w:t>(4,231)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 Aggregates Business</w:t>
            </w:r>
          </w:p>
        </w:tc>
        <w:tc>
          <w:tcPr>
            <w:tcW w:w="19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154,504</w:t>
            </w:r>
          </w:p>
        </w:tc>
        <w:tc>
          <w:tcPr>
            <w:tcW w:w="22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111,744</w:t>
            </w:r>
          </w:p>
        </w:tc>
        <w:tc>
          <w:tcPr>
            <w:tcW w:w="160" w:type="dxa"/>
            <w:vAlign w:val="bottom"/>
            <w:tcBorders>
              <w:top w:val="single" w:sz="8" w:color="CFF0FC"/>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193,230</w:t>
            </w: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119,332</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gridSpan w:val="4"/>
          </w:tcPr>
          <w:p>
            <w:pPr>
              <w:spacing w:after="0"/>
              <w:rPr>
                <w:sz w:val="20"/>
                <w:szCs w:val="20"/>
                <w:color w:val="auto"/>
              </w:rPr>
            </w:pPr>
            <w:r>
              <w:rPr>
                <w:rFonts w:ascii="Arial" w:cs="Arial" w:eastAsia="Arial" w:hAnsi="Arial"/>
                <w:sz w:val="20"/>
                <w:szCs w:val="20"/>
                <w:color w:val="auto"/>
              </w:rPr>
              <w:t>Cement</w:t>
            </w: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30,414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49,400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21,224</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23,394</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41,402</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42,149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3"/>
          </w:tcPr>
          <w:p>
            <w:pPr>
              <w:spacing w:after="0"/>
              <w:rPr>
                <w:sz w:val="20"/>
                <w:szCs w:val="20"/>
                <w:color w:val="auto"/>
              </w:rPr>
            </w:pPr>
            <w:r>
              <w:rPr>
                <w:rFonts w:ascii="Arial" w:cs="Arial" w:eastAsia="Arial" w:hAnsi="Arial"/>
                <w:sz w:val="20"/>
                <w:szCs w:val="20"/>
                <w:color w:val="auto"/>
              </w:rPr>
              <w:t>Corporate</w:t>
            </w:r>
          </w:p>
        </w:tc>
        <w:tc>
          <w:tcPr>
            <w:tcW w:w="1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20"/>
                <w:szCs w:val="20"/>
                <w:color w:val="auto"/>
              </w:rPr>
              <w:t>(5,989)</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464</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(9,618)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w:t>
            </w:r>
          </w:p>
        </w:tc>
        <w:tc>
          <w:tcPr>
            <w:tcW w:w="192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200,153</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135,602</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274,414</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161,438</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7"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Cash Flow Information</w:t>
      </w:r>
    </w:p>
    <w:p>
      <w:pPr>
        <w:spacing w:after="0" w:line="11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The components of the change in other assets and liabilities, net,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20" w:type="dxa"/>
            <w:vAlign w:val="bottom"/>
            <w:gridSpan w:val="6"/>
          </w:tcPr>
          <w:p>
            <w:pPr>
              <w:jc w:val="center"/>
              <w:ind w:right="480"/>
              <w:spacing w:after="0"/>
              <w:rPr>
                <w:sz w:val="20"/>
                <w:szCs w:val="20"/>
                <w:color w:val="auto"/>
              </w:rPr>
            </w:pPr>
            <w:r>
              <w:rPr>
                <w:rFonts w:ascii="Arial" w:cs="Arial" w:eastAsia="Arial" w:hAnsi="Arial"/>
                <w:sz w:val="20"/>
                <w:szCs w:val="20"/>
                <w:color w:val="auto"/>
                <w:w w:val="91"/>
              </w:rPr>
              <w:t>Six Months Ended</w:t>
            </w:r>
          </w:p>
        </w:tc>
      </w:tr>
      <w:tr>
        <w:trPr>
          <w:trHeight w:val="246"/>
        </w:trPr>
        <w:tc>
          <w:tcPr>
            <w:tcW w:w="6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4"/>
          </w:tcPr>
          <w:p>
            <w:pPr>
              <w:jc w:val="center"/>
              <w:ind w:left="721"/>
              <w:spacing w:after="0"/>
              <w:rPr>
                <w:sz w:val="20"/>
                <w:szCs w:val="20"/>
                <w:color w:val="auto"/>
              </w:rPr>
            </w:pPr>
            <w:r>
              <w:rPr>
                <w:rFonts w:ascii="Arial" w:cs="Arial" w:eastAsia="Arial" w:hAnsi="Arial"/>
                <w:sz w:val="20"/>
                <w:szCs w:val="20"/>
                <w:color w:val="auto"/>
                <w:w w:val="85"/>
              </w:rPr>
              <w:t>June 30,</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6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2014</w:t>
            </w:r>
          </w:p>
        </w:tc>
        <w:tc>
          <w:tcPr>
            <w:tcW w:w="120" w:type="dxa"/>
            <w:vAlign w:val="bottom"/>
          </w:tcPr>
          <w:p>
            <w:pPr>
              <w:spacing w:after="0"/>
              <w:rPr>
                <w:sz w:val="20"/>
                <w:szCs w:val="20"/>
                <w:color w:val="auto"/>
              </w:rPr>
            </w:pPr>
          </w:p>
        </w:tc>
      </w:tr>
      <w:tr>
        <w:trPr>
          <w:trHeight w:val="233"/>
        </w:trPr>
        <w:tc>
          <w:tcPr>
            <w:tcW w:w="6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0" w:type="dxa"/>
            <w:vAlign w:val="bottom"/>
            <w:gridSpan w:val="5"/>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0"/>
                <w:szCs w:val="20"/>
                <w:color w:val="auto"/>
              </w:rPr>
            </w:pPr>
          </w:p>
        </w:tc>
      </w:tr>
      <w:tr>
        <w:trPr>
          <w:trHeight w:val="246"/>
        </w:trPr>
        <w:tc>
          <w:tcPr>
            <w:tcW w:w="6460" w:type="dxa"/>
            <w:vAlign w:val="bottom"/>
          </w:tcPr>
          <w:p>
            <w:pPr>
              <w:spacing w:after="0"/>
              <w:rPr>
                <w:sz w:val="20"/>
                <w:szCs w:val="20"/>
                <w:color w:val="auto"/>
              </w:rPr>
            </w:pPr>
            <w:r>
              <w:rPr>
                <w:rFonts w:ascii="Arial" w:cs="Arial" w:eastAsia="Arial" w:hAnsi="Arial"/>
                <w:sz w:val="20"/>
                <w:szCs w:val="20"/>
                <w:color w:val="auto"/>
              </w:rPr>
              <w:t>Other current and noncurrent assets</w:t>
            </w:r>
          </w:p>
        </w:tc>
        <w:tc>
          <w:tcPr>
            <w:tcW w:w="184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20"/>
                <w:szCs w:val="20"/>
                <w:color w:val="auto"/>
              </w:rPr>
              <w:t>(5,501)</w:t>
            </w:r>
          </w:p>
        </w:tc>
        <w:tc>
          <w:tcPr>
            <w:tcW w:w="400" w:type="dxa"/>
            <w:vAlign w:val="bottom"/>
            <w:gridSpan w:val="2"/>
          </w:tcPr>
          <w:p>
            <w:pPr>
              <w:jc w:val="right"/>
              <w:ind w:right="223"/>
              <w:spacing w:after="0"/>
              <w:rPr>
                <w:sz w:val="20"/>
                <w:szCs w:val="20"/>
                <w:color w:val="auto"/>
              </w:rPr>
            </w:pPr>
            <w:r>
              <w:rPr>
                <w:rFonts w:ascii="Arial" w:cs="Arial" w:eastAsia="Arial" w:hAnsi="Arial"/>
                <w:sz w:val="20"/>
                <w:szCs w:val="20"/>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(6,139)</w:t>
            </w:r>
          </w:p>
        </w:tc>
      </w:tr>
      <w:tr>
        <w:trPr>
          <w:trHeight w:val="243"/>
        </w:trPr>
        <w:tc>
          <w:tcPr>
            <w:tcW w:w="6460" w:type="dxa"/>
            <w:vAlign w:val="bottom"/>
            <w:shd w:val="clear" w:color="auto" w:fill="CFF0FC"/>
          </w:tcPr>
          <w:p>
            <w:pPr>
              <w:spacing w:after="0"/>
              <w:rPr>
                <w:sz w:val="20"/>
                <w:szCs w:val="20"/>
                <w:color w:val="auto"/>
              </w:rPr>
            </w:pPr>
            <w:r>
              <w:rPr>
                <w:rFonts w:ascii="Arial" w:cs="Arial" w:eastAsia="Arial" w:hAnsi="Arial"/>
                <w:sz w:val="20"/>
                <w:szCs w:val="20"/>
                <w:color w:val="auto"/>
              </w:rPr>
              <w:t>Accrued salaries, benefits and payroll taxes</w:t>
            </w:r>
          </w:p>
        </w:tc>
        <w:tc>
          <w:tcPr>
            <w:tcW w:w="15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(13,794)</w:t>
            </w: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(755)</w:t>
            </w:r>
          </w:p>
        </w:tc>
      </w:tr>
      <w:tr>
        <w:trPr>
          <w:trHeight w:val="243"/>
        </w:trPr>
        <w:tc>
          <w:tcPr>
            <w:tcW w:w="6460" w:type="dxa"/>
            <w:vAlign w:val="bottom"/>
          </w:tcPr>
          <w:p>
            <w:pPr>
              <w:spacing w:after="0"/>
              <w:rPr>
                <w:sz w:val="20"/>
                <w:szCs w:val="20"/>
                <w:color w:val="auto"/>
              </w:rPr>
            </w:pPr>
            <w:r>
              <w:rPr>
                <w:rFonts w:ascii="Arial" w:cs="Arial" w:eastAsia="Arial" w:hAnsi="Arial"/>
                <w:sz w:val="20"/>
                <w:szCs w:val="20"/>
                <w:color w:val="auto"/>
              </w:rPr>
              <w:t>Accrued insurance and other taxes</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20"/>
                <w:szCs w:val="20"/>
                <w:color w:val="auto"/>
              </w:rPr>
              <w:t>(1,278)</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3,911</w:t>
            </w:r>
          </w:p>
        </w:tc>
        <w:tc>
          <w:tcPr>
            <w:tcW w:w="120" w:type="dxa"/>
            <w:vAlign w:val="bottom"/>
          </w:tcPr>
          <w:p>
            <w:pPr>
              <w:spacing w:after="0"/>
              <w:rPr>
                <w:sz w:val="21"/>
                <w:szCs w:val="21"/>
                <w:color w:val="auto"/>
              </w:rPr>
            </w:pPr>
          </w:p>
        </w:tc>
      </w:tr>
      <w:tr>
        <w:trPr>
          <w:trHeight w:val="243"/>
        </w:trPr>
        <w:tc>
          <w:tcPr>
            <w:tcW w:w="6460" w:type="dxa"/>
            <w:vAlign w:val="bottom"/>
            <w:shd w:val="clear" w:color="auto" w:fill="CFF0FC"/>
          </w:tcPr>
          <w:p>
            <w:pPr>
              <w:spacing w:after="0"/>
              <w:rPr>
                <w:sz w:val="20"/>
                <w:szCs w:val="20"/>
                <w:color w:val="auto"/>
              </w:rPr>
            </w:pPr>
            <w:r>
              <w:rPr>
                <w:rFonts w:ascii="Arial" w:cs="Arial" w:eastAsia="Arial" w:hAnsi="Arial"/>
                <w:sz w:val="20"/>
                <w:szCs w:val="20"/>
                <w:color w:val="auto"/>
              </w:rPr>
              <w:t>Accrued income taxes</w:t>
            </w:r>
          </w:p>
        </w:tc>
        <w:tc>
          <w:tcPr>
            <w:tcW w:w="15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(19,902)</w:t>
            </w: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16,678</w:t>
            </w:r>
          </w:p>
        </w:tc>
        <w:tc>
          <w:tcPr>
            <w:tcW w:w="120" w:type="dxa"/>
            <w:vAlign w:val="bottom"/>
            <w:shd w:val="clear" w:color="auto" w:fill="CFF0FC"/>
          </w:tcPr>
          <w:p>
            <w:pPr>
              <w:spacing w:after="0"/>
              <w:rPr>
                <w:sz w:val="21"/>
                <w:szCs w:val="21"/>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20"/>
                <w:szCs w:val="20"/>
                <w:color w:val="auto"/>
              </w:rPr>
              <w:t>Accrued pension, postretirement and postemployment benefits</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16,283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4,281</w:t>
            </w:r>
          </w:p>
        </w:tc>
        <w:tc>
          <w:tcPr>
            <w:tcW w:w="120" w:type="dxa"/>
            <w:vAlign w:val="bottom"/>
          </w:tcPr>
          <w:p>
            <w:pPr>
              <w:spacing w:after="0"/>
              <w:rPr>
                <w:sz w:val="21"/>
                <w:szCs w:val="21"/>
                <w:color w:val="auto"/>
              </w:rPr>
            </w:pPr>
          </w:p>
        </w:tc>
      </w:tr>
      <w:tr>
        <w:trPr>
          <w:trHeight w:val="243"/>
        </w:trPr>
        <w:tc>
          <w:tcPr>
            <w:tcW w:w="6460" w:type="dxa"/>
            <w:vAlign w:val="bottom"/>
            <w:shd w:val="clear" w:color="auto" w:fill="CFF0FC"/>
          </w:tcPr>
          <w:p>
            <w:pPr>
              <w:spacing w:after="0"/>
              <w:rPr>
                <w:sz w:val="20"/>
                <w:szCs w:val="20"/>
                <w:color w:val="auto"/>
              </w:rPr>
            </w:pPr>
            <w:r>
              <w:rPr>
                <w:rFonts w:ascii="Arial" w:cs="Arial" w:eastAsia="Arial" w:hAnsi="Arial"/>
                <w:sz w:val="20"/>
                <w:szCs w:val="20"/>
                <w:color w:val="auto"/>
              </w:rPr>
              <w:t>Other current and noncurrent liabilities</w:t>
            </w:r>
          </w:p>
        </w:tc>
        <w:tc>
          <w:tcPr>
            <w:tcW w:w="15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(4,878)</w:t>
            </w: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(389)</w:t>
            </w:r>
          </w:p>
        </w:tc>
      </w:tr>
      <w:tr>
        <w:trPr>
          <w:trHeight w:val="237"/>
        </w:trPr>
        <w:tc>
          <w:tcPr>
            <w:tcW w:w="6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(29,070)</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17,587</w:t>
            </w:r>
          </w:p>
        </w:tc>
        <w:tc>
          <w:tcPr>
            <w:tcW w:w="120" w:type="dxa"/>
            <w:vAlign w:val="bottom"/>
          </w:tcPr>
          <w:p>
            <w:pPr>
              <w:spacing w:after="0"/>
              <w:rPr>
                <w:sz w:val="20"/>
                <w:szCs w:val="20"/>
                <w:color w:val="auto"/>
              </w:rPr>
            </w:pPr>
          </w:p>
        </w:tc>
      </w:tr>
      <w:tr>
        <w:trPr>
          <w:trHeight w:val="20"/>
        </w:trPr>
        <w:tc>
          <w:tcPr>
            <w:tcW w:w="6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The change in accrued salaries, benefits and payroll taxes in 2015 is primarily attributable to payments of severance expense. The change in accrued income taxes in 2015 is due to the planned utilization of net operating losses acquired with TXI. This resulted in a reclass between current income taxes payable and deferred tax assets.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460" w:type="dxa"/>
            <w:vAlign w:val="bottom"/>
          </w:tcPr>
          <w:p>
            <w:pPr>
              <w:ind w:left="380"/>
              <w:spacing w:after="0"/>
              <w:rPr>
                <w:sz w:val="20"/>
                <w:szCs w:val="20"/>
                <w:color w:val="auto"/>
              </w:rPr>
            </w:pPr>
            <w:r>
              <w:rPr>
                <w:rFonts w:ascii="Arial" w:cs="Arial" w:eastAsia="Arial" w:hAnsi="Arial"/>
                <w:sz w:val="20"/>
                <w:szCs w:val="20"/>
                <w:color w:val="auto"/>
              </w:rPr>
              <w:t>Noncash investing and financing activities are as follows:</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5"/>
        </w:trPr>
        <w:tc>
          <w:tcPr>
            <w:tcW w:w="6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gridSpan w:val="4"/>
          </w:tcPr>
          <w:p>
            <w:pPr>
              <w:jc w:val="center"/>
              <w:ind w:right="480"/>
              <w:spacing w:after="0"/>
              <w:rPr>
                <w:sz w:val="20"/>
                <w:szCs w:val="20"/>
                <w:color w:val="auto"/>
              </w:rPr>
            </w:pPr>
            <w:r>
              <w:rPr>
                <w:rFonts w:ascii="Arial" w:cs="Arial" w:eastAsia="Arial" w:hAnsi="Arial"/>
                <w:sz w:val="20"/>
                <w:szCs w:val="20"/>
                <w:color w:val="auto"/>
                <w:w w:val="91"/>
              </w:rPr>
              <w:t>Six Months Ended</w:t>
            </w:r>
          </w:p>
        </w:tc>
        <w:tc>
          <w:tcPr>
            <w:tcW w:w="0" w:type="dxa"/>
            <w:vAlign w:val="bottom"/>
          </w:tcPr>
          <w:p>
            <w:pPr>
              <w:spacing w:after="0"/>
              <w:rPr>
                <w:sz w:val="1"/>
                <w:szCs w:val="1"/>
                <w:color w:val="auto"/>
              </w:rPr>
            </w:pPr>
          </w:p>
        </w:tc>
      </w:tr>
      <w:tr>
        <w:trPr>
          <w:trHeight w:val="246"/>
        </w:trPr>
        <w:tc>
          <w:tcPr>
            <w:tcW w:w="6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2"/>
          </w:tcPr>
          <w:p>
            <w:pPr>
              <w:jc w:val="center"/>
              <w:ind w:left="721"/>
              <w:spacing w:after="0"/>
              <w:rPr>
                <w:sz w:val="20"/>
                <w:szCs w:val="20"/>
                <w:color w:val="auto"/>
              </w:rPr>
            </w:pPr>
            <w:r>
              <w:rPr>
                <w:rFonts w:ascii="Arial" w:cs="Arial" w:eastAsia="Arial" w:hAnsi="Arial"/>
                <w:sz w:val="20"/>
                <w:szCs w:val="20"/>
                <w:color w:val="auto"/>
                <w:w w:val="85"/>
              </w:rPr>
              <w:t>June 30,</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2015</w:t>
            </w: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460" w:type="dxa"/>
            <w:vAlign w:val="bottom"/>
            <w:vMerge w:val="restart"/>
          </w:tcPr>
          <w:p>
            <w:pPr>
              <w:spacing w:after="0"/>
              <w:rPr>
                <w:sz w:val="20"/>
                <w:szCs w:val="20"/>
                <w:color w:val="auto"/>
              </w:rPr>
            </w:pPr>
            <w:r>
              <w:rPr>
                <w:rFonts w:ascii="Arial" w:cs="Arial" w:eastAsia="Arial" w:hAnsi="Arial"/>
                <w:sz w:val="20"/>
                <w:szCs w:val="20"/>
                <w:color w:val="auto"/>
              </w:rPr>
              <w:t>Noncash investing and financing activities:</w:t>
            </w:r>
          </w:p>
        </w:tc>
        <w:tc>
          <w:tcPr>
            <w:tcW w:w="1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0" w:type="dxa"/>
            <w:vAlign w:val="bottom"/>
            <w:gridSpan w:val="3"/>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46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Acquisition of assets through capital lease</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3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1,331</w:t>
            </w:r>
          </w:p>
        </w:tc>
        <w:tc>
          <w:tcPr>
            <w:tcW w:w="5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6,333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60" w:type="dxa"/>
            <w:vAlign w:val="bottom"/>
          </w:tcPr>
          <w:p>
            <w:pPr>
              <w:ind w:left="260"/>
              <w:spacing w:after="0"/>
              <w:rPr>
                <w:sz w:val="20"/>
                <w:szCs w:val="20"/>
                <w:color w:val="auto"/>
              </w:rPr>
            </w:pPr>
            <w:r>
              <w:rPr>
                <w:rFonts w:ascii="Arial" w:cs="Arial" w:eastAsia="Arial" w:hAnsi="Arial"/>
                <w:sz w:val="20"/>
                <w:szCs w:val="20"/>
                <w:color w:val="auto"/>
              </w:rPr>
              <w:t>Acquisition of assets through asset exchange</w:t>
            </w:r>
          </w:p>
        </w:tc>
        <w:tc>
          <w:tcPr>
            <w:tcW w:w="18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5,000</w:t>
            </w:r>
          </w:p>
        </w:tc>
        <w:tc>
          <w:tcPr>
            <w:tcW w:w="5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FORM 10-Q</w:t>
      </w:r>
    </w:p>
    <w:p>
      <w:pPr>
        <w:jc w:val="center"/>
        <w:ind w:right="20"/>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RESULTS OF OPERATIONS</w:t>
      </w:r>
    </w:p>
    <w:p>
      <w:pPr>
        <w:jc w:val="center"/>
        <w:ind w:right="20"/>
        <w:spacing w:after="0"/>
        <w:rPr>
          <w:sz w:val="20"/>
          <w:szCs w:val="20"/>
          <w:color w:val="auto"/>
        </w:rPr>
      </w:pPr>
      <w:r>
        <w:rPr>
          <w:rFonts w:ascii="Arial" w:cs="Arial" w:eastAsia="Arial" w:hAnsi="Arial"/>
          <w:sz w:val="20"/>
          <w:szCs w:val="20"/>
          <w:color w:val="auto"/>
        </w:rPr>
        <w:t>Second Quarter Ended June 30, 2015</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0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Martin Marietta Materials, Inc. (the “Corporation” or “Martin Marietta”) is a leading supplier of aggregates products (crushed stone, sand and gravel) and heavy building materials for the construction industry, including infrastructure, nonresidential, residential, railroad ballast, agricultural and chemical grade stone used in environmental applications. The Corporation’s annual consolidated net sales and operating earnings are predominately derived from its Aggregates business, which mines, processes and sells granite, limestone, sand, gravel and other aggregates-related downstream business, including asphalt, ready mixed concrete and road paving construction services for use in all sectors of the public infrastructure, environmental industries, nonresidential and residential construction industries, as well as agriculture, railroad ballast, chemical, utility and other uses. The Aggregates business shipped and delivered aggregates, asphalt products and ready mixed concrete from a network of more than 400 quarries, underground mines, distribution facilities and plants to customers in 32 states, Canada, the Bahamas and the Caribbean Islands. The Aggregates business’ products are used primarily by commercial customers principally in domestic construction of highways and other infrastructure projects and for nonresidential and residential building development. Aggregates products are also used in the railroad, agricultural, utility and environmental industries.</w:t>
      </w:r>
    </w:p>
    <w:p>
      <w:pPr>
        <w:spacing w:after="0" w:line="17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Corporation currently conducts its Aggregates business through three reportable business segments: Mid-America Group, Southeast Group and West Group.</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AGGREGATES BUSINESS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8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87"/>
              </w:rPr>
              <w:t>Reportable Segments</w:t>
            </w:r>
          </w:p>
        </w:tc>
        <w:tc>
          <w:tcPr>
            <w:tcW w:w="45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94"/>
              </w:rPr>
              <w:t>Mid-America Group</w:t>
            </w:r>
          </w:p>
        </w:tc>
        <w:tc>
          <w:tcPr>
            <w:tcW w:w="21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87"/>
              </w:rPr>
              <w:t>Southeast Group</w:t>
            </w: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West Group</w:t>
            </w:r>
          </w:p>
        </w:tc>
        <w:tc>
          <w:tcPr>
            <w:tcW w:w="20" w:type="dxa"/>
            <w:vAlign w:val="bottom"/>
          </w:tcPr>
          <w:p>
            <w:pPr>
              <w:spacing w:after="0"/>
              <w:rPr>
                <w:sz w:val="20"/>
                <w:szCs w:val="20"/>
                <w:color w:val="auto"/>
              </w:rPr>
            </w:pPr>
          </w:p>
        </w:tc>
      </w:tr>
      <w:tr>
        <w:trPr>
          <w:trHeight w:val="206"/>
        </w:trPr>
        <w:tc>
          <w:tcPr>
            <w:tcW w:w="17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Operating Locations</w:t>
            </w:r>
          </w:p>
        </w:tc>
        <w:tc>
          <w:tcPr>
            <w:tcW w:w="100" w:type="dxa"/>
            <w:vAlign w:val="bottom"/>
          </w:tcPr>
          <w:p>
            <w:pPr>
              <w:spacing w:after="0"/>
              <w:rPr>
                <w:sz w:val="17"/>
                <w:szCs w:val="17"/>
                <w:color w:val="auto"/>
              </w:rPr>
            </w:pPr>
          </w:p>
        </w:tc>
        <w:tc>
          <w:tcPr>
            <w:tcW w:w="444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Indiana, Iowa, northern Kansas, Kentucky, Maryland,</w:t>
            </w:r>
          </w:p>
        </w:tc>
        <w:tc>
          <w:tcPr>
            <w:tcW w:w="120" w:type="dxa"/>
            <w:vAlign w:val="bottom"/>
          </w:tcPr>
          <w:p>
            <w:pPr>
              <w:spacing w:after="0"/>
              <w:rPr>
                <w:sz w:val="17"/>
                <w:szCs w:val="17"/>
                <w:color w:val="auto"/>
              </w:rPr>
            </w:pPr>
          </w:p>
        </w:tc>
        <w:tc>
          <w:tcPr>
            <w:tcW w:w="20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Alabama, Florida,</w:t>
            </w:r>
          </w:p>
        </w:tc>
        <w:tc>
          <w:tcPr>
            <w:tcW w:w="100" w:type="dxa"/>
            <w:vAlign w:val="bottom"/>
          </w:tcPr>
          <w:p>
            <w:pPr>
              <w:spacing w:after="0"/>
              <w:rPr>
                <w:sz w:val="17"/>
                <w:szCs w:val="17"/>
                <w:color w:val="auto"/>
              </w:rPr>
            </w:pPr>
          </w:p>
        </w:tc>
        <w:tc>
          <w:tcPr>
            <w:tcW w:w="28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Arkansas, Colorado, southern</w:t>
            </w:r>
          </w:p>
        </w:tc>
        <w:tc>
          <w:tcPr>
            <w:tcW w:w="20" w:type="dxa"/>
            <w:vAlign w:val="bottom"/>
          </w:tcPr>
          <w:p>
            <w:pPr>
              <w:spacing w:after="0"/>
              <w:rPr>
                <w:sz w:val="17"/>
                <w:szCs w:val="17"/>
                <w:color w:val="auto"/>
              </w:rPr>
            </w:pPr>
          </w:p>
        </w:tc>
      </w:tr>
      <w:tr>
        <w:trPr>
          <w:trHeight w:val="230"/>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Minnesota, Missouri, eastern Nebraska, North Carolina,</w:t>
            </w:r>
          </w:p>
        </w:tc>
        <w:tc>
          <w:tcPr>
            <w:tcW w:w="218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Georgia, Mississippi,</w:t>
            </w:r>
          </w:p>
        </w:tc>
        <w:tc>
          <w:tcPr>
            <w:tcW w:w="2880" w:type="dxa"/>
            <w:vAlign w:val="bottom"/>
          </w:tcPr>
          <w:p>
            <w:pPr>
              <w:jc w:val="center"/>
              <w:spacing w:after="0"/>
              <w:rPr>
                <w:sz w:val="20"/>
                <w:szCs w:val="20"/>
                <w:color w:val="auto"/>
              </w:rPr>
            </w:pPr>
            <w:r>
              <w:rPr>
                <w:rFonts w:ascii="Arial" w:cs="Arial" w:eastAsia="Arial" w:hAnsi="Arial"/>
                <w:sz w:val="20"/>
                <w:szCs w:val="20"/>
                <w:color w:val="auto"/>
                <w:w w:val="88"/>
              </w:rPr>
              <w:t>Kansas, Louisiana, western</w:t>
            </w:r>
          </w:p>
        </w:tc>
        <w:tc>
          <w:tcPr>
            <w:tcW w:w="2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Ohio, South Carolina, Virginia, Washington and West</w:t>
            </w:r>
          </w:p>
        </w:tc>
        <w:tc>
          <w:tcPr>
            <w:tcW w:w="2180" w:type="dxa"/>
            <w:vAlign w:val="bottom"/>
            <w:gridSpan w:val="2"/>
          </w:tcPr>
          <w:p>
            <w:pPr>
              <w:jc w:val="center"/>
              <w:ind w:right="100"/>
              <w:spacing w:after="0"/>
              <w:rPr>
                <w:sz w:val="20"/>
                <w:szCs w:val="20"/>
                <w:color w:val="auto"/>
              </w:rPr>
            </w:pPr>
            <w:r>
              <w:rPr>
                <w:rFonts w:ascii="Arial" w:cs="Arial" w:eastAsia="Arial" w:hAnsi="Arial"/>
                <w:sz w:val="20"/>
                <w:szCs w:val="20"/>
                <w:color w:val="auto"/>
                <w:w w:val="86"/>
              </w:rPr>
              <w:t>Tennessee, Nova Scotia</w:t>
            </w:r>
          </w:p>
        </w:tc>
        <w:tc>
          <w:tcPr>
            <w:tcW w:w="2880" w:type="dxa"/>
            <w:vAlign w:val="bottom"/>
          </w:tcPr>
          <w:p>
            <w:pPr>
              <w:jc w:val="center"/>
              <w:spacing w:after="0"/>
              <w:rPr>
                <w:sz w:val="20"/>
                <w:szCs w:val="20"/>
                <w:color w:val="auto"/>
              </w:rPr>
            </w:pPr>
            <w:r>
              <w:rPr>
                <w:rFonts w:ascii="Arial" w:cs="Arial" w:eastAsia="Arial" w:hAnsi="Arial"/>
                <w:sz w:val="20"/>
                <w:szCs w:val="20"/>
                <w:color w:val="auto"/>
                <w:w w:val="89"/>
              </w:rPr>
              <w:t>Nebraska, Nevada, Oklahoma,</w:t>
            </w:r>
          </w:p>
        </w:tc>
        <w:tc>
          <w:tcPr>
            <w:tcW w:w="20" w:type="dxa"/>
            <w:vAlign w:val="bottom"/>
          </w:tcPr>
          <w:p>
            <w:pPr>
              <w:spacing w:after="0"/>
              <w:rPr>
                <w:sz w:val="19"/>
                <w:szCs w:val="19"/>
                <w:color w:val="auto"/>
              </w:rPr>
            </w:pPr>
          </w:p>
        </w:tc>
      </w:tr>
      <w:tr>
        <w:trPr>
          <w:trHeight w:val="250"/>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560" w:type="dxa"/>
            <w:vAlign w:val="bottom"/>
            <w:gridSpan w:val="2"/>
          </w:tcPr>
          <w:p>
            <w:pPr>
              <w:jc w:val="center"/>
              <w:ind w:right="120"/>
              <w:spacing w:after="0"/>
              <w:rPr>
                <w:sz w:val="20"/>
                <w:szCs w:val="20"/>
                <w:color w:val="auto"/>
              </w:rPr>
            </w:pPr>
            <w:r>
              <w:rPr>
                <w:rFonts w:ascii="Arial" w:cs="Arial" w:eastAsia="Arial" w:hAnsi="Arial"/>
                <w:sz w:val="20"/>
                <w:szCs w:val="20"/>
                <w:color w:val="auto"/>
                <w:w w:val="95"/>
              </w:rPr>
              <w:t>Virginia</w:t>
            </w:r>
          </w:p>
        </w:tc>
        <w:tc>
          <w:tcPr>
            <w:tcW w:w="2180" w:type="dxa"/>
            <w:vAlign w:val="bottom"/>
            <w:gridSpan w:val="2"/>
          </w:tcPr>
          <w:p>
            <w:pPr>
              <w:jc w:val="center"/>
              <w:ind w:right="100"/>
              <w:spacing w:after="0"/>
              <w:rPr>
                <w:sz w:val="20"/>
                <w:szCs w:val="20"/>
                <w:color w:val="auto"/>
              </w:rPr>
            </w:pPr>
            <w:r>
              <w:rPr>
                <w:rFonts w:ascii="Arial" w:cs="Arial" w:eastAsia="Arial" w:hAnsi="Arial"/>
                <w:sz w:val="20"/>
                <w:szCs w:val="20"/>
                <w:color w:val="auto"/>
                <w:w w:val="86"/>
              </w:rPr>
              <w:t>and the Bahamas</w:t>
            </w:r>
          </w:p>
        </w:tc>
        <w:tc>
          <w:tcPr>
            <w:tcW w:w="2880" w:type="dxa"/>
            <w:vAlign w:val="bottom"/>
          </w:tcPr>
          <w:p>
            <w:pPr>
              <w:jc w:val="center"/>
              <w:spacing w:after="0"/>
              <w:rPr>
                <w:sz w:val="20"/>
                <w:szCs w:val="20"/>
                <w:color w:val="auto"/>
              </w:rPr>
            </w:pPr>
            <w:r>
              <w:rPr>
                <w:rFonts w:ascii="Arial" w:cs="Arial" w:eastAsia="Arial" w:hAnsi="Arial"/>
                <w:sz w:val="20"/>
                <w:szCs w:val="20"/>
                <w:color w:val="auto"/>
                <w:w w:val="89"/>
              </w:rPr>
              <w:t>Texas, Utah and Wyoming</w:t>
            </w:r>
          </w:p>
        </w:tc>
        <w:tc>
          <w:tcPr>
            <w:tcW w:w="20" w:type="dxa"/>
            <w:vAlign w:val="bottom"/>
          </w:tcPr>
          <w:p>
            <w:pPr>
              <w:spacing w:after="0"/>
              <w:rPr>
                <w:sz w:val="21"/>
                <w:szCs w:val="21"/>
                <w:color w:val="auto"/>
              </w:rPr>
            </w:pPr>
          </w:p>
        </w:tc>
      </w:tr>
      <w:tr>
        <w:trPr>
          <w:trHeight w:val="438"/>
        </w:trPr>
        <w:tc>
          <w:tcPr>
            <w:tcW w:w="1800" w:type="dxa"/>
            <w:vAlign w:val="bottom"/>
            <w:gridSpan w:val="2"/>
          </w:tcPr>
          <w:p>
            <w:pPr>
              <w:jc w:val="center"/>
              <w:ind w:right="100"/>
              <w:spacing w:after="0"/>
              <w:rPr>
                <w:sz w:val="20"/>
                <w:szCs w:val="20"/>
                <w:color w:val="auto"/>
              </w:rPr>
            </w:pPr>
            <w:r>
              <w:rPr>
                <w:rFonts w:ascii="Arial" w:cs="Arial" w:eastAsia="Arial" w:hAnsi="Arial"/>
                <w:sz w:val="20"/>
                <w:szCs w:val="20"/>
                <w:color w:val="auto"/>
                <w:w w:val="90"/>
              </w:rPr>
              <w:t>Primary Product</w:t>
            </w:r>
          </w:p>
        </w:tc>
        <w:tc>
          <w:tcPr>
            <w:tcW w:w="456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Aggregates (crushed stone, sand and gravel)</w:t>
            </w:r>
          </w:p>
        </w:tc>
        <w:tc>
          <w:tcPr>
            <w:tcW w:w="2180" w:type="dxa"/>
            <w:vAlign w:val="bottom"/>
            <w:gridSpan w:val="2"/>
          </w:tcPr>
          <w:p>
            <w:pPr>
              <w:jc w:val="center"/>
              <w:ind w:right="100"/>
              <w:spacing w:after="0"/>
              <w:rPr>
                <w:sz w:val="20"/>
                <w:szCs w:val="20"/>
                <w:color w:val="auto"/>
              </w:rPr>
            </w:pPr>
            <w:r>
              <w:rPr>
                <w:rFonts w:ascii="Arial" w:cs="Arial" w:eastAsia="Arial" w:hAnsi="Arial"/>
                <w:sz w:val="20"/>
                <w:szCs w:val="20"/>
                <w:color w:val="auto"/>
                <w:w w:val="88"/>
              </w:rPr>
              <w:t>Aggregates (crushed</w:t>
            </w:r>
          </w:p>
        </w:tc>
        <w:tc>
          <w:tcPr>
            <w:tcW w:w="2880" w:type="dxa"/>
            <w:vAlign w:val="bottom"/>
          </w:tcPr>
          <w:p>
            <w:pPr>
              <w:jc w:val="center"/>
              <w:spacing w:after="0"/>
              <w:rPr>
                <w:sz w:val="20"/>
                <w:szCs w:val="20"/>
                <w:color w:val="auto"/>
              </w:rPr>
            </w:pPr>
            <w:r>
              <w:rPr>
                <w:rFonts w:ascii="Arial" w:cs="Arial" w:eastAsia="Arial" w:hAnsi="Arial"/>
                <w:sz w:val="20"/>
                <w:szCs w:val="20"/>
                <w:color w:val="auto"/>
                <w:w w:val="86"/>
              </w:rPr>
              <w:t>Aggregates (crushed stone, sand</w:t>
            </w:r>
          </w:p>
        </w:tc>
        <w:tc>
          <w:tcPr>
            <w:tcW w:w="20" w:type="dxa"/>
            <w:vAlign w:val="bottom"/>
          </w:tcPr>
          <w:p>
            <w:pPr>
              <w:spacing w:after="0"/>
              <w:rPr>
                <w:sz w:val="24"/>
                <w:szCs w:val="24"/>
                <w:color w:val="auto"/>
              </w:rPr>
            </w:pPr>
          </w:p>
        </w:tc>
      </w:tr>
      <w:tr>
        <w:trPr>
          <w:trHeight w:val="230"/>
        </w:trPr>
        <w:tc>
          <w:tcPr>
            <w:tcW w:w="1800" w:type="dxa"/>
            <w:vAlign w:val="bottom"/>
            <w:gridSpan w:val="2"/>
          </w:tcPr>
          <w:p>
            <w:pPr>
              <w:jc w:val="center"/>
              <w:ind w:left="21"/>
              <w:spacing w:after="0"/>
              <w:rPr>
                <w:sz w:val="20"/>
                <w:szCs w:val="20"/>
                <w:color w:val="auto"/>
              </w:rPr>
            </w:pPr>
            <w:r>
              <w:rPr>
                <w:rFonts w:ascii="Arial" w:cs="Arial" w:eastAsia="Arial" w:hAnsi="Arial"/>
                <w:sz w:val="20"/>
                <w:szCs w:val="20"/>
                <w:color w:val="auto"/>
                <w:w w:val="91"/>
              </w:rPr>
              <w:t>Lines</w:t>
            </w: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20"/>
                <w:szCs w:val="20"/>
                <w:color w:val="auto"/>
                <w:w w:val="87"/>
              </w:rPr>
              <w:t>stone, sand and gravel)</w:t>
            </w:r>
          </w:p>
        </w:tc>
        <w:tc>
          <w:tcPr>
            <w:tcW w:w="2880" w:type="dxa"/>
            <w:vAlign w:val="bottom"/>
          </w:tcPr>
          <w:p>
            <w:pPr>
              <w:jc w:val="center"/>
              <w:spacing w:after="0"/>
              <w:rPr>
                <w:sz w:val="20"/>
                <w:szCs w:val="20"/>
                <w:color w:val="auto"/>
              </w:rPr>
            </w:pPr>
            <w:r>
              <w:rPr>
                <w:rFonts w:ascii="Arial" w:cs="Arial" w:eastAsia="Arial" w:hAnsi="Arial"/>
                <w:sz w:val="20"/>
                <w:szCs w:val="20"/>
                <w:color w:val="auto"/>
                <w:w w:val="89"/>
              </w:rPr>
              <w:t>and gravel), asphalt, ready mixed</w:t>
            </w:r>
          </w:p>
        </w:tc>
        <w:tc>
          <w:tcPr>
            <w:tcW w:w="20" w:type="dxa"/>
            <w:vAlign w:val="bottom"/>
          </w:tcPr>
          <w:p>
            <w:pPr>
              <w:spacing w:after="0"/>
              <w:rPr>
                <w:sz w:val="19"/>
                <w:szCs w:val="19"/>
                <w:color w:val="auto"/>
              </w:rPr>
            </w:pPr>
          </w:p>
        </w:tc>
      </w:tr>
      <w:tr>
        <w:trPr>
          <w:trHeight w:val="250"/>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80" w:type="dxa"/>
            <w:vAlign w:val="bottom"/>
          </w:tcPr>
          <w:p>
            <w:pPr>
              <w:jc w:val="center"/>
              <w:spacing w:after="0"/>
              <w:rPr>
                <w:sz w:val="20"/>
                <w:szCs w:val="20"/>
                <w:color w:val="auto"/>
              </w:rPr>
            </w:pPr>
            <w:r>
              <w:rPr>
                <w:rFonts w:ascii="Arial" w:cs="Arial" w:eastAsia="Arial" w:hAnsi="Arial"/>
                <w:sz w:val="20"/>
                <w:szCs w:val="20"/>
                <w:color w:val="auto"/>
                <w:w w:val="88"/>
              </w:rPr>
              <w:t>concrete and road paving</w:t>
            </w:r>
          </w:p>
        </w:tc>
        <w:tc>
          <w:tcPr>
            <w:tcW w:w="20" w:type="dxa"/>
            <w:vAlign w:val="bottom"/>
          </w:tcPr>
          <w:p>
            <w:pPr>
              <w:spacing w:after="0"/>
              <w:rPr>
                <w:sz w:val="21"/>
                <w:szCs w:val="21"/>
                <w:color w:val="auto"/>
              </w:rPr>
            </w:pPr>
          </w:p>
        </w:tc>
      </w:tr>
      <w:tr>
        <w:trPr>
          <w:trHeight w:val="438"/>
        </w:trPr>
        <w:tc>
          <w:tcPr>
            <w:tcW w:w="180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Primary Types of</w:t>
            </w:r>
          </w:p>
        </w:tc>
        <w:tc>
          <w:tcPr>
            <w:tcW w:w="456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Quarries and Distribution Facilities</w:t>
            </w:r>
          </w:p>
        </w:tc>
        <w:tc>
          <w:tcPr>
            <w:tcW w:w="218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Quarries and Distribution</w:t>
            </w:r>
          </w:p>
        </w:tc>
        <w:tc>
          <w:tcPr>
            <w:tcW w:w="2880" w:type="dxa"/>
            <w:vAlign w:val="bottom"/>
          </w:tcPr>
          <w:p>
            <w:pPr>
              <w:jc w:val="center"/>
              <w:spacing w:after="0"/>
              <w:rPr>
                <w:sz w:val="20"/>
                <w:szCs w:val="20"/>
                <w:color w:val="auto"/>
              </w:rPr>
            </w:pPr>
            <w:r>
              <w:rPr>
                <w:rFonts w:ascii="Arial" w:cs="Arial" w:eastAsia="Arial" w:hAnsi="Arial"/>
                <w:sz w:val="20"/>
                <w:szCs w:val="20"/>
                <w:color w:val="auto"/>
                <w:w w:val="87"/>
              </w:rPr>
              <w:t>Quarries, Plants and</w:t>
            </w:r>
          </w:p>
        </w:tc>
        <w:tc>
          <w:tcPr>
            <w:tcW w:w="20" w:type="dxa"/>
            <w:vAlign w:val="bottom"/>
          </w:tcPr>
          <w:p>
            <w:pPr>
              <w:spacing w:after="0"/>
              <w:rPr>
                <w:sz w:val="24"/>
                <w:szCs w:val="24"/>
                <w:color w:val="auto"/>
              </w:rPr>
            </w:pPr>
          </w:p>
        </w:tc>
      </w:tr>
      <w:tr>
        <w:trPr>
          <w:trHeight w:val="230"/>
        </w:trPr>
        <w:tc>
          <w:tcPr>
            <w:tcW w:w="1800" w:type="dxa"/>
            <w:vAlign w:val="bottom"/>
            <w:gridSpan w:val="2"/>
          </w:tcPr>
          <w:p>
            <w:pPr>
              <w:jc w:val="center"/>
              <w:ind w:left="21"/>
              <w:spacing w:after="0"/>
              <w:rPr>
                <w:sz w:val="20"/>
                <w:szCs w:val="20"/>
                <w:color w:val="auto"/>
              </w:rPr>
            </w:pPr>
            <w:r>
              <w:rPr>
                <w:rFonts w:ascii="Arial" w:cs="Arial" w:eastAsia="Arial" w:hAnsi="Arial"/>
                <w:sz w:val="20"/>
                <w:szCs w:val="20"/>
                <w:color w:val="auto"/>
                <w:w w:val="89"/>
              </w:rPr>
              <w:t>Aggregates</w:t>
            </w: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20"/>
                <w:szCs w:val="20"/>
                <w:color w:val="auto"/>
                <w:w w:val="92"/>
              </w:rPr>
              <w:t>Facilities</w:t>
            </w:r>
          </w:p>
        </w:tc>
        <w:tc>
          <w:tcPr>
            <w:tcW w:w="2880" w:type="dxa"/>
            <w:vAlign w:val="bottom"/>
          </w:tcPr>
          <w:p>
            <w:pPr>
              <w:jc w:val="center"/>
              <w:spacing w:after="0"/>
              <w:rPr>
                <w:sz w:val="20"/>
                <w:szCs w:val="20"/>
                <w:color w:val="auto"/>
              </w:rPr>
            </w:pPr>
            <w:r>
              <w:rPr>
                <w:rFonts w:ascii="Arial" w:cs="Arial" w:eastAsia="Arial" w:hAnsi="Arial"/>
                <w:sz w:val="20"/>
                <w:szCs w:val="20"/>
                <w:color w:val="auto"/>
                <w:w w:val="93"/>
              </w:rPr>
              <w:t>Distribution Facilities</w:t>
            </w:r>
          </w:p>
        </w:tc>
        <w:tc>
          <w:tcPr>
            <w:tcW w:w="20" w:type="dxa"/>
            <w:vAlign w:val="bottom"/>
          </w:tcPr>
          <w:p>
            <w:pPr>
              <w:spacing w:after="0"/>
              <w:rPr>
                <w:sz w:val="19"/>
                <w:szCs w:val="19"/>
                <w:color w:val="auto"/>
              </w:rPr>
            </w:pPr>
          </w:p>
        </w:tc>
      </w:tr>
      <w:tr>
        <w:trPr>
          <w:trHeight w:val="250"/>
        </w:trPr>
        <w:tc>
          <w:tcPr>
            <w:tcW w:w="1800" w:type="dxa"/>
            <w:vAlign w:val="bottom"/>
            <w:gridSpan w:val="2"/>
          </w:tcPr>
          <w:p>
            <w:pPr>
              <w:jc w:val="center"/>
              <w:ind w:left="41"/>
              <w:spacing w:after="0"/>
              <w:rPr>
                <w:sz w:val="20"/>
                <w:szCs w:val="20"/>
                <w:color w:val="auto"/>
              </w:rPr>
            </w:pPr>
            <w:r>
              <w:rPr>
                <w:rFonts w:ascii="Arial" w:cs="Arial" w:eastAsia="Arial" w:hAnsi="Arial"/>
                <w:sz w:val="20"/>
                <w:szCs w:val="20"/>
                <w:color w:val="auto"/>
                <w:w w:val="91"/>
              </w:rPr>
              <w:t>Locations</w:t>
            </w:r>
          </w:p>
        </w:tc>
        <w:tc>
          <w:tcPr>
            <w:tcW w:w="4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8"/>
        </w:trPr>
        <w:tc>
          <w:tcPr>
            <w:tcW w:w="1800" w:type="dxa"/>
            <w:vAlign w:val="bottom"/>
            <w:gridSpan w:val="2"/>
          </w:tcPr>
          <w:p>
            <w:pPr>
              <w:jc w:val="center"/>
              <w:ind w:right="80"/>
              <w:spacing w:after="0"/>
              <w:rPr>
                <w:sz w:val="20"/>
                <w:szCs w:val="20"/>
                <w:color w:val="auto"/>
              </w:rPr>
            </w:pPr>
            <w:r>
              <w:rPr>
                <w:rFonts w:ascii="Arial" w:cs="Arial" w:eastAsia="Arial" w:hAnsi="Arial"/>
                <w:sz w:val="20"/>
                <w:szCs w:val="20"/>
                <w:color w:val="auto"/>
                <w:w w:val="91"/>
              </w:rPr>
              <w:t>Primary Modes of</w:t>
            </w:r>
          </w:p>
        </w:tc>
        <w:tc>
          <w:tcPr>
            <w:tcW w:w="456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Truck and Rail</w:t>
            </w:r>
          </w:p>
        </w:tc>
        <w:tc>
          <w:tcPr>
            <w:tcW w:w="218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Truck, Rail and Water</w:t>
            </w:r>
          </w:p>
        </w:tc>
        <w:tc>
          <w:tcPr>
            <w:tcW w:w="2880" w:type="dxa"/>
            <w:vAlign w:val="bottom"/>
          </w:tcPr>
          <w:p>
            <w:pPr>
              <w:jc w:val="center"/>
              <w:spacing w:after="0"/>
              <w:rPr>
                <w:sz w:val="20"/>
                <w:szCs w:val="20"/>
                <w:color w:val="auto"/>
              </w:rPr>
            </w:pPr>
            <w:r>
              <w:rPr>
                <w:rFonts w:ascii="Arial" w:cs="Arial" w:eastAsia="Arial" w:hAnsi="Arial"/>
                <w:sz w:val="20"/>
                <w:szCs w:val="20"/>
                <w:color w:val="auto"/>
                <w:w w:val="91"/>
              </w:rPr>
              <w:t>Truck and Rail</w:t>
            </w:r>
          </w:p>
        </w:tc>
        <w:tc>
          <w:tcPr>
            <w:tcW w:w="20" w:type="dxa"/>
            <w:vAlign w:val="bottom"/>
          </w:tcPr>
          <w:p>
            <w:pPr>
              <w:spacing w:after="0"/>
              <w:rPr>
                <w:sz w:val="24"/>
                <w:szCs w:val="24"/>
                <w:color w:val="auto"/>
              </w:rPr>
            </w:pPr>
          </w:p>
        </w:tc>
      </w:tr>
      <w:tr>
        <w:trPr>
          <w:trHeight w:val="230"/>
        </w:trPr>
        <w:tc>
          <w:tcPr>
            <w:tcW w:w="1800" w:type="dxa"/>
            <w:vAlign w:val="bottom"/>
            <w:gridSpan w:val="2"/>
          </w:tcPr>
          <w:p>
            <w:pPr>
              <w:jc w:val="center"/>
              <w:ind w:left="21"/>
              <w:spacing w:after="0"/>
              <w:rPr>
                <w:sz w:val="20"/>
                <w:szCs w:val="20"/>
                <w:color w:val="auto"/>
              </w:rPr>
            </w:pPr>
            <w:r>
              <w:rPr>
                <w:rFonts w:ascii="Arial" w:cs="Arial" w:eastAsia="Arial" w:hAnsi="Arial"/>
                <w:sz w:val="20"/>
                <w:szCs w:val="20"/>
                <w:color w:val="auto"/>
                <w:w w:val="91"/>
              </w:rPr>
              <w:t>Transportation for</w:t>
            </w: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00" w:type="dxa"/>
            <w:vAlign w:val="bottom"/>
            <w:gridSpan w:val="2"/>
          </w:tcPr>
          <w:p>
            <w:pPr>
              <w:jc w:val="center"/>
              <w:ind w:left="21"/>
              <w:spacing w:after="0"/>
              <w:rPr>
                <w:sz w:val="20"/>
                <w:szCs w:val="20"/>
                <w:color w:val="auto"/>
              </w:rPr>
            </w:pPr>
            <w:r>
              <w:rPr>
                <w:rFonts w:ascii="Arial" w:cs="Arial" w:eastAsia="Arial" w:hAnsi="Arial"/>
                <w:sz w:val="20"/>
                <w:szCs w:val="20"/>
                <w:color w:val="auto"/>
                <w:w w:val="89"/>
              </w:rPr>
              <w:t>Aggregates</w:t>
            </w: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1800" w:type="dxa"/>
            <w:vAlign w:val="bottom"/>
            <w:gridSpan w:val="2"/>
          </w:tcPr>
          <w:p>
            <w:pPr>
              <w:jc w:val="center"/>
              <w:ind w:left="21"/>
              <w:spacing w:after="0"/>
              <w:rPr>
                <w:sz w:val="20"/>
                <w:szCs w:val="20"/>
                <w:color w:val="auto"/>
              </w:rPr>
            </w:pPr>
            <w:r>
              <w:rPr>
                <w:rFonts w:ascii="Arial" w:cs="Arial" w:eastAsia="Arial" w:hAnsi="Arial"/>
                <w:sz w:val="20"/>
                <w:szCs w:val="20"/>
                <w:color w:val="auto"/>
                <w:w w:val="92"/>
              </w:rPr>
              <w:t>Product Line</w:t>
            </w:r>
          </w:p>
        </w:tc>
        <w:tc>
          <w:tcPr>
            <w:tcW w:w="4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675"/>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2"/>
          </w:tcPr>
          <w:p>
            <w:pPr>
              <w:ind w:left="3360"/>
              <w:spacing w:after="0"/>
              <w:rPr>
                <w:sz w:val="20"/>
                <w:szCs w:val="20"/>
                <w:color w:val="auto"/>
              </w:rPr>
            </w:pPr>
            <w:r>
              <w:rPr>
                <w:rFonts w:ascii="Arial" w:cs="Arial" w:eastAsia="Arial" w:hAnsi="Arial"/>
                <w:sz w:val="20"/>
                <w:szCs w:val="20"/>
                <w:color w:val="auto"/>
                <w:w w:val="94"/>
              </w:rPr>
              <w:t>Page 25 of 60</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7"/>
        </w:trPr>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Cement business produces Portland and specialty cements, such as masonry and oil well cements. Similar to the Aggregates business, cement is used in infrastructure projects, nonresidential and residential construction, and the railroad, agricultural, utility and environmental industries. The production facilities are located in Midlothian, Texas, south of Dallas/Fort Worth; Hunter, Texas, between Austin and San Antonio; and Oro Grande, California, near Los Angeles. The limestone reserves used as a raw material are located on property, owned by the Corporation, adjacent to each of the plants. The Corporation also operates a cement terminal and packaging facility at the Crestmore plant near Riverside, California, and operates its Portland cement grinding facility on an as-needed basis. The cement facilities currently have total annual capacity of 6.6 million tons. In addition to the manufacturing and packaging facilities, the Corporation operates eight cement distribution terminals. The corporation has signed a sale agreement to divest of the Oro Grande, California facility. Closing is expected by September 30, 2015.</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Corporation also has a Magnesia Specialties segment that produces magnesia-based chemicals products used in industrial, agricultural and environmental applications and dolomitic lime sold primarily to customers in the steel industry.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Corporation outlined its critical accounting policies in its Annual Report on Form 10-K for the year ended December 31, 2014. There were no changes to the Corporation’s critical accounting policies during the six months ended June 30, 2015.</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Except as indicated, the comparative analysis in this Management’s Discussion and Analysis of Financial Condition and Results of Operations reflects results from continuing operations and is based on net sales and cost of sales. Gross margin and operating margin calculated as percentages of total revenues represent the most directly comparable financial measures calculated in accordance with generally accepted accounting principles (“GAAP”). However, gross margin as a percentage of net sales and operating margin as a percentage of net sales represent non-GAAP measures. The Corporation presents these ratios calculated based on net sales, as it is consistent with the basis by which management reviews the Corporation’s operating results. Further, management believes it is consistent with the basis by which investors analyze the Corporation’s operating results given that freight and delivery revenues and costs represent pass-throughs and have no profit mark-up. The following tables present the calculations of gross margin and operating margin for the three and six months ended June 30, 2015 and 2014 in accordance with GAAP and reconciliations of the ratios as percentages of total revenues to percentages of net sales.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740" w:type="dxa"/>
            <w:vAlign w:val="bottom"/>
          </w:tcPr>
          <w:p>
            <w:pPr>
              <w:spacing w:after="0"/>
              <w:rPr>
                <w:sz w:val="20"/>
                <w:szCs w:val="20"/>
                <w:color w:val="auto"/>
              </w:rPr>
            </w:pPr>
            <w:r>
              <w:rPr>
                <w:rFonts w:ascii="Arial" w:cs="Arial" w:eastAsia="Arial" w:hAnsi="Arial"/>
                <w:sz w:val="20"/>
                <w:szCs w:val="20"/>
                <w:b w:val="1"/>
                <w:bCs w:val="1"/>
                <w:color w:val="auto"/>
              </w:rPr>
              <w:t>Gross Margin in Accordance with GAAP</w:t>
            </w:r>
          </w:p>
        </w:tc>
        <w:tc>
          <w:tcPr>
            <w:tcW w:w="240" w:type="dxa"/>
            <w:vAlign w:val="bottom"/>
          </w:tcPr>
          <w:p>
            <w:pPr>
              <w:spacing w:after="0"/>
              <w:rPr>
                <w:sz w:val="22"/>
                <w:szCs w:val="22"/>
                <w:color w:val="auto"/>
              </w:rPr>
            </w:pPr>
          </w:p>
        </w:tc>
        <w:tc>
          <w:tcPr>
            <w:tcW w:w="2540" w:type="dxa"/>
            <w:vAlign w:val="bottom"/>
            <w:gridSpan w:val="6"/>
            <w:vMerge w:val="restart"/>
          </w:tcPr>
          <w:p>
            <w:pPr>
              <w:jc w:val="right"/>
              <w:ind w:right="640"/>
              <w:spacing w:after="0"/>
              <w:rPr>
                <w:sz w:val="20"/>
                <w:szCs w:val="20"/>
                <w:color w:val="auto"/>
              </w:rPr>
            </w:pPr>
            <w:r>
              <w:rPr>
                <w:rFonts w:ascii="Arial" w:cs="Arial" w:eastAsia="Arial" w:hAnsi="Arial"/>
                <w:sz w:val="20"/>
                <w:szCs w:val="20"/>
                <w:color w:val="auto"/>
              </w:rPr>
              <w:t>Three Months Ended</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60" w:type="dxa"/>
            <w:vAlign w:val="bottom"/>
            <w:gridSpan w:val="5"/>
            <w:vMerge w:val="restart"/>
          </w:tcPr>
          <w:p>
            <w:pPr>
              <w:jc w:val="right"/>
              <w:ind w:right="760"/>
              <w:spacing w:after="0"/>
              <w:rPr>
                <w:sz w:val="20"/>
                <w:szCs w:val="20"/>
                <w:color w:val="auto"/>
              </w:rPr>
            </w:pPr>
            <w:r>
              <w:rPr>
                <w:rFonts w:ascii="Arial" w:cs="Arial" w:eastAsia="Arial" w:hAnsi="Arial"/>
                <w:sz w:val="20"/>
                <w:szCs w:val="20"/>
                <w:color w:val="auto"/>
              </w:rPr>
              <w:t>Six Months Ended</w:t>
            </w:r>
          </w:p>
        </w:tc>
        <w:tc>
          <w:tcPr>
            <w:tcW w:w="0" w:type="dxa"/>
            <w:vAlign w:val="bottom"/>
          </w:tcPr>
          <w:p>
            <w:pPr>
              <w:spacing w:after="0"/>
              <w:rPr>
                <w:sz w:val="1"/>
                <w:szCs w:val="1"/>
                <w:color w:val="auto"/>
              </w:rPr>
            </w:pPr>
          </w:p>
        </w:tc>
      </w:tr>
      <w:tr>
        <w:trPr>
          <w:trHeight w:val="236"/>
        </w:trPr>
        <w:tc>
          <w:tcPr>
            <w:tcW w:w="5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20"/>
                <w:szCs w:val="20"/>
                <w:color w:val="auto"/>
              </w:rPr>
              <w:t>June 30,</w:t>
            </w:r>
          </w:p>
        </w:tc>
        <w:tc>
          <w:tcPr>
            <w:tcW w:w="8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June 30,</w:t>
            </w:r>
          </w:p>
        </w:tc>
        <w:tc>
          <w:tcPr>
            <w:tcW w:w="9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2014</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2015</w:t>
            </w: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6"/>
          </w:tcPr>
          <w:p>
            <w:pPr>
              <w:jc w:val="right"/>
              <w:ind w:right="680"/>
              <w:spacing w:after="0"/>
              <w:rPr>
                <w:sz w:val="20"/>
                <w:szCs w:val="20"/>
                <w:color w:val="auto"/>
              </w:rPr>
            </w:pPr>
            <w:r>
              <w:rPr>
                <w:rFonts w:ascii="Arial" w:cs="Arial" w:eastAsia="Arial" w:hAnsi="Arial"/>
                <w:sz w:val="20"/>
                <w:szCs w:val="20"/>
                <w:i w:val="1"/>
                <w:iCs w:val="1"/>
                <w:color w:val="auto"/>
                <w:w w:val="95"/>
              </w:rPr>
              <w:t>(Dollars in Thousands)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FF2FA"/>
          </w:tcPr>
          <w:p>
            <w:pPr>
              <w:spacing w:after="0"/>
              <w:rPr>
                <w:sz w:val="20"/>
                <w:szCs w:val="20"/>
                <w:color w:val="auto"/>
              </w:rPr>
            </w:pPr>
            <w:r>
              <w:rPr>
                <w:rFonts w:ascii="Arial" w:cs="Arial" w:eastAsia="Arial" w:hAnsi="Arial"/>
                <w:sz w:val="20"/>
                <w:szCs w:val="20"/>
                <w:color w:val="auto"/>
              </w:rPr>
              <w:t>Gross profit</w:t>
            </w:r>
          </w:p>
        </w:tc>
        <w:tc>
          <w:tcPr>
            <w:tcW w:w="240" w:type="dxa"/>
            <w:vAlign w:val="bottom"/>
            <w:shd w:val="clear" w:color="auto" w:fill="CFF2FA"/>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200,153</w:t>
            </w:r>
          </w:p>
        </w:tc>
        <w:tc>
          <w:tcPr>
            <w:tcW w:w="220" w:type="dxa"/>
            <w:vAlign w:val="bottom"/>
            <w:shd w:val="clear" w:color="auto" w:fill="CFF2FA"/>
          </w:tcPr>
          <w:p>
            <w:pPr>
              <w:spacing w:after="0"/>
              <w:rPr>
                <w:sz w:val="21"/>
                <w:szCs w:val="21"/>
                <w:color w:val="auto"/>
              </w:rPr>
            </w:pPr>
          </w:p>
        </w:tc>
        <w:tc>
          <w:tcPr>
            <w:tcW w:w="340" w:type="dxa"/>
            <w:vAlign w:val="bottom"/>
            <w:gridSpan w:val="2"/>
            <w:shd w:val="clear" w:color="auto" w:fill="CFF2FA"/>
          </w:tcPr>
          <w:p>
            <w:pPr>
              <w:jc w:val="right"/>
              <w:ind w:right="61"/>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135,602</w:t>
            </w:r>
          </w:p>
        </w:tc>
        <w:tc>
          <w:tcPr>
            <w:tcW w:w="180" w:type="dxa"/>
            <w:vAlign w:val="bottom"/>
            <w:shd w:val="clear" w:color="auto" w:fill="CFF2FA"/>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2FA"/>
          </w:tcPr>
          <w:p>
            <w:pPr>
              <w:jc w:val="right"/>
              <w:ind w:right="2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274,414</w:t>
            </w:r>
          </w:p>
        </w:tc>
        <w:tc>
          <w:tcPr>
            <w:tcW w:w="300" w:type="dxa"/>
            <w:vAlign w:val="bottom"/>
            <w:shd w:val="clear" w:color="auto" w:fill="CFF2FA"/>
          </w:tcPr>
          <w:p>
            <w:pPr>
              <w:spacing w:after="0"/>
              <w:rPr>
                <w:sz w:val="21"/>
                <w:szCs w:val="21"/>
                <w:color w:val="auto"/>
              </w:rPr>
            </w:pPr>
          </w:p>
        </w:tc>
        <w:tc>
          <w:tcPr>
            <w:tcW w:w="260" w:type="dxa"/>
            <w:vAlign w:val="bottom"/>
            <w:shd w:val="clear" w:color="auto" w:fill="CFF2FA"/>
          </w:tcPr>
          <w:p>
            <w:pPr>
              <w:jc w:val="right"/>
              <w:ind w:right="61"/>
              <w:spacing w:after="0"/>
              <w:rPr>
                <w:sz w:val="20"/>
                <w:szCs w:val="20"/>
                <w:color w:val="auto"/>
              </w:rPr>
            </w:pPr>
            <w:r>
              <w:rPr>
                <w:rFonts w:ascii="Arial" w:cs="Arial" w:eastAsia="Arial" w:hAnsi="Arial"/>
                <w:sz w:val="20"/>
                <w:szCs w:val="20"/>
                <w:color w:val="auto"/>
                <w:w w:val="71"/>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161,438</w:t>
            </w:r>
          </w:p>
        </w:tc>
        <w:tc>
          <w:tcPr>
            <w:tcW w:w="180" w:type="dxa"/>
            <w:vAlign w:val="bottom"/>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20"/>
                <w:szCs w:val="20"/>
                <w:color w:val="auto"/>
              </w:rPr>
              <w:t>Total revenues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740" w:type="dxa"/>
            <w:vAlign w:val="bottom"/>
            <w:tcBorders>
              <w:bottom w:val="single" w:sz="8" w:color="CFF2FA"/>
            </w:tcBorders>
            <w:vMerge w:val="continue"/>
          </w:tcPr>
          <w:p>
            <w:pPr>
              <w:spacing w:after="0"/>
              <w:rPr>
                <w:sz w:val="22"/>
                <w:szCs w:val="22"/>
                <w:color w:val="auto"/>
              </w:rPr>
            </w:pPr>
          </w:p>
        </w:tc>
        <w:tc>
          <w:tcPr>
            <w:tcW w:w="240" w:type="dxa"/>
            <w:vAlign w:val="bottom"/>
            <w:tcBorders>
              <w:bottom w:val="single" w:sz="8" w:color="auto"/>
            </w:tcBorders>
          </w:tcPr>
          <w:p>
            <w:pPr>
              <w:jc w:val="right"/>
              <w:ind w:right="4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921,419</w:t>
            </w:r>
          </w:p>
        </w:tc>
        <w:tc>
          <w:tcPr>
            <w:tcW w:w="220" w:type="dxa"/>
            <w:vAlign w:val="bottom"/>
            <w:tcBorders>
              <w:bottom w:val="single" w:sz="8" w:color="CFF2FA"/>
            </w:tcBorders>
          </w:tcPr>
          <w:p>
            <w:pPr>
              <w:spacing w:after="0"/>
              <w:rPr>
                <w:sz w:val="22"/>
                <w:szCs w:val="22"/>
                <w:color w:val="auto"/>
              </w:rPr>
            </w:pPr>
          </w:p>
        </w:tc>
        <w:tc>
          <w:tcPr>
            <w:tcW w:w="80" w:type="dxa"/>
            <w:vAlign w:val="bottom"/>
            <w:tcBorders>
              <w:bottom w:val="single" w:sz="8" w:color="CFF2FA"/>
            </w:tcBorders>
          </w:tcPr>
          <w:p>
            <w:pPr>
              <w:spacing w:after="0"/>
              <w:rPr>
                <w:sz w:val="22"/>
                <w:szCs w:val="22"/>
                <w:color w:val="auto"/>
              </w:rPr>
            </w:pPr>
          </w:p>
        </w:tc>
        <w:tc>
          <w:tcPr>
            <w:tcW w:w="260" w:type="dxa"/>
            <w:vAlign w:val="bottom"/>
            <w:tcBorders>
              <w:bottom w:val="single" w:sz="8" w:color="auto"/>
            </w:tcBorders>
          </w:tcPr>
          <w:p>
            <w:pPr>
              <w:jc w:val="right"/>
              <w:ind w:right="61"/>
              <w:spacing w:after="0" w:line="224" w:lineRule="exact"/>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669,225</w:t>
            </w:r>
          </w:p>
        </w:tc>
        <w:tc>
          <w:tcPr>
            <w:tcW w:w="180" w:type="dxa"/>
            <w:vAlign w:val="bottom"/>
            <w:tcBorders>
              <w:bottom w:val="single" w:sz="8" w:color="CFF2FA"/>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2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1,612,765</w:t>
            </w:r>
          </w:p>
        </w:tc>
        <w:tc>
          <w:tcPr>
            <w:tcW w:w="300" w:type="dxa"/>
            <w:vAlign w:val="bottom"/>
            <w:tcBorders>
              <w:bottom w:val="single" w:sz="8" w:color="CFF2FA"/>
            </w:tcBorders>
          </w:tcPr>
          <w:p>
            <w:pPr>
              <w:spacing w:after="0"/>
              <w:rPr>
                <w:sz w:val="22"/>
                <w:szCs w:val="22"/>
                <w:color w:val="auto"/>
              </w:rPr>
            </w:pPr>
          </w:p>
        </w:tc>
        <w:tc>
          <w:tcPr>
            <w:tcW w:w="260" w:type="dxa"/>
            <w:vAlign w:val="bottom"/>
            <w:tcBorders>
              <w:bottom w:val="single" w:sz="8" w:color="auto"/>
            </w:tcBorders>
          </w:tcPr>
          <w:p>
            <w:pPr>
              <w:jc w:val="right"/>
              <w:ind w:right="61"/>
              <w:spacing w:after="0" w:line="224" w:lineRule="exact"/>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96"/>
              </w:rPr>
              <w:t>1,097,855</w:t>
            </w:r>
          </w:p>
        </w:tc>
        <w:tc>
          <w:tcPr>
            <w:tcW w:w="18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74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Gross margin</w:t>
            </w:r>
          </w:p>
        </w:tc>
        <w:tc>
          <w:tcPr>
            <w:tcW w:w="24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60"/>
              <w:spacing w:after="0" w:line="224" w:lineRule="exact"/>
              <w:rPr>
                <w:sz w:val="20"/>
                <w:szCs w:val="20"/>
                <w:color w:val="auto"/>
              </w:rPr>
            </w:pPr>
            <w:r>
              <w:rPr>
                <w:rFonts w:ascii="Arial" w:cs="Arial" w:eastAsia="Arial" w:hAnsi="Arial"/>
                <w:sz w:val="20"/>
                <w:szCs w:val="20"/>
                <w:color w:val="auto"/>
              </w:rPr>
              <w:t>21.7%</w:t>
            </w:r>
          </w:p>
        </w:tc>
        <w:tc>
          <w:tcPr>
            <w:tcW w:w="8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20.3%</w:t>
            </w:r>
          </w:p>
        </w:tc>
        <w:tc>
          <w:tcPr>
            <w:tcW w:w="120" w:type="dxa"/>
            <w:vAlign w:val="bottom"/>
            <w:shd w:val="clear" w:color="auto" w:fill="CFF0FC"/>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120"/>
              <w:spacing w:after="0" w:line="224" w:lineRule="exact"/>
              <w:rPr>
                <w:sz w:val="20"/>
                <w:szCs w:val="20"/>
                <w:color w:val="auto"/>
              </w:rPr>
            </w:pPr>
            <w:r>
              <w:rPr>
                <w:rFonts w:ascii="Arial" w:cs="Arial" w:eastAsia="Arial" w:hAnsi="Arial"/>
                <w:sz w:val="20"/>
                <w:szCs w:val="20"/>
                <w:color w:val="auto"/>
              </w:rPr>
              <w:t>17.0%</w:t>
            </w:r>
          </w:p>
        </w:tc>
        <w:tc>
          <w:tcPr>
            <w:tcW w:w="26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14.7%</w:t>
            </w:r>
          </w:p>
        </w:tc>
        <w:tc>
          <w:tcPr>
            <w:tcW w:w="0" w:type="dxa"/>
            <w:vAlign w:val="bottom"/>
          </w:tcPr>
          <w:p>
            <w:pPr>
              <w:spacing w:after="0"/>
              <w:rPr>
                <w:sz w:val="1"/>
                <w:szCs w:val="1"/>
                <w:color w:val="auto"/>
              </w:rPr>
            </w:pPr>
          </w:p>
        </w:tc>
      </w:tr>
      <w:tr>
        <w:trPr>
          <w:trHeight w:val="20"/>
        </w:trPr>
        <w:tc>
          <w:tcPr>
            <w:tcW w:w="574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740" w:type="dxa"/>
            <w:vAlign w:val="bottom"/>
            <w:gridSpan w:val="2"/>
          </w:tcPr>
          <w:p>
            <w:pPr>
              <w:spacing w:after="0"/>
              <w:rPr>
                <w:sz w:val="20"/>
                <w:szCs w:val="20"/>
                <w:color w:val="auto"/>
              </w:rPr>
            </w:pPr>
            <w:r>
              <w:rPr>
                <w:rFonts w:ascii="Arial" w:cs="Arial" w:eastAsia="Arial" w:hAnsi="Arial"/>
                <w:sz w:val="20"/>
                <w:szCs w:val="20"/>
                <w:b w:val="1"/>
                <w:bCs w:val="1"/>
                <w:color w:val="auto"/>
              </w:rPr>
              <w:t>Gross Margin Excluding Freight and Delivery Revenues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center"/>
              <w:ind w:right="420"/>
              <w:spacing w:after="0"/>
              <w:rPr>
                <w:sz w:val="20"/>
                <w:szCs w:val="20"/>
                <w:color w:val="auto"/>
              </w:rPr>
            </w:pPr>
            <w:r>
              <w:rPr>
                <w:rFonts w:ascii="Arial" w:cs="Arial" w:eastAsia="Arial" w:hAnsi="Arial"/>
                <w:sz w:val="20"/>
                <w:szCs w:val="20"/>
                <w:color w:val="auto"/>
                <w:w w:val="89"/>
              </w:rPr>
              <w:t>Three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20"/>
                <w:szCs w:val="20"/>
                <w:color w:val="auto"/>
                <w:w w:val="89"/>
              </w:rPr>
              <w:t>Six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tcPr>
          <w:p>
            <w:pPr>
              <w:jc w:val="center"/>
              <w:ind w:left="521"/>
              <w:spacing w:after="0"/>
              <w:rPr>
                <w:sz w:val="20"/>
                <w:szCs w:val="20"/>
                <w:color w:val="auto"/>
              </w:rPr>
            </w:pPr>
            <w:r>
              <w:rPr>
                <w:rFonts w:ascii="Arial" w:cs="Arial" w:eastAsia="Arial" w:hAnsi="Arial"/>
                <w:sz w:val="20"/>
                <w:szCs w:val="20"/>
                <w:color w:val="auto"/>
                <w:w w:val="85"/>
              </w:rPr>
              <w:t>June 30,</w:t>
            </w:r>
          </w:p>
        </w:tc>
        <w:tc>
          <w:tcPr>
            <w:tcW w:w="8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left="561"/>
              <w:spacing w:after="0"/>
              <w:rPr>
                <w:sz w:val="20"/>
                <w:szCs w:val="20"/>
                <w:color w:val="auto"/>
              </w:rPr>
            </w:pPr>
            <w:r>
              <w:rPr>
                <w:rFonts w:ascii="Arial" w:cs="Arial" w:eastAsia="Arial" w:hAnsi="Arial"/>
                <w:sz w:val="20"/>
                <w:szCs w:val="20"/>
                <w:color w:val="auto"/>
                <w:w w:val="85"/>
              </w:rPr>
              <w:t>June 30,</w:t>
            </w:r>
          </w:p>
        </w:tc>
        <w:tc>
          <w:tcPr>
            <w:tcW w:w="9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2014</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2015</w:t>
            </w: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6"/>
          </w:tcPr>
          <w:p>
            <w:pPr>
              <w:ind w:left="100"/>
              <w:spacing w:after="0"/>
              <w:rPr>
                <w:sz w:val="20"/>
                <w:szCs w:val="20"/>
                <w:color w:val="auto"/>
              </w:rPr>
            </w:pPr>
            <w:r>
              <w:rPr>
                <w:rFonts w:ascii="Arial" w:cs="Arial" w:eastAsia="Arial" w:hAnsi="Arial"/>
                <w:sz w:val="20"/>
                <w:szCs w:val="20"/>
                <w:i w:val="1"/>
                <w:iCs w:val="1"/>
                <w:color w:val="auto"/>
              </w:rPr>
              <w:t>(Dollars in Thousands)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FF2FA"/>
          </w:tcPr>
          <w:p>
            <w:pPr>
              <w:spacing w:after="0"/>
              <w:rPr>
                <w:sz w:val="20"/>
                <w:szCs w:val="20"/>
                <w:color w:val="auto"/>
              </w:rPr>
            </w:pPr>
            <w:r>
              <w:rPr>
                <w:rFonts w:ascii="Arial" w:cs="Arial" w:eastAsia="Arial" w:hAnsi="Arial"/>
                <w:sz w:val="20"/>
                <w:szCs w:val="20"/>
                <w:color w:val="auto"/>
              </w:rPr>
              <w:t>Gross profit</w:t>
            </w:r>
          </w:p>
        </w:tc>
        <w:tc>
          <w:tcPr>
            <w:tcW w:w="240" w:type="dxa"/>
            <w:vAlign w:val="bottom"/>
            <w:shd w:val="clear" w:color="auto" w:fill="CFF2FA"/>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200,153</w:t>
            </w:r>
          </w:p>
        </w:tc>
        <w:tc>
          <w:tcPr>
            <w:tcW w:w="220" w:type="dxa"/>
            <w:vAlign w:val="bottom"/>
            <w:shd w:val="clear" w:color="auto" w:fill="CFF2FA"/>
          </w:tcPr>
          <w:p>
            <w:pPr>
              <w:spacing w:after="0"/>
              <w:rPr>
                <w:sz w:val="21"/>
                <w:szCs w:val="21"/>
                <w:color w:val="auto"/>
              </w:rPr>
            </w:pPr>
          </w:p>
        </w:tc>
        <w:tc>
          <w:tcPr>
            <w:tcW w:w="340" w:type="dxa"/>
            <w:vAlign w:val="bottom"/>
            <w:gridSpan w:val="2"/>
            <w:shd w:val="clear" w:color="auto" w:fill="CFF2FA"/>
          </w:tcPr>
          <w:p>
            <w:pPr>
              <w:jc w:val="right"/>
              <w:ind w:right="61"/>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135,602</w:t>
            </w:r>
          </w:p>
        </w:tc>
        <w:tc>
          <w:tcPr>
            <w:tcW w:w="180" w:type="dxa"/>
            <w:vAlign w:val="bottom"/>
            <w:shd w:val="clear" w:color="auto" w:fill="CFF2FA"/>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2FA"/>
          </w:tcPr>
          <w:p>
            <w:pPr>
              <w:jc w:val="right"/>
              <w:ind w:right="2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274,414</w:t>
            </w:r>
          </w:p>
        </w:tc>
        <w:tc>
          <w:tcPr>
            <w:tcW w:w="300" w:type="dxa"/>
            <w:vAlign w:val="bottom"/>
            <w:shd w:val="clear" w:color="auto" w:fill="CFF2FA"/>
          </w:tcPr>
          <w:p>
            <w:pPr>
              <w:spacing w:after="0"/>
              <w:rPr>
                <w:sz w:val="21"/>
                <w:szCs w:val="21"/>
                <w:color w:val="auto"/>
              </w:rPr>
            </w:pPr>
          </w:p>
        </w:tc>
        <w:tc>
          <w:tcPr>
            <w:tcW w:w="260" w:type="dxa"/>
            <w:vAlign w:val="bottom"/>
            <w:shd w:val="clear" w:color="auto" w:fill="CFF2FA"/>
          </w:tcPr>
          <w:p>
            <w:pPr>
              <w:jc w:val="right"/>
              <w:ind w:right="61"/>
              <w:spacing w:after="0"/>
              <w:rPr>
                <w:sz w:val="20"/>
                <w:szCs w:val="20"/>
                <w:color w:val="auto"/>
              </w:rPr>
            </w:pPr>
            <w:r>
              <w:rPr>
                <w:rFonts w:ascii="Arial" w:cs="Arial" w:eastAsia="Arial" w:hAnsi="Arial"/>
                <w:sz w:val="20"/>
                <w:szCs w:val="20"/>
                <w:color w:val="auto"/>
                <w:w w:val="71"/>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161,438</w:t>
            </w:r>
          </w:p>
        </w:tc>
        <w:tc>
          <w:tcPr>
            <w:tcW w:w="180" w:type="dxa"/>
            <w:vAlign w:val="bottom"/>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shd w:val="clear" w:color="auto" w:fill="CFF2F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2FA"/>
          </w:tcPr>
          <w:p>
            <w:pPr>
              <w:spacing w:after="0" w:line="20" w:lineRule="exact"/>
              <w:rPr>
                <w:sz w:val="1"/>
                <w:szCs w:val="1"/>
                <w:color w:val="auto"/>
              </w:rPr>
            </w:pPr>
          </w:p>
        </w:tc>
        <w:tc>
          <w:tcPr>
            <w:tcW w:w="80" w:type="dxa"/>
            <w:vAlign w:val="bottom"/>
            <w:shd w:val="clear" w:color="auto" w:fill="CFF2FA"/>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2FA"/>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2FA"/>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20"/>
                <w:szCs w:val="20"/>
                <w:color w:val="auto"/>
              </w:rPr>
              <w:t>Total revenues</w:t>
            </w: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gridSpan w:val="2"/>
            <w:vMerge w:val="continue"/>
          </w:tcPr>
          <w:p>
            <w:pPr>
              <w:spacing w:after="0"/>
              <w:rPr>
                <w:sz w:val="19"/>
                <w:szCs w:val="19"/>
                <w:color w:val="auto"/>
              </w:rPr>
            </w:pPr>
          </w:p>
        </w:tc>
        <w:tc>
          <w:tcPr>
            <w:tcW w:w="240" w:type="dxa"/>
            <w:vAlign w:val="bottom"/>
            <w:tcBorders>
              <w:top w:val="single" w:sz="8" w:color="auto"/>
            </w:tcBorders>
          </w:tcPr>
          <w:p>
            <w:pPr>
              <w:jc w:val="right"/>
              <w:ind w:right="4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921,419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61"/>
              <w:spacing w:after="0" w:line="224"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669,225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2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1,612,765</w:t>
            </w:r>
          </w:p>
        </w:tc>
        <w:tc>
          <w:tcPr>
            <w:tcW w:w="300" w:type="dxa"/>
            <w:vAlign w:val="bottom"/>
          </w:tcPr>
          <w:p>
            <w:pPr>
              <w:spacing w:after="0"/>
              <w:rPr>
                <w:sz w:val="19"/>
                <w:szCs w:val="19"/>
                <w:color w:val="auto"/>
              </w:rPr>
            </w:pPr>
          </w:p>
        </w:tc>
        <w:tc>
          <w:tcPr>
            <w:tcW w:w="260" w:type="dxa"/>
            <w:vAlign w:val="bottom"/>
            <w:tcBorders>
              <w:top w:val="single" w:sz="8" w:color="auto"/>
            </w:tcBorders>
          </w:tcPr>
          <w:p>
            <w:pPr>
              <w:jc w:val="right"/>
              <w:ind w:right="61"/>
              <w:spacing w:after="0" w:line="224"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w w:val="96"/>
              </w:rPr>
              <w:t>1,097,855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FF2FA"/>
          </w:tcPr>
          <w:p>
            <w:pPr>
              <w:spacing w:after="0"/>
              <w:rPr>
                <w:sz w:val="20"/>
                <w:szCs w:val="20"/>
                <w:color w:val="auto"/>
              </w:rPr>
            </w:pPr>
            <w:r>
              <w:rPr>
                <w:rFonts w:ascii="Arial" w:cs="Arial" w:eastAsia="Arial" w:hAnsi="Arial"/>
                <w:sz w:val="20"/>
                <w:szCs w:val="20"/>
                <w:color w:val="auto"/>
              </w:rPr>
              <w:t>Less: Freight and delivery revenues</w:t>
            </w:r>
          </w:p>
        </w:tc>
        <w:tc>
          <w:tcPr>
            <w:tcW w:w="240" w:type="dxa"/>
            <w:vAlign w:val="bottom"/>
            <w:shd w:val="clear" w:color="auto" w:fill="CFF2FA"/>
          </w:tcPr>
          <w:p>
            <w:pPr>
              <w:spacing w:after="0"/>
              <w:rPr>
                <w:sz w:val="21"/>
                <w:szCs w:val="21"/>
                <w:color w:val="auto"/>
              </w:rPr>
            </w:pPr>
          </w:p>
        </w:tc>
        <w:tc>
          <w:tcPr>
            <w:tcW w:w="1140" w:type="dxa"/>
            <w:vAlign w:val="bottom"/>
            <w:gridSpan w:val="2"/>
            <w:shd w:val="clear" w:color="auto" w:fill="CFF2FA"/>
          </w:tcPr>
          <w:p>
            <w:pPr>
              <w:jc w:val="right"/>
              <w:ind w:right="160"/>
              <w:spacing w:after="0"/>
              <w:rPr>
                <w:sz w:val="20"/>
                <w:szCs w:val="20"/>
                <w:color w:val="auto"/>
              </w:rPr>
            </w:pPr>
            <w:r>
              <w:rPr>
                <w:rFonts w:ascii="Arial" w:cs="Arial" w:eastAsia="Arial" w:hAnsi="Arial"/>
                <w:sz w:val="20"/>
                <w:szCs w:val="20"/>
                <w:color w:val="auto"/>
              </w:rPr>
              <w:t>(71,170)</w:t>
            </w:r>
          </w:p>
        </w:tc>
        <w:tc>
          <w:tcPr>
            <w:tcW w:w="80" w:type="dxa"/>
            <w:vAlign w:val="bottom"/>
            <w:shd w:val="clear" w:color="auto" w:fill="CFF2FA"/>
          </w:tcPr>
          <w:p>
            <w:pPr>
              <w:spacing w:after="0"/>
              <w:rPr>
                <w:sz w:val="21"/>
                <w:szCs w:val="21"/>
                <w:color w:val="auto"/>
              </w:rPr>
            </w:pPr>
          </w:p>
        </w:tc>
        <w:tc>
          <w:tcPr>
            <w:tcW w:w="260" w:type="dxa"/>
            <w:vAlign w:val="bottom"/>
            <w:shd w:val="clear" w:color="auto" w:fill="CFF2FA"/>
          </w:tcPr>
          <w:p>
            <w:pPr>
              <w:spacing w:after="0"/>
              <w:rPr>
                <w:sz w:val="21"/>
                <w:szCs w:val="21"/>
                <w:color w:val="auto"/>
              </w:rPr>
            </w:pPr>
          </w:p>
        </w:tc>
        <w:tc>
          <w:tcPr>
            <w:tcW w:w="1060" w:type="dxa"/>
            <w:vAlign w:val="bottom"/>
            <w:gridSpan w:val="2"/>
            <w:shd w:val="clear" w:color="auto" w:fill="CFF2FA"/>
          </w:tcPr>
          <w:p>
            <w:pPr>
              <w:jc w:val="right"/>
              <w:ind w:right="120"/>
              <w:spacing w:after="0"/>
              <w:rPr>
                <w:sz w:val="20"/>
                <w:szCs w:val="20"/>
                <w:color w:val="auto"/>
              </w:rPr>
            </w:pPr>
            <w:r>
              <w:rPr>
                <w:rFonts w:ascii="Arial" w:cs="Arial" w:eastAsia="Arial" w:hAnsi="Arial"/>
                <w:sz w:val="20"/>
                <w:szCs w:val="20"/>
                <w:color w:val="auto"/>
              </w:rPr>
              <w:t>(67,288)</w:t>
            </w:r>
          </w:p>
        </w:tc>
        <w:tc>
          <w:tcPr>
            <w:tcW w:w="120" w:type="dxa"/>
            <w:vAlign w:val="bottom"/>
            <w:shd w:val="clear" w:color="auto" w:fill="CFF0FC"/>
          </w:tcPr>
          <w:p>
            <w:pPr>
              <w:spacing w:after="0"/>
              <w:rPr>
                <w:sz w:val="21"/>
                <w:szCs w:val="21"/>
                <w:color w:val="auto"/>
              </w:rPr>
            </w:pPr>
          </w:p>
        </w:tc>
        <w:tc>
          <w:tcPr>
            <w:tcW w:w="220" w:type="dxa"/>
            <w:vAlign w:val="bottom"/>
            <w:shd w:val="clear" w:color="auto" w:fill="CFF2FA"/>
          </w:tcPr>
          <w:p>
            <w:pPr>
              <w:spacing w:after="0"/>
              <w:rPr>
                <w:sz w:val="21"/>
                <w:szCs w:val="21"/>
                <w:color w:val="auto"/>
              </w:rPr>
            </w:pPr>
          </w:p>
        </w:tc>
        <w:tc>
          <w:tcPr>
            <w:tcW w:w="1220" w:type="dxa"/>
            <w:vAlign w:val="bottom"/>
            <w:gridSpan w:val="2"/>
            <w:shd w:val="clear" w:color="auto" w:fill="CFF2FA"/>
          </w:tcPr>
          <w:p>
            <w:pPr>
              <w:jc w:val="right"/>
              <w:ind w:right="220"/>
              <w:spacing w:after="0"/>
              <w:rPr>
                <w:sz w:val="20"/>
                <w:szCs w:val="20"/>
                <w:color w:val="auto"/>
              </w:rPr>
            </w:pPr>
            <w:r>
              <w:rPr>
                <w:rFonts w:ascii="Arial" w:cs="Arial" w:eastAsia="Arial" w:hAnsi="Arial"/>
                <w:sz w:val="20"/>
                <w:szCs w:val="20"/>
                <w:color w:val="auto"/>
              </w:rPr>
              <w:t>(130,641)</w:t>
            </w:r>
          </w:p>
        </w:tc>
        <w:tc>
          <w:tcPr>
            <w:tcW w:w="260" w:type="dxa"/>
            <w:vAlign w:val="bottom"/>
            <w:shd w:val="clear" w:color="auto" w:fill="CFF2FA"/>
          </w:tcPr>
          <w:p>
            <w:pPr>
              <w:spacing w:after="0"/>
              <w:rPr>
                <w:sz w:val="21"/>
                <w:szCs w:val="21"/>
                <w:color w:val="auto"/>
              </w:rPr>
            </w:pPr>
          </w:p>
        </w:tc>
        <w:tc>
          <w:tcPr>
            <w:tcW w:w="1080" w:type="dxa"/>
            <w:vAlign w:val="bottom"/>
            <w:gridSpan w:val="2"/>
            <w:shd w:val="clear" w:color="auto" w:fill="CFF2FA"/>
          </w:tcPr>
          <w:p>
            <w:pPr>
              <w:jc w:val="right"/>
              <w:ind w:right="120"/>
              <w:spacing w:after="0"/>
              <w:rPr>
                <w:sz w:val="20"/>
                <w:szCs w:val="20"/>
                <w:color w:val="auto"/>
              </w:rPr>
            </w:pPr>
            <w:r>
              <w:rPr>
                <w:rFonts w:ascii="Arial" w:cs="Arial" w:eastAsia="Arial" w:hAnsi="Arial"/>
                <w:sz w:val="20"/>
                <w:szCs w:val="20"/>
                <w:color w:val="auto"/>
              </w:rPr>
              <w:t>(116,240)</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rPr>
                <w:sz w:val="20"/>
                <w:szCs w:val="20"/>
                <w:color w:val="auto"/>
              </w:rPr>
            </w:pPr>
            <w:r>
              <w:rPr>
                <w:rFonts w:ascii="Arial" w:cs="Arial" w:eastAsia="Arial" w:hAnsi="Arial"/>
                <w:sz w:val="20"/>
                <w:szCs w:val="20"/>
                <w:color w:val="auto"/>
              </w:rPr>
              <w:t>Net sales</w:t>
            </w: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850,249</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601,937</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1,482,124</w:t>
            </w:r>
          </w:p>
        </w:tc>
        <w:tc>
          <w:tcPr>
            <w:tcW w:w="3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981,615</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FF2FA"/>
            </w:tcBorders>
            <w:vMerge w:val="restart"/>
            <w:shd w:val="clear" w:color="auto" w:fill="CFF2FA"/>
          </w:tcPr>
          <w:p>
            <w:pPr>
              <w:spacing w:after="0"/>
              <w:rPr>
                <w:sz w:val="20"/>
                <w:szCs w:val="20"/>
                <w:color w:val="auto"/>
              </w:rPr>
            </w:pPr>
            <w:r>
              <w:rPr>
                <w:rFonts w:ascii="Arial" w:cs="Arial" w:eastAsia="Arial" w:hAnsi="Arial"/>
                <w:sz w:val="20"/>
                <w:szCs w:val="20"/>
                <w:color w:val="auto"/>
              </w:rPr>
              <w:t>Gross margin excluding freight and delivery revenues</w:t>
            </w:r>
          </w:p>
        </w:tc>
        <w:tc>
          <w:tcPr>
            <w:tcW w:w="240" w:type="dxa"/>
            <w:vAlign w:val="bottom"/>
            <w:tcBorders>
              <w:top w:val="single" w:sz="8" w:color="CFF2FA"/>
            </w:tcBorders>
            <w:shd w:val="clear" w:color="auto" w:fill="000000"/>
          </w:tcPr>
          <w:p>
            <w:pPr>
              <w:spacing w:after="0" w:line="20" w:lineRule="exact"/>
              <w:rPr>
                <w:sz w:val="1"/>
                <w:szCs w:val="1"/>
                <w:color w:val="auto"/>
              </w:rPr>
            </w:pPr>
          </w:p>
        </w:tc>
        <w:tc>
          <w:tcPr>
            <w:tcW w:w="920" w:type="dxa"/>
            <w:vAlign w:val="bottom"/>
            <w:tcBorders>
              <w:top w:val="single" w:sz="8" w:color="CFF2FA"/>
            </w:tcBorders>
            <w:shd w:val="clear" w:color="auto" w:fill="000000"/>
          </w:tcPr>
          <w:p>
            <w:pPr>
              <w:spacing w:after="0" w:line="20" w:lineRule="exact"/>
              <w:rPr>
                <w:sz w:val="1"/>
                <w:szCs w:val="1"/>
                <w:color w:val="auto"/>
              </w:rPr>
            </w:pPr>
          </w:p>
        </w:tc>
        <w:tc>
          <w:tcPr>
            <w:tcW w:w="220" w:type="dxa"/>
            <w:vAlign w:val="bottom"/>
            <w:tcBorders>
              <w:top w:val="single" w:sz="8" w:color="CFF2FA"/>
            </w:tcBorders>
            <w:shd w:val="clear" w:color="auto" w:fill="CFF2FA"/>
          </w:tcPr>
          <w:p>
            <w:pPr>
              <w:spacing w:after="0" w:line="20" w:lineRule="exact"/>
              <w:rPr>
                <w:sz w:val="1"/>
                <w:szCs w:val="1"/>
                <w:color w:val="auto"/>
              </w:rPr>
            </w:pPr>
          </w:p>
        </w:tc>
        <w:tc>
          <w:tcPr>
            <w:tcW w:w="80" w:type="dxa"/>
            <w:vAlign w:val="bottom"/>
            <w:tcBorders>
              <w:top w:val="single" w:sz="8" w:color="CFF2FA"/>
            </w:tcBorders>
            <w:shd w:val="clear" w:color="auto" w:fill="CFF2FA"/>
          </w:tcPr>
          <w:p>
            <w:pPr>
              <w:spacing w:after="0" w:line="20" w:lineRule="exact"/>
              <w:rPr>
                <w:sz w:val="1"/>
                <w:szCs w:val="1"/>
                <w:color w:val="auto"/>
              </w:rPr>
            </w:pPr>
          </w:p>
        </w:tc>
        <w:tc>
          <w:tcPr>
            <w:tcW w:w="260" w:type="dxa"/>
            <w:vAlign w:val="bottom"/>
            <w:tcBorders>
              <w:top w:val="single" w:sz="8" w:color="CFF2FA"/>
            </w:tcBorders>
            <w:shd w:val="clear" w:color="auto" w:fill="000000"/>
          </w:tcPr>
          <w:p>
            <w:pPr>
              <w:spacing w:after="0" w:line="20" w:lineRule="exact"/>
              <w:rPr>
                <w:sz w:val="1"/>
                <w:szCs w:val="1"/>
                <w:color w:val="auto"/>
              </w:rPr>
            </w:pPr>
          </w:p>
        </w:tc>
        <w:tc>
          <w:tcPr>
            <w:tcW w:w="880" w:type="dxa"/>
            <w:vAlign w:val="bottom"/>
            <w:tcBorders>
              <w:top w:val="single" w:sz="8" w:color="CFF2FA"/>
            </w:tcBorders>
            <w:shd w:val="clear" w:color="auto" w:fill="000000"/>
          </w:tcPr>
          <w:p>
            <w:pPr>
              <w:spacing w:after="0" w:line="20" w:lineRule="exact"/>
              <w:rPr>
                <w:sz w:val="1"/>
                <w:szCs w:val="1"/>
                <w:color w:val="auto"/>
              </w:rPr>
            </w:pPr>
          </w:p>
        </w:tc>
        <w:tc>
          <w:tcPr>
            <w:tcW w:w="180" w:type="dxa"/>
            <w:vAlign w:val="bottom"/>
            <w:tcBorders>
              <w:top w:val="single" w:sz="8" w:color="CFF2FA"/>
            </w:tcBorders>
            <w:shd w:val="clear" w:color="auto" w:fill="CFF2FA"/>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2FA"/>
            </w:tcBorders>
            <w:shd w:val="clear" w:color="auto" w:fill="000000"/>
          </w:tcPr>
          <w:p>
            <w:pPr>
              <w:spacing w:after="0" w:line="20" w:lineRule="exact"/>
              <w:rPr>
                <w:sz w:val="1"/>
                <w:szCs w:val="1"/>
                <w:color w:val="auto"/>
              </w:rPr>
            </w:pPr>
          </w:p>
        </w:tc>
        <w:tc>
          <w:tcPr>
            <w:tcW w:w="920" w:type="dxa"/>
            <w:vAlign w:val="bottom"/>
            <w:tcBorders>
              <w:top w:val="single" w:sz="8" w:color="CFF2FA"/>
            </w:tcBorders>
            <w:shd w:val="clear" w:color="auto" w:fill="000000"/>
          </w:tcPr>
          <w:p>
            <w:pPr>
              <w:spacing w:after="0" w:line="20" w:lineRule="exact"/>
              <w:rPr>
                <w:sz w:val="1"/>
                <w:szCs w:val="1"/>
                <w:color w:val="auto"/>
              </w:rPr>
            </w:pPr>
          </w:p>
        </w:tc>
        <w:tc>
          <w:tcPr>
            <w:tcW w:w="300" w:type="dxa"/>
            <w:vAlign w:val="bottom"/>
            <w:tcBorders>
              <w:top w:val="single" w:sz="8" w:color="CFF2FA"/>
            </w:tcBorders>
            <w:shd w:val="clear" w:color="auto" w:fill="CFF2FA"/>
          </w:tcPr>
          <w:p>
            <w:pPr>
              <w:spacing w:after="0" w:line="20" w:lineRule="exact"/>
              <w:rPr>
                <w:sz w:val="1"/>
                <w:szCs w:val="1"/>
                <w:color w:val="auto"/>
              </w:rPr>
            </w:pPr>
          </w:p>
        </w:tc>
        <w:tc>
          <w:tcPr>
            <w:tcW w:w="260" w:type="dxa"/>
            <w:vAlign w:val="bottom"/>
            <w:tcBorders>
              <w:top w:val="single" w:sz="8" w:color="CFF2FA"/>
            </w:tcBorders>
            <w:shd w:val="clear" w:color="auto" w:fill="000000"/>
          </w:tcPr>
          <w:p>
            <w:pPr>
              <w:spacing w:after="0" w:line="20" w:lineRule="exact"/>
              <w:rPr>
                <w:sz w:val="1"/>
                <w:szCs w:val="1"/>
                <w:color w:val="auto"/>
              </w:rPr>
            </w:pPr>
          </w:p>
        </w:tc>
        <w:tc>
          <w:tcPr>
            <w:tcW w:w="900" w:type="dxa"/>
            <w:vAlign w:val="bottom"/>
            <w:tcBorders>
              <w:top w:val="single" w:sz="8" w:color="CFF2FA"/>
            </w:tcBorders>
            <w:shd w:val="clear" w:color="auto" w:fill="000000"/>
          </w:tcPr>
          <w:p>
            <w:pPr>
              <w:spacing w:after="0" w:line="20" w:lineRule="exact"/>
              <w:rPr>
                <w:sz w:val="1"/>
                <w:szCs w:val="1"/>
                <w:color w:val="auto"/>
              </w:rPr>
            </w:pPr>
          </w:p>
        </w:tc>
        <w:tc>
          <w:tcPr>
            <w:tcW w:w="180" w:type="dxa"/>
            <w:vAlign w:val="bottom"/>
            <w:tcBorders>
              <w:top w:val="single" w:sz="8" w:color="CFF2FA"/>
            </w:tcBorders>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vMerge w:val="continue"/>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60"/>
              <w:spacing w:after="0" w:line="224" w:lineRule="exact"/>
              <w:rPr>
                <w:sz w:val="20"/>
                <w:szCs w:val="20"/>
                <w:color w:val="auto"/>
              </w:rPr>
            </w:pPr>
            <w:r>
              <w:rPr>
                <w:rFonts w:ascii="Arial" w:cs="Arial" w:eastAsia="Arial" w:hAnsi="Arial"/>
                <w:sz w:val="20"/>
                <w:szCs w:val="20"/>
                <w:color w:val="auto"/>
              </w:rPr>
              <w:t>23.5%</w:t>
            </w:r>
          </w:p>
        </w:tc>
        <w:tc>
          <w:tcPr>
            <w:tcW w:w="8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22.5%</w:t>
            </w:r>
          </w:p>
        </w:tc>
        <w:tc>
          <w:tcPr>
            <w:tcW w:w="120" w:type="dxa"/>
            <w:vAlign w:val="bottom"/>
            <w:shd w:val="clear" w:color="auto" w:fill="CFF0FC"/>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120"/>
              <w:spacing w:after="0" w:line="224" w:lineRule="exact"/>
              <w:rPr>
                <w:sz w:val="20"/>
                <w:szCs w:val="20"/>
                <w:color w:val="auto"/>
              </w:rPr>
            </w:pPr>
            <w:r>
              <w:rPr>
                <w:rFonts w:ascii="Arial" w:cs="Arial" w:eastAsia="Arial" w:hAnsi="Arial"/>
                <w:sz w:val="20"/>
                <w:szCs w:val="20"/>
                <w:color w:val="auto"/>
              </w:rPr>
              <w:t>18.5%</w:t>
            </w:r>
          </w:p>
        </w:tc>
        <w:tc>
          <w:tcPr>
            <w:tcW w:w="26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shd w:val="clear" w:color="auto" w:fill="CFF2F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2FA"/>
          </w:tcPr>
          <w:p>
            <w:pPr>
              <w:spacing w:after="0" w:line="20" w:lineRule="exact"/>
              <w:rPr>
                <w:sz w:val="1"/>
                <w:szCs w:val="1"/>
                <w:color w:val="auto"/>
              </w:rPr>
            </w:pPr>
          </w:p>
        </w:tc>
        <w:tc>
          <w:tcPr>
            <w:tcW w:w="80" w:type="dxa"/>
            <w:vAlign w:val="bottom"/>
            <w:shd w:val="clear" w:color="auto" w:fill="CFF2FA"/>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2FA"/>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2FA"/>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Operating Margin in Accordance with GAAP</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57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center"/>
              <w:ind w:right="420"/>
              <w:spacing w:after="0"/>
              <w:rPr>
                <w:sz w:val="20"/>
                <w:szCs w:val="20"/>
                <w:color w:val="auto"/>
              </w:rPr>
            </w:pPr>
            <w:r>
              <w:rPr>
                <w:rFonts w:ascii="Arial" w:cs="Arial" w:eastAsia="Arial" w:hAnsi="Arial"/>
                <w:sz w:val="20"/>
                <w:szCs w:val="20"/>
                <w:color w:val="auto"/>
                <w:w w:val="89"/>
              </w:rPr>
              <w:t>Three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20"/>
                <w:szCs w:val="20"/>
                <w:color w:val="auto"/>
                <w:w w:val="89"/>
              </w:rPr>
              <w:t>Six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tcPr>
          <w:p>
            <w:pPr>
              <w:jc w:val="center"/>
              <w:ind w:left="521"/>
              <w:spacing w:after="0"/>
              <w:rPr>
                <w:sz w:val="20"/>
                <w:szCs w:val="20"/>
                <w:color w:val="auto"/>
              </w:rPr>
            </w:pPr>
            <w:r>
              <w:rPr>
                <w:rFonts w:ascii="Arial" w:cs="Arial" w:eastAsia="Arial" w:hAnsi="Arial"/>
                <w:sz w:val="20"/>
                <w:szCs w:val="20"/>
                <w:color w:val="auto"/>
                <w:w w:val="85"/>
              </w:rPr>
              <w:t>June 30,</w:t>
            </w:r>
          </w:p>
        </w:tc>
        <w:tc>
          <w:tcPr>
            <w:tcW w:w="8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left="561"/>
              <w:spacing w:after="0"/>
              <w:rPr>
                <w:sz w:val="20"/>
                <w:szCs w:val="20"/>
                <w:color w:val="auto"/>
              </w:rPr>
            </w:pPr>
            <w:r>
              <w:rPr>
                <w:rFonts w:ascii="Arial" w:cs="Arial" w:eastAsia="Arial" w:hAnsi="Arial"/>
                <w:sz w:val="20"/>
                <w:szCs w:val="20"/>
                <w:color w:val="auto"/>
                <w:w w:val="85"/>
              </w:rPr>
              <w:t>June 30,</w:t>
            </w:r>
          </w:p>
        </w:tc>
        <w:tc>
          <w:tcPr>
            <w:tcW w:w="9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2014</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2015</w:t>
            </w: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6"/>
          </w:tcPr>
          <w:p>
            <w:pPr>
              <w:ind w:left="100"/>
              <w:spacing w:after="0"/>
              <w:rPr>
                <w:sz w:val="20"/>
                <w:szCs w:val="20"/>
                <w:color w:val="auto"/>
              </w:rPr>
            </w:pPr>
            <w:r>
              <w:rPr>
                <w:rFonts w:ascii="Arial" w:cs="Arial" w:eastAsia="Arial" w:hAnsi="Arial"/>
                <w:sz w:val="20"/>
                <w:szCs w:val="20"/>
                <w:i w:val="1"/>
                <w:iCs w:val="1"/>
                <w:color w:val="auto"/>
              </w:rPr>
              <w:t>(Dollars in Thousands)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FF2FA"/>
          </w:tcPr>
          <w:p>
            <w:pPr>
              <w:spacing w:after="0"/>
              <w:rPr>
                <w:sz w:val="20"/>
                <w:szCs w:val="20"/>
                <w:color w:val="auto"/>
              </w:rPr>
            </w:pPr>
            <w:r>
              <w:rPr>
                <w:rFonts w:ascii="Arial" w:cs="Arial" w:eastAsia="Arial" w:hAnsi="Arial"/>
                <w:sz w:val="20"/>
                <w:szCs w:val="20"/>
                <w:color w:val="auto"/>
              </w:rPr>
              <w:t>Earnings from operations</w:t>
            </w:r>
          </w:p>
        </w:tc>
        <w:tc>
          <w:tcPr>
            <w:tcW w:w="240" w:type="dxa"/>
            <w:vAlign w:val="bottom"/>
            <w:shd w:val="clear" w:color="auto" w:fill="CFF2FA"/>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136,984</w:t>
            </w:r>
          </w:p>
        </w:tc>
        <w:tc>
          <w:tcPr>
            <w:tcW w:w="220" w:type="dxa"/>
            <w:vAlign w:val="bottom"/>
            <w:shd w:val="clear" w:color="auto" w:fill="CFF2FA"/>
          </w:tcPr>
          <w:p>
            <w:pPr>
              <w:spacing w:after="0"/>
              <w:rPr>
                <w:sz w:val="21"/>
                <w:szCs w:val="21"/>
                <w:color w:val="auto"/>
              </w:rPr>
            </w:pPr>
          </w:p>
        </w:tc>
        <w:tc>
          <w:tcPr>
            <w:tcW w:w="340" w:type="dxa"/>
            <w:vAlign w:val="bottom"/>
            <w:gridSpan w:val="2"/>
            <w:shd w:val="clear" w:color="auto" w:fill="CFF2FA"/>
          </w:tcPr>
          <w:p>
            <w:pPr>
              <w:jc w:val="right"/>
              <w:ind w:right="61"/>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2FA"/>
          </w:tcPr>
          <w:p>
            <w:pPr>
              <w:jc w:val="right"/>
              <w:spacing w:after="0"/>
              <w:rPr>
                <w:sz w:val="20"/>
                <w:szCs w:val="20"/>
                <w:color w:val="auto"/>
              </w:rPr>
            </w:pPr>
            <w:r>
              <w:rPr>
                <w:rFonts w:ascii="Arial" w:cs="Arial" w:eastAsia="Arial" w:hAnsi="Arial"/>
                <w:sz w:val="20"/>
                <w:szCs w:val="20"/>
                <w:color w:val="auto"/>
              </w:rPr>
              <w:t>96,241</w:t>
            </w:r>
          </w:p>
        </w:tc>
        <w:tc>
          <w:tcPr>
            <w:tcW w:w="180" w:type="dxa"/>
            <w:vAlign w:val="bottom"/>
            <w:shd w:val="clear" w:color="auto" w:fill="CFF2FA"/>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2FA"/>
          </w:tcPr>
          <w:p>
            <w:pPr>
              <w:jc w:val="right"/>
              <w:ind w:right="2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162,555</w:t>
            </w:r>
          </w:p>
        </w:tc>
        <w:tc>
          <w:tcPr>
            <w:tcW w:w="300" w:type="dxa"/>
            <w:vAlign w:val="bottom"/>
            <w:shd w:val="clear" w:color="auto" w:fill="CFF2FA"/>
          </w:tcPr>
          <w:p>
            <w:pPr>
              <w:spacing w:after="0"/>
              <w:rPr>
                <w:sz w:val="21"/>
                <w:szCs w:val="21"/>
                <w:color w:val="auto"/>
              </w:rPr>
            </w:pPr>
          </w:p>
        </w:tc>
        <w:tc>
          <w:tcPr>
            <w:tcW w:w="260" w:type="dxa"/>
            <w:vAlign w:val="bottom"/>
            <w:shd w:val="clear" w:color="auto" w:fill="CFF2FA"/>
          </w:tcPr>
          <w:p>
            <w:pPr>
              <w:jc w:val="right"/>
              <w:ind w:right="61"/>
              <w:spacing w:after="0"/>
              <w:rPr>
                <w:sz w:val="20"/>
                <w:szCs w:val="20"/>
                <w:color w:val="auto"/>
              </w:rPr>
            </w:pPr>
            <w:r>
              <w:rPr>
                <w:rFonts w:ascii="Arial" w:cs="Arial" w:eastAsia="Arial" w:hAnsi="Arial"/>
                <w:sz w:val="20"/>
                <w:szCs w:val="20"/>
                <w:color w:val="auto"/>
                <w:w w:val="71"/>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80,344</w:t>
            </w:r>
          </w:p>
        </w:tc>
        <w:tc>
          <w:tcPr>
            <w:tcW w:w="180" w:type="dxa"/>
            <w:vAlign w:val="bottom"/>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shd w:val="clear" w:color="auto" w:fill="CFF2F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2FA"/>
          </w:tcPr>
          <w:p>
            <w:pPr>
              <w:spacing w:after="0" w:line="20" w:lineRule="exact"/>
              <w:rPr>
                <w:sz w:val="1"/>
                <w:szCs w:val="1"/>
                <w:color w:val="auto"/>
              </w:rPr>
            </w:pPr>
          </w:p>
        </w:tc>
        <w:tc>
          <w:tcPr>
            <w:tcW w:w="80" w:type="dxa"/>
            <w:vAlign w:val="bottom"/>
            <w:shd w:val="clear" w:color="auto" w:fill="CFF2FA"/>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2FA"/>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2FA"/>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20"/>
                <w:szCs w:val="20"/>
                <w:color w:val="auto"/>
              </w:rPr>
              <w:t>Total revenues</w:t>
            </w: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740" w:type="dxa"/>
            <w:vAlign w:val="bottom"/>
            <w:gridSpan w:val="2"/>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4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921,419</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1"/>
              <w:spacing w:after="0" w:line="224"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669,225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1,612,765</w:t>
            </w:r>
          </w:p>
        </w:tc>
        <w:tc>
          <w:tcPr>
            <w:tcW w:w="3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1"/>
              <w:spacing w:after="0" w:line="224"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96"/>
              </w:rPr>
              <w:t>1,097,855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FF2FA"/>
            </w:tcBorders>
            <w:vMerge w:val="restart"/>
            <w:shd w:val="clear" w:color="auto" w:fill="CFF2FA"/>
          </w:tcPr>
          <w:p>
            <w:pPr>
              <w:spacing w:after="0"/>
              <w:rPr>
                <w:sz w:val="20"/>
                <w:szCs w:val="20"/>
                <w:color w:val="auto"/>
              </w:rPr>
            </w:pPr>
            <w:r>
              <w:rPr>
                <w:rFonts w:ascii="Arial" w:cs="Arial" w:eastAsia="Arial" w:hAnsi="Arial"/>
                <w:sz w:val="20"/>
                <w:szCs w:val="20"/>
                <w:color w:val="auto"/>
              </w:rPr>
              <w:t>Operating margin</w:t>
            </w:r>
          </w:p>
        </w:tc>
        <w:tc>
          <w:tcPr>
            <w:tcW w:w="240" w:type="dxa"/>
            <w:vAlign w:val="bottom"/>
            <w:tcBorders>
              <w:top w:val="single" w:sz="8" w:color="CFF2FA"/>
            </w:tcBorders>
            <w:shd w:val="clear" w:color="auto" w:fill="000000"/>
          </w:tcPr>
          <w:p>
            <w:pPr>
              <w:spacing w:after="0" w:line="20" w:lineRule="exact"/>
              <w:rPr>
                <w:sz w:val="1"/>
                <w:szCs w:val="1"/>
                <w:color w:val="auto"/>
              </w:rPr>
            </w:pPr>
          </w:p>
        </w:tc>
        <w:tc>
          <w:tcPr>
            <w:tcW w:w="920" w:type="dxa"/>
            <w:vAlign w:val="bottom"/>
            <w:tcBorders>
              <w:top w:val="single" w:sz="8" w:color="CFF2FA"/>
            </w:tcBorders>
            <w:shd w:val="clear" w:color="auto" w:fill="000000"/>
          </w:tcPr>
          <w:p>
            <w:pPr>
              <w:spacing w:after="0" w:line="20" w:lineRule="exact"/>
              <w:rPr>
                <w:sz w:val="1"/>
                <w:szCs w:val="1"/>
                <w:color w:val="auto"/>
              </w:rPr>
            </w:pPr>
          </w:p>
        </w:tc>
        <w:tc>
          <w:tcPr>
            <w:tcW w:w="220" w:type="dxa"/>
            <w:vAlign w:val="bottom"/>
            <w:tcBorders>
              <w:top w:val="single" w:sz="8" w:color="CFF2FA"/>
            </w:tcBorders>
            <w:shd w:val="clear" w:color="auto" w:fill="CFF2FA"/>
          </w:tcPr>
          <w:p>
            <w:pPr>
              <w:spacing w:after="0" w:line="20" w:lineRule="exact"/>
              <w:rPr>
                <w:sz w:val="1"/>
                <w:szCs w:val="1"/>
                <w:color w:val="auto"/>
              </w:rPr>
            </w:pPr>
          </w:p>
        </w:tc>
        <w:tc>
          <w:tcPr>
            <w:tcW w:w="80" w:type="dxa"/>
            <w:vAlign w:val="bottom"/>
            <w:tcBorders>
              <w:top w:val="single" w:sz="8" w:color="CFF2FA"/>
            </w:tcBorders>
            <w:shd w:val="clear" w:color="auto" w:fill="CFF2FA"/>
          </w:tcPr>
          <w:p>
            <w:pPr>
              <w:spacing w:after="0" w:line="20" w:lineRule="exact"/>
              <w:rPr>
                <w:sz w:val="1"/>
                <w:szCs w:val="1"/>
                <w:color w:val="auto"/>
              </w:rPr>
            </w:pPr>
          </w:p>
        </w:tc>
        <w:tc>
          <w:tcPr>
            <w:tcW w:w="260" w:type="dxa"/>
            <w:vAlign w:val="bottom"/>
            <w:tcBorders>
              <w:top w:val="single" w:sz="8" w:color="CFF2FA"/>
            </w:tcBorders>
            <w:shd w:val="clear" w:color="auto" w:fill="000000"/>
          </w:tcPr>
          <w:p>
            <w:pPr>
              <w:spacing w:after="0" w:line="20" w:lineRule="exact"/>
              <w:rPr>
                <w:sz w:val="1"/>
                <w:szCs w:val="1"/>
                <w:color w:val="auto"/>
              </w:rPr>
            </w:pPr>
          </w:p>
        </w:tc>
        <w:tc>
          <w:tcPr>
            <w:tcW w:w="880" w:type="dxa"/>
            <w:vAlign w:val="bottom"/>
            <w:tcBorders>
              <w:top w:val="single" w:sz="8" w:color="CFF2FA"/>
            </w:tcBorders>
            <w:shd w:val="clear" w:color="auto" w:fill="000000"/>
          </w:tcPr>
          <w:p>
            <w:pPr>
              <w:spacing w:after="0" w:line="20" w:lineRule="exact"/>
              <w:rPr>
                <w:sz w:val="1"/>
                <w:szCs w:val="1"/>
                <w:color w:val="auto"/>
              </w:rPr>
            </w:pPr>
          </w:p>
        </w:tc>
        <w:tc>
          <w:tcPr>
            <w:tcW w:w="180" w:type="dxa"/>
            <w:vAlign w:val="bottom"/>
            <w:tcBorders>
              <w:top w:val="single" w:sz="8" w:color="CFF2FA"/>
            </w:tcBorders>
            <w:shd w:val="clear" w:color="auto" w:fill="CFF2FA"/>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2FA"/>
            </w:tcBorders>
            <w:shd w:val="clear" w:color="auto" w:fill="000000"/>
          </w:tcPr>
          <w:p>
            <w:pPr>
              <w:spacing w:after="0" w:line="20" w:lineRule="exact"/>
              <w:rPr>
                <w:sz w:val="1"/>
                <w:szCs w:val="1"/>
                <w:color w:val="auto"/>
              </w:rPr>
            </w:pPr>
          </w:p>
        </w:tc>
        <w:tc>
          <w:tcPr>
            <w:tcW w:w="920" w:type="dxa"/>
            <w:vAlign w:val="bottom"/>
            <w:tcBorders>
              <w:top w:val="single" w:sz="8" w:color="CFF2FA"/>
            </w:tcBorders>
            <w:shd w:val="clear" w:color="auto" w:fill="000000"/>
          </w:tcPr>
          <w:p>
            <w:pPr>
              <w:spacing w:after="0" w:line="20" w:lineRule="exact"/>
              <w:rPr>
                <w:sz w:val="1"/>
                <w:szCs w:val="1"/>
                <w:color w:val="auto"/>
              </w:rPr>
            </w:pPr>
          </w:p>
        </w:tc>
        <w:tc>
          <w:tcPr>
            <w:tcW w:w="300" w:type="dxa"/>
            <w:vAlign w:val="bottom"/>
            <w:tcBorders>
              <w:top w:val="single" w:sz="8" w:color="CFF2FA"/>
            </w:tcBorders>
            <w:shd w:val="clear" w:color="auto" w:fill="CFF2FA"/>
          </w:tcPr>
          <w:p>
            <w:pPr>
              <w:spacing w:after="0" w:line="20" w:lineRule="exact"/>
              <w:rPr>
                <w:sz w:val="1"/>
                <w:szCs w:val="1"/>
                <w:color w:val="auto"/>
              </w:rPr>
            </w:pPr>
          </w:p>
        </w:tc>
        <w:tc>
          <w:tcPr>
            <w:tcW w:w="260" w:type="dxa"/>
            <w:vAlign w:val="bottom"/>
            <w:tcBorders>
              <w:top w:val="single" w:sz="8" w:color="CFF2FA"/>
            </w:tcBorders>
            <w:shd w:val="clear" w:color="auto" w:fill="000000"/>
          </w:tcPr>
          <w:p>
            <w:pPr>
              <w:spacing w:after="0" w:line="20" w:lineRule="exact"/>
              <w:rPr>
                <w:sz w:val="1"/>
                <w:szCs w:val="1"/>
                <w:color w:val="auto"/>
              </w:rPr>
            </w:pPr>
          </w:p>
        </w:tc>
        <w:tc>
          <w:tcPr>
            <w:tcW w:w="900" w:type="dxa"/>
            <w:vAlign w:val="bottom"/>
            <w:tcBorders>
              <w:top w:val="single" w:sz="8" w:color="CFF2FA"/>
            </w:tcBorders>
            <w:shd w:val="clear" w:color="auto" w:fill="000000"/>
          </w:tcPr>
          <w:p>
            <w:pPr>
              <w:spacing w:after="0" w:line="20" w:lineRule="exact"/>
              <w:rPr>
                <w:sz w:val="1"/>
                <w:szCs w:val="1"/>
                <w:color w:val="auto"/>
              </w:rPr>
            </w:pPr>
          </w:p>
        </w:tc>
        <w:tc>
          <w:tcPr>
            <w:tcW w:w="180" w:type="dxa"/>
            <w:vAlign w:val="bottom"/>
            <w:tcBorders>
              <w:top w:val="single" w:sz="8" w:color="CFF2FA"/>
            </w:tcBorders>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vMerge w:val="continue"/>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60"/>
              <w:spacing w:after="0" w:line="224" w:lineRule="exact"/>
              <w:rPr>
                <w:sz w:val="20"/>
                <w:szCs w:val="20"/>
                <w:color w:val="auto"/>
              </w:rPr>
            </w:pPr>
            <w:r>
              <w:rPr>
                <w:rFonts w:ascii="Arial" w:cs="Arial" w:eastAsia="Arial" w:hAnsi="Arial"/>
                <w:sz w:val="20"/>
                <w:szCs w:val="20"/>
                <w:color w:val="auto"/>
              </w:rPr>
              <w:t>14.9%</w:t>
            </w:r>
          </w:p>
        </w:tc>
        <w:tc>
          <w:tcPr>
            <w:tcW w:w="8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14.4%</w:t>
            </w:r>
          </w:p>
        </w:tc>
        <w:tc>
          <w:tcPr>
            <w:tcW w:w="120" w:type="dxa"/>
            <w:vAlign w:val="bottom"/>
            <w:shd w:val="clear" w:color="auto" w:fill="CFF0FC"/>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120"/>
              <w:spacing w:after="0" w:line="224" w:lineRule="exact"/>
              <w:rPr>
                <w:sz w:val="20"/>
                <w:szCs w:val="20"/>
                <w:color w:val="auto"/>
              </w:rPr>
            </w:pPr>
            <w:r>
              <w:rPr>
                <w:rFonts w:ascii="Arial" w:cs="Arial" w:eastAsia="Arial" w:hAnsi="Arial"/>
                <w:sz w:val="20"/>
                <w:szCs w:val="20"/>
                <w:color w:val="auto"/>
              </w:rPr>
              <w:t>10.1%</w:t>
            </w:r>
          </w:p>
        </w:tc>
        <w:tc>
          <w:tcPr>
            <w:tcW w:w="26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shd w:val="clear" w:color="auto" w:fill="CFF2F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2FA"/>
          </w:tcPr>
          <w:p>
            <w:pPr>
              <w:spacing w:after="0" w:line="20" w:lineRule="exact"/>
              <w:rPr>
                <w:sz w:val="1"/>
                <w:szCs w:val="1"/>
                <w:color w:val="auto"/>
              </w:rPr>
            </w:pPr>
          </w:p>
        </w:tc>
        <w:tc>
          <w:tcPr>
            <w:tcW w:w="80" w:type="dxa"/>
            <w:vAlign w:val="bottom"/>
            <w:shd w:val="clear" w:color="auto" w:fill="CFF2FA"/>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2FA"/>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2FA"/>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Operating Margin Excluding Freight and Delivery Revenues</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57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center"/>
              <w:ind w:right="420"/>
              <w:spacing w:after="0"/>
              <w:rPr>
                <w:sz w:val="20"/>
                <w:szCs w:val="20"/>
                <w:color w:val="auto"/>
              </w:rPr>
            </w:pPr>
            <w:r>
              <w:rPr>
                <w:rFonts w:ascii="Arial" w:cs="Arial" w:eastAsia="Arial" w:hAnsi="Arial"/>
                <w:sz w:val="20"/>
                <w:szCs w:val="20"/>
                <w:color w:val="auto"/>
                <w:w w:val="89"/>
              </w:rPr>
              <w:t>Three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20"/>
                <w:szCs w:val="20"/>
                <w:color w:val="auto"/>
                <w:w w:val="89"/>
              </w:rPr>
              <w:t>Six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tcPr>
          <w:p>
            <w:pPr>
              <w:jc w:val="center"/>
              <w:ind w:left="521"/>
              <w:spacing w:after="0"/>
              <w:rPr>
                <w:sz w:val="20"/>
                <w:szCs w:val="20"/>
                <w:color w:val="auto"/>
              </w:rPr>
            </w:pPr>
            <w:r>
              <w:rPr>
                <w:rFonts w:ascii="Arial" w:cs="Arial" w:eastAsia="Arial" w:hAnsi="Arial"/>
                <w:sz w:val="20"/>
                <w:szCs w:val="20"/>
                <w:color w:val="auto"/>
                <w:w w:val="85"/>
              </w:rPr>
              <w:t>June 30,</w:t>
            </w:r>
          </w:p>
        </w:tc>
        <w:tc>
          <w:tcPr>
            <w:tcW w:w="8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left="561"/>
              <w:spacing w:after="0"/>
              <w:rPr>
                <w:sz w:val="20"/>
                <w:szCs w:val="20"/>
                <w:color w:val="auto"/>
              </w:rPr>
            </w:pPr>
            <w:r>
              <w:rPr>
                <w:rFonts w:ascii="Arial" w:cs="Arial" w:eastAsia="Arial" w:hAnsi="Arial"/>
                <w:sz w:val="20"/>
                <w:szCs w:val="20"/>
                <w:color w:val="auto"/>
                <w:w w:val="85"/>
              </w:rPr>
              <w:t>June 30,</w:t>
            </w:r>
          </w:p>
        </w:tc>
        <w:tc>
          <w:tcPr>
            <w:tcW w:w="9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2014</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2015</w:t>
            </w: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720" w:type="dxa"/>
            <w:vAlign w:val="bottom"/>
            <w:shd w:val="clear" w:color="auto" w:fill="CFF2FA"/>
          </w:tcPr>
          <w:p>
            <w:pPr>
              <w:spacing w:after="0"/>
              <w:rPr>
                <w:sz w:val="20"/>
                <w:szCs w:val="20"/>
                <w:color w:val="auto"/>
              </w:rPr>
            </w:pPr>
            <w:r>
              <w:rPr>
                <w:rFonts w:ascii="Arial" w:cs="Arial" w:eastAsia="Arial" w:hAnsi="Arial"/>
                <w:sz w:val="20"/>
                <w:szCs w:val="20"/>
                <w:color w:val="auto"/>
              </w:rPr>
              <w:t>Earnings from operations</w:t>
            </w:r>
          </w:p>
        </w:tc>
        <w:tc>
          <w:tcPr>
            <w:tcW w:w="240" w:type="dxa"/>
            <w:vAlign w:val="bottom"/>
            <w:shd w:val="clear" w:color="auto" w:fill="CFF2FA"/>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136,984</w:t>
            </w:r>
          </w:p>
        </w:tc>
        <w:tc>
          <w:tcPr>
            <w:tcW w:w="220" w:type="dxa"/>
            <w:vAlign w:val="bottom"/>
            <w:shd w:val="clear" w:color="auto" w:fill="CFF2FA"/>
          </w:tcPr>
          <w:p>
            <w:pPr>
              <w:spacing w:after="0"/>
              <w:rPr>
                <w:sz w:val="21"/>
                <w:szCs w:val="21"/>
                <w:color w:val="auto"/>
              </w:rPr>
            </w:pPr>
          </w:p>
        </w:tc>
        <w:tc>
          <w:tcPr>
            <w:tcW w:w="340" w:type="dxa"/>
            <w:vAlign w:val="bottom"/>
            <w:gridSpan w:val="2"/>
            <w:shd w:val="clear" w:color="auto" w:fill="CFF2FA"/>
          </w:tcPr>
          <w:p>
            <w:pPr>
              <w:jc w:val="right"/>
              <w:ind w:right="61"/>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2FA"/>
          </w:tcPr>
          <w:p>
            <w:pPr>
              <w:jc w:val="right"/>
              <w:spacing w:after="0"/>
              <w:rPr>
                <w:sz w:val="20"/>
                <w:szCs w:val="20"/>
                <w:color w:val="auto"/>
              </w:rPr>
            </w:pPr>
            <w:r>
              <w:rPr>
                <w:rFonts w:ascii="Arial" w:cs="Arial" w:eastAsia="Arial" w:hAnsi="Arial"/>
                <w:sz w:val="20"/>
                <w:szCs w:val="20"/>
                <w:color w:val="auto"/>
              </w:rPr>
              <w:t>96,241</w:t>
            </w:r>
          </w:p>
        </w:tc>
        <w:tc>
          <w:tcPr>
            <w:tcW w:w="180" w:type="dxa"/>
            <w:vAlign w:val="bottom"/>
            <w:shd w:val="clear" w:color="auto" w:fill="CFF2FA"/>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2FA"/>
          </w:tcPr>
          <w:p>
            <w:pPr>
              <w:jc w:val="right"/>
              <w:ind w:right="2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162,555</w:t>
            </w:r>
          </w:p>
        </w:tc>
        <w:tc>
          <w:tcPr>
            <w:tcW w:w="300" w:type="dxa"/>
            <w:vAlign w:val="bottom"/>
            <w:shd w:val="clear" w:color="auto" w:fill="CFF2FA"/>
          </w:tcPr>
          <w:p>
            <w:pPr>
              <w:spacing w:after="0"/>
              <w:rPr>
                <w:sz w:val="21"/>
                <w:szCs w:val="21"/>
                <w:color w:val="auto"/>
              </w:rPr>
            </w:pPr>
          </w:p>
        </w:tc>
        <w:tc>
          <w:tcPr>
            <w:tcW w:w="260" w:type="dxa"/>
            <w:vAlign w:val="bottom"/>
            <w:shd w:val="clear" w:color="auto" w:fill="CFF2FA"/>
          </w:tcPr>
          <w:p>
            <w:pPr>
              <w:jc w:val="right"/>
              <w:ind w:right="61"/>
              <w:spacing w:after="0"/>
              <w:rPr>
                <w:sz w:val="20"/>
                <w:szCs w:val="20"/>
                <w:color w:val="auto"/>
              </w:rPr>
            </w:pPr>
            <w:r>
              <w:rPr>
                <w:rFonts w:ascii="Arial" w:cs="Arial" w:eastAsia="Arial" w:hAnsi="Arial"/>
                <w:sz w:val="20"/>
                <w:szCs w:val="20"/>
                <w:color w:val="auto"/>
                <w:w w:val="71"/>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80,344</w:t>
            </w:r>
          </w:p>
        </w:tc>
        <w:tc>
          <w:tcPr>
            <w:tcW w:w="180" w:type="dxa"/>
            <w:vAlign w:val="bottom"/>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shd w:val="clear" w:color="auto" w:fill="CFF2F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2FA"/>
          </w:tcPr>
          <w:p>
            <w:pPr>
              <w:spacing w:after="0" w:line="20" w:lineRule="exact"/>
              <w:rPr>
                <w:sz w:val="1"/>
                <w:szCs w:val="1"/>
                <w:color w:val="auto"/>
              </w:rPr>
            </w:pPr>
          </w:p>
        </w:tc>
        <w:tc>
          <w:tcPr>
            <w:tcW w:w="80" w:type="dxa"/>
            <w:vAlign w:val="bottom"/>
            <w:shd w:val="clear" w:color="auto" w:fill="CFF2FA"/>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2FA"/>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2FA"/>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20"/>
                <w:szCs w:val="20"/>
                <w:color w:val="auto"/>
              </w:rPr>
              <w:t>Total revenues</w:t>
            </w: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gridSpan w:val="2"/>
            <w:vMerge w:val="continue"/>
          </w:tcPr>
          <w:p>
            <w:pPr>
              <w:spacing w:after="0"/>
              <w:rPr>
                <w:sz w:val="19"/>
                <w:szCs w:val="19"/>
                <w:color w:val="auto"/>
              </w:rPr>
            </w:pPr>
          </w:p>
        </w:tc>
        <w:tc>
          <w:tcPr>
            <w:tcW w:w="240" w:type="dxa"/>
            <w:vAlign w:val="bottom"/>
            <w:tcBorders>
              <w:top w:val="single" w:sz="8" w:color="auto"/>
            </w:tcBorders>
          </w:tcPr>
          <w:p>
            <w:pPr>
              <w:jc w:val="right"/>
              <w:ind w:right="4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921,419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61"/>
              <w:spacing w:after="0" w:line="224"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669,225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2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1,612,765</w:t>
            </w:r>
          </w:p>
        </w:tc>
        <w:tc>
          <w:tcPr>
            <w:tcW w:w="300" w:type="dxa"/>
            <w:vAlign w:val="bottom"/>
          </w:tcPr>
          <w:p>
            <w:pPr>
              <w:spacing w:after="0"/>
              <w:rPr>
                <w:sz w:val="19"/>
                <w:szCs w:val="19"/>
                <w:color w:val="auto"/>
              </w:rPr>
            </w:pPr>
          </w:p>
        </w:tc>
        <w:tc>
          <w:tcPr>
            <w:tcW w:w="260" w:type="dxa"/>
            <w:vAlign w:val="bottom"/>
            <w:tcBorders>
              <w:top w:val="single" w:sz="8" w:color="auto"/>
            </w:tcBorders>
          </w:tcPr>
          <w:p>
            <w:pPr>
              <w:jc w:val="right"/>
              <w:ind w:right="61"/>
              <w:spacing w:after="0" w:line="224"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w w:val="96"/>
              </w:rPr>
              <w:t>1,097,855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FF2FA"/>
          </w:tcPr>
          <w:p>
            <w:pPr>
              <w:spacing w:after="0"/>
              <w:rPr>
                <w:sz w:val="20"/>
                <w:szCs w:val="20"/>
                <w:color w:val="auto"/>
              </w:rPr>
            </w:pPr>
            <w:r>
              <w:rPr>
                <w:rFonts w:ascii="Arial" w:cs="Arial" w:eastAsia="Arial" w:hAnsi="Arial"/>
                <w:sz w:val="20"/>
                <w:szCs w:val="20"/>
                <w:color w:val="auto"/>
              </w:rPr>
              <w:t>Less: Freight and delivery revenues</w:t>
            </w:r>
          </w:p>
        </w:tc>
        <w:tc>
          <w:tcPr>
            <w:tcW w:w="240" w:type="dxa"/>
            <w:vAlign w:val="bottom"/>
            <w:shd w:val="clear" w:color="auto" w:fill="CFF2FA"/>
          </w:tcPr>
          <w:p>
            <w:pPr>
              <w:spacing w:after="0"/>
              <w:rPr>
                <w:sz w:val="21"/>
                <w:szCs w:val="21"/>
                <w:color w:val="auto"/>
              </w:rPr>
            </w:pPr>
          </w:p>
        </w:tc>
        <w:tc>
          <w:tcPr>
            <w:tcW w:w="1140" w:type="dxa"/>
            <w:vAlign w:val="bottom"/>
            <w:gridSpan w:val="2"/>
            <w:shd w:val="clear" w:color="auto" w:fill="CFF2FA"/>
          </w:tcPr>
          <w:p>
            <w:pPr>
              <w:jc w:val="right"/>
              <w:ind w:right="160"/>
              <w:spacing w:after="0"/>
              <w:rPr>
                <w:sz w:val="20"/>
                <w:szCs w:val="20"/>
                <w:color w:val="auto"/>
              </w:rPr>
            </w:pPr>
            <w:r>
              <w:rPr>
                <w:rFonts w:ascii="Arial" w:cs="Arial" w:eastAsia="Arial" w:hAnsi="Arial"/>
                <w:sz w:val="20"/>
                <w:szCs w:val="20"/>
                <w:color w:val="auto"/>
              </w:rPr>
              <w:t>(71,170)</w:t>
            </w:r>
          </w:p>
        </w:tc>
        <w:tc>
          <w:tcPr>
            <w:tcW w:w="80" w:type="dxa"/>
            <w:vAlign w:val="bottom"/>
            <w:shd w:val="clear" w:color="auto" w:fill="CFF2FA"/>
          </w:tcPr>
          <w:p>
            <w:pPr>
              <w:spacing w:after="0"/>
              <w:rPr>
                <w:sz w:val="21"/>
                <w:szCs w:val="21"/>
                <w:color w:val="auto"/>
              </w:rPr>
            </w:pPr>
          </w:p>
        </w:tc>
        <w:tc>
          <w:tcPr>
            <w:tcW w:w="260" w:type="dxa"/>
            <w:vAlign w:val="bottom"/>
            <w:shd w:val="clear" w:color="auto" w:fill="CFF2FA"/>
          </w:tcPr>
          <w:p>
            <w:pPr>
              <w:spacing w:after="0"/>
              <w:rPr>
                <w:sz w:val="21"/>
                <w:szCs w:val="21"/>
                <w:color w:val="auto"/>
              </w:rPr>
            </w:pPr>
          </w:p>
        </w:tc>
        <w:tc>
          <w:tcPr>
            <w:tcW w:w="1060" w:type="dxa"/>
            <w:vAlign w:val="bottom"/>
            <w:gridSpan w:val="2"/>
            <w:shd w:val="clear" w:color="auto" w:fill="CFF2FA"/>
          </w:tcPr>
          <w:p>
            <w:pPr>
              <w:jc w:val="right"/>
              <w:ind w:right="120"/>
              <w:spacing w:after="0"/>
              <w:rPr>
                <w:sz w:val="20"/>
                <w:szCs w:val="20"/>
                <w:color w:val="auto"/>
              </w:rPr>
            </w:pPr>
            <w:r>
              <w:rPr>
                <w:rFonts w:ascii="Arial" w:cs="Arial" w:eastAsia="Arial" w:hAnsi="Arial"/>
                <w:sz w:val="20"/>
                <w:szCs w:val="20"/>
                <w:color w:val="auto"/>
              </w:rPr>
              <w:t>(67,288)</w:t>
            </w:r>
          </w:p>
        </w:tc>
        <w:tc>
          <w:tcPr>
            <w:tcW w:w="120" w:type="dxa"/>
            <w:vAlign w:val="bottom"/>
            <w:shd w:val="clear" w:color="auto" w:fill="CFF0FC"/>
          </w:tcPr>
          <w:p>
            <w:pPr>
              <w:spacing w:after="0"/>
              <w:rPr>
                <w:sz w:val="21"/>
                <w:szCs w:val="21"/>
                <w:color w:val="auto"/>
              </w:rPr>
            </w:pPr>
          </w:p>
        </w:tc>
        <w:tc>
          <w:tcPr>
            <w:tcW w:w="220" w:type="dxa"/>
            <w:vAlign w:val="bottom"/>
            <w:shd w:val="clear" w:color="auto" w:fill="CFF2FA"/>
          </w:tcPr>
          <w:p>
            <w:pPr>
              <w:spacing w:after="0"/>
              <w:rPr>
                <w:sz w:val="21"/>
                <w:szCs w:val="21"/>
                <w:color w:val="auto"/>
              </w:rPr>
            </w:pPr>
          </w:p>
        </w:tc>
        <w:tc>
          <w:tcPr>
            <w:tcW w:w="1220" w:type="dxa"/>
            <w:vAlign w:val="bottom"/>
            <w:gridSpan w:val="2"/>
            <w:shd w:val="clear" w:color="auto" w:fill="CFF2FA"/>
          </w:tcPr>
          <w:p>
            <w:pPr>
              <w:jc w:val="right"/>
              <w:ind w:right="220"/>
              <w:spacing w:after="0"/>
              <w:rPr>
                <w:sz w:val="20"/>
                <w:szCs w:val="20"/>
                <w:color w:val="auto"/>
              </w:rPr>
            </w:pPr>
            <w:r>
              <w:rPr>
                <w:rFonts w:ascii="Arial" w:cs="Arial" w:eastAsia="Arial" w:hAnsi="Arial"/>
                <w:sz w:val="20"/>
                <w:szCs w:val="20"/>
                <w:color w:val="auto"/>
              </w:rPr>
              <w:t>(130,641)</w:t>
            </w:r>
          </w:p>
        </w:tc>
        <w:tc>
          <w:tcPr>
            <w:tcW w:w="260" w:type="dxa"/>
            <w:vAlign w:val="bottom"/>
            <w:shd w:val="clear" w:color="auto" w:fill="CFF2FA"/>
          </w:tcPr>
          <w:p>
            <w:pPr>
              <w:spacing w:after="0"/>
              <w:rPr>
                <w:sz w:val="21"/>
                <w:szCs w:val="21"/>
                <w:color w:val="auto"/>
              </w:rPr>
            </w:pPr>
          </w:p>
        </w:tc>
        <w:tc>
          <w:tcPr>
            <w:tcW w:w="1080" w:type="dxa"/>
            <w:vAlign w:val="bottom"/>
            <w:gridSpan w:val="2"/>
            <w:shd w:val="clear" w:color="auto" w:fill="CFF2FA"/>
          </w:tcPr>
          <w:p>
            <w:pPr>
              <w:jc w:val="right"/>
              <w:ind w:right="120"/>
              <w:spacing w:after="0"/>
              <w:rPr>
                <w:sz w:val="20"/>
                <w:szCs w:val="20"/>
                <w:color w:val="auto"/>
              </w:rPr>
            </w:pPr>
            <w:r>
              <w:rPr>
                <w:rFonts w:ascii="Arial" w:cs="Arial" w:eastAsia="Arial" w:hAnsi="Arial"/>
                <w:sz w:val="20"/>
                <w:szCs w:val="20"/>
                <w:color w:val="auto"/>
              </w:rPr>
              <w:t>(116,240)</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rPr>
                <w:sz w:val="20"/>
                <w:szCs w:val="20"/>
                <w:color w:val="auto"/>
              </w:rPr>
            </w:pPr>
            <w:r>
              <w:rPr>
                <w:rFonts w:ascii="Arial" w:cs="Arial" w:eastAsia="Arial" w:hAnsi="Arial"/>
                <w:sz w:val="20"/>
                <w:szCs w:val="20"/>
                <w:color w:val="auto"/>
              </w:rPr>
              <w:t>Net sales</w:t>
            </w: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850,249</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601,937</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1,482,124</w:t>
            </w:r>
          </w:p>
        </w:tc>
        <w:tc>
          <w:tcPr>
            <w:tcW w:w="3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981,615</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FF2FA"/>
            </w:tcBorders>
            <w:vMerge w:val="restart"/>
            <w:shd w:val="clear" w:color="auto" w:fill="CFF2FA"/>
          </w:tcPr>
          <w:p>
            <w:pPr>
              <w:spacing w:after="0"/>
              <w:rPr>
                <w:sz w:val="20"/>
                <w:szCs w:val="20"/>
                <w:color w:val="auto"/>
              </w:rPr>
            </w:pPr>
            <w:r>
              <w:rPr>
                <w:rFonts w:ascii="Arial" w:cs="Arial" w:eastAsia="Arial" w:hAnsi="Arial"/>
                <w:sz w:val="20"/>
                <w:szCs w:val="20"/>
                <w:color w:val="auto"/>
              </w:rPr>
              <w:t>Operating margin excluding freight and delivery revenues</w:t>
            </w:r>
          </w:p>
        </w:tc>
        <w:tc>
          <w:tcPr>
            <w:tcW w:w="240" w:type="dxa"/>
            <w:vAlign w:val="bottom"/>
            <w:tcBorders>
              <w:top w:val="single" w:sz="8" w:color="CFF2FA"/>
            </w:tcBorders>
            <w:shd w:val="clear" w:color="auto" w:fill="000000"/>
          </w:tcPr>
          <w:p>
            <w:pPr>
              <w:spacing w:after="0" w:line="20" w:lineRule="exact"/>
              <w:rPr>
                <w:sz w:val="1"/>
                <w:szCs w:val="1"/>
                <w:color w:val="auto"/>
              </w:rPr>
            </w:pPr>
          </w:p>
        </w:tc>
        <w:tc>
          <w:tcPr>
            <w:tcW w:w="920" w:type="dxa"/>
            <w:vAlign w:val="bottom"/>
            <w:tcBorders>
              <w:top w:val="single" w:sz="8" w:color="CFF2FA"/>
            </w:tcBorders>
            <w:shd w:val="clear" w:color="auto" w:fill="000000"/>
          </w:tcPr>
          <w:p>
            <w:pPr>
              <w:spacing w:after="0" w:line="20" w:lineRule="exact"/>
              <w:rPr>
                <w:sz w:val="1"/>
                <w:szCs w:val="1"/>
                <w:color w:val="auto"/>
              </w:rPr>
            </w:pPr>
          </w:p>
        </w:tc>
        <w:tc>
          <w:tcPr>
            <w:tcW w:w="220" w:type="dxa"/>
            <w:vAlign w:val="bottom"/>
            <w:tcBorders>
              <w:top w:val="single" w:sz="8" w:color="CFF2FA"/>
            </w:tcBorders>
            <w:shd w:val="clear" w:color="auto" w:fill="CFF2FA"/>
          </w:tcPr>
          <w:p>
            <w:pPr>
              <w:spacing w:after="0" w:line="20" w:lineRule="exact"/>
              <w:rPr>
                <w:sz w:val="1"/>
                <w:szCs w:val="1"/>
                <w:color w:val="auto"/>
              </w:rPr>
            </w:pPr>
          </w:p>
        </w:tc>
        <w:tc>
          <w:tcPr>
            <w:tcW w:w="80" w:type="dxa"/>
            <w:vAlign w:val="bottom"/>
            <w:tcBorders>
              <w:top w:val="single" w:sz="8" w:color="CFF2FA"/>
            </w:tcBorders>
            <w:shd w:val="clear" w:color="auto" w:fill="CFF2FA"/>
          </w:tcPr>
          <w:p>
            <w:pPr>
              <w:spacing w:after="0" w:line="20" w:lineRule="exact"/>
              <w:rPr>
                <w:sz w:val="1"/>
                <w:szCs w:val="1"/>
                <w:color w:val="auto"/>
              </w:rPr>
            </w:pPr>
          </w:p>
        </w:tc>
        <w:tc>
          <w:tcPr>
            <w:tcW w:w="260" w:type="dxa"/>
            <w:vAlign w:val="bottom"/>
            <w:tcBorders>
              <w:top w:val="single" w:sz="8" w:color="CFF2FA"/>
            </w:tcBorders>
            <w:shd w:val="clear" w:color="auto" w:fill="000000"/>
          </w:tcPr>
          <w:p>
            <w:pPr>
              <w:spacing w:after="0" w:line="20" w:lineRule="exact"/>
              <w:rPr>
                <w:sz w:val="1"/>
                <w:szCs w:val="1"/>
                <w:color w:val="auto"/>
              </w:rPr>
            </w:pPr>
          </w:p>
        </w:tc>
        <w:tc>
          <w:tcPr>
            <w:tcW w:w="880" w:type="dxa"/>
            <w:vAlign w:val="bottom"/>
            <w:tcBorders>
              <w:top w:val="single" w:sz="8" w:color="CFF2FA"/>
            </w:tcBorders>
            <w:shd w:val="clear" w:color="auto" w:fill="000000"/>
          </w:tcPr>
          <w:p>
            <w:pPr>
              <w:spacing w:after="0" w:line="20" w:lineRule="exact"/>
              <w:rPr>
                <w:sz w:val="1"/>
                <w:szCs w:val="1"/>
                <w:color w:val="auto"/>
              </w:rPr>
            </w:pPr>
          </w:p>
        </w:tc>
        <w:tc>
          <w:tcPr>
            <w:tcW w:w="180" w:type="dxa"/>
            <w:vAlign w:val="bottom"/>
            <w:tcBorders>
              <w:top w:val="single" w:sz="8" w:color="CFF2FA"/>
            </w:tcBorders>
            <w:shd w:val="clear" w:color="auto" w:fill="CFF2FA"/>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2FA"/>
            </w:tcBorders>
            <w:shd w:val="clear" w:color="auto" w:fill="000000"/>
          </w:tcPr>
          <w:p>
            <w:pPr>
              <w:spacing w:after="0" w:line="20" w:lineRule="exact"/>
              <w:rPr>
                <w:sz w:val="1"/>
                <w:szCs w:val="1"/>
                <w:color w:val="auto"/>
              </w:rPr>
            </w:pPr>
          </w:p>
        </w:tc>
        <w:tc>
          <w:tcPr>
            <w:tcW w:w="920" w:type="dxa"/>
            <w:vAlign w:val="bottom"/>
            <w:tcBorders>
              <w:top w:val="single" w:sz="8" w:color="CFF2FA"/>
            </w:tcBorders>
            <w:shd w:val="clear" w:color="auto" w:fill="000000"/>
          </w:tcPr>
          <w:p>
            <w:pPr>
              <w:spacing w:after="0" w:line="20" w:lineRule="exact"/>
              <w:rPr>
                <w:sz w:val="1"/>
                <w:szCs w:val="1"/>
                <w:color w:val="auto"/>
              </w:rPr>
            </w:pPr>
          </w:p>
        </w:tc>
        <w:tc>
          <w:tcPr>
            <w:tcW w:w="300" w:type="dxa"/>
            <w:vAlign w:val="bottom"/>
            <w:tcBorders>
              <w:top w:val="single" w:sz="8" w:color="CFF2FA"/>
            </w:tcBorders>
            <w:shd w:val="clear" w:color="auto" w:fill="CFF2FA"/>
          </w:tcPr>
          <w:p>
            <w:pPr>
              <w:spacing w:after="0" w:line="20" w:lineRule="exact"/>
              <w:rPr>
                <w:sz w:val="1"/>
                <w:szCs w:val="1"/>
                <w:color w:val="auto"/>
              </w:rPr>
            </w:pPr>
          </w:p>
        </w:tc>
        <w:tc>
          <w:tcPr>
            <w:tcW w:w="260" w:type="dxa"/>
            <w:vAlign w:val="bottom"/>
            <w:tcBorders>
              <w:top w:val="single" w:sz="8" w:color="CFF2FA"/>
            </w:tcBorders>
            <w:shd w:val="clear" w:color="auto" w:fill="000000"/>
          </w:tcPr>
          <w:p>
            <w:pPr>
              <w:spacing w:after="0" w:line="20" w:lineRule="exact"/>
              <w:rPr>
                <w:sz w:val="1"/>
                <w:szCs w:val="1"/>
                <w:color w:val="auto"/>
              </w:rPr>
            </w:pPr>
          </w:p>
        </w:tc>
        <w:tc>
          <w:tcPr>
            <w:tcW w:w="900" w:type="dxa"/>
            <w:vAlign w:val="bottom"/>
            <w:tcBorders>
              <w:top w:val="single" w:sz="8" w:color="CFF2FA"/>
            </w:tcBorders>
            <w:shd w:val="clear" w:color="auto" w:fill="000000"/>
          </w:tcPr>
          <w:p>
            <w:pPr>
              <w:spacing w:after="0" w:line="20" w:lineRule="exact"/>
              <w:rPr>
                <w:sz w:val="1"/>
                <w:szCs w:val="1"/>
                <w:color w:val="auto"/>
              </w:rPr>
            </w:pPr>
          </w:p>
        </w:tc>
        <w:tc>
          <w:tcPr>
            <w:tcW w:w="180" w:type="dxa"/>
            <w:vAlign w:val="bottom"/>
            <w:tcBorders>
              <w:top w:val="single" w:sz="8" w:color="CFF2FA"/>
            </w:tcBorders>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vMerge w:val="continue"/>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60"/>
              <w:spacing w:after="0" w:line="224" w:lineRule="exact"/>
              <w:rPr>
                <w:sz w:val="20"/>
                <w:szCs w:val="20"/>
                <w:color w:val="auto"/>
              </w:rPr>
            </w:pPr>
            <w:r>
              <w:rPr>
                <w:rFonts w:ascii="Arial" w:cs="Arial" w:eastAsia="Arial" w:hAnsi="Arial"/>
                <w:sz w:val="20"/>
                <w:szCs w:val="20"/>
                <w:color w:val="auto"/>
              </w:rPr>
              <w:t>16.1%</w:t>
            </w:r>
          </w:p>
        </w:tc>
        <w:tc>
          <w:tcPr>
            <w:tcW w:w="8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16.0%</w:t>
            </w:r>
          </w:p>
        </w:tc>
        <w:tc>
          <w:tcPr>
            <w:tcW w:w="120" w:type="dxa"/>
            <w:vAlign w:val="bottom"/>
            <w:shd w:val="clear" w:color="auto" w:fill="CFF0FC"/>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120"/>
              <w:spacing w:after="0" w:line="224" w:lineRule="exact"/>
              <w:rPr>
                <w:sz w:val="20"/>
                <w:szCs w:val="20"/>
                <w:color w:val="auto"/>
              </w:rPr>
            </w:pPr>
            <w:r>
              <w:rPr>
                <w:rFonts w:ascii="Arial" w:cs="Arial" w:eastAsia="Arial" w:hAnsi="Arial"/>
                <w:sz w:val="20"/>
                <w:szCs w:val="20"/>
                <w:color w:val="auto"/>
              </w:rPr>
              <w:t>11.0%</w:t>
            </w:r>
          </w:p>
        </w:tc>
        <w:tc>
          <w:tcPr>
            <w:tcW w:w="26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27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earnings per diluted share impact of acquisition-related expenses, net, related to the TXI acquisition, represents a non-GAAP measure. It is presented for investors and analysts to evaluate and forecast the Corporation’s ongoing financial results, as acquisition-related expenses, net, related to TXI are nonrecurring.</w:t>
      </w:r>
    </w:p>
    <w:p>
      <w:pPr>
        <w:spacing w:after="0" w:line="200"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The following shows the calculation of the impact of acquisition-related expenses, net, related to the combination with TXI on the loss per diluted share for the quarter ended June 30, 2014 (in thousands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20"/>
                <w:szCs w:val="20"/>
                <w:color w:val="auto"/>
                <w:w w:val="87"/>
              </w:rPr>
              <w:t>Three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20"/>
                <w:szCs w:val="20"/>
                <w:color w:val="auto"/>
                <w:w w:val="91"/>
              </w:rPr>
              <w:t>Months</w:t>
            </w:r>
          </w:p>
        </w:tc>
        <w:tc>
          <w:tcPr>
            <w:tcW w:w="80" w:type="dxa"/>
            <w:vAlign w:val="bottom"/>
          </w:tcPr>
          <w:p>
            <w:pPr>
              <w:spacing w:after="0"/>
              <w:rPr>
                <w:sz w:val="21"/>
                <w:szCs w:val="21"/>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20"/>
                <w:szCs w:val="20"/>
                <w:color w:val="auto"/>
                <w:w w:val="96"/>
              </w:rPr>
              <w:t>Six Months</w:t>
            </w:r>
          </w:p>
        </w:tc>
        <w:tc>
          <w:tcPr>
            <w:tcW w:w="0" w:type="dxa"/>
            <w:vAlign w:val="bottom"/>
          </w:tcPr>
          <w:p>
            <w:pPr>
              <w:spacing w:after="0"/>
              <w:rPr>
                <w:sz w:val="1"/>
                <w:szCs w:val="1"/>
                <w:color w:val="auto"/>
              </w:rPr>
            </w:pPr>
          </w:p>
        </w:tc>
      </w:tr>
      <w:tr>
        <w:trPr>
          <w:trHeight w:val="246"/>
        </w:trPr>
        <w:tc>
          <w:tcPr>
            <w:tcW w:w="8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20"/>
                <w:szCs w:val="20"/>
                <w:color w:val="auto"/>
                <w:w w:val="86"/>
              </w:rPr>
              <w:t>Ended</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20"/>
                <w:szCs w:val="20"/>
                <w:color w:val="auto"/>
              </w:rPr>
              <w:t>Ended</w:t>
            </w:r>
          </w:p>
        </w:tc>
        <w:tc>
          <w:tcPr>
            <w:tcW w:w="0" w:type="dxa"/>
            <w:vAlign w:val="bottom"/>
          </w:tcPr>
          <w:p>
            <w:pPr>
              <w:spacing w:after="0"/>
              <w:rPr>
                <w:sz w:val="1"/>
                <w:szCs w:val="1"/>
                <w:color w:val="auto"/>
              </w:rPr>
            </w:pPr>
          </w:p>
        </w:tc>
      </w:tr>
      <w:tr>
        <w:trPr>
          <w:trHeight w:val="237"/>
        </w:trPr>
        <w:tc>
          <w:tcPr>
            <w:tcW w:w="8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Acquisition-related expenses, net, related to the business combination with TXI</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5,265</w:t>
            </w: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14,991</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980" w:type="dxa"/>
            <w:vAlign w:val="bottom"/>
          </w:tcPr>
          <w:p>
            <w:pPr>
              <w:spacing w:after="0"/>
              <w:rPr>
                <w:sz w:val="20"/>
                <w:szCs w:val="20"/>
                <w:color w:val="auto"/>
              </w:rPr>
            </w:pPr>
            <w:r>
              <w:rPr>
                <w:rFonts w:ascii="Arial" w:cs="Arial" w:eastAsia="Arial" w:hAnsi="Arial"/>
                <w:sz w:val="20"/>
                <w:szCs w:val="20"/>
                <w:color w:val="auto"/>
              </w:rPr>
              <w:t>Income tax benefit</w:t>
            </w:r>
          </w:p>
        </w:tc>
        <w:tc>
          <w:tcPr>
            <w:tcW w:w="1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20"/>
                <w:szCs w:val="20"/>
                <w:color w:val="auto"/>
              </w:rPr>
              <w:t>(2,074)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20"/>
                <w:szCs w:val="20"/>
                <w:color w:val="auto"/>
              </w:rPr>
              <w:t>(5,905)</w:t>
            </w:r>
          </w:p>
        </w:tc>
        <w:tc>
          <w:tcPr>
            <w:tcW w:w="0" w:type="dxa"/>
            <w:vAlign w:val="bottom"/>
          </w:tcPr>
          <w:p>
            <w:pPr>
              <w:spacing w:after="0"/>
              <w:rPr>
                <w:sz w:val="1"/>
                <w:szCs w:val="1"/>
                <w:color w:val="auto"/>
              </w:rPr>
            </w:pPr>
          </w:p>
        </w:tc>
      </w:tr>
      <w:tr>
        <w:trPr>
          <w:trHeight w:val="220"/>
        </w:trPr>
        <w:tc>
          <w:tcPr>
            <w:tcW w:w="8980" w:type="dxa"/>
            <w:vAlign w:val="bottom"/>
            <w:tcBorders>
              <w:top w:val="single" w:sz="8" w:color="CFF0FC"/>
            </w:tcBorders>
            <w:shd w:val="clear" w:color="auto" w:fill="CFF0FC"/>
          </w:tcPr>
          <w:p>
            <w:pPr>
              <w:spacing w:after="0" w:line="220" w:lineRule="exact"/>
              <w:rPr>
                <w:sz w:val="20"/>
                <w:szCs w:val="20"/>
                <w:color w:val="auto"/>
              </w:rPr>
            </w:pPr>
            <w:r>
              <w:rPr>
                <w:rFonts w:ascii="Arial" w:cs="Arial" w:eastAsia="Arial" w:hAnsi="Arial"/>
                <w:sz w:val="20"/>
                <w:szCs w:val="20"/>
                <w:color w:val="auto"/>
              </w:rPr>
              <w:t>After-tax impact of acquisition-related expenses, net, related to the</w:t>
            </w: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business combination with TXI</w:t>
            </w: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3,191</w:t>
            </w:r>
          </w:p>
        </w:tc>
        <w:tc>
          <w:tcPr>
            <w:tcW w:w="14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9,086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9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20"/>
                <w:szCs w:val="20"/>
                <w:color w:val="auto"/>
              </w:rPr>
              <w:t>Diluted average number of common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980" w:type="dxa"/>
            <w:vAlign w:val="bottom"/>
            <w:tcBorders>
              <w:bottom w:val="single" w:sz="8" w:color="CFF0FC"/>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46,529</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46,477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8980" w:type="dxa"/>
            <w:vAlign w:val="bottom"/>
            <w:shd w:val="clear" w:color="auto" w:fill="CFF0FC"/>
          </w:tcPr>
          <w:p>
            <w:pPr>
              <w:spacing w:after="0" w:line="207" w:lineRule="exact"/>
              <w:rPr>
                <w:sz w:val="20"/>
                <w:szCs w:val="20"/>
                <w:color w:val="auto"/>
              </w:rPr>
            </w:pPr>
            <w:r>
              <w:rPr>
                <w:rFonts w:ascii="Arial" w:cs="Arial" w:eastAsia="Arial" w:hAnsi="Arial"/>
                <w:sz w:val="20"/>
                <w:szCs w:val="20"/>
                <w:color w:val="auto"/>
              </w:rPr>
              <w:t>Per diluted share impact of acquisition-related expenses, net, related</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to the business combination with TXI</w:t>
            </w: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(0.07)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(0.20)</w:t>
            </w:r>
          </w:p>
        </w:tc>
        <w:tc>
          <w:tcPr>
            <w:tcW w:w="0" w:type="dxa"/>
            <w:vAlign w:val="bottom"/>
          </w:tcPr>
          <w:p>
            <w:pPr>
              <w:spacing w:after="0"/>
              <w:rPr>
                <w:sz w:val="1"/>
                <w:szCs w:val="1"/>
                <w:color w:val="auto"/>
              </w:rPr>
            </w:pPr>
          </w:p>
        </w:tc>
      </w:tr>
      <w:tr>
        <w:trPr>
          <w:trHeight w:val="20"/>
        </w:trPr>
        <w:tc>
          <w:tcPr>
            <w:tcW w:w="89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Corporation presents the increase in heritage aggregates product line shipments for the West Group and the Aggregates business excluding the three operations that were divested in the third quarter of 2014. These non-GAAP measures are presented for investors and analysts to have a more comparable analysis of shipment trends based on the operations owned by the Corporation for the quarter ended June 30, 2015. The following shows the calculation of the heritage aggregates product line shipments for the West Group and the Aggregates business for the quarter ended June 30, 2014, excluding shipments from the operations divested in the third quarter 2014 (shipment tons in thousands).</w:t>
      </w:r>
    </w:p>
    <w:tbl>
      <w:tblPr>
        <w:tblLayout w:type="fixed"/>
        <w:tblInd w:w="0" w:type="dxa"/>
        <w:tblCellMar>
          <w:top w:w="0" w:type="dxa"/>
          <w:left w:w="0" w:type="dxa"/>
          <w:bottom w:w="0" w:type="dxa"/>
          <w:right w:w="0" w:type="dxa"/>
        </w:tblCellMar>
      </w:tblPr>
      <w:tr>
        <w:trPr>
          <w:trHeight w:val="207"/>
        </w:trPr>
        <w:tc>
          <w:tcPr>
            <w:tcW w:w="8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280"/>
              <w:spacing w:after="0" w:line="207" w:lineRule="exact"/>
              <w:rPr>
                <w:sz w:val="20"/>
                <w:szCs w:val="20"/>
                <w:color w:val="auto"/>
              </w:rPr>
            </w:pPr>
            <w:r>
              <w:rPr>
                <w:rFonts w:ascii="Arial" w:cs="Arial" w:eastAsia="Arial" w:hAnsi="Arial"/>
                <w:sz w:val="19"/>
                <w:szCs w:val="19"/>
                <w:color w:val="auto"/>
                <w:w w:val="94"/>
              </w:rPr>
              <w:t>Aggregates</w:t>
            </w:r>
          </w:p>
        </w:tc>
        <w:tc>
          <w:tcPr>
            <w:tcW w:w="0" w:type="dxa"/>
            <w:vAlign w:val="bottom"/>
          </w:tcPr>
          <w:p>
            <w:pPr>
              <w:spacing w:after="0"/>
              <w:rPr>
                <w:sz w:val="1"/>
                <w:szCs w:val="1"/>
                <w:color w:val="auto"/>
              </w:rPr>
            </w:pPr>
          </w:p>
        </w:tc>
      </w:tr>
      <w:tr>
        <w:trPr>
          <w:trHeight w:val="238"/>
        </w:trPr>
        <w:tc>
          <w:tcPr>
            <w:tcW w:w="8840" w:type="dxa"/>
            <w:vAlign w:val="bottom"/>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9"/>
                <w:szCs w:val="19"/>
                <w:color w:val="auto"/>
                <w:w w:val="92"/>
              </w:rPr>
              <w:t>West Group</w:t>
            </w:r>
          </w:p>
        </w:tc>
        <w:tc>
          <w:tcPr>
            <w:tcW w:w="1220" w:type="dxa"/>
            <w:vAlign w:val="bottom"/>
            <w:gridSpan w:val="2"/>
          </w:tcPr>
          <w:p>
            <w:pPr>
              <w:jc w:val="right"/>
              <w:ind w:right="380"/>
              <w:spacing w:after="0"/>
              <w:rPr>
                <w:sz w:val="20"/>
                <w:szCs w:val="20"/>
                <w:color w:val="auto"/>
              </w:rPr>
            </w:pPr>
            <w:r>
              <w:rPr>
                <w:rFonts w:ascii="Arial" w:cs="Arial" w:eastAsia="Arial" w:hAnsi="Arial"/>
                <w:sz w:val="19"/>
                <w:szCs w:val="19"/>
                <w:color w:val="auto"/>
              </w:rPr>
              <w:t>Business</w:t>
            </w:r>
          </w:p>
        </w:tc>
        <w:tc>
          <w:tcPr>
            <w:tcW w:w="0" w:type="dxa"/>
            <w:vAlign w:val="bottom"/>
          </w:tcPr>
          <w:p>
            <w:pPr>
              <w:spacing w:after="0"/>
              <w:rPr>
                <w:sz w:val="1"/>
                <w:szCs w:val="1"/>
                <w:color w:val="auto"/>
              </w:rPr>
            </w:pPr>
          </w:p>
        </w:tc>
      </w:tr>
      <w:tr>
        <w:trPr>
          <w:trHeight w:val="223"/>
        </w:trPr>
        <w:tc>
          <w:tcPr>
            <w:tcW w:w="8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Reported heritage aggregates product line shipments for quarter ended June 30, 2014</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15,371</w:t>
            </w:r>
          </w:p>
        </w:tc>
        <w:tc>
          <w:tcPr>
            <w:tcW w:w="3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38,974</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9"/>
                <w:szCs w:val="19"/>
                <w:color w:val="auto"/>
              </w:rPr>
              <w:t>Less: aggregates product line shipments for three operations divested in third quarter of 2014</w:t>
            </w:r>
          </w:p>
        </w:tc>
        <w:tc>
          <w:tcPr>
            <w:tcW w:w="1360" w:type="dxa"/>
            <w:vAlign w:val="bottom"/>
            <w:gridSpan w:val="2"/>
          </w:tcPr>
          <w:p>
            <w:pPr>
              <w:jc w:val="right"/>
              <w:ind w:right="280"/>
              <w:spacing w:after="0"/>
              <w:rPr>
                <w:sz w:val="20"/>
                <w:szCs w:val="20"/>
                <w:color w:val="auto"/>
              </w:rPr>
            </w:pPr>
            <w:r>
              <w:rPr>
                <w:rFonts w:ascii="Arial" w:cs="Arial" w:eastAsia="Arial" w:hAnsi="Arial"/>
                <w:sz w:val="19"/>
                <w:szCs w:val="19"/>
                <w:color w:val="auto"/>
              </w:rPr>
              <w:t>(998)</w:t>
            </w:r>
          </w:p>
        </w:tc>
        <w:tc>
          <w:tcPr>
            <w:tcW w:w="1220" w:type="dxa"/>
            <w:vAlign w:val="bottom"/>
            <w:gridSpan w:val="2"/>
          </w:tcPr>
          <w:p>
            <w:pPr>
              <w:jc w:val="right"/>
              <w:ind w:right="120"/>
              <w:spacing w:after="0"/>
              <w:rPr>
                <w:sz w:val="20"/>
                <w:szCs w:val="20"/>
                <w:color w:val="auto"/>
              </w:rPr>
            </w:pPr>
            <w:r>
              <w:rPr>
                <w:rFonts w:ascii="Arial" w:cs="Arial" w:eastAsia="Arial" w:hAnsi="Arial"/>
                <w:sz w:val="19"/>
                <w:szCs w:val="19"/>
                <w:color w:val="auto"/>
              </w:rPr>
              <w:t>(998)</w:t>
            </w:r>
          </w:p>
        </w:tc>
        <w:tc>
          <w:tcPr>
            <w:tcW w:w="0" w:type="dxa"/>
            <w:vAlign w:val="bottom"/>
          </w:tcPr>
          <w:p>
            <w:pPr>
              <w:spacing w:after="0"/>
              <w:rPr>
                <w:sz w:val="1"/>
                <w:szCs w:val="1"/>
                <w:color w:val="auto"/>
              </w:rPr>
            </w:pPr>
          </w:p>
        </w:tc>
      </w:tr>
      <w:tr>
        <w:trPr>
          <w:trHeight w:val="223"/>
        </w:trPr>
        <w:tc>
          <w:tcPr>
            <w:tcW w:w="8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Adjusted heritage aggregates product line shipments for quarter ended June 30, 2014</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14,373</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37,976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Arial" w:cs="Arial" w:eastAsia="Arial" w:hAnsi="Arial"/>
                <w:sz w:val="19"/>
                <w:szCs w:val="19"/>
                <w:color w:val="auto"/>
              </w:rPr>
              <w:t>Reported heritage aggregates product line shipments for quarter ended June 30, 2015</w:t>
            </w: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4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13,919</w:t>
            </w:r>
          </w:p>
        </w:tc>
        <w:tc>
          <w:tcPr>
            <w:tcW w:w="34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38,241</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8840" w:type="dxa"/>
            <w:vAlign w:val="bottom"/>
            <w:shd w:val="clear" w:color="auto" w:fill="CFF0FC"/>
          </w:tcPr>
          <w:p>
            <w:pPr>
              <w:spacing w:after="0" w:line="188" w:lineRule="exact"/>
              <w:rPr>
                <w:sz w:val="20"/>
                <w:szCs w:val="20"/>
                <w:color w:val="auto"/>
              </w:rPr>
            </w:pPr>
            <w:r>
              <w:rPr>
                <w:rFonts w:ascii="Arial" w:cs="Arial" w:eastAsia="Arial" w:hAnsi="Arial"/>
                <w:sz w:val="19"/>
                <w:szCs w:val="19"/>
                <w:color w:val="auto"/>
              </w:rPr>
              <w:t>Change in 2015 heritage aggregates product line shipments over adjusted shipments</w:t>
            </w:r>
          </w:p>
        </w:tc>
        <w:tc>
          <w:tcPr>
            <w:tcW w:w="10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8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for quarter ended June 30, 2014</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(3.2)%</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9"/>
                <w:szCs w:val="19"/>
                <w:color w:val="auto"/>
              </w:rPr>
              <w:t>0.7%</w:t>
            </w:r>
          </w:p>
        </w:tc>
        <w:tc>
          <w:tcPr>
            <w:tcW w:w="0" w:type="dxa"/>
            <w:vAlign w:val="bottom"/>
          </w:tcPr>
          <w:p>
            <w:pPr>
              <w:spacing w:after="0"/>
              <w:rPr>
                <w:sz w:val="1"/>
                <w:szCs w:val="1"/>
                <w:color w:val="auto"/>
              </w:rPr>
            </w:pPr>
          </w:p>
        </w:tc>
      </w:tr>
      <w:tr>
        <w:trPr>
          <w:trHeight w:val="20"/>
        </w:trPr>
        <w:tc>
          <w:tcPr>
            <w:tcW w:w="88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28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RESULTS OF OPERATIONS</w:t>
      </w:r>
    </w:p>
    <w:p>
      <w:pPr>
        <w:jc w:val="center"/>
        <w:ind w:right="-19"/>
        <w:spacing w:after="0"/>
        <w:rPr>
          <w:sz w:val="20"/>
          <w:szCs w:val="20"/>
          <w:color w:val="auto"/>
        </w:rPr>
      </w:pPr>
      <w:r>
        <w:rPr>
          <w:rFonts w:ascii="Arial" w:cs="Arial" w:eastAsia="Arial" w:hAnsi="Arial"/>
          <w:sz w:val="20"/>
          <w:szCs w:val="20"/>
          <w:color w:val="auto"/>
        </w:rPr>
        <w:t>Second Quarter Ended June 30, 2015</w:t>
      </w:r>
    </w:p>
    <w:p>
      <w:pPr>
        <w:jc w:val="center"/>
        <w:ind w:right="-19"/>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Incremental gross margin (excluding freight and delivery revenues) is a non-GAAP measure. The Corporation presents this metric to enhance analysts’ and investors’ understanding of the impact of increased net sales on profitability. The following shows the calculation of incremental gross margin (excluding freight and delivery revenues) for the heritage Aggregates business for the quarter ended June 30, 2015 (dollars in thousands).</w:t>
      </w:r>
    </w:p>
    <w:p>
      <w:pPr>
        <w:sectPr>
          <w:pgSz w:w="11900" w:h="16838" w:orient="portrait"/>
          <w:cols w:equalWidth="0" w:num="1">
            <w:col w:w="11420"/>
          </w:cols>
          <w:pgMar w:left="240" w:top="121" w:right="239" w:bottom="1440" w:gutter="0" w:footer="0" w:header="0"/>
        </w:sect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Heritage Aggregates business net sales for the quarter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Heritage Aggregates business net sales for the quarter ended June 30, 2014</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Incremental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504" w:hanging="504"/>
        <w:spacing w:after="0"/>
        <w:tabs>
          <w:tab w:leader="none" w:pos="504" w:val="left"/>
        </w:tabs>
        <w:numPr>
          <w:ilvl w:val="0"/>
          <w:numId w:val="21"/>
        </w:numPr>
        <w:rPr>
          <w:rFonts w:ascii="Arial" w:cs="Arial" w:eastAsia="Arial" w:hAnsi="Arial"/>
          <w:sz w:val="16"/>
          <w:szCs w:val="16"/>
          <w:color w:val="auto"/>
        </w:rPr>
      </w:pPr>
      <w:r>
        <w:rPr>
          <w:rFonts w:ascii="Arial" w:cs="Arial" w:eastAsia="Arial" w:hAnsi="Arial"/>
          <w:sz w:val="16"/>
          <w:szCs w:val="16"/>
          <w:color w:val="auto"/>
        </w:rPr>
        <w:t>555,314</w:t>
      </w:r>
    </w:p>
    <w:p>
      <w:pPr>
        <w:spacing w:after="0" w:line="66" w:lineRule="exact"/>
        <w:rPr>
          <w:rFonts w:ascii="Arial" w:cs="Arial" w:eastAsia="Arial" w:hAnsi="Arial"/>
          <w:sz w:val="16"/>
          <w:szCs w:val="16"/>
          <w:color w:val="auto"/>
        </w:rPr>
      </w:pPr>
    </w:p>
    <w:p>
      <w:pPr>
        <w:ind w:left="504"/>
        <w:spacing w:after="0"/>
        <w:rPr>
          <w:rFonts w:ascii="Arial" w:cs="Arial" w:eastAsia="Arial" w:hAnsi="Arial"/>
          <w:sz w:val="16"/>
          <w:szCs w:val="16"/>
          <w:color w:val="auto"/>
        </w:rPr>
      </w:pPr>
      <w:r>
        <w:rPr>
          <w:rFonts w:ascii="Arial" w:cs="Arial" w:eastAsia="Arial" w:hAnsi="Arial"/>
          <w:sz w:val="16"/>
          <w:szCs w:val="16"/>
          <w:color w:val="auto"/>
        </w:rPr>
        <w:t>540,017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372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45" w:lineRule="exact"/>
        <w:rPr>
          <w:sz w:val="20"/>
          <w:szCs w:val="20"/>
          <w:color w:val="auto"/>
        </w:rPr>
      </w:pPr>
    </w:p>
    <w:p>
      <w:pPr>
        <w:ind w:left="604" w:hanging="604"/>
        <w:spacing w:after="0"/>
        <w:tabs>
          <w:tab w:leader="none" w:pos="604" w:val="left"/>
        </w:tabs>
        <w:numPr>
          <w:ilvl w:val="0"/>
          <w:numId w:val="22"/>
        </w:numPr>
        <w:rPr>
          <w:rFonts w:ascii="Arial" w:cs="Arial" w:eastAsia="Arial" w:hAnsi="Arial"/>
          <w:sz w:val="16"/>
          <w:szCs w:val="16"/>
          <w:color w:val="auto"/>
        </w:rPr>
      </w:pPr>
      <w:r>
        <w:rPr>
          <w:rFonts w:ascii="Arial" w:cs="Arial" w:eastAsia="Arial" w:hAnsi="Arial"/>
          <w:sz w:val="16"/>
          <w:szCs w:val="16"/>
          <w:color w:val="auto"/>
        </w:rPr>
        <w:t>15,297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372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9336" w:space="720"/>
            <w:col w:w="1364"/>
          </w:cols>
          <w:pgMar w:left="240" w:top="121" w:right="2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Heritage Aggregates business gross profit for the quarter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Heritage Aggregates business gross profit for the quarter ended June 30, 2014</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Incremental gross profit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left="504" w:hanging="504"/>
        <w:spacing w:after="0"/>
        <w:tabs>
          <w:tab w:leader="none" w:pos="504" w:val="left"/>
        </w:tabs>
        <w:numPr>
          <w:ilvl w:val="0"/>
          <w:numId w:val="23"/>
        </w:numPr>
        <w:rPr>
          <w:rFonts w:ascii="Arial" w:cs="Arial" w:eastAsia="Arial" w:hAnsi="Arial"/>
          <w:sz w:val="16"/>
          <w:szCs w:val="16"/>
          <w:color w:val="auto"/>
        </w:rPr>
      </w:pPr>
      <w:r>
        <w:rPr>
          <w:rFonts w:ascii="Arial" w:cs="Arial" w:eastAsia="Arial" w:hAnsi="Arial"/>
          <w:sz w:val="16"/>
          <w:szCs w:val="16"/>
          <w:color w:val="auto"/>
        </w:rPr>
        <w:t>144,479</w:t>
      </w:r>
    </w:p>
    <w:p>
      <w:pPr>
        <w:spacing w:after="0" w:line="66" w:lineRule="exact"/>
        <w:rPr>
          <w:rFonts w:ascii="Arial" w:cs="Arial" w:eastAsia="Arial" w:hAnsi="Arial"/>
          <w:sz w:val="16"/>
          <w:szCs w:val="16"/>
          <w:color w:val="auto"/>
        </w:rPr>
      </w:pPr>
    </w:p>
    <w:p>
      <w:pPr>
        <w:ind w:left="524"/>
        <w:spacing w:after="0"/>
        <w:rPr>
          <w:rFonts w:ascii="Arial" w:cs="Arial" w:eastAsia="Arial" w:hAnsi="Arial"/>
          <w:sz w:val="16"/>
          <w:szCs w:val="16"/>
          <w:color w:val="auto"/>
        </w:rPr>
      </w:pPr>
      <w:r>
        <w:rPr>
          <w:rFonts w:ascii="Arial" w:cs="Arial" w:eastAsia="Arial" w:hAnsi="Arial"/>
          <w:sz w:val="16"/>
          <w:szCs w:val="16"/>
          <w:color w:val="auto"/>
        </w:rPr>
        <w:t>111,744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372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45" w:lineRule="exact"/>
        <w:rPr>
          <w:sz w:val="20"/>
          <w:szCs w:val="20"/>
          <w:color w:val="auto"/>
        </w:rPr>
      </w:pPr>
    </w:p>
    <w:p>
      <w:pPr>
        <w:ind w:left="604" w:hanging="604"/>
        <w:spacing w:after="0"/>
        <w:tabs>
          <w:tab w:leader="none" w:pos="604" w:val="left"/>
        </w:tabs>
        <w:numPr>
          <w:ilvl w:val="0"/>
          <w:numId w:val="24"/>
        </w:numPr>
        <w:rPr>
          <w:rFonts w:ascii="Arial" w:cs="Arial" w:eastAsia="Arial" w:hAnsi="Arial"/>
          <w:sz w:val="16"/>
          <w:szCs w:val="16"/>
          <w:color w:val="auto"/>
        </w:rPr>
      </w:pPr>
      <w:r>
        <w:rPr>
          <w:rFonts w:ascii="Arial" w:cs="Arial" w:eastAsia="Arial" w:hAnsi="Arial"/>
          <w:sz w:val="16"/>
          <w:szCs w:val="16"/>
          <w:color w:val="auto"/>
        </w:rPr>
        <w:t>32,735</w:t>
      </w:r>
    </w:p>
    <w:p>
      <w:pPr>
        <w:spacing w:after="0" w:line="61" w:lineRule="exact"/>
        <w:rPr>
          <w:sz w:val="20"/>
          <w:szCs w:val="20"/>
          <w:color w:val="auto"/>
        </w:rPr>
      </w:pPr>
    </w:p>
    <w:p>
      <w:pPr>
        <w:sectPr>
          <w:pgSz w:w="11900" w:h="16838" w:orient="portrait"/>
          <w:cols w:equalWidth="0" w:num="2">
            <w:col w:w="9336" w:space="720"/>
            <w:col w:w="1364"/>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10060" w:type="dxa"/>
            <w:vAlign w:val="bottom"/>
            <w:tcBorders>
              <w:top w:val="single" w:sz="8" w:color="CFF0FC"/>
            </w:tcBorders>
            <w:shd w:val="clear" w:color="auto" w:fill="CFF0FC"/>
          </w:tcPr>
          <w:p>
            <w:pPr>
              <w:spacing w:after="0"/>
              <w:rPr>
                <w:sz w:val="22"/>
                <w:szCs w:val="22"/>
                <w:color w:val="auto"/>
              </w:rPr>
            </w:pPr>
          </w:p>
        </w:tc>
        <w:tc>
          <w:tcPr>
            <w:tcW w:w="1160" w:type="dxa"/>
            <w:vAlign w:val="bottom"/>
            <w:tcBorders>
              <w:top w:val="single" w:sz="8" w:color="auto"/>
            </w:tcBorders>
            <w:shd w:val="clear" w:color="auto" w:fill="CFF0FC"/>
          </w:tcPr>
          <w:p>
            <w:pPr>
              <w:spacing w:after="0"/>
              <w:rPr>
                <w:sz w:val="22"/>
                <w:szCs w:val="22"/>
                <w:color w:val="auto"/>
              </w:rPr>
            </w:pPr>
          </w:p>
        </w:tc>
        <w:tc>
          <w:tcPr>
            <w:tcW w:w="200" w:type="dxa"/>
            <w:vAlign w:val="bottom"/>
            <w:tcBorders>
              <w:top w:val="single" w:sz="8" w:color="CFF0FC"/>
            </w:tcBorders>
            <w:shd w:val="clear" w:color="auto" w:fill="CFF0FC"/>
          </w:tcPr>
          <w:p>
            <w:pPr>
              <w:spacing w:after="0"/>
              <w:rPr>
                <w:sz w:val="22"/>
                <w:szCs w:val="22"/>
                <w:color w:val="auto"/>
              </w:rPr>
            </w:pPr>
          </w:p>
        </w:tc>
      </w:tr>
      <w:tr>
        <w:trPr>
          <w:trHeight w:val="243"/>
        </w:trPr>
        <w:tc>
          <w:tcPr>
            <w:tcW w:w="10060" w:type="dxa"/>
            <w:vAlign w:val="bottom"/>
          </w:tcPr>
          <w:p>
            <w:pPr>
              <w:spacing w:after="0"/>
              <w:rPr>
                <w:sz w:val="20"/>
                <w:szCs w:val="20"/>
                <w:color w:val="auto"/>
              </w:rPr>
            </w:pPr>
            <w:r>
              <w:rPr>
                <w:rFonts w:ascii="Arial" w:cs="Arial" w:eastAsia="Arial" w:hAnsi="Arial"/>
                <w:sz w:val="20"/>
                <w:szCs w:val="20"/>
                <w:color w:val="auto"/>
              </w:rPr>
              <w:t>Incremental gross margin (excluding freight and delivery revenues) for quarter ended June 30, 2015</w:t>
            </w:r>
          </w:p>
        </w:tc>
        <w:tc>
          <w:tcPr>
            <w:tcW w:w="1360" w:type="dxa"/>
            <w:vAlign w:val="bottom"/>
            <w:gridSpan w:val="2"/>
          </w:tcPr>
          <w:p>
            <w:pPr>
              <w:jc w:val="right"/>
              <w:ind w:right="40"/>
              <w:spacing w:after="0"/>
              <w:rPr>
                <w:sz w:val="20"/>
                <w:szCs w:val="20"/>
                <w:color w:val="auto"/>
              </w:rPr>
            </w:pPr>
            <w:r>
              <w:rPr>
                <w:rFonts w:ascii="Arial" w:cs="Arial" w:eastAsia="Arial" w:hAnsi="Arial"/>
                <w:sz w:val="20"/>
                <w:szCs w:val="20"/>
                <w:color w:val="auto"/>
              </w:rPr>
              <w:t>214%</w:t>
            </w:r>
          </w:p>
        </w:tc>
      </w:tr>
      <w:tr>
        <w:trPr>
          <w:trHeight w:val="20"/>
        </w:trPr>
        <w:tc>
          <w:tcPr>
            <w:tcW w:w="10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Earnings before interest, taxes, depreciation and amortization (“EBITDA”) is a widely accepted financial indicator of a company’s ability to service and/or incur indebtedness. EBITDA is not defined by generally accepted accounting principles and, as such, should not be construed as an alternative to net earnings or operation cash flow. EBITDA for the Cement business for the quarter and period ended June 30, 2015 is as follows (dollars in thousands):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right="81"/>
              <w:spacing w:after="0"/>
              <w:rPr>
                <w:sz w:val="20"/>
                <w:szCs w:val="20"/>
                <w:color w:val="auto"/>
              </w:rPr>
            </w:pPr>
            <w:r>
              <w:rPr>
                <w:rFonts w:ascii="Arial" w:cs="Arial" w:eastAsia="Arial" w:hAnsi="Arial"/>
                <w:sz w:val="20"/>
                <w:szCs w:val="20"/>
                <w:color w:val="auto"/>
                <w:w w:val="87"/>
              </w:rPr>
              <w:t>Three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8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center"/>
              <w:ind w:right="61"/>
              <w:spacing w:after="0"/>
              <w:rPr>
                <w:sz w:val="20"/>
                <w:szCs w:val="20"/>
                <w:color w:val="auto"/>
              </w:rPr>
            </w:pPr>
            <w:r>
              <w:rPr>
                <w:rFonts w:ascii="Arial" w:cs="Arial" w:eastAsia="Arial" w:hAnsi="Arial"/>
                <w:sz w:val="20"/>
                <w:szCs w:val="20"/>
                <w:color w:val="auto"/>
                <w:w w:val="91"/>
              </w:rPr>
              <w:t>Months</w:t>
            </w:r>
          </w:p>
        </w:tc>
        <w:tc>
          <w:tcPr>
            <w:tcW w:w="220" w:type="dxa"/>
            <w:vAlign w:val="bottom"/>
          </w:tcPr>
          <w:p>
            <w:pPr>
              <w:spacing w:after="0"/>
              <w:rPr>
                <w:sz w:val="21"/>
                <w:szCs w:val="21"/>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20"/>
                <w:szCs w:val="20"/>
                <w:color w:val="auto"/>
                <w:w w:val="92"/>
              </w:rPr>
              <w:t>Six Months</w:t>
            </w:r>
          </w:p>
        </w:tc>
      </w:tr>
      <w:tr>
        <w:trPr>
          <w:trHeight w:val="246"/>
        </w:trPr>
        <w:tc>
          <w:tcPr>
            <w:tcW w:w="8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center"/>
              <w:ind w:right="81"/>
              <w:spacing w:after="0"/>
              <w:rPr>
                <w:sz w:val="20"/>
                <w:szCs w:val="20"/>
                <w:color w:val="auto"/>
              </w:rPr>
            </w:pPr>
            <w:r>
              <w:rPr>
                <w:rFonts w:ascii="Arial" w:cs="Arial" w:eastAsia="Arial" w:hAnsi="Arial"/>
                <w:sz w:val="20"/>
                <w:szCs w:val="20"/>
                <w:color w:val="auto"/>
                <w:w w:val="86"/>
              </w:rPr>
              <w:t>Ended</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20"/>
                <w:szCs w:val="20"/>
                <w:color w:val="auto"/>
                <w:w w:val="86"/>
              </w:rPr>
              <w:t>Ended</w:t>
            </w:r>
          </w:p>
        </w:tc>
      </w:tr>
      <w:tr>
        <w:trPr>
          <w:trHeight w:val="237"/>
        </w:trPr>
        <w:tc>
          <w:tcPr>
            <w:tcW w:w="8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Earnings before taxes on income</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22,468</w:t>
            </w:r>
          </w:p>
        </w:tc>
        <w:tc>
          <w:tcPr>
            <w:tcW w:w="22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34,697</w:t>
            </w: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8980" w:type="dxa"/>
            <w:vAlign w:val="bottom"/>
          </w:tcPr>
          <w:p>
            <w:pPr>
              <w:spacing w:after="0"/>
              <w:rPr>
                <w:sz w:val="20"/>
                <w:szCs w:val="20"/>
                <w:color w:val="auto"/>
              </w:rPr>
            </w:pPr>
            <w:r>
              <w:rPr>
                <w:rFonts w:ascii="Arial" w:cs="Arial" w:eastAsia="Arial" w:hAnsi="Arial"/>
                <w:sz w:val="20"/>
                <w:szCs w:val="20"/>
                <w:color w:val="auto"/>
              </w:rPr>
              <w:t>Add back:</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89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Interest expense</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w:t>
            </w:r>
          </w:p>
        </w:tc>
        <w:tc>
          <w:tcPr>
            <w:tcW w:w="120" w:type="dxa"/>
            <w:vAlign w:val="bottom"/>
            <w:shd w:val="clear" w:color="auto" w:fill="CFF0FC"/>
          </w:tcPr>
          <w:p>
            <w:pPr>
              <w:spacing w:after="0"/>
              <w:rPr>
                <w:sz w:val="21"/>
                <w:szCs w:val="21"/>
                <w:color w:val="auto"/>
              </w:rPr>
            </w:pPr>
          </w:p>
        </w:tc>
      </w:tr>
      <w:tr>
        <w:trPr>
          <w:trHeight w:val="243"/>
        </w:trPr>
        <w:tc>
          <w:tcPr>
            <w:tcW w:w="898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Depreciation, depletion and amortization expense</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15,358</w:t>
            </w:r>
          </w:p>
        </w:tc>
        <w:tc>
          <w:tcPr>
            <w:tcW w:w="2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30,611</w:t>
            </w:r>
          </w:p>
        </w:tc>
        <w:tc>
          <w:tcPr>
            <w:tcW w:w="120" w:type="dxa"/>
            <w:vAlign w:val="bottom"/>
            <w:tcBorders>
              <w:bottom w:val="single" w:sz="8" w:color="CFF0FC"/>
            </w:tcBorders>
          </w:tcPr>
          <w:p>
            <w:pPr>
              <w:spacing w:after="0"/>
              <w:rPr>
                <w:sz w:val="21"/>
                <w:szCs w:val="21"/>
                <w:color w:val="auto"/>
              </w:rPr>
            </w:pPr>
          </w:p>
        </w:tc>
      </w:tr>
      <w:tr>
        <w:trPr>
          <w:trHeight w:val="237"/>
        </w:trPr>
        <w:tc>
          <w:tcPr>
            <w:tcW w:w="8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EBITDA</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37,862</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65,370</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8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9" w:name="page30"/>
    <w:bookmarkEnd w:id="29"/>
    <w:p>
      <w:pPr>
        <w:jc w:val="center"/>
        <w:ind w:right="-19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FORM 10-Q</w:t>
      </w:r>
    </w:p>
    <w:p>
      <w:pPr>
        <w:jc w:val="center"/>
        <w:ind w:right="-199"/>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RESULTS OF OPERATIONS</w:t>
      </w:r>
    </w:p>
    <w:p>
      <w:pPr>
        <w:jc w:val="center"/>
        <w:ind w:right="-199"/>
        <w:spacing w:after="0"/>
        <w:rPr>
          <w:sz w:val="20"/>
          <w:szCs w:val="20"/>
          <w:color w:val="auto"/>
        </w:rPr>
      </w:pPr>
      <w:r>
        <w:rPr>
          <w:rFonts w:ascii="Arial" w:cs="Arial" w:eastAsia="Arial" w:hAnsi="Arial"/>
          <w:sz w:val="20"/>
          <w:szCs w:val="20"/>
          <w:color w:val="auto"/>
        </w:rPr>
        <w:t>Second Quarter Ended June 30, 2015</w:t>
      </w:r>
    </w:p>
    <w:p>
      <w:pPr>
        <w:jc w:val="center"/>
        <w:ind w:right="-199"/>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Significant items for the quarter ended June 30, 2015 (unless noted, all comparisons are versus the prior-year quarter):</w:t>
      </w:r>
    </w:p>
    <w:p>
      <w:pPr>
        <w:spacing w:after="0" w:line="229" w:lineRule="exact"/>
        <w:rPr>
          <w:sz w:val="20"/>
          <w:szCs w:val="20"/>
          <w:color w:val="auto"/>
        </w:rPr>
      </w:pPr>
    </w:p>
    <w:p>
      <w:pPr>
        <w:ind w:left="760" w:hanging="372"/>
        <w:spacing w:after="0"/>
        <w:tabs>
          <w:tab w:leader="none" w:pos="7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Consolidated net sales of $850.2 million compared with $601.9 million, an increase of 41%</w:t>
      </w:r>
    </w:p>
    <w:p>
      <w:pPr>
        <w:spacing w:after="0" w:line="15" w:lineRule="exact"/>
        <w:rPr>
          <w:rFonts w:ascii="Arial" w:cs="Arial" w:eastAsia="Arial" w:hAnsi="Arial"/>
          <w:sz w:val="20"/>
          <w:szCs w:val="20"/>
          <w:color w:val="auto"/>
        </w:rPr>
      </w:pPr>
    </w:p>
    <w:p>
      <w:pPr>
        <w:ind w:left="760" w:hanging="372"/>
        <w:spacing w:after="0" w:line="237" w:lineRule="auto"/>
        <w:tabs>
          <w:tab w:leader="none" w:pos="7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Aggregates product line volume increase of 7.8%; aggregates product line price increase of 8.5%</w:t>
      </w:r>
    </w:p>
    <w:p>
      <w:pPr>
        <w:ind w:left="1500" w:right="280" w:hanging="351"/>
        <w:spacing w:after="0" w:line="231" w:lineRule="auto"/>
        <w:tabs>
          <w:tab w:leader="none" w:pos="1500" w:val="left"/>
        </w:tabs>
        <w:numPr>
          <w:ilvl w:val="1"/>
          <w:numId w:val="26"/>
        </w:numPr>
        <w:rPr>
          <w:rFonts w:ascii="Courier New" w:cs="Courier New" w:eastAsia="Courier New" w:hAnsi="Courier New"/>
          <w:sz w:val="20"/>
          <w:szCs w:val="20"/>
          <w:color w:val="auto"/>
        </w:rPr>
      </w:pPr>
      <w:r>
        <w:rPr>
          <w:rFonts w:ascii="Arial" w:cs="Arial" w:eastAsia="Arial" w:hAnsi="Arial"/>
          <w:sz w:val="20"/>
          <w:szCs w:val="20"/>
          <w:color w:val="auto"/>
        </w:rPr>
        <w:t>Heritage aggregates product line volume increase of 0.7%, excluding shipments from 2014 divestitures from prior-year quarter; reported heritage volume decrease of 1.9%</w:t>
      </w:r>
    </w:p>
    <w:p>
      <w:pPr>
        <w:spacing w:after="0" w:line="1" w:lineRule="exact"/>
        <w:rPr>
          <w:rFonts w:ascii="Courier New" w:cs="Courier New" w:eastAsia="Courier New" w:hAnsi="Courier New"/>
          <w:sz w:val="20"/>
          <w:szCs w:val="20"/>
          <w:color w:val="auto"/>
        </w:rPr>
      </w:pPr>
    </w:p>
    <w:p>
      <w:pPr>
        <w:ind w:left="1500" w:hanging="351"/>
        <w:spacing w:after="0" w:line="222" w:lineRule="auto"/>
        <w:tabs>
          <w:tab w:leader="none" w:pos="1500" w:val="left"/>
        </w:tabs>
        <w:numPr>
          <w:ilvl w:val="1"/>
          <w:numId w:val="26"/>
        </w:numPr>
        <w:rPr>
          <w:rFonts w:ascii="Courier New" w:cs="Courier New" w:eastAsia="Courier New" w:hAnsi="Courier New"/>
          <w:sz w:val="20"/>
          <w:szCs w:val="20"/>
          <w:color w:val="auto"/>
        </w:rPr>
      </w:pPr>
      <w:r>
        <w:rPr>
          <w:rFonts w:ascii="Arial" w:cs="Arial" w:eastAsia="Arial" w:hAnsi="Arial"/>
          <w:sz w:val="20"/>
          <w:szCs w:val="20"/>
          <w:color w:val="auto"/>
        </w:rPr>
        <w:t>Heritage aggregates product line price increase of 7.6%</w:t>
      </w:r>
    </w:p>
    <w:p>
      <w:pPr>
        <w:ind w:left="760" w:hanging="372"/>
        <w:spacing w:after="0"/>
        <w:tabs>
          <w:tab w:leader="none" w:pos="7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Cement business net sales of $100.4 million, gross profit of $30.4 million and EBITDA of $37.8 million</w:t>
      </w:r>
    </w:p>
    <w:p>
      <w:pPr>
        <w:ind w:left="760" w:hanging="372"/>
        <w:spacing w:after="0"/>
        <w:tabs>
          <w:tab w:leader="none" w:pos="7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Magnesia Specialties net sales of $60.5 million and earnings from operations of $18.8 million</w:t>
      </w:r>
    </w:p>
    <w:p>
      <w:pPr>
        <w:ind w:left="760" w:right="360" w:hanging="372"/>
        <w:spacing w:after="0" w:line="239" w:lineRule="auto"/>
        <w:tabs>
          <w:tab w:leader="none" w:pos="7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Heritage consolidated gross margin (excluding freight and delivery revenues) of 26.0%, up 350 basis points; consolidated gross margin (excluding freight and delivery revenues) of 23.5%, up 100 basis points</w:t>
      </w:r>
    </w:p>
    <w:p>
      <w:pPr>
        <w:spacing w:after="0" w:line="1" w:lineRule="exact"/>
        <w:rPr>
          <w:rFonts w:ascii="Arial" w:cs="Arial" w:eastAsia="Arial" w:hAnsi="Arial"/>
          <w:sz w:val="20"/>
          <w:szCs w:val="20"/>
          <w:color w:val="auto"/>
        </w:rPr>
      </w:pPr>
    </w:p>
    <w:p>
      <w:pPr>
        <w:ind w:left="760" w:hanging="372"/>
        <w:spacing w:after="0"/>
        <w:tabs>
          <w:tab w:leader="none" w:pos="7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Consolidated selling, general and administrative expenses (SG&amp;A) of $56.8 million, or 6.7% of net sales</w:t>
      </w:r>
    </w:p>
    <w:p>
      <w:pPr>
        <w:ind w:left="760" w:right="340" w:hanging="372"/>
        <w:spacing w:after="0" w:line="239" w:lineRule="auto"/>
        <w:tabs>
          <w:tab w:leader="none" w:pos="7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Consolidated earnings from operations of $137.0 million compared with $96.2 million (which includes $5.3 million of business development expenses related to the TXI acquisition)</w:t>
      </w:r>
    </w:p>
    <w:p>
      <w:pPr>
        <w:spacing w:after="0" w:line="1" w:lineRule="exact"/>
        <w:rPr>
          <w:rFonts w:ascii="Arial" w:cs="Arial" w:eastAsia="Arial" w:hAnsi="Arial"/>
          <w:sz w:val="20"/>
          <w:szCs w:val="20"/>
          <w:color w:val="auto"/>
        </w:rPr>
      </w:pPr>
    </w:p>
    <w:p>
      <w:pPr>
        <w:ind w:left="760" w:hanging="372"/>
        <w:spacing w:after="0" w:line="239" w:lineRule="auto"/>
        <w:tabs>
          <w:tab w:leader="none" w:pos="7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Earnings per diluted share of $1.22 compared with $1.27 (which includes a $0.07 per diluted share charge for business development expenses related to the TXI acquisition)</w:t>
      </w:r>
    </w:p>
    <w:p>
      <w:pPr>
        <w:spacing w:after="0" w:line="1" w:lineRule="exact"/>
        <w:rPr>
          <w:rFonts w:ascii="Arial" w:cs="Arial" w:eastAsia="Arial" w:hAnsi="Arial"/>
          <w:sz w:val="20"/>
          <w:szCs w:val="20"/>
          <w:color w:val="auto"/>
        </w:rPr>
      </w:pPr>
    </w:p>
    <w:p>
      <w:pPr>
        <w:ind w:left="1500" w:hanging="351"/>
        <w:spacing w:after="0" w:line="222" w:lineRule="auto"/>
        <w:tabs>
          <w:tab w:leader="none" w:pos="1500" w:val="left"/>
        </w:tabs>
        <w:numPr>
          <w:ilvl w:val="1"/>
          <w:numId w:val="26"/>
        </w:numPr>
        <w:rPr>
          <w:rFonts w:ascii="Courier New" w:cs="Courier New" w:eastAsia="Courier New" w:hAnsi="Courier New"/>
          <w:sz w:val="20"/>
          <w:szCs w:val="20"/>
          <w:color w:val="auto"/>
        </w:rPr>
      </w:pPr>
      <w:r>
        <w:rPr>
          <w:rFonts w:ascii="Arial" w:cs="Arial" w:eastAsia="Arial" w:hAnsi="Arial"/>
          <w:sz w:val="20"/>
          <w:szCs w:val="20"/>
          <w:color w:val="auto"/>
        </w:rPr>
        <w:t>Rainfall lowered second quarter 2015 earnings per diluted share by an estimated $0.32 to $0.36</w:t>
      </w:r>
    </w:p>
    <w:p>
      <w:pPr>
        <w:ind w:left="760" w:hanging="372"/>
        <w:spacing w:after="0"/>
        <w:tabs>
          <w:tab w:leader="none" w:pos="7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Heritage aggregates business delivers incremental gross margin of 214%</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Page 30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presents net sales, gross profit (loss), selling, general and administrative expenses and earnings (loss) from operations data for the Corporation and its reportable segments for the three months ended June 30, 2015 and 2014. In each case, the data is stated as a percentage of net sales of the Corporation or the relevant segment, as the case may be.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center"/>
              <w:ind w:right="640"/>
              <w:spacing w:after="0"/>
              <w:rPr>
                <w:sz w:val="20"/>
                <w:szCs w:val="20"/>
                <w:color w:val="auto"/>
              </w:rPr>
            </w:pPr>
            <w:r>
              <w:rPr>
                <w:rFonts w:ascii="Arial" w:cs="Arial" w:eastAsia="Arial" w:hAnsi="Arial"/>
                <w:sz w:val="19"/>
                <w:szCs w:val="19"/>
                <w:color w:val="auto"/>
                <w:w w:val="89"/>
              </w:rPr>
              <w:t>Three Months Ended June 30,</w:t>
            </w: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9"/>
                <w:szCs w:val="19"/>
                <w:color w:val="auto"/>
              </w:rPr>
              <w:t>2015</w:t>
            </w:r>
          </w:p>
        </w:tc>
        <w:tc>
          <w:tcPr>
            <w:tcW w:w="1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9"/>
                <w:szCs w:val="19"/>
                <w:color w:val="auto"/>
              </w:rPr>
              <w:t>2014</w:t>
            </w: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425"/>
              <w:spacing w:after="0" w:line="201" w:lineRule="exact"/>
              <w:rPr>
                <w:sz w:val="20"/>
                <w:szCs w:val="20"/>
                <w:color w:val="auto"/>
              </w:rPr>
            </w:pPr>
            <w:r>
              <w:rPr>
                <w:rFonts w:ascii="Arial" w:cs="Arial" w:eastAsia="Arial" w:hAnsi="Arial"/>
                <w:sz w:val="19"/>
                <w:szCs w:val="19"/>
                <w:color w:val="auto"/>
              </w:rPr>
              <w:t>% of</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45"/>
              <w:spacing w:after="0" w:line="201" w:lineRule="exact"/>
              <w:rPr>
                <w:sz w:val="20"/>
                <w:szCs w:val="20"/>
                <w:color w:val="auto"/>
              </w:rPr>
            </w:pPr>
            <w:r>
              <w:rPr>
                <w:rFonts w:ascii="Arial" w:cs="Arial" w:eastAsia="Arial" w:hAnsi="Arial"/>
                <w:sz w:val="19"/>
                <w:szCs w:val="19"/>
                <w:color w:val="auto"/>
                <w:w w:val="94"/>
              </w:rPr>
              <w:t>%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3"/>
          </w:tcPr>
          <w:p>
            <w:pPr>
              <w:jc w:val="right"/>
              <w:ind w:right="820"/>
              <w:spacing w:after="0"/>
              <w:rPr>
                <w:sz w:val="20"/>
                <w:szCs w:val="20"/>
                <w:color w:val="auto"/>
              </w:rPr>
            </w:pPr>
            <w:r>
              <w:rPr>
                <w:rFonts w:ascii="Arial" w:cs="Arial" w:eastAsia="Arial" w:hAnsi="Arial"/>
                <w:sz w:val="19"/>
                <w:szCs w:val="19"/>
                <w:color w:val="auto"/>
              </w:rPr>
              <w:t>Amount</w:t>
            </w:r>
          </w:p>
        </w:tc>
        <w:tc>
          <w:tcPr>
            <w:tcW w:w="1400" w:type="dxa"/>
            <w:vAlign w:val="bottom"/>
            <w:gridSpan w:val="2"/>
          </w:tcPr>
          <w:p>
            <w:pPr>
              <w:jc w:val="right"/>
              <w:ind w:right="560"/>
              <w:spacing w:after="0"/>
              <w:rPr>
                <w:sz w:val="20"/>
                <w:szCs w:val="20"/>
                <w:color w:val="auto"/>
              </w:rPr>
            </w:pPr>
            <w:r>
              <w:rPr>
                <w:rFonts w:ascii="Arial" w:cs="Arial" w:eastAsia="Arial" w:hAnsi="Arial"/>
                <w:sz w:val="19"/>
                <w:szCs w:val="19"/>
                <w:color w:val="auto"/>
                <w:w w:val="99"/>
              </w:rPr>
              <w:t>Net Sales</w:t>
            </w:r>
          </w:p>
        </w:tc>
        <w:tc>
          <w:tcPr>
            <w:tcW w:w="240" w:type="dxa"/>
            <w:vAlign w:val="bottom"/>
          </w:tcPr>
          <w:p>
            <w:pPr>
              <w:spacing w:after="0"/>
              <w:rPr>
                <w:sz w:val="20"/>
                <w:szCs w:val="20"/>
                <w:color w:val="auto"/>
              </w:rPr>
            </w:pPr>
          </w:p>
        </w:tc>
        <w:tc>
          <w:tcPr>
            <w:tcW w:w="1600" w:type="dxa"/>
            <w:vAlign w:val="bottom"/>
            <w:gridSpan w:val="3"/>
          </w:tcPr>
          <w:p>
            <w:pPr>
              <w:jc w:val="right"/>
              <w:ind w:right="840"/>
              <w:spacing w:after="0"/>
              <w:rPr>
                <w:sz w:val="20"/>
                <w:szCs w:val="20"/>
                <w:color w:val="auto"/>
              </w:rPr>
            </w:pPr>
            <w:r>
              <w:rPr>
                <w:rFonts w:ascii="Arial" w:cs="Arial" w:eastAsia="Arial" w:hAnsi="Arial"/>
                <w:sz w:val="19"/>
                <w:szCs w:val="19"/>
                <w:color w:val="auto"/>
              </w:rPr>
              <w:t>Amount</w:t>
            </w:r>
          </w:p>
        </w:tc>
        <w:tc>
          <w:tcPr>
            <w:tcW w:w="1320" w:type="dxa"/>
            <w:vAlign w:val="bottom"/>
            <w:gridSpan w:val="2"/>
          </w:tcPr>
          <w:p>
            <w:pPr>
              <w:jc w:val="center"/>
              <w:ind w:right="360"/>
              <w:spacing w:after="0"/>
              <w:rPr>
                <w:sz w:val="20"/>
                <w:szCs w:val="20"/>
                <w:color w:val="auto"/>
              </w:rPr>
            </w:pPr>
            <w:r>
              <w:rPr>
                <w:rFonts w:ascii="Arial" w:cs="Arial" w:eastAsia="Arial" w:hAnsi="Arial"/>
                <w:sz w:val="19"/>
                <w:szCs w:val="19"/>
                <w:color w:val="auto"/>
                <w:w w:val="87"/>
              </w:rPr>
              <w:t>Net Sales</w:t>
            </w:r>
          </w:p>
        </w:tc>
        <w:tc>
          <w:tcPr>
            <w:tcW w:w="0" w:type="dxa"/>
            <w:vAlign w:val="bottom"/>
          </w:tcPr>
          <w:p>
            <w:pPr>
              <w:spacing w:after="0"/>
              <w:rPr>
                <w:sz w:val="1"/>
                <w:szCs w:val="1"/>
                <w:color w:val="auto"/>
              </w:rPr>
            </w:pPr>
          </w:p>
        </w:tc>
      </w:tr>
      <w:tr>
        <w:trPr>
          <w:trHeight w:val="234"/>
        </w:trPr>
        <w:tc>
          <w:tcPr>
            <w:tcW w:w="432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Net sales:</w:t>
            </w:r>
          </w:p>
        </w:tc>
        <w:tc>
          <w:tcPr>
            <w:tcW w:w="7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40" w:type="dxa"/>
            <w:vAlign w:val="bottom"/>
            <w:tcBorders>
              <w:top w:val="single" w:sz="8" w:color="auto"/>
            </w:tcBorders>
            <w:gridSpan w:val="6"/>
          </w:tcPr>
          <w:p>
            <w:pPr>
              <w:jc w:val="center"/>
              <w:ind w:right="640"/>
              <w:spacing w:after="0"/>
              <w:rPr>
                <w:sz w:val="20"/>
                <w:szCs w:val="20"/>
                <w:color w:val="auto"/>
              </w:rPr>
            </w:pPr>
            <w:r>
              <w:rPr>
                <w:rFonts w:ascii="Arial" w:cs="Arial" w:eastAsia="Arial" w:hAnsi="Arial"/>
                <w:sz w:val="19"/>
                <w:szCs w:val="19"/>
                <w:i w:val="1"/>
                <w:iCs w:val="1"/>
                <w:color w:val="auto"/>
                <w:w w:val="92"/>
              </w:rPr>
              <w:t>(Dollars in Thousands)</w:t>
            </w: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32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9"/>
                <w:szCs w:val="19"/>
                <w:color w:val="auto"/>
              </w:rPr>
              <w:t>Heritage:</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480"/>
              <w:spacing w:after="0"/>
              <w:rPr>
                <w:sz w:val="20"/>
                <w:szCs w:val="20"/>
                <w:color w:val="auto"/>
              </w:rPr>
            </w:pPr>
            <w:r>
              <w:rPr>
                <w:rFonts w:ascii="Arial" w:cs="Arial" w:eastAsia="Arial" w:hAnsi="Arial"/>
                <w:sz w:val="19"/>
                <w:szCs w:val="19"/>
                <w:color w:val="auto"/>
              </w:rPr>
              <w:t>Mid-America Group</w:t>
            </w:r>
          </w:p>
        </w:tc>
        <w:tc>
          <w:tcPr>
            <w:tcW w:w="960" w:type="dxa"/>
            <w:vAlign w:val="bottom"/>
            <w:gridSpan w:val="2"/>
          </w:tcPr>
          <w:p>
            <w:pPr>
              <w:jc w:val="right"/>
              <w:ind w:right="45"/>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236,534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jc w:val="right"/>
              <w:ind w:right="45"/>
              <w:spacing w:after="0"/>
              <w:rPr>
                <w:sz w:val="20"/>
                <w:szCs w:val="20"/>
                <w:color w:val="auto"/>
              </w:rPr>
            </w:pPr>
            <w:r>
              <w:rPr>
                <w:rFonts w:ascii="Arial" w:cs="Arial" w:eastAsia="Arial" w:hAnsi="Arial"/>
                <w:sz w:val="19"/>
                <w:szCs w:val="19"/>
                <w:color w:val="auto"/>
                <w:w w:val="75"/>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218,703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480"/>
              <w:spacing w:after="0"/>
              <w:rPr>
                <w:sz w:val="20"/>
                <w:szCs w:val="20"/>
                <w:color w:val="auto"/>
              </w:rPr>
            </w:pPr>
            <w:r>
              <w:rPr>
                <w:rFonts w:ascii="Arial" w:cs="Arial" w:eastAsia="Arial" w:hAnsi="Arial"/>
                <w:sz w:val="19"/>
                <w:szCs w:val="19"/>
                <w:color w:val="auto"/>
              </w:rPr>
              <w:t>Southeast Group</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76,483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70,725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FF0FC"/>
            </w:tcBorders>
          </w:tcPr>
          <w:p>
            <w:pPr>
              <w:ind w:left="480"/>
              <w:spacing w:after="0"/>
              <w:rPr>
                <w:sz w:val="20"/>
                <w:szCs w:val="20"/>
                <w:color w:val="auto"/>
              </w:rPr>
            </w:pPr>
            <w:r>
              <w:rPr>
                <w:rFonts w:ascii="Arial" w:cs="Arial" w:eastAsia="Arial" w:hAnsi="Arial"/>
                <w:sz w:val="19"/>
                <w:szCs w:val="19"/>
                <w:color w:val="auto"/>
              </w:rPr>
              <w:t>West Group</w:t>
            </w:r>
          </w:p>
        </w:tc>
        <w:tc>
          <w:tcPr>
            <w:tcW w:w="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242,297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250,589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Total Heritage Aggregates Business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555,314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100.0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540,017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19"/>
                <w:szCs w:val="19"/>
                <w:color w:val="auto"/>
              </w:rPr>
              <w:t>Magnesia Specialties</w:t>
            </w:r>
          </w:p>
        </w:tc>
        <w:tc>
          <w:tcPr>
            <w:tcW w:w="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60,457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100.0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61,920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9"/>
                <w:szCs w:val="19"/>
                <w:color w:val="auto"/>
              </w:rPr>
              <w:t>Total Heritage Consolidated</w:t>
            </w:r>
          </w:p>
        </w:tc>
        <w:tc>
          <w:tcPr>
            <w:tcW w:w="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615,771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100.0</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601,937</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9"/>
                <w:szCs w:val="19"/>
                <w:color w:val="auto"/>
              </w:rPr>
              <w:t>Acquisitions: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Aggregates Business – Mid-America Group</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881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100.0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440"/>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9"/>
                <w:szCs w:val="19"/>
                <w:color w:val="auto"/>
              </w:rPr>
              <w:t>Aggregates Business – West Group</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133,192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100.0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Cement</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100,405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100.0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440"/>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9"/>
                <w:szCs w:val="19"/>
                <w:color w:val="auto"/>
              </w:rPr>
              <w:t>Total Acquisitions</w:t>
            </w:r>
          </w:p>
        </w:tc>
        <w:tc>
          <w:tcPr>
            <w:tcW w:w="7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234,478</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100.0</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Total</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9"/>
                <w:szCs w:val="19"/>
                <w:color w:val="auto"/>
                <w:w w:val="75"/>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850,249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9"/>
                <w:szCs w:val="19"/>
                <w:color w:val="auto"/>
                <w:w w:val="75"/>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601,937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9"/>
                <w:szCs w:val="19"/>
                <w:b w:val="1"/>
                <w:bCs w:val="1"/>
                <w:color w:val="auto"/>
              </w:rPr>
              <w:t>Gross profit (loss):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9"/>
                <w:szCs w:val="19"/>
                <w:color w:val="auto"/>
              </w:rPr>
              <w:t>Heritage:</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480"/>
              <w:spacing w:after="0"/>
              <w:rPr>
                <w:sz w:val="20"/>
                <w:szCs w:val="20"/>
                <w:color w:val="auto"/>
              </w:rPr>
            </w:pPr>
            <w:r>
              <w:rPr>
                <w:rFonts w:ascii="Arial" w:cs="Arial" w:eastAsia="Arial" w:hAnsi="Arial"/>
                <w:sz w:val="19"/>
                <w:szCs w:val="19"/>
                <w:color w:val="auto"/>
              </w:rPr>
              <w:t>Mid-America Group</w:t>
            </w:r>
          </w:p>
        </w:tc>
        <w:tc>
          <w:tcPr>
            <w:tcW w:w="960" w:type="dxa"/>
            <w:vAlign w:val="bottom"/>
            <w:gridSpan w:val="2"/>
            <w:shd w:val="clear" w:color="auto" w:fill="CFF0FC"/>
          </w:tcPr>
          <w:p>
            <w:pPr>
              <w:jc w:val="right"/>
              <w:ind w:right="45"/>
              <w:spacing w:after="0"/>
              <w:rPr>
                <w:sz w:val="20"/>
                <w:szCs w:val="20"/>
                <w:color w:val="auto"/>
              </w:rPr>
            </w:pPr>
            <w:r>
              <w:rPr>
                <w:rFonts w:ascii="Arial" w:cs="Arial" w:eastAsia="Arial" w:hAnsi="Arial"/>
                <w:sz w:val="19"/>
                <w:szCs w:val="19"/>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80,224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33.9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45"/>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68,593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480"/>
              <w:spacing w:after="0"/>
              <w:rPr>
                <w:sz w:val="20"/>
                <w:szCs w:val="20"/>
                <w:color w:val="auto"/>
              </w:rPr>
            </w:pPr>
            <w:r>
              <w:rPr>
                <w:rFonts w:ascii="Arial" w:cs="Arial" w:eastAsia="Arial" w:hAnsi="Arial"/>
                <w:sz w:val="19"/>
                <w:szCs w:val="19"/>
                <w:color w:val="auto"/>
              </w:rPr>
              <w:t>Southeast Group</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9,493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12.4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3,053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480"/>
              <w:spacing w:after="0"/>
              <w:rPr>
                <w:sz w:val="20"/>
                <w:szCs w:val="20"/>
                <w:color w:val="auto"/>
              </w:rPr>
            </w:pPr>
            <w:r>
              <w:rPr>
                <w:rFonts w:ascii="Arial" w:cs="Arial" w:eastAsia="Arial" w:hAnsi="Arial"/>
                <w:sz w:val="19"/>
                <w:szCs w:val="19"/>
                <w:color w:val="auto"/>
              </w:rPr>
              <w:t>West Group</w:t>
            </w:r>
          </w:p>
        </w:tc>
        <w:tc>
          <w:tcPr>
            <w:tcW w:w="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54,762</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22.6</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40,098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9"/>
                <w:szCs w:val="19"/>
                <w:color w:val="auto"/>
              </w:rPr>
              <w:t>Total Heritage Aggregates Business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144,479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26.0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111,744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Magnesia Specialties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21,224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35.1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23,394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9"/>
                <w:szCs w:val="19"/>
                <w:color w:val="auto"/>
              </w:rPr>
              <w:t>Corporate</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9"/>
                <w:szCs w:val="19"/>
                <w:color w:val="auto"/>
              </w:rPr>
              <w:t>(5,503)</w:t>
            </w:r>
          </w:p>
        </w:tc>
        <w:tc>
          <w:tcPr>
            <w:tcW w:w="2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Total Heritage Consolidated</w:t>
            </w:r>
          </w:p>
        </w:tc>
        <w:tc>
          <w:tcPr>
            <w:tcW w:w="7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160,200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26.0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135,602</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22.5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9"/>
                <w:szCs w:val="19"/>
                <w:color w:val="auto"/>
              </w:rPr>
              <w:t>Acquisitions: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Aggregates Business – Mid-America Group</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(47)</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(5.3)</w:t>
            </w:r>
          </w:p>
        </w:tc>
        <w:tc>
          <w:tcPr>
            <w:tcW w:w="24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440"/>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9"/>
                <w:szCs w:val="19"/>
                <w:color w:val="auto"/>
              </w:rPr>
              <w:t>Aggregates Business – West Group</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10,071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7.6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Cement</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30,415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30.3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440"/>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9"/>
                <w:szCs w:val="19"/>
                <w:color w:val="auto"/>
              </w:rPr>
              <w:t>Corporate</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9"/>
                <w:szCs w:val="19"/>
                <w:color w:val="auto"/>
              </w:rPr>
              <w:t>(486)</w:t>
            </w:r>
          </w:p>
        </w:tc>
        <w:tc>
          <w:tcPr>
            <w:tcW w:w="2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Total Acquisitions</w:t>
            </w:r>
          </w:p>
        </w:tc>
        <w:tc>
          <w:tcPr>
            <w:tcW w:w="7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39,953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17.0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9"/>
                <w:szCs w:val="19"/>
                <w:color w:val="auto"/>
              </w:rPr>
              <w:t>Total</w:t>
            </w:r>
          </w:p>
        </w:tc>
        <w:tc>
          <w:tcPr>
            <w:tcW w:w="720" w:type="dxa"/>
            <w:vAlign w:val="bottom"/>
          </w:tcPr>
          <w:p>
            <w:pPr>
              <w:spacing w:after="0"/>
              <w:rPr>
                <w:sz w:val="19"/>
                <w:szCs w:val="19"/>
                <w:color w:val="auto"/>
              </w:rPr>
            </w:pPr>
          </w:p>
        </w:tc>
        <w:tc>
          <w:tcPr>
            <w:tcW w:w="24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w w:val="7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200,153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23.5</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w w:val="7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135,602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31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7"/>
          </w:tcPr>
          <w:p>
            <w:pPr>
              <w:jc w:val="center"/>
              <w:ind w:right="640"/>
              <w:spacing w:after="0"/>
              <w:rPr>
                <w:sz w:val="20"/>
                <w:szCs w:val="20"/>
                <w:color w:val="auto"/>
              </w:rPr>
            </w:pPr>
            <w:r>
              <w:rPr>
                <w:rFonts w:ascii="Arial" w:cs="Arial" w:eastAsia="Arial" w:hAnsi="Arial"/>
                <w:sz w:val="19"/>
                <w:szCs w:val="19"/>
                <w:color w:val="auto"/>
                <w:w w:val="89"/>
              </w:rPr>
              <w:t>Three Months Ended June 30,</w:t>
            </w: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9"/>
                <w:szCs w:val="19"/>
                <w:color w:val="auto"/>
              </w:rPr>
              <w:t>2015</w:t>
            </w:r>
          </w:p>
        </w:tc>
        <w:tc>
          <w:tcPr>
            <w:tcW w:w="8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9"/>
                <w:szCs w:val="19"/>
                <w:color w:val="auto"/>
              </w:rPr>
              <w:t>2014</w:t>
            </w: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center"/>
              <w:ind w:left="25"/>
              <w:spacing w:after="0" w:line="201" w:lineRule="exact"/>
              <w:rPr>
                <w:sz w:val="20"/>
                <w:szCs w:val="20"/>
                <w:color w:val="auto"/>
              </w:rPr>
            </w:pPr>
            <w:r>
              <w:rPr>
                <w:rFonts w:ascii="Arial" w:cs="Arial" w:eastAsia="Arial" w:hAnsi="Arial"/>
                <w:sz w:val="19"/>
                <w:szCs w:val="19"/>
                <w:color w:val="auto"/>
                <w:w w:val="94"/>
              </w:rPr>
              <w:t>% of</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45"/>
              <w:spacing w:after="0" w:line="201" w:lineRule="exact"/>
              <w:rPr>
                <w:sz w:val="20"/>
                <w:szCs w:val="20"/>
                <w:color w:val="auto"/>
              </w:rPr>
            </w:pPr>
            <w:r>
              <w:rPr>
                <w:rFonts w:ascii="Arial" w:cs="Arial" w:eastAsia="Arial" w:hAnsi="Arial"/>
                <w:sz w:val="19"/>
                <w:szCs w:val="19"/>
                <w:color w:val="auto"/>
                <w:w w:val="94"/>
              </w:rPr>
              <w:t>%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3"/>
          </w:tcPr>
          <w:p>
            <w:pPr>
              <w:jc w:val="right"/>
              <w:ind w:right="820"/>
              <w:spacing w:after="0"/>
              <w:rPr>
                <w:sz w:val="20"/>
                <w:szCs w:val="20"/>
                <w:color w:val="auto"/>
              </w:rPr>
            </w:pPr>
            <w:r>
              <w:rPr>
                <w:rFonts w:ascii="Arial" w:cs="Arial" w:eastAsia="Arial" w:hAnsi="Arial"/>
                <w:sz w:val="19"/>
                <w:szCs w:val="19"/>
                <w:color w:val="auto"/>
              </w:rPr>
              <w:t>Amount</w:t>
            </w:r>
          </w:p>
        </w:tc>
        <w:tc>
          <w:tcPr>
            <w:tcW w:w="840" w:type="dxa"/>
            <w:vAlign w:val="bottom"/>
          </w:tcPr>
          <w:p>
            <w:pPr>
              <w:jc w:val="center"/>
              <w:ind w:left="25"/>
              <w:spacing w:after="0"/>
              <w:rPr>
                <w:sz w:val="20"/>
                <w:szCs w:val="20"/>
                <w:color w:val="auto"/>
              </w:rPr>
            </w:pPr>
            <w:r>
              <w:rPr>
                <w:rFonts w:ascii="Arial" w:cs="Arial" w:eastAsia="Arial" w:hAnsi="Arial"/>
                <w:sz w:val="19"/>
                <w:szCs w:val="19"/>
                <w:color w:val="auto"/>
                <w:w w:val="87"/>
              </w:rPr>
              <w:t>Net Sales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3"/>
          </w:tcPr>
          <w:p>
            <w:pPr>
              <w:jc w:val="right"/>
              <w:ind w:right="840"/>
              <w:spacing w:after="0"/>
              <w:rPr>
                <w:sz w:val="20"/>
                <w:szCs w:val="20"/>
                <w:color w:val="auto"/>
              </w:rPr>
            </w:pPr>
            <w:r>
              <w:rPr>
                <w:rFonts w:ascii="Arial" w:cs="Arial" w:eastAsia="Arial" w:hAnsi="Arial"/>
                <w:sz w:val="19"/>
                <w:szCs w:val="19"/>
                <w:color w:val="auto"/>
              </w:rPr>
              <w:t>Amount</w:t>
            </w:r>
          </w:p>
        </w:tc>
        <w:tc>
          <w:tcPr>
            <w:tcW w:w="1320" w:type="dxa"/>
            <w:vAlign w:val="bottom"/>
            <w:gridSpan w:val="2"/>
          </w:tcPr>
          <w:p>
            <w:pPr>
              <w:jc w:val="center"/>
              <w:ind w:right="360"/>
              <w:spacing w:after="0"/>
              <w:rPr>
                <w:sz w:val="20"/>
                <w:szCs w:val="20"/>
                <w:color w:val="auto"/>
              </w:rPr>
            </w:pPr>
            <w:r>
              <w:rPr>
                <w:rFonts w:ascii="Arial" w:cs="Arial" w:eastAsia="Arial" w:hAnsi="Arial"/>
                <w:sz w:val="19"/>
                <w:szCs w:val="19"/>
                <w:color w:val="auto"/>
                <w:w w:val="87"/>
              </w:rPr>
              <w:t>Net Sales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gridSpan w:val="7"/>
          </w:tcPr>
          <w:p>
            <w:pPr>
              <w:jc w:val="center"/>
              <w:ind w:right="640"/>
              <w:spacing w:after="0"/>
              <w:rPr>
                <w:sz w:val="20"/>
                <w:szCs w:val="20"/>
                <w:color w:val="auto"/>
              </w:rPr>
            </w:pPr>
            <w:r>
              <w:rPr>
                <w:rFonts w:ascii="Arial" w:cs="Arial" w:eastAsia="Arial" w:hAnsi="Arial"/>
                <w:sz w:val="19"/>
                <w:szCs w:val="19"/>
                <w:i w:val="1"/>
                <w:iCs w:val="1"/>
                <w:color w:val="auto"/>
                <w:w w:val="92"/>
              </w:rPr>
              <w:t>(Dollars in Thousands)</w:t>
            </w: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9"/>
                <w:szCs w:val="19"/>
                <w:b w:val="1"/>
                <w:bCs w:val="1"/>
                <w:color w:val="auto"/>
              </w:rPr>
              <w:t>Selling, general &amp; administrative expenses: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9"/>
                <w:szCs w:val="19"/>
                <w:color w:val="auto"/>
              </w:rPr>
              <w:t>Heritage:</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480"/>
              <w:spacing w:after="0"/>
              <w:rPr>
                <w:sz w:val="20"/>
                <w:szCs w:val="20"/>
                <w:color w:val="auto"/>
              </w:rPr>
            </w:pPr>
            <w:r>
              <w:rPr>
                <w:rFonts w:ascii="Arial" w:cs="Arial" w:eastAsia="Arial" w:hAnsi="Arial"/>
                <w:sz w:val="19"/>
                <w:szCs w:val="19"/>
                <w:color w:val="auto"/>
              </w:rPr>
              <w:t>Mid-America Group</w:t>
            </w:r>
          </w:p>
        </w:tc>
        <w:tc>
          <w:tcPr>
            <w:tcW w:w="960" w:type="dxa"/>
            <w:vAlign w:val="bottom"/>
            <w:gridSpan w:val="2"/>
            <w:shd w:val="clear" w:color="auto" w:fill="CFF0FC"/>
          </w:tcPr>
          <w:p>
            <w:pPr>
              <w:jc w:val="right"/>
              <w:ind w:right="45"/>
              <w:spacing w:after="0"/>
              <w:rPr>
                <w:sz w:val="20"/>
                <w:szCs w:val="20"/>
                <w:color w:val="auto"/>
              </w:rPr>
            </w:pPr>
            <w:r>
              <w:rPr>
                <w:rFonts w:ascii="Arial" w:cs="Arial" w:eastAsia="Arial" w:hAnsi="Arial"/>
                <w:sz w:val="19"/>
                <w:szCs w:val="19"/>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13,304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45"/>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13,192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480"/>
              <w:spacing w:after="0"/>
              <w:rPr>
                <w:sz w:val="20"/>
                <w:szCs w:val="20"/>
                <w:color w:val="auto"/>
              </w:rPr>
            </w:pPr>
            <w:r>
              <w:rPr>
                <w:rFonts w:ascii="Arial" w:cs="Arial" w:eastAsia="Arial" w:hAnsi="Arial"/>
                <w:sz w:val="19"/>
                <w:szCs w:val="19"/>
                <w:color w:val="auto"/>
              </w:rPr>
              <w:t>Southeast Group</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4,503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4,577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480"/>
              <w:spacing w:after="0"/>
              <w:rPr>
                <w:sz w:val="20"/>
                <w:szCs w:val="20"/>
                <w:color w:val="auto"/>
              </w:rPr>
            </w:pPr>
            <w:r>
              <w:rPr>
                <w:rFonts w:ascii="Arial" w:cs="Arial" w:eastAsia="Arial" w:hAnsi="Arial"/>
                <w:sz w:val="19"/>
                <w:szCs w:val="19"/>
                <w:color w:val="auto"/>
              </w:rPr>
              <w:t>West Group</w:t>
            </w:r>
          </w:p>
        </w:tc>
        <w:tc>
          <w:tcPr>
            <w:tcW w:w="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11,265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10,746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9"/>
                <w:szCs w:val="19"/>
                <w:color w:val="auto"/>
              </w:rPr>
              <w:t>Total Heritage Aggregates Business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29,072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9"/>
                <w:szCs w:val="19"/>
                <w:color w:val="auto"/>
              </w:rPr>
              <w:t>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28,515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Magnesia Specialties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2,391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2,468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9"/>
                <w:szCs w:val="19"/>
                <w:color w:val="auto"/>
              </w:rPr>
              <w:t>Corporate</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12,549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5,583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Total Heritage Consolidated</w:t>
            </w:r>
          </w:p>
        </w:tc>
        <w:tc>
          <w:tcPr>
            <w:tcW w:w="7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44,012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7.1</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36,566</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9"/>
                <w:szCs w:val="19"/>
                <w:color w:val="auto"/>
              </w:rPr>
              <w:t>Acquisitions: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Aggregates Business – West Group</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4,790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440"/>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9"/>
                <w:szCs w:val="19"/>
                <w:color w:val="auto"/>
              </w:rPr>
              <w:t>Cement</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6,647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9"/>
                <w:szCs w:val="19"/>
                <w:color w:val="auto"/>
              </w:rPr>
              <w:t>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Corporate</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1,334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9"/>
                <w:szCs w:val="19"/>
                <w:color w:val="auto"/>
              </w:rPr>
              <w:t>—</w:t>
            </w:r>
          </w:p>
        </w:tc>
        <w:tc>
          <w:tcPr>
            <w:tcW w:w="24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440"/>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9"/>
                <w:szCs w:val="19"/>
                <w:color w:val="auto"/>
              </w:rPr>
              <w:t>Total Acquisitions</w:t>
            </w:r>
          </w:p>
        </w:tc>
        <w:tc>
          <w:tcPr>
            <w:tcW w:w="7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12,771</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5.4</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Total</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9"/>
                <w:szCs w:val="19"/>
                <w:color w:val="auto"/>
                <w:w w:val="75"/>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56,783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9"/>
                <w:szCs w:val="19"/>
                <w:color w:val="auto"/>
                <w:w w:val="75"/>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36,566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9"/>
                <w:szCs w:val="19"/>
                <w:b w:val="1"/>
                <w:bCs w:val="1"/>
                <w:color w:val="auto"/>
              </w:rPr>
              <w:t>Earnings (Loss) from operations: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9"/>
                <w:szCs w:val="19"/>
                <w:color w:val="auto"/>
              </w:rPr>
              <w:t>Heritage:</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480"/>
              <w:spacing w:after="0"/>
              <w:rPr>
                <w:sz w:val="20"/>
                <w:szCs w:val="20"/>
                <w:color w:val="auto"/>
              </w:rPr>
            </w:pPr>
            <w:r>
              <w:rPr>
                <w:rFonts w:ascii="Arial" w:cs="Arial" w:eastAsia="Arial" w:hAnsi="Arial"/>
                <w:sz w:val="19"/>
                <w:szCs w:val="19"/>
                <w:color w:val="auto"/>
              </w:rPr>
              <w:t>Mid-America Group</w:t>
            </w:r>
          </w:p>
        </w:tc>
        <w:tc>
          <w:tcPr>
            <w:tcW w:w="960" w:type="dxa"/>
            <w:vAlign w:val="bottom"/>
            <w:gridSpan w:val="2"/>
            <w:shd w:val="clear" w:color="auto" w:fill="CFF0FC"/>
          </w:tcPr>
          <w:p>
            <w:pPr>
              <w:jc w:val="right"/>
              <w:ind w:right="45"/>
              <w:spacing w:after="0"/>
              <w:rPr>
                <w:sz w:val="20"/>
                <w:szCs w:val="20"/>
                <w:color w:val="auto"/>
              </w:rPr>
            </w:pPr>
            <w:r>
              <w:rPr>
                <w:rFonts w:ascii="Arial" w:cs="Arial" w:eastAsia="Arial" w:hAnsi="Arial"/>
                <w:sz w:val="19"/>
                <w:szCs w:val="19"/>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66,942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45"/>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57,283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480"/>
              <w:spacing w:after="0"/>
              <w:rPr>
                <w:sz w:val="20"/>
                <w:szCs w:val="20"/>
                <w:color w:val="auto"/>
              </w:rPr>
            </w:pPr>
            <w:r>
              <w:rPr>
                <w:rFonts w:ascii="Arial" w:cs="Arial" w:eastAsia="Arial" w:hAnsi="Arial"/>
                <w:sz w:val="19"/>
                <w:szCs w:val="19"/>
                <w:color w:val="auto"/>
              </w:rPr>
              <w:t>Southeast Group</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4,818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9"/>
                <w:szCs w:val="19"/>
                <w:color w:val="auto"/>
              </w:rPr>
              <w:t>(1,302)</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480"/>
              <w:spacing w:after="0"/>
              <w:rPr>
                <w:sz w:val="20"/>
                <w:szCs w:val="20"/>
                <w:color w:val="auto"/>
              </w:rPr>
            </w:pPr>
            <w:r>
              <w:rPr>
                <w:rFonts w:ascii="Arial" w:cs="Arial" w:eastAsia="Arial" w:hAnsi="Arial"/>
                <w:sz w:val="19"/>
                <w:szCs w:val="19"/>
                <w:color w:val="auto"/>
              </w:rPr>
              <w:t>West Group</w:t>
            </w:r>
          </w:p>
        </w:tc>
        <w:tc>
          <w:tcPr>
            <w:tcW w:w="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43,644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30,873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9"/>
                <w:szCs w:val="19"/>
                <w:color w:val="auto"/>
              </w:rPr>
              <w:t>Total Heritage Aggregates Business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115,404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9"/>
                <w:szCs w:val="19"/>
                <w:color w:val="auto"/>
                <w:w w:val="86"/>
              </w:rPr>
              <w:t>20.8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86,854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Magnesia Specialties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18,751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9"/>
                <w:szCs w:val="19"/>
                <w:color w:val="auto"/>
                <w:w w:val="86"/>
              </w:rPr>
              <w:t>31.0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20,995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9"/>
                <w:szCs w:val="19"/>
                <w:color w:val="auto"/>
              </w:rPr>
              <w:t>Corporate</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9"/>
                <w:szCs w:val="19"/>
                <w:color w:val="auto"/>
              </w:rPr>
              <w:t>(22,186)</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9"/>
                <w:szCs w:val="19"/>
                <w:color w:val="auto"/>
              </w:rPr>
              <w:t>(11,608)</w:t>
            </w:r>
          </w:p>
        </w:tc>
        <w:tc>
          <w:tcPr>
            <w:tcW w:w="2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Total Heritage Consolidated</w:t>
            </w:r>
          </w:p>
        </w:tc>
        <w:tc>
          <w:tcPr>
            <w:tcW w:w="7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111,969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86"/>
              </w:rPr>
              <w:t>18.2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96,241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9"/>
                <w:szCs w:val="19"/>
                <w:color w:val="auto"/>
              </w:rPr>
              <w:t>Acquisitions: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Aggregates Business – Mid-America Group</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(48)</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w w:val="97"/>
              </w:rPr>
              <w:t>(5.4)</w:t>
            </w:r>
          </w:p>
        </w:tc>
        <w:tc>
          <w:tcPr>
            <w:tcW w:w="24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440"/>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9"/>
                <w:szCs w:val="19"/>
                <w:color w:val="auto"/>
              </w:rPr>
              <w:t>Aggregates Business – West Group</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5,533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9"/>
                <w:szCs w:val="19"/>
                <w:color w:val="auto"/>
              </w:rPr>
              <w:t>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Cement</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22,468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9"/>
                <w:szCs w:val="19"/>
                <w:color w:val="auto"/>
                <w:w w:val="86"/>
              </w:rPr>
              <w:t>22.4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440"/>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9"/>
                <w:szCs w:val="19"/>
                <w:color w:val="auto"/>
              </w:rPr>
              <w:t>Corporate</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9"/>
                <w:szCs w:val="19"/>
                <w:color w:val="auto"/>
              </w:rPr>
              <w:t>(2,938)</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Total Acquisitions</w:t>
            </w:r>
          </w:p>
        </w:tc>
        <w:tc>
          <w:tcPr>
            <w:tcW w:w="7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25,015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86"/>
              </w:rPr>
              <w:t>10.7</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9"/>
                <w:szCs w:val="19"/>
                <w:color w:val="auto"/>
              </w:rPr>
              <w:t>Total</w:t>
            </w:r>
          </w:p>
        </w:tc>
        <w:tc>
          <w:tcPr>
            <w:tcW w:w="720" w:type="dxa"/>
            <w:vAlign w:val="bottom"/>
          </w:tcPr>
          <w:p>
            <w:pPr>
              <w:spacing w:after="0"/>
              <w:rPr>
                <w:sz w:val="19"/>
                <w:szCs w:val="19"/>
                <w:color w:val="auto"/>
              </w:rPr>
            </w:pPr>
          </w:p>
        </w:tc>
        <w:tc>
          <w:tcPr>
            <w:tcW w:w="24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w w:val="7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136,984</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6"/>
              </w:rPr>
              <w:t>16.1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w w:val="7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96,241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32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Business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Net sales by product line for the Aggregates business, which reflect the elimination of inter-product line sales,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40" w:type="dxa"/>
            <w:vAlign w:val="bottom"/>
            <w:gridSpan w:val="8"/>
          </w:tcPr>
          <w:p>
            <w:pPr>
              <w:jc w:val="center"/>
              <w:ind w:right="36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46"/>
        </w:trPr>
        <w:tc>
          <w:tcPr>
            <w:tcW w:w="7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5"/>
          </w:tcPr>
          <w:p>
            <w:pPr>
              <w:jc w:val="center"/>
              <w:ind w:left="861"/>
              <w:spacing w:after="0"/>
              <w:rPr>
                <w:sz w:val="20"/>
                <w:szCs w:val="20"/>
                <w:color w:val="auto"/>
              </w:rPr>
            </w:pPr>
            <w:r>
              <w:rPr>
                <w:rFonts w:ascii="Arial" w:cs="Arial" w:eastAsia="Arial" w:hAnsi="Arial"/>
                <w:sz w:val="20"/>
                <w:szCs w:val="20"/>
                <w:color w:val="auto"/>
                <w:w w:val="85"/>
              </w:rPr>
              <w:t>June 30,</w:t>
            </w: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2015</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2014</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96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Net sales:</w:t>
            </w:r>
          </w:p>
        </w:tc>
        <w:tc>
          <w:tcPr>
            <w:tcW w:w="220" w:type="dxa"/>
            <w:vAlign w:val="bottom"/>
          </w:tcPr>
          <w:p>
            <w:pPr>
              <w:spacing w:after="0"/>
              <w:rPr>
                <w:sz w:val="21"/>
                <w:szCs w:val="21"/>
                <w:color w:val="auto"/>
              </w:rPr>
            </w:pPr>
          </w:p>
        </w:tc>
        <w:tc>
          <w:tcPr>
            <w:tcW w:w="3120" w:type="dxa"/>
            <w:vAlign w:val="bottom"/>
            <w:gridSpan w:val="7"/>
          </w:tcPr>
          <w:p>
            <w:pPr>
              <w:jc w:val="center"/>
              <w:ind w:right="240"/>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9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Heritage:</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gridSpan w:val="2"/>
          </w:tcPr>
          <w:p>
            <w:pPr>
              <w:ind w:left="260"/>
              <w:spacing w:after="0"/>
              <w:rPr>
                <w:sz w:val="20"/>
                <w:szCs w:val="20"/>
                <w:color w:val="auto"/>
              </w:rPr>
            </w:pPr>
            <w:r>
              <w:rPr>
                <w:rFonts w:ascii="Arial" w:cs="Arial" w:eastAsia="Arial" w:hAnsi="Arial"/>
                <w:sz w:val="20"/>
                <w:szCs w:val="20"/>
                <w:color w:val="auto"/>
              </w:rPr>
              <w:t>Aggregates</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440" w:type="dxa"/>
            <w:vAlign w:val="bottom"/>
            <w:gridSpan w:val="2"/>
          </w:tcPr>
          <w:p>
            <w:pPr>
              <w:jc w:val="right"/>
              <w:ind w:right="120"/>
              <w:spacing w:after="0"/>
              <w:rPr>
                <w:sz w:val="20"/>
                <w:szCs w:val="20"/>
                <w:color w:val="auto"/>
              </w:rPr>
            </w:pPr>
            <w:r>
              <w:rPr>
                <w:rFonts w:ascii="Arial" w:cs="Arial" w:eastAsia="Arial" w:hAnsi="Arial"/>
                <w:sz w:val="20"/>
                <w:szCs w:val="20"/>
                <w:color w:val="auto"/>
              </w:rPr>
              <w:t>445,427</w:t>
            </w:r>
          </w:p>
        </w:tc>
        <w:tc>
          <w:tcPr>
            <w:tcW w:w="500" w:type="dxa"/>
            <w:vAlign w:val="bottom"/>
            <w:gridSpan w:val="3"/>
          </w:tcPr>
          <w:p>
            <w:pPr>
              <w:jc w:val="right"/>
              <w:ind w:right="181"/>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20"/>
                <w:szCs w:val="20"/>
                <w:color w:val="auto"/>
              </w:rPr>
              <w:t>421,974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Asphalt</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18,896</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22,627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gridSpan w:val="2"/>
          </w:tcPr>
          <w:p>
            <w:pPr>
              <w:ind w:left="260"/>
              <w:spacing w:after="0"/>
              <w:rPr>
                <w:sz w:val="20"/>
                <w:szCs w:val="20"/>
                <w:color w:val="auto"/>
              </w:rPr>
            </w:pPr>
            <w:r>
              <w:rPr>
                <w:rFonts w:ascii="Arial" w:cs="Arial" w:eastAsia="Arial" w:hAnsi="Arial"/>
                <w:sz w:val="20"/>
                <w:szCs w:val="20"/>
                <w:color w:val="auto"/>
              </w:rPr>
              <w:t>Ready Mixed Concrete</w:t>
            </w:r>
          </w:p>
        </w:tc>
        <w:tc>
          <w:tcPr>
            <w:tcW w:w="22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20"/>
                <w:szCs w:val="20"/>
                <w:color w:val="auto"/>
              </w:rPr>
              <w:t>51,866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20"/>
                <w:szCs w:val="20"/>
                <w:color w:val="auto"/>
              </w:rPr>
              <w:t>52,379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Road Paving</w:t>
            </w: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39,125</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43,037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60" w:type="dxa"/>
            <w:vAlign w:val="bottom"/>
            <w:gridSpan w:val="2"/>
          </w:tcPr>
          <w:p>
            <w:pPr>
              <w:spacing w:after="0"/>
              <w:rPr>
                <w:sz w:val="20"/>
                <w:szCs w:val="20"/>
                <w:color w:val="auto"/>
              </w:rPr>
            </w:pPr>
            <w:r>
              <w:rPr>
                <w:rFonts w:ascii="Arial" w:cs="Arial" w:eastAsia="Arial" w:hAnsi="Arial"/>
                <w:sz w:val="20"/>
                <w:szCs w:val="20"/>
                <w:color w:val="auto"/>
              </w:rPr>
              <w:t>Total Heritage</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20"/>
                <w:szCs w:val="20"/>
                <w:color w:val="auto"/>
              </w:rPr>
              <w:t>555,314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20"/>
                <w:szCs w:val="20"/>
                <w:color w:val="auto"/>
              </w:rPr>
              <w:t>540,017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Acquisitions</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134,073</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7960" w:type="dxa"/>
            <w:vAlign w:val="bottom"/>
            <w:gridSpan w:val="2"/>
          </w:tcPr>
          <w:p>
            <w:pPr>
              <w:spacing w:after="0"/>
              <w:rPr>
                <w:sz w:val="20"/>
                <w:szCs w:val="20"/>
                <w:color w:val="auto"/>
              </w:rPr>
            </w:pPr>
            <w:r>
              <w:rPr>
                <w:rFonts w:ascii="Arial" w:cs="Arial" w:eastAsia="Arial" w:hAnsi="Arial"/>
                <w:sz w:val="20"/>
                <w:szCs w:val="20"/>
                <w:color w:val="auto"/>
              </w:rPr>
              <w:t>Total Aggregates Business</w:t>
            </w: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689,387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540,017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9620" w:type="dxa"/>
            <w:vAlign w:val="bottom"/>
            <w:gridSpan w:val="5"/>
          </w:tcPr>
          <w:p>
            <w:pPr>
              <w:spacing w:after="0"/>
              <w:rPr>
                <w:sz w:val="20"/>
                <w:szCs w:val="20"/>
                <w:color w:val="auto"/>
              </w:rPr>
            </w:pPr>
            <w:r>
              <w:rPr>
                <w:rFonts w:ascii="Arial" w:cs="Arial" w:eastAsia="Arial" w:hAnsi="Arial"/>
                <w:sz w:val="20"/>
                <w:szCs w:val="20"/>
                <w:color w:val="auto"/>
              </w:rPr>
              <w:t>The following tables present volume and pricing data and shipments data for the aggregates product line.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7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gridSpan w:val="8"/>
          </w:tcPr>
          <w:p>
            <w:pPr>
              <w:jc w:val="right"/>
              <w:ind w:right="1060"/>
              <w:spacing w:after="0"/>
              <w:rPr>
                <w:sz w:val="20"/>
                <w:szCs w:val="20"/>
                <w:color w:val="auto"/>
              </w:rPr>
            </w:pPr>
            <w:r>
              <w:rPr>
                <w:rFonts w:ascii="Arial" w:cs="Arial" w:eastAsia="Arial" w:hAnsi="Arial"/>
                <w:sz w:val="20"/>
                <w:szCs w:val="20"/>
                <w:color w:val="auto"/>
              </w:rPr>
              <w:t>Three Months Ended</w:t>
            </w:r>
          </w:p>
        </w:tc>
        <w:tc>
          <w:tcPr>
            <w:tcW w:w="0" w:type="dxa"/>
            <w:vAlign w:val="bottom"/>
          </w:tcPr>
          <w:p>
            <w:pPr>
              <w:spacing w:after="0"/>
              <w:rPr>
                <w:sz w:val="1"/>
                <w:szCs w:val="1"/>
                <w:color w:val="auto"/>
              </w:rPr>
            </w:pPr>
          </w:p>
        </w:tc>
      </w:tr>
      <w:tr>
        <w:trPr>
          <w:trHeight w:val="246"/>
        </w:trPr>
        <w:tc>
          <w:tcPr>
            <w:tcW w:w="78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5"/>
          </w:tcPr>
          <w:p>
            <w:pPr>
              <w:jc w:val="right"/>
              <w:spacing w:after="0"/>
              <w:rPr>
                <w:sz w:val="20"/>
                <w:szCs w:val="20"/>
                <w:color w:val="auto"/>
              </w:rPr>
            </w:pPr>
            <w:r>
              <w:rPr>
                <w:rFonts w:ascii="Arial" w:cs="Arial" w:eastAsia="Arial" w:hAnsi="Arial"/>
                <w:sz w:val="20"/>
                <w:szCs w:val="20"/>
                <w:color w:val="auto"/>
              </w:rPr>
              <w:t>June 30, 2015</w:t>
            </w:r>
          </w:p>
        </w:tc>
        <w:tc>
          <w:tcPr>
            <w:tcW w:w="11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20"/>
                <w:szCs w:val="20"/>
                <w:color w:val="auto"/>
              </w:rPr>
              <w:t>Volume</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81"/>
              <w:spacing w:after="0"/>
              <w:rPr>
                <w:sz w:val="20"/>
                <w:szCs w:val="20"/>
                <w:color w:val="auto"/>
              </w:rPr>
            </w:pPr>
            <w:r>
              <w:rPr>
                <w:rFonts w:ascii="Arial" w:cs="Arial" w:eastAsia="Arial" w:hAnsi="Arial"/>
                <w:sz w:val="20"/>
                <w:szCs w:val="20"/>
                <w:color w:val="auto"/>
                <w:w w:val="98"/>
              </w:rPr>
              <w:t>Pricing</w:t>
            </w:r>
          </w:p>
        </w:tc>
        <w:tc>
          <w:tcPr>
            <w:tcW w:w="2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 xml:space="preserve">Volume/Pricing Variance </w:t>
            </w:r>
            <w:r>
              <w:rPr>
                <w:rFonts w:ascii="Arial" w:cs="Arial" w:eastAsia="Arial" w:hAnsi="Arial"/>
                <w:sz w:val="16"/>
                <w:szCs w:val="16"/>
                <w:color w:val="auto"/>
              </w:rPr>
              <w:t>(1)</w:t>
            </w:r>
          </w:p>
        </w:tc>
        <w:tc>
          <w:tcPr>
            <w:tcW w:w="1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60" w:type="dxa"/>
            <w:vAlign w:val="bottom"/>
            <w:gridSpan w:val="2"/>
          </w:tcPr>
          <w:p>
            <w:pPr>
              <w:spacing w:after="0"/>
              <w:rPr>
                <w:sz w:val="20"/>
                <w:szCs w:val="20"/>
                <w:color w:val="auto"/>
              </w:rPr>
            </w:pPr>
            <w:r>
              <w:rPr>
                <w:rFonts w:ascii="Arial" w:cs="Arial" w:eastAsia="Arial" w:hAnsi="Arial"/>
                <w:sz w:val="20"/>
                <w:szCs w:val="20"/>
                <w:color w:val="auto"/>
              </w:rPr>
              <w:t xml:space="preserve">Heritage Aggregates Product Line </w:t>
            </w:r>
            <w:r>
              <w:rPr>
                <w:rFonts w:ascii="Arial" w:cs="Arial" w:eastAsia="Arial" w:hAnsi="Arial"/>
                <w:sz w:val="16"/>
                <w:szCs w:val="16"/>
                <w:color w:val="auto"/>
              </w:rPr>
              <w:t>(2)</w:t>
            </w: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2.3%</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243"/>
        </w:trPr>
        <w:tc>
          <w:tcPr>
            <w:tcW w:w="7960" w:type="dxa"/>
            <w:vAlign w:val="bottom"/>
            <w:gridSpan w:val="2"/>
          </w:tcPr>
          <w:p>
            <w:pPr>
              <w:ind w:left="260"/>
              <w:spacing w:after="0"/>
              <w:rPr>
                <w:sz w:val="20"/>
                <w:szCs w:val="20"/>
                <w:color w:val="auto"/>
              </w:rPr>
            </w:pPr>
            <w:r>
              <w:rPr>
                <w:rFonts w:ascii="Arial" w:cs="Arial" w:eastAsia="Arial" w:hAnsi="Arial"/>
                <w:sz w:val="20"/>
                <w:szCs w:val="20"/>
                <w:color w:val="auto"/>
              </w:rPr>
              <w:t>Southeast Group</w:t>
            </w:r>
          </w:p>
        </w:tc>
        <w:tc>
          <w:tcPr>
            <w:tcW w:w="22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20"/>
                <w:szCs w:val="20"/>
                <w:color w:val="auto"/>
              </w:rPr>
              <w:t>6.0%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43"/>
        </w:trPr>
        <w:tc>
          <w:tcPr>
            <w:tcW w:w="796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(9.4)%</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10.7%</w:t>
            </w:r>
          </w:p>
        </w:tc>
        <w:tc>
          <w:tcPr>
            <w:tcW w:w="0" w:type="dxa"/>
            <w:vAlign w:val="bottom"/>
          </w:tcPr>
          <w:p>
            <w:pPr>
              <w:spacing w:after="0"/>
              <w:rPr>
                <w:sz w:val="1"/>
                <w:szCs w:val="1"/>
                <w:color w:val="auto"/>
              </w:rPr>
            </w:pPr>
          </w:p>
        </w:tc>
      </w:tr>
      <w:tr>
        <w:trPr>
          <w:trHeight w:val="243"/>
        </w:trPr>
        <w:tc>
          <w:tcPr>
            <w:tcW w:w="7960" w:type="dxa"/>
            <w:vAlign w:val="bottom"/>
            <w:gridSpan w:val="2"/>
          </w:tcPr>
          <w:p>
            <w:pPr>
              <w:spacing w:after="0"/>
              <w:rPr>
                <w:sz w:val="20"/>
                <w:szCs w:val="20"/>
                <w:color w:val="auto"/>
              </w:rPr>
            </w:pPr>
            <w:r>
              <w:rPr>
                <w:rFonts w:ascii="Arial" w:cs="Arial" w:eastAsia="Arial" w:hAnsi="Arial"/>
                <w:sz w:val="20"/>
                <w:szCs w:val="20"/>
                <w:color w:val="auto"/>
              </w:rPr>
              <w:t>Heritage Aggregates Operations</w:t>
            </w:r>
            <w:r>
              <w:rPr>
                <w:rFonts w:ascii="Arial" w:cs="Arial" w:eastAsia="Arial" w:hAnsi="Arial"/>
                <w:sz w:val="16"/>
                <w:szCs w:val="16"/>
                <w:color w:val="auto"/>
              </w:rPr>
              <w:t>(2)</w:t>
            </w:r>
          </w:p>
        </w:tc>
        <w:tc>
          <w:tcPr>
            <w:tcW w:w="22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20"/>
                <w:szCs w:val="20"/>
                <w:color w:val="auto"/>
              </w:rPr>
              <w:t>(1.9)%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r>
        <w:trPr>
          <w:trHeight w:val="243"/>
        </w:trPr>
        <w:tc>
          <w:tcPr>
            <w:tcW w:w="79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 xml:space="preserve">Aggregates Product Line </w:t>
            </w:r>
            <w:r>
              <w:rPr>
                <w:rFonts w:ascii="Arial" w:cs="Arial" w:eastAsia="Arial" w:hAnsi="Arial"/>
                <w:sz w:val="16"/>
                <w:szCs w:val="16"/>
                <w:color w:val="auto"/>
              </w:rPr>
              <w:t>(3)</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7.8%</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33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7"/>
          </w:tcPr>
          <w:p>
            <w:pPr>
              <w:jc w:val="center"/>
              <w:ind w:right="12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20"/>
                <w:szCs w:val="20"/>
                <w:color w:val="auto"/>
                <w:w w:val="85"/>
              </w:rPr>
              <w:t>June 30,</w:t>
            </w: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98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Shipments</w:t>
            </w:r>
          </w:p>
        </w:tc>
        <w:tc>
          <w:tcPr>
            <w:tcW w:w="3320" w:type="dxa"/>
            <w:vAlign w:val="bottom"/>
            <w:gridSpan w:val="6"/>
          </w:tcPr>
          <w:p>
            <w:pPr>
              <w:jc w:val="center"/>
              <w:spacing w:after="0"/>
              <w:rPr>
                <w:sz w:val="20"/>
                <w:szCs w:val="20"/>
                <w:color w:val="auto"/>
              </w:rPr>
            </w:pPr>
            <w:r>
              <w:rPr>
                <w:rFonts w:ascii="Arial" w:cs="Arial" w:eastAsia="Arial" w:hAnsi="Arial"/>
                <w:sz w:val="20"/>
                <w:szCs w:val="20"/>
                <w:i w:val="1"/>
                <w:iCs w:val="1"/>
                <w:color w:val="auto"/>
                <w:w w:val="89"/>
              </w:rPr>
              <w:t>(tons in thousands)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980" w:type="dxa"/>
            <w:vAlign w:val="bottom"/>
            <w:gridSpan w:val="3"/>
            <w:vMerge w:val="continue"/>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 xml:space="preserve">Heritage Aggregates Product Line </w:t>
            </w:r>
            <w:r>
              <w:rPr>
                <w:rFonts w:ascii="Arial" w:cs="Arial" w:eastAsia="Arial" w:hAnsi="Arial"/>
                <w:sz w:val="16"/>
                <w:szCs w:val="16"/>
                <w:color w:val="auto"/>
              </w:rPr>
              <w:t>(2)</w:t>
            </w:r>
            <w:r>
              <w:rPr>
                <w:rFonts w:ascii="Arial" w:cs="Arial" w:eastAsia="Arial" w:hAnsi="Arial"/>
                <w:sz w:val="20"/>
                <w:szCs w:val="20"/>
                <w:color w:val="auto"/>
              </w:rPr>
              <w:t>:</w:t>
            </w:r>
          </w:p>
        </w:tc>
        <w:tc>
          <w:tcPr>
            <w:tcW w:w="1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tcPr>
          <w:p>
            <w:pPr>
              <w:ind w:left="240"/>
              <w:spacing w:after="0"/>
              <w:rPr>
                <w:sz w:val="20"/>
                <w:szCs w:val="20"/>
                <w:color w:val="auto"/>
              </w:rPr>
            </w:pPr>
            <w:r>
              <w:rPr>
                <w:rFonts w:ascii="Arial" w:cs="Arial" w:eastAsia="Arial" w:hAnsi="Arial"/>
                <w:sz w:val="20"/>
                <w:szCs w:val="20"/>
                <w:color w:val="auto"/>
              </w:rPr>
              <w:t>Mid-America Group</w:t>
            </w:r>
          </w:p>
        </w:tc>
        <w:tc>
          <w:tcPr>
            <w:tcW w:w="1660" w:type="dxa"/>
            <w:vAlign w:val="bottom"/>
            <w:gridSpan w:val="3"/>
          </w:tcPr>
          <w:p>
            <w:pPr>
              <w:jc w:val="right"/>
              <w:ind w:right="120"/>
              <w:spacing w:after="0"/>
              <w:rPr>
                <w:sz w:val="20"/>
                <w:szCs w:val="20"/>
                <w:color w:val="auto"/>
              </w:rPr>
            </w:pPr>
            <w:r>
              <w:rPr>
                <w:rFonts w:ascii="Arial" w:cs="Arial" w:eastAsia="Arial" w:hAnsi="Arial"/>
                <w:sz w:val="20"/>
                <w:szCs w:val="20"/>
                <w:color w:val="auto"/>
              </w:rPr>
              <w:t>19,048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18,626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Southeast Group</w:t>
            </w:r>
          </w:p>
        </w:tc>
        <w:tc>
          <w:tcPr>
            <w:tcW w:w="1660" w:type="dxa"/>
            <w:vAlign w:val="bottom"/>
            <w:gridSpan w:val="3"/>
            <w:shd w:val="clear" w:color="auto" w:fill="CFF0FC"/>
          </w:tcPr>
          <w:p>
            <w:pPr>
              <w:jc w:val="right"/>
              <w:ind w:right="120"/>
              <w:spacing w:after="0"/>
              <w:rPr>
                <w:sz w:val="20"/>
                <w:szCs w:val="20"/>
                <w:color w:val="auto"/>
              </w:rPr>
            </w:pPr>
            <w:r>
              <w:rPr>
                <w:rFonts w:ascii="Arial" w:cs="Arial" w:eastAsia="Arial" w:hAnsi="Arial"/>
                <w:sz w:val="20"/>
                <w:szCs w:val="20"/>
                <w:color w:val="auto"/>
              </w:rPr>
              <w:t>5,274</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4,976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tcBorders>
              <w:bottom w:val="single" w:sz="8" w:color="CFF0FC"/>
            </w:tcBorders>
            <w:gridSpan w:val="2"/>
          </w:tcPr>
          <w:p>
            <w:pPr>
              <w:ind w:left="240"/>
              <w:spacing w:after="0"/>
              <w:rPr>
                <w:sz w:val="20"/>
                <w:szCs w:val="20"/>
                <w:color w:val="auto"/>
              </w:rPr>
            </w:pPr>
            <w:r>
              <w:rPr>
                <w:rFonts w:ascii="Arial" w:cs="Arial" w:eastAsia="Arial" w:hAnsi="Arial"/>
                <w:sz w:val="20"/>
                <w:szCs w:val="20"/>
                <w:color w:val="auto"/>
              </w:rPr>
              <w:t>West Group</w:t>
            </w:r>
          </w:p>
        </w:tc>
        <w:tc>
          <w:tcPr>
            <w:tcW w:w="1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0"/>
                <w:szCs w:val="20"/>
                <w:color w:val="auto"/>
              </w:rPr>
              <w:t>13,919</w:t>
            </w:r>
          </w:p>
        </w:tc>
        <w:tc>
          <w:tcPr>
            <w:tcW w:w="10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15,371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Heritage Aggregates Operations</w:t>
            </w:r>
            <w:r>
              <w:rPr>
                <w:rFonts w:ascii="Arial" w:cs="Arial" w:eastAsia="Arial" w:hAnsi="Arial"/>
                <w:sz w:val="16"/>
                <w:szCs w:val="16"/>
                <w:color w:val="auto"/>
              </w:rPr>
              <w:t>(2)</w:t>
            </w:r>
          </w:p>
        </w:tc>
        <w:tc>
          <w:tcPr>
            <w:tcW w:w="1660" w:type="dxa"/>
            <w:vAlign w:val="bottom"/>
            <w:gridSpan w:val="3"/>
            <w:shd w:val="clear" w:color="auto" w:fill="CFF0FC"/>
          </w:tcPr>
          <w:p>
            <w:pPr>
              <w:jc w:val="right"/>
              <w:ind w:right="120"/>
              <w:spacing w:after="0"/>
              <w:rPr>
                <w:sz w:val="20"/>
                <w:szCs w:val="20"/>
                <w:color w:val="auto"/>
              </w:rPr>
            </w:pPr>
            <w:r>
              <w:rPr>
                <w:rFonts w:ascii="Arial" w:cs="Arial" w:eastAsia="Arial" w:hAnsi="Arial"/>
                <w:sz w:val="20"/>
                <w:szCs w:val="20"/>
                <w:color w:val="auto"/>
              </w:rPr>
              <w:t>38,241</w:t>
            </w: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38,973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tcPr>
          <w:p>
            <w:pPr>
              <w:spacing w:after="0"/>
              <w:rPr>
                <w:sz w:val="20"/>
                <w:szCs w:val="20"/>
                <w:color w:val="auto"/>
              </w:rPr>
            </w:pPr>
            <w:r>
              <w:rPr>
                <w:rFonts w:ascii="Arial" w:cs="Arial" w:eastAsia="Arial" w:hAnsi="Arial"/>
                <w:sz w:val="20"/>
                <w:szCs w:val="20"/>
                <w:color w:val="auto"/>
              </w:rPr>
              <w:t>Acquisitions</w:t>
            </w:r>
          </w:p>
        </w:tc>
        <w:tc>
          <w:tcPr>
            <w:tcW w:w="1660" w:type="dxa"/>
            <w:vAlign w:val="bottom"/>
            <w:gridSpan w:val="3"/>
          </w:tcPr>
          <w:p>
            <w:pPr>
              <w:jc w:val="right"/>
              <w:ind w:right="120"/>
              <w:spacing w:after="0"/>
              <w:rPr>
                <w:sz w:val="20"/>
                <w:szCs w:val="20"/>
                <w:color w:val="auto"/>
              </w:rPr>
            </w:pPr>
            <w:r>
              <w:rPr>
                <w:rFonts w:ascii="Arial" w:cs="Arial" w:eastAsia="Arial" w:hAnsi="Arial"/>
                <w:sz w:val="20"/>
                <w:szCs w:val="20"/>
                <w:color w:val="auto"/>
              </w:rPr>
              <w:t>3,762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Divestitures</w:t>
            </w:r>
          </w:p>
        </w:tc>
        <w:tc>
          <w:tcPr>
            <w:tcW w:w="1320" w:type="dxa"/>
            <w:vAlign w:val="bottom"/>
            <w:shd w:val="clear" w:color="auto" w:fill="CFF0FC"/>
          </w:tcPr>
          <w:p>
            <w:pPr>
              <w:spacing w:after="0"/>
              <w:rPr>
                <w:sz w:val="21"/>
                <w:szCs w:val="21"/>
                <w:color w:val="auto"/>
              </w:rPr>
            </w:pPr>
          </w:p>
        </w:tc>
        <w:tc>
          <w:tcPr>
            <w:tcW w:w="880" w:type="dxa"/>
            <w:vAlign w:val="bottom"/>
            <w:gridSpan w:val="4"/>
            <w:shd w:val="clear" w:color="auto" w:fill="CFF0FC"/>
          </w:tcPr>
          <w:p>
            <w:pPr>
              <w:jc w:val="right"/>
              <w:ind w:right="660"/>
              <w:spacing w:after="0"/>
              <w:rPr>
                <w:sz w:val="20"/>
                <w:szCs w:val="20"/>
                <w:color w:val="auto"/>
              </w:rPr>
            </w:pPr>
            <w:r>
              <w:rPr>
                <w:rFonts w:ascii="Arial" w:cs="Arial" w:eastAsia="Arial" w:hAnsi="Arial"/>
                <w:sz w:val="20"/>
                <w:szCs w:val="20"/>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80" w:type="dxa"/>
            <w:vAlign w:val="bottom"/>
            <w:gridSpan w:val="3"/>
          </w:tcPr>
          <w:p>
            <w:pPr>
              <w:spacing w:after="0"/>
              <w:rPr>
                <w:sz w:val="20"/>
                <w:szCs w:val="20"/>
                <w:color w:val="auto"/>
              </w:rPr>
            </w:pPr>
            <w:r>
              <w:rPr>
                <w:rFonts w:ascii="Arial" w:cs="Arial" w:eastAsia="Arial" w:hAnsi="Arial"/>
                <w:sz w:val="20"/>
                <w:szCs w:val="20"/>
                <w:color w:val="auto"/>
              </w:rPr>
              <w:t xml:space="preserve">Aggregates Product Line </w:t>
            </w:r>
            <w:r>
              <w:rPr>
                <w:rFonts w:ascii="Arial" w:cs="Arial" w:eastAsia="Arial" w:hAnsi="Arial"/>
                <w:sz w:val="16"/>
                <w:szCs w:val="16"/>
                <w:color w:val="auto"/>
              </w:rPr>
              <w:t>(3)</w:t>
            </w:r>
          </w:p>
        </w:tc>
        <w:tc>
          <w:tcPr>
            <w:tcW w:w="166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20"/>
                <w:szCs w:val="20"/>
                <w:color w:val="auto"/>
              </w:rPr>
              <w:t>42,003</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38,974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40" w:type="dxa"/>
            <w:vAlign w:val="bottom"/>
            <w:gridSpan w:val="7"/>
          </w:tcPr>
          <w:p>
            <w:pPr>
              <w:jc w:val="center"/>
              <w:ind w:right="56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5"/>
          </w:tcPr>
          <w:p>
            <w:pPr>
              <w:jc w:val="center"/>
              <w:ind w:left="561"/>
              <w:spacing w:after="0"/>
              <w:rPr>
                <w:sz w:val="20"/>
                <w:szCs w:val="20"/>
                <w:color w:val="auto"/>
              </w:rPr>
            </w:pPr>
            <w:r>
              <w:rPr>
                <w:rFonts w:ascii="Arial" w:cs="Arial" w:eastAsia="Arial" w:hAnsi="Arial"/>
                <w:sz w:val="20"/>
                <w:szCs w:val="20"/>
                <w:color w:val="auto"/>
                <w:w w:val="85"/>
              </w:rPr>
              <w:t>June 30,</w:t>
            </w: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w w:val="89"/>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98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Shipments</w:t>
            </w:r>
          </w:p>
        </w:tc>
        <w:tc>
          <w:tcPr>
            <w:tcW w:w="2200" w:type="dxa"/>
            <w:vAlign w:val="bottom"/>
            <w:gridSpan w:val="5"/>
          </w:tcPr>
          <w:p>
            <w:pPr>
              <w:jc w:val="center"/>
              <w:ind w:left="581"/>
              <w:spacing w:after="0"/>
              <w:rPr>
                <w:sz w:val="20"/>
                <w:szCs w:val="20"/>
                <w:color w:val="auto"/>
              </w:rPr>
            </w:pPr>
            <w:r>
              <w:rPr>
                <w:rFonts w:ascii="Arial" w:cs="Arial" w:eastAsia="Arial" w:hAnsi="Arial"/>
                <w:sz w:val="20"/>
                <w:szCs w:val="20"/>
                <w:i w:val="1"/>
                <w:iCs w:val="1"/>
                <w:color w:val="auto"/>
                <w:w w:val="89"/>
              </w:rPr>
              <w:t>(tons in thousands)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980" w:type="dxa"/>
            <w:vAlign w:val="bottom"/>
            <w:gridSpan w:val="3"/>
            <w:vMerge w:val="continue"/>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 xml:space="preserve">Heritage Aggregates Product Line </w:t>
            </w:r>
            <w:r>
              <w:rPr>
                <w:rFonts w:ascii="Arial" w:cs="Arial" w:eastAsia="Arial" w:hAnsi="Arial"/>
                <w:sz w:val="16"/>
                <w:szCs w:val="16"/>
                <w:color w:val="auto"/>
              </w:rPr>
              <w:t>(2)</w:t>
            </w:r>
            <w:r>
              <w:rPr>
                <w:rFonts w:ascii="Arial" w:cs="Arial" w:eastAsia="Arial" w:hAnsi="Arial"/>
                <w:sz w:val="20"/>
                <w:szCs w:val="20"/>
                <w:color w:val="auto"/>
              </w:rPr>
              <w:t>:</w:t>
            </w:r>
          </w:p>
        </w:tc>
        <w:tc>
          <w:tcPr>
            <w:tcW w:w="1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tcPr>
          <w:p>
            <w:pPr>
              <w:ind w:left="240"/>
              <w:spacing w:after="0"/>
              <w:rPr>
                <w:sz w:val="20"/>
                <w:szCs w:val="20"/>
                <w:color w:val="auto"/>
              </w:rPr>
            </w:pPr>
            <w:r>
              <w:rPr>
                <w:rFonts w:ascii="Arial" w:cs="Arial" w:eastAsia="Arial" w:hAnsi="Arial"/>
                <w:sz w:val="20"/>
                <w:szCs w:val="20"/>
                <w:color w:val="auto"/>
              </w:rPr>
              <w:t>Tons to external customers</w:t>
            </w:r>
          </w:p>
        </w:tc>
        <w:tc>
          <w:tcPr>
            <w:tcW w:w="1320" w:type="dxa"/>
            <w:vAlign w:val="bottom"/>
          </w:tcPr>
          <w:p>
            <w:pPr>
              <w:jc w:val="right"/>
              <w:spacing w:after="0"/>
              <w:rPr>
                <w:sz w:val="20"/>
                <w:szCs w:val="20"/>
                <w:color w:val="auto"/>
              </w:rPr>
            </w:pPr>
            <w:r>
              <w:rPr>
                <w:rFonts w:ascii="Arial" w:cs="Arial" w:eastAsia="Arial" w:hAnsi="Arial"/>
                <w:sz w:val="20"/>
                <w:szCs w:val="20"/>
                <w:color w:val="auto"/>
              </w:rPr>
              <w:t>36,847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37,417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Internal tons used in other product lines</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1,394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1,557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540" w:type="dxa"/>
            <w:vAlign w:val="bottom"/>
            <w:gridSpan w:val="2"/>
          </w:tcPr>
          <w:p>
            <w:pPr>
              <w:spacing w:after="0"/>
              <w:rPr>
                <w:sz w:val="20"/>
                <w:szCs w:val="20"/>
                <w:color w:val="auto"/>
              </w:rPr>
            </w:pPr>
            <w:r>
              <w:rPr>
                <w:rFonts w:ascii="Arial" w:cs="Arial" w:eastAsia="Arial" w:hAnsi="Arial"/>
                <w:sz w:val="20"/>
                <w:szCs w:val="20"/>
                <w:color w:val="auto"/>
              </w:rPr>
              <w:t>Total heritage aggregates tons</w:t>
            </w:r>
          </w:p>
        </w:tc>
        <w:tc>
          <w:tcPr>
            <w:tcW w:w="4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38,241</w:t>
            </w:r>
          </w:p>
        </w:tc>
        <w:tc>
          <w:tcPr>
            <w:tcW w:w="2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38,974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5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60" w:type="dxa"/>
            <w:vAlign w:val="bottom"/>
            <w:gridSpan w:val="2"/>
          </w:tcPr>
          <w:p>
            <w:pPr>
              <w:spacing w:after="0"/>
              <w:rPr>
                <w:sz w:val="20"/>
                <w:szCs w:val="20"/>
                <w:color w:val="auto"/>
              </w:rPr>
            </w:pPr>
            <w:r>
              <w:rPr>
                <w:rFonts w:ascii="Arial" w:cs="Arial" w:eastAsia="Arial" w:hAnsi="Arial"/>
                <w:sz w:val="20"/>
                <w:szCs w:val="20"/>
                <w:color w:val="auto"/>
              </w:rPr>
              <w:t>Acquisitions:</w:t>
            </w: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2,804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tcPr>
          <w:p>
            <w:pPr>
              <w:ind w:left="240"/>
              <w:spacing w:after="0"/>
              <w:rPr>
                <w:sz w:val="20"/>
                <w:szCs w:val="20"/>
                <w:color w:val="auto"/>
              </w:rPr>
            </w:pPr>
            <w:r>
              <w:rPr>
                <w:rFonts w:ascii="Arial" w:cs="Arial" w:eastAsia="Arial" w:hAnsi="Arial"/>
                <w:sz w:val="20"/>
                <w:szCs w:val="20"/>
                <w:color w:val="auto"/>
              </w:rPr>
              <w:t>Internal tons used in other product lines</w:t>
            </w:r>
          </w:p>
        </w:tc>
        <w:tc>
          <w:tcPr>
            <w:tcW w:w="1320" w:type="dxa"/>
            <w:vAlign w:val="bottom"/>
          </w:tcPr>
          <w:p>
            <w:pPr>
              <w:jc w:val="right"/>
              <w:spacing w:after="0"/>
              <w:rPr>
                <w:sz w:val="20"/>
                <w:szCs w:val="20"/>
                <w:color w:val="auto"/>
              </w:rPr>
            </w:pPr>
            <w:r>
              <w:rPr>
                <w:rFonts w:ascii="Arial" w:cs="Arial" w:eastAsia="Arial" w:hAnsi="Arial"/>
                <w:sz w:val="20"/>
                <w:szCs w:val="20"/>
                <w:color w:val="auto"/>
              </w:rPr>
              <w:t>958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acquisition aggregates tons</w:t>
            </w: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3,762</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80" w:hanging="272"/>
        <w:spacing w:after="0"/>
        <w:tabs>
          <w:tab w:leader="none" w:pos="280" w:val="left"/>
        </w:tabs>
        <w:numPr>
          <w:ilvl w:val="0"/>
          <w:numId w:val="27"/>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3" w:lineRule="exact"/>
        <w:rPr>
          <w:rFonts w:ascii="Arial" w:cs="Arial" w:eastAsia="Arial" w:hAnsi="Arial"/>
          <w:sz w:val="15"/>
          <w:szCs w:val="15"/>
          <w:i w:val="1"/>
          <w:iCs w:val="1"/>
          <w:color w:val="auto"/>
        </w:rPr>
      </w:pPr>
    </w:p>
    <w:p>
      <w:pPr>
        <w:ind w:left="280" w:hanging="272"/>
        <w:spacing w:after="0" w:line="250" w:lineRule="auto"/>
        <w:tabs>
          <w:tab w:leader="none" w:pos="280" w:val="left"/>
        </w:tabs>
        <w:numPr>
          <w:ilvl w:val="0"/>
          <w:numId w:val="27"/>
        </w:numPr>
        <w:rPr>
          <w:rFonts w:ascii="Arial" w:cs="Arial" w:eastAsia="Arial" w:hAnsi="Arial"/>
          <w:sz w:val="15"/>
          <w:szCs w:val="15"/>
          <w:i w:val="1"/>
          <w:iCs w:val="1"/>
          <w:color w:val="auto"/>
        </w:rPr>
      </w:pPr>
      <w:r>
        <w:rPr>
          <w:rFonts w:ascii="Arial" w:cs="Arial" w:eastAsia="Arial" w:hAnsi="Arial"/>
          <w:sz w:val="18"/>
          <w:szCs w:val="18"/>
          <w:i w:val="1"/>
          <w:iCs w:val="1"/>
          <w:color w:val="auto"/>
        </w:rPr>
        <w:t>Heritage Aggregates Product Line and Heritage Aggregates Operations exclude volume and pricing data for acquisitions that have not been included in operations for a full calendar year.</w:t>
      </w:r>
    </w:p>
    <w:p>
      <w:pPr>
        <w:ind w:left="280" w:hanging="272"/>
        <w:spacing w:after="0"/>
        <w:tabs>
          <w:tab w:leader="none" w:pos="280" w:val="left"/>
        </w:tabs>
        <w:numPr>
          <w:ilvl w:val="0"/>
          <w:numId w:val="27"/>
        </w:numPr>
        <w:rPr>
          <w:rFonts w:ascii="Arial" w:cs="Arial" w:eastAsia="Arial" w:hAnsi="Arial"/>
          <w:sz w:val="15"/>
          <w:szCs w:val="15"/>
          <w:i w:val="1"/>
          <w:iCs w:val="1"/>
          <w:color w:val="auto"/>
        </w:rPr>
      </w:pPr>
      <w:r>
        <w:rPr>
          <w:rFonts w:ascii="Arial" w:cs="Arial" w:eastAsia="Arial" w:hAnsi="Arial"/>
          <w:sz w:val="18"/>
          <w:szCs w:val="18"/>
          <w:i w:val="1"/>
          <w:iCs w:val="1"/>
          <w:color w:val="auto"/>
        </w:rPr>
        <w:t>Aggregates Product Line includes all acquisitions from the date of acquisition and divestitures through the date of disposal.</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Second-quarter results reflect continued strong performance. Among other things, each heritage aggregates business reportable segment significantly improved gross profits, generating an incremental gross margin contribution in line with, or exceeding, the Corporation’s stated objectives. This result was achieved despite historic levels of rainfall throughout the United States, and notably in Texas. According to the National Oceanic and Atmospheric Administration (NOAA), the United States experienced the second wettest second quarter in more than a century. The NOAA further indicated that Texas reported its wettest second quarter and first six months of the year for the 121 years this data has been tracked. These highly unusual factors resulted in nearly $100 million in deferred net sales across all product lines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which lowered gross profit by an estimated $27 million. Additionally, precipitation reduced production and operating leverage, which negatively affected gross profit by an estimated additional $8 million to $13 million. Nevertheless, strong pricing, operational excellence and management’s stringent cost discipline, coupled with continued slow-but-steady economic recovery in the southeastern United States, contributed to a 100-basis-point expansion of consolidated gross margin (excluding freight and delivery fees).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average per-ton selling price for the heritage aggregates product line was $11.83 and $11.00 for the three months ended June 30, 2015 and 2014, respectively, and the average per-ton selling price for the acquired aggregates product line was $13.52 for the three months ended June 30, 2015. The acquired aggregates product line selling price reflects the impact of higher priced sand and gravel, as well as freight for tons sold through rail yards, which combined account for over 70% of shipments.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Heritage aggregates product line shipments increased 0.7%, excluding shipments from the third-quarter 2014 divestiture of three operations from the prior-year quarter. The divestiture included an Oklahoma quarry and two Dallas, Texas rail-located distribution yards and was required by the Department of Justice in connection with the closing of the TXI acquisition. Shipments from these divestitures continue to be reported in heritage volumes in the prior-year quarter. Aggregates product line shipments in the Southeast Group increased 6.0%, and the Mid-America Group achieved an increase of 2.3%. Wet weather had the most significant impact in the West Group, where volumes decreased 3.2%, excluding 998,000 tons from the divested operations from the prior-year quarter. The reported variance for the West Group was a 9.4% decline, which reflects an estimated 2,198,000 tons of shipments deferred due to rainfall. Iowa also experienced significant precipitation during the second quarter which deferred an estimated 500,000 tons of shipments.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Heritage aggregates product line shipments to the infrastructure market comprised 43% of quarterly volumes and decreased 4%. The Mid-America and Southeast Group each achieved an increase of 2%, which was offset by the impact of rainfall in the West Group. In addition to Texas, major project activity is accelerating in North Carolina, Georgia and Florida. Infrastructure investments are being driven by state initiatives and public private partnerships while federal funding continues to be provided under a continuing resolution. The provisions of the Moving Ahead for Progress in the 21st Century, or MAP-21, have been extended through October 29, 2015. Management continues to anticipate the U.S. Congress working towards passage of a new multi-year bill later this year.</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nonresidential market represented 32% of quarterly heritage aggregates product line shipments and decreased 3%. Light nonresidential, which includes the commercial sector, increased 23% and was offset by a decline in heavy nonresidential, which includes the industrial and energy sectors. Activity varies significantly by state, with growth in nonresidential starts for the last twelve months strongest in Texas; however, weather constrained activity during the second quarter. Louisiana, Florida and Georgia have also reported significant increases in nonresidential projects. The overall growth in light nonresidential shipments illustrates economic diversity and the ability of other nonresidential projects to replace energy-related shipments currently displaced by volatile oil prices. Notwithstanding, the Corporation continues to expect energy-related activity to remain strong, supported by more than $100 billion of planned projects along the Gulf Coast, including a significant portion in Texas.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residential end-use market accounted for 16% of quarterly heritage aggregates product line shipments, and volumes within this market increased 4%. Nationally, residential starts are up 8% for the trailing-12 months through June 2015. Florida and Georgia achieved double-digit growth and, along with Texas, were each ranked in the top five states for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35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same period. The ChemRock/Rail market accounted for the remaining 9% of heritage aggregates product line volumes. Volumes to this end use decreased slightly, primarily related to excessive rainfall in Colorado and Iowa.</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Heritage aggregates product line pricing grew in all reportable groups, led by the 10.7% increase in the West Group. Improvement was notable in South Texas and Colorado. The Mid-America Group and Southeast Group reported increases of 5.7% and 2.4%, respectively. The Corporation announced various mid-year price increases in all divisions of its Aggregates business and is realizing increased pricing across all of its segments.</w:t>
      </w:r>
    </w:p>
    <w:p>
      <w:pPr>
        <w:spacing w:after="0" w:line="15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particularly wet weather throughout several of the Corporation’s operating areas not only affected sales, but also adversely affected aggregates product line production and resulted in lower operating leverage. As a result, total production cost per ton shipped increased 3%. Lower energy costs continue to benefit the cost structure.</w:t>
      </w:r>
    </w:p>
    <w:p>
      <w:pPr>
        <w:jc w:val="both"/>
        <w:spacing w:after="0"/>
        <w:rPr>
          <w:sz w:val="20"/>
          <w:szCs w:val="20"/>
          <w:color w:val="auto"/>
        </w:rPr>
      </w:pPr>
      <w:r>
        <w:rPr>
          <w:rFonts w:ascii="Arial" w:cs="Arial" w:eastAsia="Arial" w:hAnsi="Arial"/>
          <w:sz w:val="20"/>
          <w:szCs w:val="20"/>
          <w:color w:val="auto"/>
        </w:rPr>
        <w:t>The heritage aggregates product line leveraged a 7.6% increase in average selling price to expand its gross margin (excluding freight and delivery revenues) 540 basis points. The legacy TXI aggregates product line operations experienced significant amounts of rainfall that negatively affected shipments and margins. In total, acquired aggregates product line operations, which include legacy TXI quarries and two small acquisitions completed during the first quarter, had net sales of $36.2 million and a gross margin (excluding freight and delivery revenues) of 21.7%.</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Corporation’s aggregates-related downstream product lines include asphalt, ready mixed concrete and road paving businesses in Arkansas, Colorado, Texas and Wyoming. Average selling prices by product line for the Corporation’s aggregates-related downstream product lines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60" w:type="dxa"/>
            <w:vAlign w:val="bottom"/>
          </w:tcPr>
          <w:p>
            <w:pPr>
              <w:spacing w:after="0"/>
              <w:rPr>
                <w:sz w:val="20"/>
                <w:szCs w:val="20"/>
                <w:color w:val="auto"/>
              </w:rPr>
            </w:pPr>
          </w:p>
        </w:tc>
        <w:tc>
          <w:tcPr>
            <w:tcW w:w="3460" w:type="dxa"/>
            <w:vAlign w:val="bottom"/>
            <w:gridSpan w:val="4"/>
          </w:tcPr>
          <w:p>
            <w:pPr>
              <w:jc w:val="center"/>
              <w:spacing w:after="0"/>
              <w:rPr>
                <w:sz w:val="20"/>
                <w:szCs w:val="20"/>
                <w:color w:val="auto"/>
              </w:rPr>
            </w:pPr>
            <w:r>
              <w:rPr>
                <w:rFonts w:ascii="Arial" w:cs="Arial" w:eastAsia="Arial" w:hAnsi="Arial"/>
                <w:sz w:val="20"/>
                <w:szCs w:val="20"/>
                <w:color w:val="auto"/>
                <w:w w:val="89"/>
              </w:rPr>
              <w:t>Three Months Ended</w:t>
            </w:r>
          </w:p>
        </w:tc>
      </w:tr>
      <w:tr>
        <w:trPr>
          <w:trHeight w:val="246"/>
        </w:trPr>
        <w:tc>
          <w:tcPr>
            <w:tcW w:w="796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center"/>
              <w:ind w:right="1241"/>
              <w:spacing w:after="0"/>
              <w:rPr>
                <w:sz w:val="20"/>
                <w:szCs w:val="20"/>
                <w:color w:val="auto"/>
              </w:rPr>
            </w:pPr>
            <w:r>
              <w:rPr>
                <w:rFonts w:ascii="Arial" w:cs="Arial" w:eastAsia="Arial" w:hAnsi="Arial"/>
                <w:sz w:val="20"/>
                <w:szCs w:val="20"/>
                <w:color w:val="auto"/>
                <w:w w:val="85"/>
              </w:rPr>
              <w:t>June 30,</w:t>
            </w:r>
          </w:p>
        </w:tc>
      </w:tr>
      <w:tr>
        <w:trPr>
          <w:trHeight w:val="237"/>
        </w:trPr>
        <w:tc>
          <w:tcPr>
            <w:tcW w:w="7960" w:type="dxa"/>
            <w:vAlign w:val="bottom"/>
          </w:tcPr>
          <w:p>
            <w:pPr>
              <w:spacing w:after="0"/>
              <w:rPr>
                <w:sz w:val="20"/>
                <w:szCs w:val="20"/>
                <w:color w:val="auto"/>
              </w:rPr>
            </w:pPr>
          </w:p>
        </w:tc>
        <w:tc>
          <w:tcPr>
            <w:tcW w:w="1340" w:type="dxa"/>
            <w:vAlign w:val="bottom"/>
          </w:tcPr>
          <w:p>
            <w:pPr>
              <w:jc w:val="center"/>
              <w:ind w:left="201"/>
              <w:spacing w:after="0"/>
              <w:rPr>
                <w:sz w:val="20"/>
                <w:szCs w:val="20"/>
                <w:color w:val="auto"/>
              </w:rPr>
            </w:pPr>
            <w:r>
              <w:rPr>
                <w:rFonts w:ascii="Arial" w:cs="Arial" w:eastAsia="Arial" w:hAnsi="Arial"/>
                <w:sz w:val="20"/>
                <w:szCs w:val="20"/>
                <w:color w:val="auto"/>
                <w:w w:val="89"/>
              </w:rPr>
              <w:t>2015</w:t>
            </w:r>
          </w:p>
        </w:tc>
        <w:tc>
          <w:tcPr>
            <w:tcW w:w="2120" w:type="dxa"/>
            <w:vAlign w:val="bottom"/>
            <w:gridSpan w:val="3"/>
          </w:tcPr>
          <w:p>
            <w:pPr>
              <w:jc w:val="center"/>
              <w:ind w:left="321"/>
              <w:spacing w:after="0"/>
              <w:rPr>
                <w:sz w:val="20"/>
                <w:szCs w:val="20"/>
                <w:color w:val="auto"/>
              </w:rPr>
            </w:pPr>
            <w:r>
              <w:rPr>
                <w:rFonts w:ascii="Arial" w:cs="Arial" w:eastAsia="Arial" w:hAnsi="Arial"/>
                <w:sz w:val="20"/>
                <w:szCs w:val="20"/>
                <w:color w:val="auto"/>
                <w:w w:val="85"/>
              </w:rPr>
              <w:t>2014</w:t>
            </w:r>
          </w:p>
        </w:tc>
      </w:tr>
      <w:tr>
        <w:trPr>
          <w:trHeight w:val="237"/>
        </w:trPr>
        <w:tc>
          <w:tcPr>
            <w:tcW w:w="7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Heritage:</w:t>
            </w:r>
          </w:p>
        </w:tc>
        <w:tc>
          <w:tcPr>
            <w:tcW w:w="13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spacing w:after="0"/>
              <w:rPr>
                <w:sz w:val="20"/>
                <w:szCs w:val="20"/>
                <w:color w:val="auto"/>
              </w:rPr>
            </w:pPr>
          </w:p>
        </w:tc>
      </w:tr>
      <w:tr>
        <w:trPr>
          <w:trHeight w:val="243"/>
        </w:trPr>
        <w:tc>
          <w:tcPr>
            <w:tcW w:w="7960" w:type="dxa"/>
            <w:vAlign w:val="bottom"/>
          </w:tcPr>
          <w:p>
            <w:pPr>
              <w:ind w:left="140"/>
              <w:spacing w:after="0"/>
              <w:rPr>
                <w:sz w:val="20"/>
                <w:szCs w:val="20"/>
                <w:color w:val="auto"/>
              </w:rPr>
            </w:pPr>
            <w:r>
              <w:rPr>
                <w:rFonts w:ascii="Arial" w:cs="Arial" w:eastAsia="Arial" w:hAnsi="Arial"/>
                <w:sz w:val="20"/>
                <w:szCs w:val="20"/>
                <w:color w:val="auto"/>
              </w:rPr>
              <w:t>Asphalt</w:t>
            </w:r>
          </w:p>
        </w:tc>
        <w:tc>
          <w:tcPr>
            <w:tcW w:w="1340" w:type="dxa"/>
            <w:vAlign w:val="bottom"/>
          </w:tcPr>
          <w:p>
            <w:pPr>
              <w:jc w:val="center"/>
              <w:ind w:left="221"/>
              <w:spacing w:after="0"/>
              <w:rPr>
                <w:sz w:val="20"/>
                <w:szCs w:val="20"/>
                <w:color w:val="auto"/>
              </w:rPr>
            </w:pPr>
            <w:r>
              <w:rPr>
                <w:rFonts w:ascii="Arial" w:cs="Arial" w:eastAsia="Arial" w:hAnsi="Arial"/>
                <w:sz w:val="20"/>
                <w:szCs w:val="20"/>
                <w:color w:val="auto"/>
                <w:w w:val="90"/>
              </w:rPr>
              <w:t>$42.20/ton</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90"/>
              </w:rPr>
              <w:t>$42.06/ton</w:t>
            </w:r>
          </w:p>
        </w:tc>
      </w:tr>
      <w:tr>
        <w:trPr>
          <w:trHeight w:val="243"/>
        </w:trPr>
        <w:tc>
          <w:tcPr>
            <w:tcW w:w="79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Ready Mixed Concrete</w:t>
            </w:r>
          </w:p>
        </w:tc>
        <w:tc>
          <w:tcPr>
            <w:tcW w:w="1340" w:type="dxa"/>
            <w:vAlign w:val="bottom"/>
            <w:shd w:val="clear" w:color="auto" w:fill="CFF0FC"/>
          </w:tcPr>
          <w:p>
            <w:pPr>
              <w:jc w:val="center"/>
              <w:ind w:left="201"/>
              <w:spacing w:after="0"/>
              <w:rPr>
                <w:sz w:val="20"/>
                <w:szCs w:val="20"/>
                <w:color w:val="auto"/>
              </w:rPr>
            </w:pPr>
            <w:r>
              <w:rPr>
                <w:rFonts w:ascii="Arial" w:cs="Arial" w:eastAsia="Arial" w:hAnsi="Arial"/>
                <w:sz w:val="20"/>
                <w:szCs w:val="20"/>
                <w:color w:val="auto"/>
                <w:w w:val="90"/>
              </w:rPr>
              <w:t>$101.54/yd³</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0"/>
              </w:rPr>
              <w:t>$92.23/yd³</w:t>
            </w:r>
          </w:p>
        </w:tc>
      </w:tr>
      <w:tr>
        <w:trPr>
          <w:trHeight w:val="243"/>
        </w:trPr>
        <w:tc>
          <w:tcPr>
            <w:tcW w:w="7960" w:type="dxa"/>
            <w:vAlign w:val="bottom"/>
          </w:tcPr>
          <w:p>
            <w:pPr>
              <w:spacing w:after="0"/>
              <w:rPr>
                <w:sz w:val="20"/>
                <w:szCs w:val="20"/>
                <w:color w:val="auto"/>
              </w:rPr>
            </w:pPr>
            <w:r>
              <w:rPr>
                <w:rFonts w:ascii="Arial" w:cs="Arial" w:eastAsia="Arial" w:hAnsi="Arial"/>
                <w:sz w:val="20"/>
                <w:szCs w:val="20"/>
                <w:color w:val="auto"/>
              </w:rPr>
              <w:t>Acquisitions:</w:t>
            </w:r>
          </w:p>
        </w:tc>
        <w:tc>
          <w:tcPr>
            <w:tcW w:w="1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79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 xml:space="preserve">Ready Mixed Concrete </w:t>
            </w:r>
            <w:r>
              <w:rPr>
                <w:rFonts w:ascii="Arial" w:cs="Arial" w:eastAsia="Arial" w:hAnsi="Arial"/>
                <w:sz w:val="16"/>
                <w:szCs w:val="16"/>
                <w:color w:val="auto"/>
              </w:rPr>
              <w:t>(4)</w:t>
            </w:r>
          </w:p>
        </w:tc>
        <w:tc>
          <w:tcPr>
            <w:tcW w:w="1340" w:type="dxa"/>
            <w:vAlign w:val="bottom"/>
            <w:shd w:val="clear" w:color="auto" w:fill="CFF0FC"/>
          </w:tcPr>
          <w:p>
            <w:pPr>
              <w:jc w:val="center"/>
              <w:ind w:left="221"/>
              <w:spacing w:after="0"/>
              <w:rPr>
                <w:sz w:val="20"/>
                <w:szCs w:val="20"/>
                <w:color w:val="auto"/>
              </w:rPr>
            </w:pPr>
            <w:r>
              <w:rPr>
                <w:rFonts w:ascii="Arial" w:cs="Arial" w:eastAsia="Arial" w:hAnsi="Arial"/>
                <w:sz w:val="20"/>
                <w:szCs w:val="20"/>
                <w:color w:val="auto"/>
                <w:w w:val="90"/>
              </w:rPr>
              <w:t>$86.80/yd³</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w:t>
            </w: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36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Unit shipments by product line for the Corporation’s aggregates-related downstream product lines are as follows:</w:t>
      </w:r>
    </w:p>
    <w:p>
      <w:pPr>
        <w:spacing w:after="0" w:line="243" w:lineRule="exact"/>
        <w:rPr>
          <w:sz w:val="20"/>
          <w:szCs w:val="20"/>
          <w:color w:val="auto"/>
        </w:rPr>
      </w:pPr>
    </w:p>
    <w:p>
      <w:pPr>
        <w:jc w:val="center"/>
        <w:ind w:left="786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jc w:val="center"/>
        <w:ind w:left="7860"/>
        <w:spacing w:after="0"/>
        <w:rPr>
          <w:sz w:val="20"/>
          <w:szCs w:val="20"/>
          <w:color w:val="auto"/>
        </w:rPr>
      </w:pPr>
      <w:r>
        <w:rPr>
          <w:rFonts w:ascii="Arial" w:cs="Arial" w:eastAsia="Arial" w:hAnsi="Arial"/>
          <w:sz w:val="20"/>
          <w:szCs w:val="20"/>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80" w:type="dxa"/>
            <w:vAlign w:val="bottom"/>
            <w:tcBorders>
              <w:bottom w:val="single" w:sz="8" w:color="CFF0FC"/>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2015</w:t>
            </w:r>
          </w:p>
        </w:tc>
        <w:tc>
          <w:tcPr>
            <w:tcW w:w="6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FF0FC"/>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20"/>
                <w:szCs w:val="20"/>
                <w:color w:val="auto"/>
              </w:rPr>
              <w:t>2014</w:t>
            </w:r>
          </w:p>
        </w:tc>
        <w:tc>
          <w:tcPr>
            <w:tcW w:w="120" w:type="dxa"/>
            <w:vAlign w:val="bottom"/>
            <w:tcBorders>
              <w:bottom w:val="single" w:sz="8" w:color="CFF0FC"/>
            </w:tcBorders>
          </w:tcPr>
          <w:p>
            <w:pPr>
              <w:spacing w:after="0"/>
              <w:rPr>
                <w:sz w:val="20"/>
                <w:szCs w:val="20"/>
                <w:color w:val="auto"/>
              </w:rPr>
            </w:pPr>
          </w:p>
        </w:tc>
      </w:tr>
      <w:tr>
        <w:trPr>
          <w:trHeight w:val="237"/>
        </w:trPr>
        <w:tc>
          <w:tcPr>
            <w:tcW w:w="7980" w:type="dxa"/>
            <w:vAlign w:val="bottom"/>
            <w:shd w:val="clear" w:color="auto" w:fill="CFF0FC"/>
          </w:tcPr>
          <w:p>
            <w:pPr>
              <w:spacing w:after="0"/>
              <w:rPr>
                <w:sz w:val="20"/>
                <w:szCs w:val="20"/>
                <w:color w:val="auto"/>
              </w:rPr>
            </w:pPr>
            <w:r>
              <w:rPr>
                <w:rFonts w:ascii="Arial" w:cs="Arial" w:eastAsia="Arial" w:hAnsi="Arial"/>
                <w:sz w:val="20"/>
                <w:szCs w:val="20"/>
                <w:color w:val="auto"/>
              </w:rPr>
              <w:t>Asphalt Product Line (in thousands):</w:t>
            </w:r>
          </w:p>
        </w:tc>
        <w:tc>
          <w:tcPr>
            <w:tcW w:w="10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9020" w:type="dxa"/>
            <w:vAlign w:val="bottom"/>
            <w:gridSpan w:val="2"/>
          </w:tcPr>
          <w:p>
            <w:pPr>
              <w:ind w:left="260"/>
              <w:spacing w:after="0"/>
              <w:rPr>
                <w:sz w:val="20"/>
                <w:szCs w:val="20"/>
                <w:color w:val="auto"/>
              </w:rPr>
            </w:pPr>
            <w:r>
              <w:rPr>
                <w:rFonts w:ascii="Arial" w:cs="Arial" w:eastAsia="Arial" w:hAnsi="Arial"/>
                <w:sz w:val="20"/>
                <w:szCs w:val="20"/>
                <w:color w:val="auto"/>
              </w:rPr>
              <w:t>Tons to external customers</w:t>
            </w:r>
          </w:p>
        </w:tc>
        <w:tc>
          <w:tcPr>
            <w:tcW w:w="620" w:type="dxa"/>
            <w:vAlign w:val="bottom"/>
          </w:tcPr>
          <w:p>
            <w:pPr>
              <w:jc w:val="right"/>
              <w:ind w:right="21"/>
              <w:spacing w:after="0"/>
              <w:rPr>
                <w:sz w:val="20"/>
                <w:szCs w:val="20"/>
                <w:color w:val="auto"/>
              </w:rPr>
            </w:pPr>
            <w:r>
              <w:rPr>
                <w:rFonts w:ascii="Arial" w:cs="Arial" w:eastAsia="Arial" w:hAnsi="Arial"/>
                <w:sz w:val="20"/>
                <w:szCs w:val="20"/>
                <w:color w:val="auto"/>
              </w:rPr>
              <w:t>356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458</w:t>
            </w:r>
          </w:p>
        </w:tc>
        <w:tc>
          <w:tcPr>
            <w:tcW w:w="120" w:type="dxa"/>
            <w:vAlign w:val="bottom"/>
          </w:tcPr>
          <w:p>
            <w:pPr>
              <w:spacing w:after="0"/>
              <w:rPr>
                <w:sz w:val="21"/>
                <w:szCs w:val="21"/>
                <w:color w:val="auto"/>
              </w:rPr>
            </w:pPr>
          </w:p>
        </w:tc>
      </w:tr>
      <w:tr>
        <w:trPr>
          <w:trHeight w:val="243"/>
        </w:trPr>
        <w:tc>
          <w:tcPr>
            <w:tcW w:w="90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Internal tons used in road paving business</w:t>
            </w:r>
          </w:p>
        </w:tc>
        <w:tc>
          <w:tcPr>
            <w:tcW w:w="6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456</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492</w:t>
            </w:r>
          </w:p>
        </w:tc>
        <w:tc>
          <w:tcPr>
            <w:tcW w:w="120" w:type="dxa"/>
            <w:vAlign w:val="bottom"/>
            <w:shd w:val="clear" w:color="auto" w:fill="CFF0FC"/>
          </w:tcPr>
          <w:p>
            <w:pPr>
              <w:spacing w:after="0"/>
              <w:rPr>
                <w:sz w:val="21"/>
                <w:szCs w:val="21"/>
                <w:color w:val="auto"/>
              </w:rPr>
            </w:pPr>
          </w:p>
        </w:tc>
      </w:tr>
      <w:tr>
        <w:trPr>
          <w:trHeight w:val="277"/>
        </w:trPr>
        <w:tc>
          <w:tcPr>
            <w:tcW w:w="79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asphalt tons</w:t>
            </w:r>
          </w:p>
        </w:tc>
        <w:tc>
          <w:tcPr>
            <w:tcW w:w="104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812</w:t>
            </w:r>
          </w:p>
        </w:tc>
        <w:tc>
          <w:tcPr>
            <w:tcW w:w="100" w:type="dxa"/>
            <w:vAlign w:val="bottom"/>
            <w:tcBorders>
              <w:bottom w:val="single" w:sz="8" w:color="CFF0FC"/>
            </w:tcBorders>
          </w:tcPr>
          <w:p>
            <w:pPr>
              <w:spacing w:after="0"/>
              <w:rPr>
                <w:sz w:val="24"/>
                <w:szCs w:val="2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950</w:t>
            </w:r>
          </w:p>
        </w:tc>
        <w:tc>
          <w:tcPr>
            <w:tcW w:w="120" w:type="dxa"/>
            <w:vAlign w:val="bottom"/>
            <w:tcBorders>
              <w:bottom w:val="single" w:sz="8" w:color="CFF0FC"/>
            </w:tcBorders>
          </w:tcPr>
          <w:p>
            <w:pPr>
              <w:spacing w:after="0"/>
              <w:rPr>
                <w:sz w:val="24"/>
                <w:szCs w:val="24"/>
                <w:color w:val="auto"/>
              </w:rPr>
            </w:pPr>
          </w:p>
        </w:tc>
      </w:tr>
      <w:tr>
        <w:trPr>
          <w:trHeight w:val="224"/>
        </w:trPr>
        <w:tc>
          <w:tcPr>
            <w:tcW w:w="798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Ready Mixed Concrete (in thousands of cubic yards):</w:t>
            </w: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9020" w:type="dxa"/>
            <w:vAlign w:val="bottom"/>
            <w:gridSpan w:val="2"/>
          </w:tcPr>
          <w:p>
            <w:pPr>
              <w:ind w:left="260"/>
              <w:spacing w:after="0"/>
              <w:rPr>
                <w:sz w:val="20"/>
                <w:szCs w:val="20"/>
                <w:color w:val="auto"/>
              </w:rPr>
            </w:pPr>
            <w:r>
              <w:rPr>
                <w:rFonts w:ascii="Arial" w:cs="Arial" w:eastAsia="Arial" w:hAnsi="Arial"/>
                <w:sz w:val="20"/>
                <w:szCs w:val="20"/>
                <w:color w:val="auto"/>
              </w:rPr>
              <w:t>Heritage</w:t>
            </w:r>
          </w:p>
        </w:tc>
        <w:tc>
          <w:tcPr>
            <w:tcW w:w="620" w:type="dxa"/>
            <w:vAlign w:val="bottom"/>
          </w:tcPr>
          <w:p>
            <w:pPr>
              <w:jc w:val="right"/>
              <w:ind w:right="21"/>
              <w:spacing w:after="0"/>
              <w:rPr>
                <w:sz w:val="20"/>
                <w:szCs w:val="20"/>
                <w:color w:val="auto"/>
              </w:rPr>
            </w:pPr>
            <w:r>
              <w:rPr>
                <w:rFonts w:ascii="Arial" w:cs="Arial" w:eastAsia="Arial" w:hAnsi="Arial"/>
                <w:sz w:val="20"/>
                <w:szCs w:val="20"/>
                <w:color w:val="auto"/>
              </w:rPr>
              <w:t>498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552</w:t>
            </w:r>
          </w:p>
        </w:tc>
        <w:tc>
          <w:tcPr>
            <w:tcW w:w="120" w:type="dxa"/>
            <w:vAlign w:val="bottom"/>
          </w:tcPr>
          <w:p>
            <w:pPr>
              <w:spacing w:after="0"/>
              <w:rPr>
                <w:sz w:val="21"/>
                <w:szCs w:val="21"/>
                <w:color w:val="auto"/>
              </w:rPr>
            </w:pPr>
          </w:p>
        </w:tc>
      </w:tr>
      <w:tr>
        <w:trPr>
          <w:trHeight w:val="243"/>
        </w:trPr>
        <w:tc>
          <w:tcPr>
            <w:tcW w:w="90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Acquisitions</w:t>
            </w:r>
            <w:r>
              <w:rPr>
                <w:rFonts w:ascii="Arial" w:cs="Arial" w:eastAsia="Arial" w:hAnsi="Arial"/>
                <w:sz w:val="16"/>
                <w:szCs w:val="16"/>
                <w:color w:val="auto"/>
              </w:rPr>
              <w:t>(4)</w:t>
            </w:r>
          </w:p>
        </w:tc>
        <w:tc>
          <w:tcPr>
            <w:tcW w:w="6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95"/>
              </w:rPr>
              <w:t>1,115</w:t>
            </w:r>
          </w:p>
        </w:tc>
        <w:tc>
          <w:tcPr>
            <w:tcW w:w="10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r>
      <w:tr>
        <w:trPr>
          <w:trHeight w:val="237"/>
        </w:trPr>
        <w:tc>
          <w:tcPr>
            <w:tcW w:w="7980" w:type="dxa"/>
            <w:vAlign w:val="bottom"/>
          </w:tcPr>
          <w:p>
            <w:pPr>
              <w:spacing w:after="0"/>
              <w:rPr>
                <w:sz w:val="20"/>
                <w:szCs w:val="20"/>
                <w:color w:val="auto"/>
              </w:rPr>
            </w:pPr>
            <w:r>
              <w:rPr>
                <w:rFonts w:ascii="Arial" w:cs="Arial" w:eastAsia="Arial" w:hAnsi="Arial"/>
                <w:sz w:val="20"/>
                <w:szCs w:val="20"/>
                <w:color w:val="auto"/>
              </w:rPr>
              <w:t>Total cubic yards</w:t>
            </w:r>
          </w:p>
        </w:tc>
        <w:tc>
          <w:tcPr>
            <w:tcW w:w="10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95"/>
              </w:rPr>
              <w:t>1,613</w:t>
            </w:r>
          </w:p>
        </w:tc>
        <w:tc>
          <w:tcPr>
            <w:tcW w:w="10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552</w:t>
            </w:r>
          </w:p>
        </w:tc>
        <w:tc>
          <w:tcPr>
            <w:tcW w:w="120" w:type="dxa"/>
            <w:vAlign w:val="bottom"/>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280" w:right="20" w:hanging="272"/>
        <w:spacing w:after="0" w:line="277" w:lineRule="auto"/>
        <w:tabs>
          <w:tab w:leader="none" w:pos="280" w:val="left"/>
        </w:tabs>
        <w:numPr>
          <w:ilvl w:val="0"/>
          <w:numId w:val="28"/>
        </w:numPr>
        <w:rPr>
          <w:rFonts w:ascii="Arial" w:cs="Arial" w:eastAsia="Arial" w:hAnsi="Arial"/>
          <w:sz w:val="15"/>
          <w:szCs w:val="15"/>
          <w:color w:val="auto"/>
        </w:rPr>
      </w:pPr>
      <w:r>
        <w:rPr>
          <w:rFonts w:ascii="Arial" w:cs="Arial" w:eastAsia="Arial" w:hAnsi="Arial"/>
          <w:sz w:val="18"/>
          <w:szCs w:val="18"/>
          <w:color w:val="auto"/>
        </w:rPr>
        <w:t>Ready mixed operations acquired by Martin Marietta on July 1, 2014. For comparative purposes, for the three months ended June 30, 2014, TXI shipped 1,285,000 cubic yards of ready mixed concrete.</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Management estimates rain reduced ready mixed concrete shipments by 454,000 cubic yards, of which 371,000 cubic yards was attributable to ready mix locations in Texas. The heritage ready mixed concrete product line reported pricing improvement of 10.1%.</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heritage ready mixed concrete product line reported a 10% increase in average selling price. However, weather-driven lower shipments limited the improvement in gross margin (excluding freight and delivery revenues) to 50 basis points. For the quarter, the legacy TXI ready mixed concrete operations contributed $98 million of net sales.</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As illustrated in the second quarter of 2015, the Aggregates business is significantly affected by erratic weather patterns, seasonal changes and other weather-related conditions. Production and shipment levels for aggregates, asphalt, ready mixed concrete and road paving materials correlate with general construction activity levels, most of which occurs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shipments, production and profitability in all markets served by the Corporation. Because of the potentially significant impact of weather on the Corporation’s operations, current period and year to date results are not indicative of expected performance for other interim periods or the full year. Depending on the timing and extent of any weather disruptions, shipments may be delayed to later in a year or deferred until the following year.</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Cement Business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Cement business is benefitting from continued strength in Texas markets, where demand exceeds local supply. The Portland Cement Association, or PCA, forecasts continued favorable supply/demand imbalance in Texas over the next several years. Further, the PCA currently forecasts growth each year through 2019. For the quarter, the business generated $100.4 million of net sales and $30.4 million of gross profit. The business announced a price increase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37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effective April 1, 2015. However, there is a lag time before the full impact is realized. Plant utilization varies between 75% and 85% for plants in Texas and 70% and 75% in California. The business incurred $5.9 million in planned cement kiln shutdown costs during the second quarter. Shutdown costs are expected to be heaviest in the fourth quarter.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440" w:type="dxa"/>
            <w:vAlign w:val="bottom"/>
          </w:tcPr>
          <w:p>
            <w:pPr>
              <w:spacing w:after="0"/>
              <w:rPr>
                <w:sz w:val="20"/>
                <w:szCs w:val="20"/>
                <w:color w:val="auto"/>
              </w:rPr>
            </w:pPr>
            <w:r>
              <w:rPr>
                <w:rFonts w:ascii="Arial" w:cs="Arial" w:eastAsia="Arial" w:hAnsi="Arial"/>
                <w:sz w:val="20"/>
                <w:szCs w:val="20"/>
                <w:color w:val="auto"/>
              </w:rPr>
              <w:t>Cement shipments for the three months ended June 30, 2015 were (tons in thousands):</w:t>
            </w: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69"/>
        </w:trPr>
        <w:tc>
          <w:tcPr>
            <w:tcW w:w="9440" w:type="dxa"/>
            <w:vAlign w:val="bottom"/>
          </w:tcPr>
          <w:p>
            <w:pPr>
              <w:ind w:left="260"/>
              <w:spacing w:after="0"/>
              <w:rPr>
                <w:sz w:val="20"/>
                <w:szCs w:val="20"/>
                <w:color w:val="auto"/>
              </w:rPr>
            </w:pPr>
            <w:r>
              <w:rPr>
                <w:rFonts w:ascii="Arial" w:cs="Arial" w:eastAsia="Arial" w:hAnsi="Arial"/>
                <w:sz w:val="20"/>
                <w:szCs w:val="20"/>
                <w:color w:val="auto"/>
              </w:rPr>
              <w:t>Tons to external customers</w:t>
            </w:r>
          </w:p>
        </w:tc>
        <w:tc>
          <w:tcPr>
            <w:tcW w:w="1860" w:type="dxa"/>
            <w:vAlign w:val="bottom"/>
          </w:tcPr>
          <w:p>
            <w:pPr>
              <w:jc w:val="right"/>
              <w:spacing w:after="0"/>
              <w:rPr>
                <w:sz w:val="20"/>
                <w:szCs w:val="20"/>
                <w:color w:val="auto"/>
              </w:rPr>
            </w:pPr>
            <w:r>
              <w:rPr>
                <w:rFonts w:ascii="Arial" w:cs="Arial" w:eastAsia="Arial" w:hAnsi="Arial"/>
                <w:sz w:val="20"/>
                <w:szCs w:val="20"/>
                <w:color w:val="auto"/>
              </w:rPr>
              <w:t>994</w:t>
            </w:r>
          </w:p>
        </w:tc>
        <w:tc>
          <w:tcPr>
            <w:tcW w:w="120" w:type="dxa"/>
            <w:vAlign w:val="bottom"/>
          </w:tcPr>
          <w:p>
            <w:pPr>
              <w:spacing w:after="0"/>
              <w:rPr>
                <w:sz w:val="24"/>
                <w:szCs w:val="24"/>
                <w:color w:val="auto"/>
              </w:rPr>
            </w:pPr>
          </w:p>
        </w:tc>
      </w:tr>
      <w:tr>
        <w:trPr>
          <w:trHeight w:val="243"/>
        </w:trPr>
        <w:tc>
          <w:tcPr>
            <w:tcW w:w="94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Internal tons used in other product lines</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209</w:t>
            </w:r>
          </w:p>
        </w:tc>
        <w:tc>
          <w:tcPr>
            <w:tcW w:w="120" w:type="dxa"/>
            <w:vAlign w:val="bottom"/>
            <w:shd w:val="clear" w:color="auto" w:fill="CFF0FC"/>
          </w:tcPr>
          <w:p>
            <w:pPr>
              <w:spacing w:after="0"/>
              <w:rPr>
                <w:sz w:val="21"/>
                <w:szCs w:val="21"/>
                <w:color w:val="auto"/>
              </w:rPr>
            </w:pPr>
          </w:p>
        </w:tc>
      </w:tr>
      <w:tr>
        <w:trPr>
          <w:trHeight w:val="237"/>
        </w:trPr>
        <w:tc>
          <w:tcPr>
            <w:tcW w:w="9440" w:type="dxa"/>
            <w:vAlign w:val="bottom"/>
          </w:tcPr>
          <w:p>
            <w:pPr>
              <w:spacing w:after="0"/>
              <w:rPr>
                <w:sz w:val="20"/>
                <w:szCs w:val="20"/>
                <w:color w:val="auto"/>
              </w:rPr>
            </w:pPr>
            <w:r>
              <w:rPr>
                <w:rFonts w:ascii="Arial" w:cs="Arial" w:eastAsia="Arial" w:hAnsi="Arial"/>
                <w:sz w:val="20"/>
                <w:szCs w:val="20"/>
                <w:color w:val="auto"/>
              </w:rPr>
              <w:t>Total cement tons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1,203</w:t>
            </w:r>
          </w:p>
        </w:tc>
        <w:tc>
          <w:tcPr>
            <w:tcW w:w="120" w:type="dxa"/>
            <w:vAlign w:val="bottom"/>
          </w:tcPr>
          <w:p>
            <w:pPr>
              <w:spacing w:after="0"/>
              <w:rPr>
                <w:sz w:val="20"/>
                <w:szCs w:val="20"/>
                <w:color w:val="auto"/>
              </w:rPr>
            </w:pPr>
          </w:p>
        </w:tc>
      </w:tr>
      <w:tr>
        <w:trPr>
          <w:trHeight w:val="20"/>
        </w:trPr>
        <w:tc>
          <w:tcPr>
            <w:tcW w:w="94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Similar to the aggregates and ready mixed concrete product lines, the cement business estimated 215,000 tons of shipments were deferred to future periods due to the unseasonably wet weather.</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Average selling price per-ton for the cement operations for the three months ended June 30, 2015 was $98.86. For comparative purposes, the average selling price per-ton for the three months ended June 30, 2014, a period prior to the Corporation’s ownership of these operations, was $84.71.</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Magnesia Specialties continued to deliver strong performance and generated second-quarter net sales of $60.5 million and a gross margin (excluding freight and delivery revenues) of 35.1%. Net sales reflect lower domestic steel production, which is down almost 8% year-to-date versus the comparable period of 2014. Second-quarter earnings from operations were $18.8 million compared with $21.0 million, with the decrease primarily driven by maintenance costs in 2015.</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Consolidated SG&amp;A was 6.7% of net sales compared with 6.1% in the prior-year quarter. The increase reflects the impact of approximately $110 million of net sales delayed to later in the year and higher pension expenses. The Corporation incurred acquisition-related expenses of $2.1 million, which is in line with the expected run rate for the next few quarters. Earnings from operations for the quarter were $137.0 million compared with $96.2 million in the prior-year period.</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Excluding discrete events, the 2015 estimated effective income tax rate for the year-to-date period was 31%, consistent with annual guidance. For the year, the Corporation expects to utilize allowable federal net operating loss carryforwards of $363 million, which were acquired with TXI.</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38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presents a rollforward of consolidated gross profit (dollars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gridSpan w:val="3"/>
          </w:tcPr>
          <w:p>
            <w:pPr>
              <w:spacing w:after="0"/>
              <w:rPr>
                <w:sz w:val="20"/>
                <w:szCs w:val="20"/>
                <w:color w:val="auto"/>
              </w:rPr>
            </w:pPr>
            <w:r>
              <w:rPr>
                <w:rFonts w:ascii="Arial" w:cs="Arial" w:eastAsia="Arial" w:hAnsi="Arial"/>
                <w:sz w:val="19"/>
                <w:szCs w:val="19"/>
                <w:color w:val="auto"/>
              </w:rPr>
              <w:t>Consolidated gross profit, quarter ended June 30, 2014</w:t>
            </w:r>
          </w:p>
        </w:tc>
        <w:tc>
          <w:tcPr>
            <w:tcW w:w="1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135,602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9"/>
                <w:szCs w:val="19"/>
                <w:color w:val="auto"/>
              </w:rPr>
              <w:t>Aggregates product line:</w:t>
            </w:r>
          </w:p>
        </w:tc>
        <w:tc>
          <w:tcPr>
            <w:tcW w:w="19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Arial" w:cs="Arial" w:eastAsia="Arial" w:hAnsi="Arial"/>
                <w:sz w:val="19"/>
                <w:szCs w:val="19"/>
                <w:color w:val="auto"/>
              </w:rPr>
              <w:t>Heritage volume weakness</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9"/>
                <w:szCs w:val="19"/>
                <w:color w:val="auto"/>
              </w:rPr>
              <w:t>(8,049)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9"/>
                <w:szCs w:val="19"/>
                <w:color w:val="auto"/>
              </w:rPr>
              <w:t>Heritage pricing strength</w:t>
            </w:r>
          </w:p>
        </w:tc>
        <w:tc>
          <w:tcPr>
            <w:tcW w:w="1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31,852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Borders>
              <w:bottom w:val="single" w:sz="8" w:color="CFF0FC"/>
            </w:tcBorders>
            <w:gridSpan w:val="2"/>
          </w:tcPr>
          <w:p>
            <w:pPr>
              <w:ind w:left="240"/>
              <w:spacing w:after="0"/>
              <w:rPr>
                <w:sz w:val="20"/>
                <w:szCs w:val="20"/>
                <w:color w:val="auto"/>
              </w:rPr>
            </w:pPr>
            <w:r>
              <w:rPr>
                <w:rFonts w:ascii="Arial" w:cs="Arial" w:eastAsia="Arial" w:hAnsi="Arial"/>
                <w:sz w:val="19"/>
                <w:szCs w:val="19"/>
                <w:color w:val="auto"/>
              </w:rPr>
              <w:t>Cost decreases, net</w:t>
            </w:r>
          </w:p>
        </w:tc>
        <w:tc>
          <w:tcPr>
            <w:tcW w:w="19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Increase in aggregates product line gross profit</w:t>
            </w:r>
          </w:p>
        </w:tc>
        <w:tc>
          <w:tcPr>
            <w:tcW w:w="1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29,274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9"/>
                <w:szCs w:val="19"/>
                <w:color w:val="auto"/>
              </w:rPr>
              <w:t>Aggregates-related downstream product lines</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3,461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Acquired aggregates business operations</w:t>
            </w:r>
          </w:p>
        </w:tc>
        <w:tc>
          <w:tcPr>
            <w:tcW w:w="1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10,025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9"/>
                <w:szCs w:val="19"/>
                <w:color w:val="auto"/>
              </w:rPr>
              <w:t>Acquired cement</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30,414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Decrease in Magnesia Specialties</w:t>
            </w:r>
          </w:p>
        </w:tc>
        <w:tc>
          <w:tcPr>
            <w:tcW w:w="1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9"/>
                <w:szCs w:val="19"/>
                <w:color w:val="auto"/>
              </w:rPr>
              <w:t>(2,170)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9"/>
                <w:szCs w:val="19"/>
                <w:color w:val="auto"/>
              </w:rPr>
              <w:t>Decrease in corporate</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9"/>
                <w:szCs w:val="19"/>
                <w:color w:val="auto"/>
              </w:rPr>
              <w:t>(6,453)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9"/>
                <w:szCs w:val="19"/>
                <w:color w:val="auto"/>
              </w:rPr>
              <w:t>Increase in consolidated gross profit</w:t>
            </w:r>
          </w:p>
        </w:tc>
        <w:tc>
          <w:tcPr>
            <w:tcW w:w="19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64,551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gridSpan w:val="3"/>
          </w:tcPr>
          <w:p>
            <w:pPr>
              <w:spacing w:after="0"/>
              <w:rPr>
                <w:sz w:val="20"/>
                <w:szCs w:val="20"/>
                <w:color w:val="auto"/>
              </w:rPr>
            </w:pPr>
            <w:r>
              <w:rPr>
                <w:rFonts w:ascii="Arial" w:cs="Arial" w:eastAsia="Arial" w:hAnsi="Arial"/>
                <w:sz w:val="19"/>
                <w:szCs w:val="19"/>
                <w:color w:val="auto"/>
              </w:rPr>
              <w:t>Consolidated gross profit, quarter ended June 30, 2015</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9"/>
                <w:szCs w:val="19"/>
                <w:color w:val="auto"/>
                <w:w w:val="75"/>
              </w:rPr>
              <w:t>$</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200,153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20"/>
                <w:szCs w:val="20"/>
                <w:color w:val="auto"/>
              </w:rPr>
              <w:t>Gross profit (loss) by business is as follows:</w:t>
            </w: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6080" w:type="dxa"/>
            <w:vAlign w:val="bottom"/>
            <w:gridSpan w:val="3"/>
            <w:vMerge w:val="continue"/>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00" w:type="dxa"/>
            <w:vAlign w:val="bottom"/>
            <w:gridSpan w:val="7"/>
          </w:tcPr>
          <w:p>
            <w:pPr>
              <w:jc w:val="center"/>
              <w:ind w:right="460"/>
              <w:spacing w:after="0"/>
              <w:rPr>
                <w:sz w:val="20"/>
                <w:szCs w:val="20"/>
                <w:color w:val="auto"/>
              </w:rPr>
            </w:pPr>
            <w:r>
              <w:rPr>
                <w:rFonts w:ascii="Arial" w:cs="Arial" w:eastAsia="Arial" w:hAnsi="Arial"/>
                <w:sz w:val="19"/>
                <w:szCs w:val="19"/>
                <w:color w:val="auto"/>
                <w:w w:val="90"/>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5"/>
          </w:tcPr>
          <w:p>
            <w:pPr>
              <w:jc w:val="center"/>
              <w:ind w:left="725"/>
              <w:spacing w:after="0"/>
              <w:rPr>
                <w:sz w:val="20"/>
                <w:szCs w:val="20"/>
                <w:color w:val="auto"/>
              </w:rPr>
            </w:pPr>
            <w:r>
              <w:rPr>
                <w:rFonts w:ascii="Arial" w:cs="Arial" w:eastAsia="Arial" w:hAnsi="Arial"/>
                <w:sz w:val="19"/>
                <w:szCs w:val="19"/>
                <w:color w:val="auto"/>
                <w:w w:val="87"/>
              </w:rPr>
              <w:t>June 30,</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2015</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5"/>
              <w:spacing w:after="0"/>
              <w:rPr>
                <w:sz w:val="20"/>
                <w:szCs w:val="20"/>
                <w:color w:val="auto"/>
              </w:rPr>
            </w:pPr>
            <w:r>
              <w:rPr>
                <w:rFonts w:ascii="Arial" w:cs="Arial" w:eastAsia="Arial" w:hAnsi="Arial"/>
                <w:sz w:val="19"/>
                <w:szCs w:val="19"/>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80" w:type="dxa"/>
            <w:vAlign w:val="bottom"/>
            <w:gridSpan w:val="3"/>
            <w:vMerge w:val="restart"/>
          </w:tcPr>
          <w:p>
            <w:pPr>
              <w:spacing w:after="0"/>
              <w:rPr>
                <w:sz w:val="20"/>
                <w:szCs w:val="20"/>
                <w:color w:val="auto"/>
              </w:rPr>
            </w:pPr>
            <w:r>
              <w:rPr>
                <w:rFonts w:ascii="Arial" w:cs="Arial" w:eastAsia="Arial" w:hAnsi="Arial"/>
                <w:sz w:val="19"/>
                <w:szCs w:val="19"/>
                <w:color w:val="auto"/>
              </w:rPr>
              <w:t>Gross profit (loss):</w:t>
            </w:r>
          </w:p>
        </w:tc>
        <w:tc>
          <w:tcPr>
            <w:tcW w:w="1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80" w:type="dxa"/>
            <w:vAlign w:val="bottom"/>
            <w:gridSpan w:val="6"/>
          </w:tcPr>
          <w:p>
            <w:pPr>
              <w:jc w:val="center"/>
              <w:ind w:right="245"/>
              <w:spacing w:after="0"/>
              <w:rPr>
                <w:sz w:val="20"/>
                <w:szCs w:val="20"/>
                <w:color w:val="auto"/>
              </w:rPr>
            </w:pPr>
            <w:r>
              <w:rPr>
                <w:rFonts w:ascii="Arial" w:cs="Arial" w:eastAsia="Arial" w:hAnsi="Arial"/>
                <w:sz w:val="19"/>
                <w:szCs w:val="19"/>
                <w:i w:val="1"/>
                <w:iCs w:val="1"/>
                <w:color w:val="auto"/>
                <w:w w:val="92"/>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080" w:type="dxa"/>
            <w:vAlign w:val="bottom"/>
            <w:gridSpan w:val="3"/>
            <w:vMerge w:val="continue"/>
          </w:tcPr>
          <w:p>
            <w:pPr>
              <w:spacing w:after="0"/>
              <w:rPr>
                <w:sz w:val="15"/>
                <w:szCs w:val="15"/>
                <w:color w:val="auto"/>
              </w:rPr>
            </w:pPr>
          </w:p>
        </w:tc>
        <w:tc>
          <w:tcPr>
            <w:tcW w:w="1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Heritage:</w:t>
            </w:r>
          </w:p>
        </w:tc>
        <w:tc>
          <w:tcPr>
            <w:tcW w:w="1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tcPr>
          <w:p>
            <w:pPr>
              <w:ind w:left="480"/>
              <w:spacing w:after="0"/>
              <w:rPr>
                <w:sz w:val="20"/>
                <w:szCs w:val="20"/>
                <w:color w:val="auto"/>
              </w:rPr>
            </w:pPr>
            <w:r>
              <w:rPr>
                <w:rFonts w:ascii="Arial" w:cs="Arial" w:eastAsia="Arial" w:hAnsi="Arial"/>
                <w:sz w:val="19"/>
                <w:szCs w:val="19"/>
                <w:color w:val="auto"/>
              </w:rPr>
              <w:t>Aggregates</w:t>
            </w:r>
          </w:p>
        </w:tc>
        <w:tc>
          <w:tcPr>
            <w:tcW w:w="2240" w:type="dxa"/>
            <w:vAlign w:val="bottom"/>
            <w:gridSpan w:val="2"/>
          </w:tcPr>
          <w:p>
            <w:pPr>
              <w:jc w:val="right"/>
              <w:ind w:right="145"/>
              <w:spacing w:after="0"/>
              <w:rPr>
                <w:sz w:val="20"/>
                <w:szCs w:val="20"/>
                <w:color w:val="auto"/>
              </w:rPr>
            </w:pPr>
            <w:r>
              <w:rPr>
                <w:rFonts w:ascii="Arial" w:cs="Arial" w:eastAsia="Arial" w:hAnsi="Arial"/>
                <w:sz w:val="19"/>
                <w:szCs w:val="19"/>
                <w:color w:val="auto"/>
              </w:rPr>
              <w:t>$</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129,416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205"/>
              <w:spacing w:after="0"/>
              <w:rPr>
                <w:sz w:val="20"/>
                <w:szCs w:val="20"/>
                <w:color w:val="auto"/>
              </w:rPr>
            </w:pPr>
            <w:r>
              <w:rPr>
                <w:rFonts w:ascii="Arial" w:cs="Arial" w:eastAsia="Arial" w:hAnsi="Arial"/>
                <w:sz w:val="19"/>
                <w:szCs w:val="19"/>
                <w:color w:val="auto"/>
                <w:w w:val="75"/>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100,142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shd w:val="clear" w:color="auto" w:fill="CFF0FC"/>
          </w:tcPr>
          <w:p>
            <w:pPr>
              <w:ind w:left="480"/>
              <w:spacing w:after="0"/>
              <w:rPr>
                <w:sz w:val="20"/>
                <w:szCs w:val="20"/>
                <w:color w:val="auto"/>
              </w:rPr>
            </w:pPr>
            <w:r>
              <w:rPr>
                <w:rFonts w:ascii="Arial" w:cs="Arial" w:eastAsia="Arial" w:hAnsi="Arial"/>
                <w:sz w:val="19"/>
                <w:szCs w:val="19"/>
                <w:color w:val="auto"/>
              </w:rPr>
              <w:t>Asphalt</w:t>
            </w:r>
          </w:p>
        </w:tc>
        <w:tc>
          <w:tcPr>
            <w:tcW w:w="1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4,314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4,869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tcPr>
          <w:p>
            <w:pPr>
              <w:ind w:left="480"/>
              <w:spacing w:after="0"/>
              <w:rPr>
                <w:sz w:val="20"/>
                <w:szCs w:val="20"/>
                <w:color w:val="auto"/>
              </w:rPr>
            </w:pPr>
            <w:r>
              <w:rPr>
                <w:rFonts w:ascii="Arial" w:cs="Arial" w:eastAsia="Arial" w:hAnsi="Arial"/>
                <w:sz w:val="19"/>
                <w:szCs w:val="19"/>
                <w:color w:val="auto"/>
              </w:rPr>
              <w:t>Ready Mixed Concrete</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7,172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6,982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shd w:val="clear" w:color="auto" w:fill="CFF0FC"/>
          </w:tcPr>
          <w:p>
            <w:pPr>
              <w:ind w:left="480"/>
              <w:spacing w:after="0"/>
              <w:rPr>
                <w:sz w:val="20"/>
                <w:szCs w:val="20"/>
                <w:color w:val="auto"/>
              </w:rPr>
            </w:pPr>
            <w:r>
              <w:rPr>
                <w:rFonts w:ascii="Arial" w:cs="Arial" w:eastAsia="Arial" w:hAnsi="Arial"/>
                <w:sz w:val="19"/>
                <w:szCs w:val="19"/>
                <w:color w:val="auto"/>
              </w:rPr>
              <w:t>Road Paving</w:t>
            </w:r>
          </w:p>
        </w:tc>
        <w:tc>
          <w:tcPr>
            <w:tcW w:w="1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3,577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9"/>
                <w:szCs w:val="19"/>
                <w:color w:val="auto"/>
              </w:rPr>
              <w:t>(249)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2"/>
          </w:tcPr>
          <w:p>
            <w:pPr>
              <w:ind w:left="480"/>
              <w:spacing w:after="0"/>
              <w:rPr>
                <w:sz w:val="20"/>
                <w:szCs w:val="20"/>
                <w:color w:val="auto"/>
              </w:rPr>
            </w:pPr>
            <w:r>
              <w:rPr>
                <w:rFonts w:ascii="Arial" w:cs="Arial" w:eastAsia="Arial" w:hAnsi="Arial"/>
                <w:sz w:val="19"/>
                <w:szCs w:val="19"/>
                <w:color w:val="auto"/>
              </w:rPr>
              <w:t>Total Aggregates Business</w:t>
            </w:r>
          </w:p>
        </w:tc>
        <w:tc>
          <w:tcPr>
            <w:tcW w:w="19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9"/>
                <w:szCs w:val="19"/>
                <w:color w:val="auto"/>
              </w:rPr>
              <w:t>144,479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111,744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9"/>
                <w:szCs w:val="19"/>
                <w:color w:val="auto"/>
              </w:rPr>
              <w:t>Magnesia Specialties</w:t>
            </w:r>
          </w:p>
        </w:tc>
        <w:tc>
          <w:tcPr>
            <w:tcW w:w="1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21,224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23,394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Arial" w:cs="Arial" w:eastAsia="Arial" w:hAnsi="Arial"/>
                <w:sz w:val="19"/>
                <w:szCs w:val="19"/>
                <w:color w:val="auto"/>
              </w:rPr>
              <w:t>Corporate</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9"/>
                <w:szCs w:val="19"/>
                <w:color w:val="auto"/>
              </w:rPr>
              <w:t>(5,503)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9"/>
                <w:szCs w:val="19"/>
                <w:color w:val="auto"/>
              </w:rPr>
              <w:t>Total Heritage</w:t>
            </w:r>
          </w:p>
        </w:tc>
        <w:tc>
          <w:tcPr>
            <w:tcW w:w="19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160,200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135,602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gridSpan w:val="3"/>
          </w:tcPr>
          <w:p>
            <w:pPr>
              <w:spacing w:after="0"/>
              <w:rPr>
                <w:sz w:val="20"/>
                <w:szCs w:val="20"/>
                <w:color w:val="auto"/>
              </w:rPr>
            </w:pPr>
            <w:r>
              <w:rPr>
                <w:rFonts w:ascii="Arial" w:cs="Arial" w:eastAsia="Arial" w:hAnsi="Arial"/>
                <w:sz w:val="19"/>
                <w:szCs w:val="19"/>
                <w:color w:val="auto"/>
              </w:rPr>
              <w:t>Acquisitions:</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9"/>
                <w:szCs w:val="19"/>
                <w:color w:val="auto"/>
              </w:rPr>
              <w:t>Aggregates</w:t>
            </w:r>
          </w:p>
        </w:tc>
        <w:tc>
          <w:tcPr>
            <w:tcW w:w="1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7,856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Arial" w:cs="Arial" w:eastAsia="Arial" w:hAnsi="Arial"/>
                <w:sz w:val="19"/>
                <w:szCs w:val="19"/>
                <w:color w:val="auto"/>
              </w:rPr>
              <w:t>Ready Mixed Concrete</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2,169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9"/>
                <w:szCs w:val="19"/>
                <w:color w:val="auto"/>
              </w:rPr>
              <w:t>Cement</w:t>
            </w:r>
          </w:p>
        </w:tc>
        <w:tc>
          <w:tcPr>
            <w:tcW w:w="1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30,414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Arial" w:cs="Arial" w:eastAsia="Arial" w:hAnsi="Arial"/>
                <w:sz w:val="19"/>
                <w:szCs w:val="19"/>
                <w:color w:val="auto"/>
              </w:rPr>
              <w:t>Corporate</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9"/>
                <w:szCs w:val="19"/>
                <w:color w:val="auto"/>
              </w:rPr>
              <w:t>(486)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9"/>
                <w:szCs w:val="19"/>
                <w:color w:val="auto"/>
              </w:rPr>
              <w:t>Total Acquisitions</w:t>
            </w:r>
          </w:p>
        </w:tc>
        <w:tc>
          <w:tcPr>
            <w:tcW w:w="19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39,953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gridSpan w:val="3"/>
          </w:tcPr>
          <w:p>
            <w:pPr>
              <w:spacing w:after="0"/>
              <w:rPr>
                <w:sz w:val="20"/>
                <w:szCs w:val="20"/>
                <w:color w:val="auto"/>
              </w:rPr>
            </w:pPr>
            <w:r>
              <w:rPr>
                <w:rFonts w:ascii="Arial" w:cs="Arial" w:eastAsia="Arial" w:hAnsi="Arial"/>
                <w:sz w:val="19"/>
                <w:szCs w:val="19"/>
                <w:color w:val="auto"/>
              </w:rPr>
              <w:t>Total</w:t>
            </w:r>
          </w:p>
        </w:tc>
        <w:tc>
          <w:tcPr>
            <w:tcW w:w="1900" w:type="dxa"/>
            <w:vAlign w:val="bottom"/>
          </w:tcPr>
          <w:p>
            <w:pPr>
              <w:spacing w:after="0"/>
              <w:rPr>
                <w:sz w:val="19"/>
                <w:szCs w:val="19"/>
                <w:color w:val="auto"/>
              </w:rPr>
            </w:pPr>
          </w:p>
        </w:tc>
        <w:tc>
          <w:tcPr>
            <w:tcW w:w="340" w:type="dxa"/>
            <w:vAlign w:val="bottom"/>
            <w:tcBorders>
              <w:bottom w:val="single" w:sz="8" w:color="auto"/>
            </w:tcBorders>
          </w:tcPr>
          <w:p>
            <w:pPr>
              <w:jc w:val="right"/>
              <w:ind w:right="145"/>
              <w:spacing w:after="0"/>
              <w:rPr>
                <w:sz w:val="20"/>
                <w:szCs w:val="20"/>
                <w:color w:val="auto"/>
              </w:rPr>
            </w:pPr>
            <w:r>
              <w:rPr>
                <w:rFonts w:ascii="Arial" w:cs="Arial" w:eastAsia="Arial" w:hAnsi="Arial"/>
                <w:sz w:val="19"/>
                <w:szCs w:val="19"/>
                <w:color w:val="auto"/>
                <w:w w:val="75"/>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200,153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05"/>
              <w:spacing w:after="0"/>
              <w:rPr>
                <w:sz w:val="20"/>
                <w:szCs w:val="20"/>
                <w:color w:val="auto"/>
              </w:rPr>
            </w:pPr>
            <w:r>
              <w:rPr>
                <w:rFonts w:ascii="Arial" w:cs="Arial" w:eastAsia="Arial" w:hAnsi="Arial"/>
                <w:sz w:val="19"/>
                <w:szCs w:val="19"/>
                <w:color w:val="auto"/>
                <w:w w:val="7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135,602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39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1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consolidated heritage gross margin (excluding freight and delivery revenues) for the quarter was 26.0%, a 350-basis-point improvement compared with the prior-year quarter.</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Consolidated SG&amp;A was 6.7% of net sales compared with 6.1% in the prior-year quarter. The increase reflects the impact of weather-deferred net sales and higher pension expenses. The Corporation incurred acquisition-related expenses of $2.1 million, which is in line with the expected run rate for the next few quarters. Earnings from operations for the quarter were $137.0 million compared with $96.2 million in the prior-year quarter.</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Among other items, other operating income and expenses, net, includes gains and losses on the sale of assets; recoveries and writeoffs related to customer accounts receivable; rental, royalty and services income; accretion expense, depreciation expense and gains and losses related to asset retirement obligations. For the second quarter, consolidated other operating income and expenses, net, was an expense of $4.3 million in 2015 and income of</w:t>
      </w:r>
    </w:p>
    <w:p>
      <w:pPr>
        <w:spacing w:after="0" w:line="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$2.5 million in 2014. Second quarter 2015 reflects a higher writeoff of customer accounts receivable and lower gains on the disposal of fixed assets. The 10-year average of annual accounts receivable writeoffs has been $2 million. During the quarter ended June 30, 2015, the Corporation reserved two large accounts and wrote-off a customer account who declared bankruptcy, collectively totaling $3.2 million. Conversely, second quarter 2014 provided bad debt recoveries of $0.6 million.</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Other nonoperating income and expenses, net, includes foreign currency translation gains and losses, interest and other miscellaneous income and equity adjustments for nonconsolidated affiliates. The $2.7 million increase in other nonoperating income, net, reflects higher earnings from nonconsolidated companies compared with 2014, coupled with life insurance proceeds.</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Significant items for the six months ended June 30, 2015 (unless noted, all comparisons are versus the prior-year period):</w:t>
      </w:r>
    </w:p>
    <w:p>
      <w:pPr>
        <w:spacing w:after="0" w:line="108" w:lineRule="exact"/>
        <w:rPr>
          <w:sz w:val="20"/>
          <w:szCs w:val="20"/>
          <w:color w:val="auto"/>
        </w:rPr>
      </w:pPr>
    </w:p>
    <w:p>
      <w:pPr>
        <w:ind w:left="760" w:right="20" w:hanging="372"/>
        <w:spacing w:after="0" w:line="247" w:lineRule="auto"/>
        <w:tabs>
          <w:tab w:leader="none" w:pos="7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Earnings per diluted share of $1.30 compared with $0.81 (which includes a $0.20 per diluted share charge for business development and acquisition integration expenses related to the business combination with TXI)</w:t>
      </w:r>
    </w:p>
    <w:p>
      <w:pPr>
        <w:spacing w:after="0" w:line="1" w:lineRule="exact"/>
        <w:rPr>
          <w:rFonts w:ascii="Arial" w:cs="Arial" w:eastAsia="Arial" w:hAnsi="Arial"/>
          <w:sz w:val="20"/>
          <w:szCs w:val="20"/>
          <w:color w:val="auto"/>
        </w:rPr>
      </w:pPr>
    </w:p>
    <w:p>
      <w:pPr>
        <w:ind w:left="760" w:hanging="372"/>
        <w:spacing w:after="0"/>
        <w:tabs>
          <w:tab w:leader="none" w:pos="7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Consolidated net sales of $1,482 million compared with $981.6 million, an increase of 51%</w:t>
      </w:r>
    </w:p>
    <w:p>
      <w:pPr>
        <w:ind w:left="760" w:hanging="372"/>
        <w:spacing w:after="0" w:line="237" w:lineRule="auto"/>
        <w:tabs>
          <w:tab w:leader="none" w:pos="7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Aggregates product line volume increase of 11.5%; aggregates product line price increase of 9.7%</w:t>
      </w:r>
    </w:p>
    <w:p>
      <w:pPr>
        <w:ind w:left="1500" w:hanging="351"/>
        <w:spacing w:after="0" w:line="231" w:lineRule="auto"/>
        <w:tabs>
          <w:tab w:leader="none" w:pos="1500" w:val="left"/>
        </w:tabs>
        <w:numPr>
          <w:ilvl w:val="1"/>
          <w:numId w:val="30"/>
        </w:numPr>
        <w:rPr>
          <w:rFonts w:ascii="Courier New" w:cs="Courier New" w:eastAsia="Courier New" w:hAnsi="Courier New"/>
          <w:sz w:val="20"/>
          <w:szCs w:val="20"/>
          <w:color w:val="auto"/>
        </w:rPr>
      </w:pPr>
      <w:r>
        <w:rPr>
          <w:rFonts w:ascii="Arial" w:cs="Arial" w:eastAsia="Arial" w:hAnsi="Arial"/>
          <w:sz w:val="20"/>
          <w:szCs w:val="20"/>
          <w:color w:val="auto"/>
        </w:rPr>
        <w:t>Heritage aggregates product line volume increase of 3.1%, excluding shipments from 2014 divestitures from prior-year quarter; reported heritage volume increase of 0.3%;</w:t>
      </w:r>
    </w:p>
    <w:p>
      <w:pPr>
        <w:spacing w:after="0" w:line="1" w:lineRule="exact"/>
        <w:rPr>
          <w:rFonts w:ascii="Courier New" w:cs="Courier New" w:eastAsia="Courier New" w:hAnsi="Courier New"/>
          <w:sz w:val="20"/>
          <w:szCs w:val="20"/>
          <w:color w:val="auto"/>
        </w:rPr>
      </w:pPr>
    </w:p>
    <w:p>
      <w:pPr>
        <w:ind w:left="1500" w:hanging="351"/>
        <w:spacing w:after="0" w:line="222" w:lineRule="auto"/>
        <w:tabs>
          <w:tab w:leader="none" w:pos="1500" w:val="left"/>
        </w:tabs>
        <w:numPr>
          <w:ilvl w:val="1"/>
          <w:numId w:val="30"/>
        </w:numPr>
        <w:rPr>
          <w:rFonts w:ascii="Courier New" w:cs="Courier New" w:eastAsia="Courier New" w:hAnsi="Courier New"/>
          <w:sz w:val="20"/>
          <w:szCs w:val="20"/>
          <w:color w:val="auto"/>
        </w:rPr>
      </w:pPr>
      <w:r>
        <w:rPr>
          <w:rFonts w:ascii="Arial" w:cs="Arial" w:eastAsia="Arial" w:hAnsi="Arial"/>
          <w:sz w:val="20"/>
          <w:szCs w:val="20"/>
          <w:color w:val="auto"/>
        </w:rPr>
        <w:t>Heritage aggregates product line price increase of 8.7%</w:t>
      </w:r>
    </w:p>
    <w:p>
      <w:pPr>
        <w:ind w:left="760" w:right="2420" w:hanging="372"/>
        <w:spacing w:after="0" w:line="239" w:lineRule="auto"/>
        <w:tabs>
          <w:tab w:leader="none" w:pos="7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Cement business net sales of $197.0 million, earnings from operations of $34.7 million and EBITDA of $65.4 million</w:t>
      </w:r>
    </w:p>
    <w:p>
      <w:pPr>
        <w:spacing w:after="0" w:line="1" w:lineRule="exact"/>
        <w:rPr>
          <w:rFonts w:ascii="Arial" w:cs="Arial" w:eastAsia="Arial" w:hAnsi="Arial"/>
          <w:sz w:val="20"/>
          <w:szCs w:val="20"/>
          <w:color w:val="auto"/>
        </w:rPr>
      </w:pPr>
    </w:p>
    <w:p>
      <w:pPr>
        <w:ind w:left="760" w:hanging="372"/>
        <w:spacing w:after="0"/>
        <w:tabs>
          <w:tab w:leader="none" w:pos="7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Magnesia Specialties net sales of $119.2 million and earnings from operations of $36.5 million</w:t>
      </w:r>
    </w:p>
    <w:p>
      <w:pPr>
        <w:ind w:left="760" w:right="20" w:hanging="372"/>
        <w:spacing w:after="0" w:line="239" w:lineRule="auto"/>
        <w:tabs>
          <w:tab w:leader="none" w:pos="7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Heritage consolidated gross margin (excluding freight and delivery revenues) of 20.6%, up 420 basis points; consolidated gross margin (excluding freight and delivery revenues) of 18.5%, up 210 basis points</w:t>
      </w:r>
    </w:p>
    <w:p>
      <w:pPr>
        <w:spacing w:after="0" w:line="1" w:lineRule="exact"/>
        <w:rPr>
          <w:rFonts w:ascii="Arial" w:cs="Arial" w:eastAsia="Arial" w:hAnsi="Arial"/>
          <w:sz w:val="20"/>
          <w:szCs w:val="20"/>
          <w:color w:val="auto"/>
        </w:rPr>
      </w:pPr>
    </w:p>
    <w:p>
      <w:pPr>
        <w:ind w:left="760" w:hanging="372"/>
        <w:spacing w:after="0"/>
        <w:tabs>
          <w:tab w:leader="none" w:pos="7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Consolidated selling, general and administrative expenses (SG&amp;A) of $106.2 million, or 7.2% of net sales, remained flat</w:t>
      </w:r>
    </w:p>
    <w:p>
      <w:pPr>
        <w:ind w:left="760" w:right="20" w:hanging="372"/>
        <w:spacing w:after="0" w:line="244" w:lineRule="auto"/>
        <w:tabs>
          <w:tab w:leader="none" w:pos="7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Consolidated earnings from operations of $162.6 million compared with $80.3 million (which includes $15.0 million of business development expenses related to the TXI acquisition)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40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presents net sales, gross profit (loss), selling, general and administrative expenses and earnings (loss) from operations data for the Corporation and its reportable segments for the six months ended June 30, 2015 and 2014. In each case, the data is stated as a percentage of net sales of the Corporation or the relevant segment, as the case may be.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20"/>
                <w:szCs w:val="20"/>
                <w:color w:val="auto"/>
                <w:w w:val="89"/>
              </w:rPr>
              <w:t>Six Months Ended June 30,</w:t>
            </w:r>
          </w:p>
        </w:tc>
        <w:tc>
          <w:tcPr>
            <w:tcW w:w="12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20"/>
              <w:spacing w:after="0" w:line="223" w:lineRule="exact"/>
              <w:rPr>
                <w:sz w:val="20"/>
                <w:szCs w:val="20"/>
                <w:color w:val="auto"/>
              </w:rPr>
            </w:pPr>
            <w:r>
              <w:rPr>
                <w:rFonts w:ascii="Arial" w:cs="Arial" w:eastAsia="Arial" w:hAnsi="Arial"/>
                <w:sz w:val="20"/>
                <w:szCs w:val="20"/>
                <w:color w:val="auto"/>
              </w:rPr>
              <w:t>2015</w:t>
            </w:r>
          </w:p>
        </w:tc>
        <w:tc>
          <w:tcPr>
            <w:tcW w:w="1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40"/>
              <w:spacing w:after="0" w:line="223" w:lineRule="exact"/>
              <w:rPr>
                <w:sz w:val="20"/>
                <w:szCs w:val="20"/>
                <w:color w:val="auto"/>
              </w:rPr>
            </w:pPr>
            <w:r>
              <w:rPr>
                <w:rFonts w:ascii="Arial" w:cs="Arial" w:eastAsia="Arial" w:hAnsi="Arial"/>
                <w:sz w:val="20"/>
                <w:szCs w:val="20"/>
                <w:color w:val="auto"/>
              </w:rPr>
              <w:t>2014</w:t>
            </w: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421"/>
              <w:spacing w:after="0" w:line="207" w:lineRule="exact"/>
              <w:rPr>
                <w:sz w:val="20"/>
                <w:szCs w:val="20"/>
                <w:color w:val="auto"/>
              </w:rPr>
            </w:pPr>
            <w:r>
              <w:rPr>
                <w:rFonts w:ascii="Arial" w:cs="Arial" w:eastAsia="Arial" w:hAnsi="Arial"/>
                <w:sz w:val="20"/>
                <w:szCs w:val="20"/>
                <w:color w:val="auto"/>
              </w:rPr>
              <w:t>% of</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center"/>
              <w:ind w:right="121"/>
              <w:spacing w:after="0" w:line="207" w:lineRule="exact"/>
              <w:rPr>
                <w:sz w:val="20"/>
                <w:szCs w:val="20"/>
                <w:color w:val="auto"/>
              </w:rPr>
            </w:pPr>
            <w:r>
              <w:rPr>
                <w:rFonts w:ascii="Arial" w:cs="Arial" w:eastAsia="Arial" w:hAnsi="Arial"/>
                <w:sz w:val="20"/>
                <w:szCs w:val="20"/>
                <w:color w:val="auto"/>
                <w:w w:val="94"/>
              </w:rPr>
              <w:t>%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3"/>
          </w:tcPr>
          <w:p>
            <w:pPr>
              <w:jc w:val="right"/>
              <w:ind w:right="800"/>
              <w:spacing w:after="0"/>
              <w:rPr>
                <w:sz w:val="20"/>
                <w:szCs w:val="20"/>
                <w:color w:val="auto"/>
              </w:rPr>
            </w:pPr>
            <w:r>
              <w:rPr>
                <w:rFonts w:ascii="Arial" w:cs="Arial" w:eastAsia="Arial" w:hAnsi="Arial"/>
                <w:sz w:val="20"/>
                <w:szCs w:val="20"/>
                <w:color w:val="auto"/>
              </w:rPr>
              <w:t>Amount</w:t>
            </w:r>
          </w:p>
        </w:tc>
        <w:tc>
          <w:tcPr>
            <w:tcW w:w="1440" w:type="dxa"/>
            <w:vAlign w:val="bottom"/>
            <w:gridSpan w:val="2"/>
          </w:tcPr>
          <w:p>
            <w:pPr>
              <w:jc w:val="right"/>
              <w:ind w:right="560"/>
              <w:spacing w:after="0"/>
              <w:rPr>
                <w:sz w:val="20"/>
                <w:szCs w:val="20"/>
                <w:color w:val="auto"/>
              </w:rPr>
            </w:pPr>
            <w:r>
              <w:rPr>
                <w:rFonts w:ascii="Arial" w:cs="Arial" w:eastAsia="Arial" w:hAnsi="Arial"/>
                <w:sz w:val="20"/>
                <w:szCs w:val="20"/>
                <w:color w:val="auto"/>
                <w:w w:val="99"/>
              </w:rPr>
              <w:t>Net Sales</w:t>
            </w:r>
          </w:p>
        </w:tc>
        <w:tc>
          <w:tcPr>
            <w:tcW w:w="240" w:type="dxa"/>
            <w:vAlign w:val="bottom"/>
          </w:tcPr>
          <w:p>
            <w:pPr>
              <w:spacing w:after="0"/>
              <w:rPr>
                <w:sz w:val="21"/>
                <w:szCs w:val="21"/>
                <w:color w:val="auto"/>
              </w:rPr>
            </w:pPr>
          </w:p>
        </w:tc>
        <w:tc>
          <w:tcPr>
            <w:tcW w:w="1640" w:type="dxa"/>
            <w:vAlign w:val="bottom"/>
            <w:gridSpan w:val="3"/>
          </w:tcPr>
          <w:p>
            <w:pPr>
              <w:jc w:val="right"/>
              <w:ind w:right="840"/>
              <w:spacing w:after="0"/>
              <w:rPr>
                <w:sz w:val="20"/>
                <w:szCs w:val="20"/>
                <w:color w:val="auto"/>
              </w:rPr>
            </w:pPr>
            <w:r>
              <w:rPr>
                <w:rFonts w:ascii="Arial" w:cs="Arial" w:eastAsia="Arial" w:hAnsi="Arial"/>
                <w:sz w:val="20"/>
                <w:szCs w:val="20"/>
                <w:color w:val="auto"/>
              </w:rPr>
              <w:t>Amount</w:t>
            </w:r>
          </w:p>
        </w:tc>
        <w:tc>
          <w:tcPr>
            <w:tcW w:w="1360" w:type="dxa"/>
            <w:vAlign w:val="bottom"/>
            <w:gridSpan w:val="2"/>
          </w:tcPr>
          <w:p>
            <w:pPr>
              <w:jc w:val="center"/>
              <w:ind w:right="360"/>
              <w:spacing w:after="0"/>
              <w:rPr>
                <w:sz w:val="20"/>
                <w:szCs w:val="20"/>
                <w:color w:val="auto"/>
              </w:rPr>
            </w:pPr>
            <w:r>
              <w:rPr>
                <w:rFonts w:ascii="Arial" w:cs="Arial" w:eastAsia="Arial" w:hAnsi="Arial"/>
                <w:sz w:val="20"/>
                <w:szCs w:val="20"/>
                <w:color w:val="auto"/>
                <w:w w:val="87"/>
              </w:rPr>
              <w:t>Net Sales</w:t>
            </w:r>
          </w:p>
        </w:tc>
        <w:tc>
          <w:tcPr>
            <w:tcW w:w="0" w:type="dxa"/>
            <w:vAlign w:val="bottom"/>
          </w:tcPr>
          <w:p>
            <w:pPr>
              <w:spacing w:after="0"/>
              <w:rPr>
                <w:sz w:val="1"/>
                <w:szCs w:val="1"/>
                <w:color w:val="auto"/>
              </w:rPr>
            </w:pPr>
          </w:p>
        </w:tc>
      </w:tr>
      <w:tr>
        <w:trPr>
          <w:trHeight w:val="244"/>
        </w:trPr>
        <w:tc>
          <w:tcPr>
            <w:tcW w:w="43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Net sales:</w:t>
            </w:r>
          </w:p>
        </w:tc>
        <w:tc>
          <w:tcPr>
            <w:tcW w:w="6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320" w:type="dxa"/>
            <w:vAlign w:val="bottom"/>
            <w:tcBorders>
              <w:top w:val="single" w:sz="8" w:color="auto"/>
            </w:tcBorders>
            <w:gridSpan w:val="6"/>
          </w:tcPr>
          <w:p>
            <w:pPr>
              <w:jc w:val="center"/>
              <w:ind w:right="600"/>
              <w:spacing w:after="0"/>
              <w:rPr>
                <w:sz w:val="20"/>
                <w:szCs w:val="20"/>
                <w:color w:val="auto"/>
              </w:rPr>
            </w:pPr>
            <w:r>
              <w:rPr>
                <w:rFonts w:ascii="Arial" w:cs="Arial" w:eastAsia="Arial" w:hAnsi="Arial"/>
                <w:sz w:val="20"/>
                <w:szCs w:val="20"/>
                <w:i w:val="1"/>
                <w:iCs w:val="1"/>
                <w:color w:val="auto"/>
                <w:w w:val="91"/>
              </w:rPr>
              <w:t>(Dollars in Thousands)</w:t>
            </w: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32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Heritage:</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480"/>
              <w:spacing w:after="0"/>
              <w:rPr>
                <w:sz w:val="20"/>
                <w:szCs w:val="20"/>
                <w:color w:val="auto"/>
              </w:rPr>
            </w:pPr>
            <w:r>
              <w:rPr>
                <w:rFonts w:ascii="Arial" w:cs="Arial" w:eastAsia="Arial" w:hAnsi="Arial"/>
                <w:sz w:val="20"/>
                <w:szCs w:val="20"/>
                <w:color w:val="auto"/>
              </w:rPr>
              <w:t>Mid-America Group</w:t>
            </w:r>
          </w:p>
        </w:tc>
        <w:tc>
          <w:tcPr>
            <w:tcW w:w="820" w:type="dxa"/>
            <w:vAlign w:val="bottom"/>
            <w:gridSpan w:val="2"/>
          </w:tcPr>
          <w:p>
            <w:pPr>
              <w:jc w:val="right"/>
              <w:ind w:right="63"/>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366,152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325,236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Southeast Group</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136,253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126,106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FF0FC"/>
            </w:tcBorders>
          </w:tcPr>
          <w:p>
            <w:pPr>
              <w:ind w:left="480"/>
              <w:spacing w:after="0"/>
              <w:rPr>
                <w:sz w:val="20"/>
                <w:szCs w:val="20"/>
                <w:color w:val="auto"/>
              </w:rPr>
            </w:pPr>
            <w:r>
              <w:rPr>
                <w:rFonts w:ascii="Arial" w:cs="Arial" w:eastAsia="Arial" w:hAnsi="Arial"/>
                <w:sz w:val="20"/>
                <w:szCs w:val="20"/>
                <w:color w:val="auto"/>
              </w:rPr>
              <w:t>West Group</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411,135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411,004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line="223" w:lineRule="exact"/>
              <w:rPr>
                <w:sz w:val="20"/>
                <w:szCs w:val="20"/>
                <w:color w:val="auto"/>
              </w:rPr>
            </w:pPr>
            <w:r>
              <w:rPr>
                <w:rFonts w:ascii="Arial" w:cs="Arial" w:eastAsia="Arial" w:hAnsi="Arial"/>
                <w:sz w:val="20"/>
                <w:szCs w:val="20"/>
                <w:color w:val="auto"/>
              </w:rPr>
              <w:t>Total Heritage Aggregates Business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913,540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100.0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862,346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Magnesia Specialties</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119,211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119,269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shd w:val="clear" w:color="auto" w:fill="CFF0FC"/>
          </w:tcPr>
          <w:p>
            <w:pPr>
              <w:spacing w:after="0" w:line="223" w:lineRule="exact"/>
              <w:rPr>
                <w:sz w:val="20"/>
                <w:szCs w:val="20"/>
                <w:color w:val="auto"/>
              </w:rPr>
            </w:pPr>
            <w:r>
              <w:rPr>
                <w:rFonts w:ascii="Arial" w:cs="Arial" w:eastAsia="Arial" w:hAnsi="Arial"/>
                <w:sz w:val="20"/>
                <w:szCs w:val="20"/>
                <w:color w:val="auto"/>
              </w:rPr>
              <w:t>Total Heritage Consolidated</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1,032,751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100.0</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981,615</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line="223" w:lineRule="exact"/>
              <w:rPr>
                <w:sz w:val="20"/>
                <w:szCs w:val="20"/>
                <w:color w:val="auto"/>
              </w:rPr>
            </w:pPr>
            <w:r>
              <w:rPr>
                <w:rFonts w:ascii="Arial" w:cs="Arial" w:eastAsia="Arial" w:hAnsi="Arial"/>
                <w:sz w:val="20"/>
                <w:szCs w:val="20"/>
                <w:color w:val="auto"/>
              </w:rPr>
              <w:t>Acquisitions: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Aggregates Business – Mid-America Group</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968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440"/>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20"/>
                <w:szCs w:val="20"/>
                <w:color w:val="auto"/>
              </w:rPr>
              <w:t>Aggregates Business – West Group</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251,435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3"/>
          </w:tcPr>
          <w:p>
            <w:pPr>
              <w:jc w:val="right"/>
              <w:ind w:right="440"/>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Cement</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196,970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440"/>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FF0FC"/>
            </w:tcBorders>
          </w:tcPr>
          <w:p>
            <w:pPr>
              <w:spacing w:after="0" w:line="223" w:lineRule="exact"/>
              <w:rPr>
                <w:sz w:val="20"/>
                <w:szCs w:val="20"/>
                <w:color w:val="auto"/>
              </w:rPr>
            </w:pPr>
            <w:r>
              <w:rPr>
                <w:rFonts w:ascii="Arial" w:cs="Arial" w:eastAsia="Arial" w:hAnsi="Arial"/>
                <w:sz w:val="20"/>
                <w:szCs w:val="20"/>
                <w:color w:val="auto"/>
              </w:rPr>
              <w:t>Total Acquisitions</w:t>
            </w:r>
          </w:p>
        </w:tc>
        <w:tc>
          <w:tcPr>
            <w:tcW w:w="6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449,373</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100.0</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FF0FC"/>
            </w:tcBorders>
            <w:shd w:val="clear" w:color="auto" w:fill="CFF0FC"/>
          </w:tcPr>
          <w:p>
            <w:pPr>
              <w:spacing w:after="0" w:line="223" w:lineRule="exact"/>
              <w:rPr>
                <w:sz w:val="20"/>
                <w:szCs w:val="20"/>
                <w:color w:val="auto"/>
              </w:rPr>
            </w:pPr>
            <w:r>
              <w:rPr>
                <w:rFonts w:ascii="Arial" w:cs="Arial" w:eastAsia="Arial" w:hAnsi="Arial"/>
                <w:sz w:val="20"/>
                <w:szCs w:val="20"/>
                <w:color w:val="auto"/>
              </w:rPr>
              <w:t>Total</w:t>
            </w:r>
          </w:p>
        </w:tc>
        <w:tc>
          <w:tcPr>
            <w:tcW w:w="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1,482,124</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100.0</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981,615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100.0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Gross profit (loss):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20"/>
                <w:szCs w:val="20"/>
                <w:color w:val="auto"/>
              </w:rPr>
              <w:t>Heritage:</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Mid-America Group</w:t>
            </w:r>
          </w:p>
        </w:tc>
        <w:tc>
          <w:tcPr>
            <w:tcW w:w="820" w:type="dxa"/>
            <w:vAlign w:val="bottom"/>
            <w:gridSpan w:val="2"/>
            <w:shd w:val="clear" w:color="auto" w:fill="CFF0FC"/>
          </w:tcPr>
          <w:p>
            <w:pPr>
              <w:jc w:val="right"/>
              <w:ind w:right="63"/>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87,551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67,046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480"/>
              <w:spacing w:after="0"/>
              <w:rPr>
                <w:sz w:val="20"/>
                <w:szCs w:val="20"/>
                <w:color w:val="auto"/>
              </w:rPr>
            </w:pPr>
            <w:r>
              <w:rPr>
                <w:rFonts w:ascii="Arial" w:cs="Arial" w:eastAsia="Arial" w:hAnsi="Arial"/>
                <w:sz w:val="20"/>
                <w:szCs w:val="20"/>
                <w:color w:val="auto"/>
              </w:rPr>
              <w:t>Southeast Group</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12,593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West Group</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79,227</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52,099</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240"/>
              <w:spacing w:after="0" w:line="223" w:lineRule="exact"/>
              <w:rPr>
                <w:sz w:val="20"/>
                <w:szCs w:val="20"/>
                <w:color w:val="auto"/>
              </w:rPr>
            </w:pPr>
            <w:r>
              <w:rPr>
                <w:rFonts w:ascii="Arial" w:cs="Arial" w:eastAsia="Arial" w:hAnsi="Arial"/>
                <w:sz w:val="20"/>
                <w:szCs w:val="20"/>
                <w:color w:val="auto"/>
              </w:rPr>
              <w:t>Total Heritage Aggregates Business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Arial" w:cs="Arial" w:eastAsia="Arial" w:hAnsi="Arial"/>
                <w:sz w:val="20"/>
                <w:szCs w:val="20"/>
                <w:color w:val="auto"/>
              </w:rPr>
              <w:t>179,371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line="223" w:lineRule="exact"/>
              <w:rPr>
                <w:sz w:val="20"/>
                <w:szCs w:val="20"/>
                <w:color w:val="auto"/>
              </w:rPr>
            </w:pPr>
            <w:r>
              <w:rPr>
                <w:rFonts w:ascii="Arial" w:cs="Arial" w:eastAsia="Arial" w:hAnsi="Arial"/>
                <w:sz w:val="20"/>
                <w:szCs w:val="20"/>
                <w:color w:val="auto"/>
              </w:rPr>
              <w:t>19.6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line="223" w:lineRule="exact"/>
              <w:rPr>
                <w:sz w:val="20"/>
                <w:szCs w:val="20"/>
                <w:color w:val="auto"/>
              </w:rPr>
            </w:pPr>
            <w:r>
              <w:rPr>
                <w:rFonts w:ascii="Arial" w:cs="Arial" w:eastAsia="Arial" w:hAnsi="Arial"/>
                <w:sz w:val="20"/>
                <w:szCs w:val="20"/>
                <w:color w:val="auto"/>
              </w:rPr>
              <w:t>119,332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line="223" w:lineRule="exact"/>
              <w:rPr>
                <w:sz w:val="20"/>
                <w:szCs w:val="20"/>
                <w:color w:val="auto"/>
              </w:rPr>
            </w:pPr>
            <w:r>
              <w:rPr>
                <w:rFonts w:ascii="Arial" w:cs="Arial" w:eastAsia="Arial" w:hAnsi="Arial"/>
                <w:sz w:val="20"/>
                <w:szCs w:val="20"/>
                <w:color w:val="auto"/>
              </w:rPr>
              <w:t>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Magnesia Specialties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41,402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42,149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20"/>
                <w:szCs w:val="20"/>
                <w:color w:val="auto"/>
              </w:rPr>
              <w:t>Corporate</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20"/>
                <w:szCs w:val="20"/>
                <w:color w:val="auto"/>
              </w:rPr>
              <w:t>(8,298)</w:t>
            </w:r>
          </w:p>
        </w:tc>
        <w:tc>
          <w:tcPr>
            <w:tcW w:w="20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20"/>
                <w:szCs w:val="20"/>
                <w:color w:val="auto"/>
              </w:rPr>
              <w:t>(43)</w:t>
            </w:r>
          </w:p>
        </w:tc>
        <w:tc>
          <w:tcPr>
            <w:tcW w:w="2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line="223" w:lineRule="exact"/>
              <w:rPr>
                <w:sz w:val="20"/>
                <w:szCs w:val="20"/>
                <w:color w:val="auto"/>
              </w:rPr>
            </w:pPr>
            <w:r>
              <w:rPr>
                <w:rFonts w:ascii="Arial" w:cs="Arial" w:eastAsia="Arial" w:hAnsi="Arial"/>
                <w:sz w:val="20"/>
                <w:szCs w:val="20"/>
                <w:color w:val="auto"/>
              </w:rPr>
              <w:t>Total Heritage Consolidated</w:t>
            </w:r>
          </w:p>
        </w:tc>
        <w:tc>
          <w:tcPr>
            <w:tcW w:w="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212,475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20.6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161,438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16.4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line="223" w:lineRule="exact"/>
              <w:rPr>
                <w:sz w:val="20"/>
                <w:szCs w:val="20"/>
                <w:color w:val="auto"/>
              </w:rPr>
            </w:pPr>
            <w:r>
              <w:rPr>
                <w:rFonts w:ascii="Arial" w:cs="Arial" w:eastAsia="Arial" w:hAnsi="Arial"/>
                <w:sz w:val="20"/>
                <w:szCs w:val="20"/>
                <w:color w:val="auto"/>
              </w:rPr>
              <w:t>Acquisitions: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Aggregates Business – Mid-America Group</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(230)</w:t>
            </w: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(23.8)</w:t>
            </w:r>
          </w:p>
        </w:tc>
        <w:tc>
          <w:tcPr>
            <w:tcW w:w="24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440"/>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20"/>
                <w:szCs w:val="20"/>
                <w:color w:val="auto"/>
              </w:rPr>
              <w:t>Aggregates Business – West Group</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14,089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5.6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3"/>
          </w:tcPr>
          <w:p>
            <w:pPr>
              <w:jc w:val="right"/>
              <w:ind w:right="440"/>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Cement</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49,400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440"/>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20"/>
                <w:szCs w:val="20"/>
                <w:color w:val="auto"/>
              </w:rPr>
              <w:t>Corporate</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20"/>
                <w:szCs w:val="20"/>
                <w:color w:val="auto"/>
              </w:rPr>
              <w:t>(1,320)</w:t>
            </w:r>
          </w:p>
        </w:tc>
        <w:tc>
          <w:tcPr>
            <w:tcW w:w="20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1640" w:type="dxa"/>
            <w:vAlign w:val="bottom"/>
            <w:gridSpan w:val="3"/>
          </w:tcPr>
          <w:p>
            <w:pPr>
              <w:jc w:val="right"/>
              <w:ind w:right="440"/>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line="223" w:lineRule="exact"/>
              <w:rPr>
                <w:sz w:val="20"/>
                <w:szCs w:val="20"/>
                <w:color w:val="auto"/>
              </w:rPr>
            </w:pPr>
            <w:r>
              <w:rPr>
                <w:rFonts w:ascii="Arial" w:cs="Arial" w:eastAsia="Arial" w:hAnsi="Arial"/>
                <w:sz w:val="20"/>
                <w:szCs w:val="20"/>
                <w:color w:val="auto"/>
              </w:rPr>
              <w:t>Total Acquisitions</w:t>
            </w:r>
          </w:p>
        </w:tc>
        <w:tc>
          <w:tcPr>
            <w:tcW w:w="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61,939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13.8</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line="223" w:lineRule="exact"/>
              <w:rPr>
                <w:sz w:val="20"/>
                <w:szCs w:val="20"/>
                <w:color w:val="auto"/>
              </w:rPr>
            </w:pPr>
            <w:r>
              <w:rPr>
                <w:rFonts w:ascii="Arial" w:cs="Arial" w:eastAsia="Arial" w:hAnsi="Arial"/>
                <w:sz w:val="20"/>
                <w:szCs w:val="20"/>
                <w:color w:val="auto"/>
              </w:rPr>
              <w:t>Total</w:t>
            </w:r>
          </w:p>
        </w:tc>
        <w:tc>
          <w:tcPr>
            <w:tcW w:w="600" w:type="dxa"/>
            <w:vAlign w:val="bottom"/>
          </w:tcPr>
          <w:p>
            <w:pPr>
              <w:spacing w:after="0"/>
              <w:rPr>
                <w:sz w:val="19"/>
                <w:szCs w:val="19"/>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274,414</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18.5</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161,438</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41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20"/>
                <w:szCs w:val="20"/>
                <w:color w:val="auto"/>
                <w:w w:val="89"/>
              </w:rPr>
              <w:t>Six Months Ended June 30,</w:t>
            </w:r>
          </w:p>
        </w:tc>
        <w:tc>
          <w:tcPr>
            <w:tcW w:w="12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20"/>
              <w:spacing w:after="0" w:line="223" w:lineRule="exact"/>
              <w:rPr>
                <w:sz w:val="20"/>
                <w:szCs w:val="20"/>
                <w:color w:val="auto"/>
              </w:rPr>
            </w:pPr>
            <w:r>
              <w:rPr>
                <w:rFonts w:ascii="Arial" w:cs="Arial" w:eastAsia="Arial" w:hAnsi="Arial"/>
                <w:sz w:val="20"/>
                <w:szCs w:val="20"/>
                <w:color w:val="auto"/>
              </w:rPr>
              <w:t>2015</w:t>
            </w:r>
          </w:p>
        </w:tc>
        <w:tc>
          <w:tcPr>
            <w:tcW w:w="1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40"/>
              <w:spacing w:after="0" w:line="223" w:lineRule="exact"/>
              <w:rPr>
                <w:sz w:val="20"/>
                <w:szCs w:val="20"/>
                <w:color w:val="auto"/>
              </w:rPr>
            </w:pPr>
            <w:r>
              <w:rPr>
                <w:rFonts w:ascii="Arial" w:cs="Arial" w:eastAsia="Arial" w:hAnsi="Arial"/>
                <w:sz w:val="20"/>
                <w:szCs w:val="20"/>
                <w:color w:val="auto"/>
              </w:rPr>
              <w:t>2014</w:t>
            </w: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421"/>
              <w:spacing w:after="0" w:line="207" w:lineRule="exact"/>
              <w:rPr>
                <w:sz w:val="20"/>
                <w:szCs w:val="20"/>
                <w:color w:val="auto"/>
              </w:rPr>
            </w:pPr>
            <w:r>
              <w:rPr>
                <w:rFonts w:ascii="Arial" w:cs="Arial" w:eastAsia="Arial" w:hAnsi="Arial"/>
                <w:sz w:val="20"/>
                <w:szCs w:val="20"/>
                <w:color w:val="auto"/>
              </w:rPr>
              <w:t>% of</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center"/>
              <w:ind w:right="121"/>
              <w:spacing w:after="0" w:line="207" w:lineRule="exact"/>
              <w:rPr>
                <w:sz w:val="20"/>
                <w:szCs w:val="20"/>
                <w:color w:val="auto"/>
              </w:rPr>
            </w:pPr>
            <w:r>
              <w:rPr>
                <w:rFonts w:ascii="Arial" w:cs="Arial" w:eastAsia="Arial" w:hAnsi="Arial"/>
                <w:sz w:val="20"/>
                <w:szCs w:val="20"/>
                <w:color w:val="auto"/>
                <w:w w:val="94"/>
              </w:rPr>
              <w:t>%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3"/>
          </w:tcPr>
          <w:p>
            <w:pPr>
              <w:jc w:val="right"/>
              <w:ind w:right="800"/>
              <w:spacing w:after="0"/>
              <w:rPr>
                <w:sz w:val="20"/>
                <w:szCs w:val="20"/>
                <w:color w:val="auto"/>
              </w:rPr>
            </w:pPr>
            <w:r>
              <w:rPr>
                <w:rFonts w:ascii="Arial" w:cs="Arial" w:eastAsia="Arial" w:hAnsi="Arial"/>
                <w:sz w:val="20"/>
                <w:szCs w:val="20"/>
                <w:color w:val="auto"/>
              </w:rPr>
              <w:t>Amount</w:t>
            </w:r>
          </w:p>
        </w:tc>
        <w:tc>
          <w:tcPr>
            <w:tcW w:w="1440" w:type="dxa"/>
            <w:vAlign w:val="bottom"/>
            <w:gridSpan w:val="2"/>
          </w:tcPr>
          <w:p>
            <w:pPr>
              <w:jc w:val="right"/>
              <w:ind w:right="560"/>
              <w:spacing w:after="0"/>
              <w:rPr>
                <w:sz w:val="20"/>
                <w:szCs w:val="20"/>
                <w:color w:val="auto"/>
              </w:rPr>
            </w:pPr>
            <w:r>
              <w:rPr>
                <w:rFonts w:ascii="Arial" w:cs="Arial" w:eastAsia="Arial" w:hAnsi="Arial"/>
                <w:sz w:val="20"/>
                <w:szCs w:val="20"/>
                <w:color w:val="auto"/>
                <w:w w:val="99"/>
              </w:rPr>
              <w:t>Net Sales</w:t>
            </w:r>
          </w:p>
        </w:tc>
        <w:tc>
          <w:tcPr>
            <w:tcW w:w="240" w:type="dxa"/>
            <w:vAlign w:val="bottom"/>
          </w:tcPr>
          <w:p>
            <w:pPr>
              <w:spacing w:after="0"/>
              <w:rPr>
                <w:sz w:val="21"/>
                <w:szCs w:val="21"/>
                <w:color w:val="auto"/>
              </w:rPr>
            </w:pPr>
          </w:p>
        </w:tc>
        <w:tc>
          <w:tcPr>
            <w:tcW w:w="1640" w:type="dxa"/>
            <w:vAlign w:val="bottom"/>
            <w:gridSpan w:val="3"/>
          </w:tcPr>
          <w:p>
            <w:pPr>
              <w:jc w:val="right"/>
              <w:ind w:right="840"/>
              <w:spacing w:after="0"/>
              <w:rPr>
                <w:sz w:val="20"/>
                <w:szCs w:val="20"/>
                <w:color w:val="auto"/>
              </w:rPr>
            </w:pPr>
            <w:r>
              <w:rPr>
                <w:rFonts w:ascii="Arial" w:cs="Arial" w:eastAsia="Arial" w:hAnsi="Arial"/>
                <w:sz w:val="20"/>
                <w:szCs w:val="20"/>
                <w:color w:val="auto"/>
              </w:rPr>
              <w:t>Amount</w:t>
            </w:r>
          </w:p>
        </w:tc>
        <w:tc>
          <w:tcPr>
            <w:tcW w:w="1360" w:type="dxa"/>
            <w:vAlign w:val="bottom"/>
            <w:gridSpan w:val="2"/>
          </w:tcPr>
          <w:p>
            <w:pPr>
              <w:jc w:val="center"/>
              <w:ind w:right="360"/>
              <w:spacing w:after="0"/>
              <w:rPr>
                <w:sz w:val="20"/>
                <w:szCs w:val="20"/>
                <w:color w:val="auto"/>
              </w:rPr>
            </w:pPr>
            <w:r>
              <w:rPr>
                <w:rFonts w:ascii="Arial" w:cs="Arial" w:eastAsia="Arial" w:hAnsi="Arial"/>
                <w:sz w:val="20"/>
                <w:szCs w:val="20"/>
                <w:color w:val="auto"/>
                <w:w w:val="87"/>
              </w:rPr>
              <w:t>Net Sales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320" w:type="dxa"/>
            <w:vAlign w:val="bottom"/>
            <w:tcBorders>
              <w:top w:val="single" w:sz="8" w:color="auto"/>
            </w:tcBorders>
            <w:gridSpan w:val="6"/>
          </w:tcPr>
          <w:p>
            <w:pPr>
              <w:jc w:val="center"/>
              <w:ind w:right="600"/>
              <w:spacing w:after="0" w:line="223" w:lineRule="exact"/>
              <w:rPr>
                <w:sz w:val="20"/>
                <w:szCs w:val="20"/>
                <w:color w:val="auto"/>
              </w:rPr>
            </w:pPr>
            <w:r>
              <w:rPr>
                <w:rFonts w:ascii="Arial" w:cs="Arial" w:eastAsia="Arial" w:hAnsi="Arial"/>
                <w:sz w:val="20"/>
                <w:szCs w:val="20"/>
                <w:i w:val="1"/>
                <w:iCs w:val="1"/>
                <w:color w:val="auto"/>
                <w:w w:val="91"/>
              </w:rPr>
              <w:t>(Dollars in Thousands)</w:t>
            </w: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20"/>
                <w:szCs w:val="20"/>
                <w:color w:val="auto"/>
              </w:rPr>
              <w:t>Heritage:</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Mid-America Group</w:t>
            </w:r>
          </w:p>
        </w:tc>
        <w:tc>
          <w:tcPr>
            <w:tcW w:w="820" w:type="dxa"/>
            <w:vAlign w:val="bottom"/>
            <w:gridSpan w:val="2"/>
            <w:shd w:val="clear" w:color="auto" w:fill="CFF0FC"/>
          </w:tcPr>
          <w:p>
            <w:pPr>
              <w:jc w:val="right"/>
              <w:ind w:right="63"/>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26,249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26,126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480"/>
              <w:spacing w:after="0"/>
              <w:rPr>
                <w:sz w:val="20"/>
                <w:szCs w:val="20"/>
                <w:color w:val="auto"/>
              </w:rPr>
            </w:pPr>
            <w:r>
              <w:rPr>
                <w:rFonts w:ascii="Arial" w:cs="Arial" w:eastAsia="Arial" w:hAnsi="Arial"/>
                <w:sz w:val="20"/>
                <w:szCs w:val="20"/>
                <w:color w:val="auto"/>
              </w:rPr>
              <w:t>Southeast Group</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8,792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8,785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West Group</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22,223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21,680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240"/>
              <w:spacing w:after="0" w:line="223" w:lineRule="exact"/>
              <w:rPr>
                <w:sz w:val="20"/>
                <w:szCs w:val="20"/>
                <w:color w:val="auto"/>
              </w:rPr>
            </w:pPr>
            <w:r>
              <w:rPr>
                <w:rFonts w:ascii="Arial" w:cs="Arial" w:eastAsia="Arial" w:hAnsi="Arial"/>
                <w:sz w:val="20"/>
                <w:szCs w:val="20"/>
                <w:color w:val="auto"/>
              </w:rPr>
              <w:t>Total Heritage Aggregates Business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Arial" w:cs="Arial" w:eastAsia="Arial" w:hAnsi="Arial"/>
                <w:sz w:val="20"/>
                <w:szCs w:val="20"/>
                <w:color w:val="auto"/>
              </w:rPr>
              <w:t>57,264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line="223" w:lineRule="exact"/>
              <w:rPr>
                <w:sz w:val="20"/>
                <w:szCs w:val="20"/>
                <w:color w:val="auto"/>
              </w:rPr>
            </w:pPr>
            <w:r>
              <w:rPr>
                <w:rFonts w:ascii="Arial" w:cs="Arial" w:eastAsia="Arial" w:hAnsi="Arial"/>
                <w:sz w:val="20"/>
                <w:szCs w:val="20"/>
                <w:color w:val="auto"/>
              </w:rPr>
              <w:t>6.3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line="223" w:lineRule="exact"/>
              <w:rPr>
                <w:sz w:val="20"/>
                <w:szCs w:val="20"/>
                <w:color w:val="auto"/>
              </w:rPr>
            </w:pPr>
            <w:r>
              <w:rPr>
                <w:rFonts w:ascii="Arial" w:cs="Arial" w:eastAsia="Arial" w:hAnsi="Arial"/>
                <w:sz w:val="20"/>
                <w:szCs w:val="20"/>
                <w:color w:val="auto"/>
              </w:rPr>
              <w:t>56,591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line="223" w:lineRule="exact"/>
              <w:rPr>
                <w:sz w:val="20"/>
                <w:szCs w:val="20"/>
                <w:color w:val="auto"/>
              </w:rPr>
            </w:pPr>
            <w:r>
              <w:rPr>
                <w:rFonts w:ascii="Arial" w:cs="Arial" w:eastAsia="Arial" w:hAnsi="Arial"/>
                <w:sz w:val="20"/>
                <w:szCs w:val="20"/>
                <w:color w:val="auto"/>
              </w:rPr>
              <w:t>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Magnesia Specialties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4,757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4,914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20"/>
                <w:szCs w:val="20"/>
                <w:color w:val="auto"/>
              </w:rPr>
              <w:t>Corporate</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18,663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9,308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line="223" w:lineRule="exact"/>
              <w:rPr>
                <w:sz w:val="20"/>
                <w:szCs w:val="20"/>
                <w:color w:val="auto"/>
              </w:rPr>
            </w:pPr>
            <w:r>
              <w:rPr>
                <w:rFonts w:ascii="Arial" w:cs="Arial" w:eastAsia="Arial" w:hAnsi="Arial"/>
                <w:sz w:val="20"/>
                <w:szCs w:val="20"/>
                <w:color w:val="auto"/>
              </w:rPr>
              <w:t>Total Heritage Consolidated</w:t>
            </w:r>
          </w:p>
        </w:tc>
        <w:tc>
          <w:tcPr>
            <w:tcW w:w="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80,684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7.8</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70,813</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7.2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line="223" w:lineRule="exact"/>
              <w:rPr>
                <w:sz w:val="20"/>
                <w:szCs w:val="20"/>
                <w:color w:val="auto"/>
              </w:rPr>
            </w:pPr>
            <w:r>
              <w:rPr>
                <w:rFonts w:ascii="Arial" w:cs="Arial" w:eastAsia="Arial" w:hAnsi="Arial"/>
                <w:sz w:val="20"/>
                <w:szCs w:val="20"/>
                <w:color w:val="auto"/>
              </w:rPr>
              <w:t>Acquisitions: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Aggregates Business – West Group</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9,541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440"/>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20"/>
                <w:szCs w:val="20"/>
                <w:color w:val="auto"/>
              </w:rPr>
              <w:t>Cement</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13,322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6.8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3"/>
          </w:tcPr>
          <w:p>
            <w:pPr>
              <w:jc w:val="right"/>
              <w:ind w:right="440"/>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Corporate</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2,686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440"/>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FF0FC"/>
            </w:tcBorders>
          </w:tcPr>
          <w:p>
            <w:pPr>
              <w:spacing w:after="0" w:line="223" w:lineRule="exact"/>
              <w:rPr>
                <w:sz w:val="20"/>
                <w:szCs w:val="20"/>
                <w:color w:val="auto"/>
              </w:rPr>
            </w:pPr>
            <w:r>
              <w:rPr>
                <w:rFonts w:ascii="Arial" w:cs="Arial" w:eastAsia="Arial" w:hAnsi="Arial"/>
                <w:sz w:val="20"/>
                <w:szCs w:val="20"/>
                <w:color w:val="auto"/>
              </w:rPr>
              <w:t>Total Acquisitions</w:t>
            </w:r>
          </w:p>
        </w:tc>
        <w:tc>
          <w:tcPr>
            <w:tcW w:w="6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25,549</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5.7</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FF0FC"/>
            </w:tcBorders>
            <w:shd w:val="clear" w:color="auto" w:fill="CFF0FC"/>
          </w:tcPr>
          <w:p>
            <w:pPr>
              <w:spacing w:after="0" w:line="223" w:lineRule="exact"/>
              <w:rPr>
                <w:sz w:val="20"/>
                <w:szCs w:val="20"/>
                <w:color w:val="auto"/>
              </w:rPr>
            </w:pPr>
            <w:r>
              <w:rPr>
                <w:rFonts w:ascii="Arial" w:cs="Arial" w:eastAsia="Arial" w:hAnsi="Arial"/>
                <w:sz w:val="20"/>
                <w:szCs w:val="20"/>
                <w:color w:val="auto"/>
              </w:rPr>
              <w:t>Total</w:t>
            </w:r>
          </w:p>
        </w:tc>
        <w:tc>
          <w:tcPr>
            <w:tcW w:w="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106,233</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7.2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70,813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7.2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Earnings (Loss) from operations: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20"/>
                <w:szCs w:val="20"/>
                <w:color w:val="auto"/>
              </w:rPr>
              <w:t>Heritage:</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Mid-America Group</w:t>
            </w:r>
          </w:p>
        </w:tc>
        <w:tc>
          <w:tcPr>
            <w:tcW w:w="820" w:type="dxa"/>
            <w:vAlign w:val="bottom"/>
            <w:gridSpan w:val="2"/>
            <w:shd w:val="clear" w:color="auto" w:fill="CFF0FC"/>
          </w:tcPr>
          <w:p>
            <w:pPr>
              <w:jc w:val="right"/>
              <w:ind w:right="63"/>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62,922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45,517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480"/>
              <w:spacing w:after="0"/>
              <w:rPr>
                <w:sz w:val="20"/>
                <w:szCs w:val="20"/>
                <w:color w:val="auto"/>
              </w:rPr>
            </w:pPr>
            <w:r>
              <w:rPr>
                <w:rFonts w:ascii="Arial" w:cs="Arial" w:eastAsia="Arial" w:hAnsi="Arial"/>
                <w:sz w:val="20"/>
                <w:szCs w:val="20"/>
                <w:color w:val="auto"/>
              </w:rPr>
              <w:t>Southeast Group</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3,269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20"/>
                <w:szCs w:val="20"/>
                <w:color w:val="auto"/>
              </w:rPr>
              <w:t>(7,413)</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West Group</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58,801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32,954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240"/>
              <w:spacing w:after="0" w:line="223" w:lineRule="exact"/>
              <w:rPr>
                <w:sz w:val="20"/>
                <w:szCs w:val="20"/>
                <w:color w:val="auto"/>
              </w:rPr>
            </w:pPr>
            <w:r>
              <w:rPr>
                <w:rFonts w:ascii="Arial" w:cs="Arial" w:eastAsia="Arial" w:hAnsi="Arial"/>
                <w:sz w:val="20"/>
                <w:szCs w:val="20"/>
                <w:color w:val="auto"/>
              </w:rPr>
              <w:t>Total Heritage Aggregates Business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Arial" w:cs="Arial" w:eastAsia="Arial" w:hAnsi="Arial"/>
                <w:sz w:val="20"/>
                <w:szCs w:val="20"/>
                <w:color w:val="auto"/>
              </w:rPr>
              <w:t>124,992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line="223" w:lineRule="exact"/>
              <w:rPr>
                <w:sz w:val="20"/>
                <w:szCs w:val="20"/>
                <w:color w:val="auto"/>
              </w:rPr>
            </w:pPr>
            <w:r>
              <w:rPr>
                <w:rFonts w:ascii="Arial" w:cs="Arial" w:eastAsia="Arial" w:hAnsi="Arial"/>
                <w:sz w:val="20"/>
                <w:szCs w:val="20"/>
                <w:color w:val="auto"/>
              </w:rPr>
              <w:t>13.7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line="223" w:lineRule="exact"/>
              <w:rPr>
                <w:sz w:val="20"/>
                <w:szCs w:val="20"/>
                <w:color w:val="auto"/>
              </w:rPr>
            </w:pPr>
            <w:r>
              <w:rPr>
                <w:rFonts w:ascii="Arial" w:cs="Arial" w:eastAsia="Arial" w:hAnsi="Arial"/>
                <w:sz w:val="20"/>
                <w:szCs w:val="20"/>
                <w:color w:val="auto"/>
              </w:rPr>
              <w:t>71,058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line="223" w:lineRule="exact"/>
              <w:rPr>
                <w:sz w:val="20"/>
                <w:szCs w:val="20"/>
                <w:color w:val="auto"/>
              </w:rPr>
            </w:pPr>
            <w:r>
              <w:rPr>
                <w:rFonts w:ascii="Arial" w:cs="Arial" w:eastAsia="Arial" w:hAnsi="Arial"/>
                <w:sz w:val="20"/>
                <w:szCs w:val="20"/>
                <w:color w:val="auto"/>
              </w:rPr>
              <w:t>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Magnesia Specialties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36,541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37,280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20"/>
                <w:szCs w:val="20"/>
                <w:color w:val="auto"/>
              </w:rPr>
              <w:t>Corporate</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20"/>
                <w:szCs w:val="20"/>
                <w:color w:val="auto"/>
              </w:rPr>
              <w:t>(33,125)</w:t>
            </w:r>
          </w:p>
        </w:tc>
        <w:tc>
          <w:tcPr>
            <w:tcW w:w="20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20"/>
                <w:szCs w:val="20"/>
                <w:color w:val="auto"/>
              </w:rPr>
              <w:t>(27,994)</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line="223" w:lineRule="exact"/>
              <w:rPr>
                <w:sz w:val="20"/>
                <w:szCs w:val="20"/>
                <w:color w:val="auto"/>
              </w:rPr>
            </w:pPr>
            <w:r>
              <w:rPr>
                <w:rFonts w:ascii="Arial" w:cs="Arial" w:eastAsia="Arial" w:hAnsi="Arial"/>
                <w:sz w:val="20"/>
                <w:szCs w:val="20"/>
                <w:color w:val="auto"/>
              </w:rPr>
              <w:t>Total Heritage Consolidated</w:t>
            </w:r>
          </w:p>
        </w:tc>
        <w:tc>
          <w:tcPr>
            <w:tcW w:w="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128,408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12.4</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80,344</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8.2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line="223" w:lineRule="exact"/>
              <w:rPr>
                <w:sz w:val="20"/>
                <w:szCs w:val="20"/>
                <w:color w:val="auto"/>
              </w:rPr>
            </w:pPr>
            <w:r>
              <w:rPr>
                <w:rFonts w:ascii="Arial" w:cs="Arial" w:eastAsia="Arial" w:hAnsi="Arial"/>
                <w:sz w:val="20"/>
                <w:szCs w:val="20"/>
                <w:color w:val="auto"/>
              </w:rPr>
              <w:t>Acquisitions: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Aggregates Business – Mid-America Group</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(231)</w:t>
            </w: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(23.9)</w:t>
            </w:r>
          </w:p>
        </w:tc>
        <w:tc>
          <w:tcPr>
            <w:tcW w:w="24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440"/>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20"/>
                <w:szCs w:val="20"/>
                <w:color w:val="auto"/>
              </w:rPr>
              <w:t>Aggregates Business – West Group</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4,875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3"/>
          </w:tcPr>
          <w:p>
            <w:pPr>
              <w:jc w:val="right"/>
              <w:ind w:right="440"/>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Cement</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34,697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440"/>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20"/>
                <w:szCs w:val="20"/>
                <w:color w:val="auto"/>
              </w:rPr>
              <w:t>Corporate</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20"/>
                <w:szCs w:val="20"/>
                <w:color w:val="auto"/>
              </w:rPr>
              <w:t>(5,194)</w:t>
            </w:r>
          </w:p>
        </w:tc>
        <w:tc>
          <w:tcPr>
            <w:tcW w:w="20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1640" w:type="dxa"/>
            <w:vAlign w:val="bottom"/>
            <w:gridSpan w:val="3"/>
          </w:tcPr>
          <w:p>
            <w:pPr>
              <w:jc w:val="right"/>
              <w:ind w:right="440"/>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line="223" w:lineRule="exact"/>
              <w:rPr>
                <w:sz w:val="20"/>
                <w:szCs w:val="20"/>
                <w:color w:val="auto"/>
              </w:rPr>
            </w:pPr>
            <w:r>
              <w:rPr>
                <w:rFonts w:ascii="Arial" w:cs="Arial" w:eastAsia="Arial" w:hAnsi="Arial"/>
                <w:sz w:val="20"/>
                <w:szCs w:val="20"/>
                <w:color w:val="auto"/>
              </w:rPr>
              <w:t>Total Acquisitions</w:t>
            </w:r>
          </w:p>
        </w:tc>
        <w:tc>
          <w:tcPr>
            <w:tcW w:w="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34,147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7.6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line="223" w:lineRule="exact"/>
              <w:rPr>
                <w:sz w:val="20"/>
                <w:szCs w:val="20"/>
                <w:color w:val="auto"/>
              </w:rPr>
            </w:pPr>
            <w:r>
              <w:rPr>
                <w:rFonts w:ascii="Arial" w:cs="Arial" w:eastAsia="Arial" w:hAnsi="Arial"/>
                <w:sz w:val="20"/>
                <w:szCs w:val="20"/>
                <w:color w:val="auto"/>
              </w:rPr>
              <w:t>Total</w:t>
            </w:r>
          </w:p>
        </w:tc>
        <w:tc>
          <w:tcPr>
            <w:tcW w:w="600" w:type="dxa"/>
            <w:vAlign w:val="bottom"/>
          </w:tcPr>
          <w:p>
            <w:pPr>
              <w:spacing w:after="0"/>
              <w:rPr>
                <w:sz w:val="19"/>
                <w:szCs w:val="19"/>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162,555</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11.0</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80,344</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42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Net sales by product line for the Aggregates business are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40" w:type="dxa"/>
            <w:vAlign w:val="bottom"/>
            <w:gridSpan w:val="8"/>
          </w:tcPr>
          <w:p>
            <w:pPr>
              <w:jc w:val="center"/>
              <w:ind w:right="260"/>
              <w:spacing w:after="0"/>
              <w:rPr>
                <w:sz w:val="20"/>
                <w:szCs w:val="20"/>
                <w:color w:val="auto"/>
              </w:rPr>
            </w:pPr>
            <w:r>
              <w:rPr>
                <w:rFonts w:ascii="Arial" w:cs="Arial" w:eastAsia="Arial" w:hAnsi="Arial"/>
                <w:sz w:val="20"/>
                <w:szCs w:val="20"/>
                <w:color w:val="auto"/>
                <w:w w:val="91"/>
              </w:rPr>
              <w:t>Six Months Ended</w:t>
            </w:r>
          </w:p>
        </w:tc>
      </w:tr>
      <w:tr>
        <w:trPr>
          <w:trHeight w:val="340"/>
        </w:trPr>
        <w:tc>
          <w:tcPr>
            <w:tcW w:w="7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color w:val="auto"/>
                <w:w w:val="85"/>
              </w:rPr>
              <w:t>June 30,</w:t>
            </w: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7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2015</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2014</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7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7"/>
          </w:tcPr>
          <w:p>
            <w:pPr>
              <w:jc w:val="center"/>
              <w:ind w:right="140"/>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0"/>
                <w:szCs w:val="20"/>
                <w:color w:val="auto"/>
              </w:rPr>
            </w:pPr>
          </w:p>
        </w:tc>
      </w:tr>
      <w:tr>
        <w:trPr>
          <w:trHeight w:val="243"/>
        </w:trPr>
        <w:tc>
          <w:tcPr>
            <w:tcW w:w="76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Net sales:</w:t>
            </w:r>
          </w:p>
        </w:tc>
        <w:tc>
          <w:tcPr>
            <w:tcW w:w="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7640" w:type="dxa"/>
            <w:vAlign w:val="bottom"/>
          </w:tcPr>
          <w:p>
            <w:pPr>
              <w:spacing w:after="0"/>
              <w:rPr>
                <w:sz w:val="20"/>
                <w:szCs w:val="20"/>
                <w:color w:val="auto"/>
              </w:rPr>
            </w:pPr>
            <w:r>
              <w:rPr>
                <w:rFonts w:ascii="Arial" w:cs="Arial" w:eastAsia="Arial" w:hAnsi="Arial"/>
                <w:sz w:val="20"/>
                <w:szCs w:val="20"/>
                <w:color w:val="auto"/>
              </w:rPr>
              <w:t>Heritage:</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76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Aggregates</w:t>
            </w:r>
          </w:p>
        </w:tc>
        <w:tc>
          <w:tcPr>
            <w:tcW w:w="44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745,744</w:t>
            </w:r>
          </w:p>
        </w:tc>
        <w:tc>
          <w:tcPr>
            <w:tcW w:w="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685,858</w:t>
            </w:r>
          </w:p>
        </w:tc>
        <w:tc>
          <w:tcPr>
            <w:tcW w:w="120" w:type="dxa"/>
            <w:vAlign w:val="bottom"/>
            <w:shd w:val="clear" w:color="auto" w:fill="CFF0FC"/>
          </w:tcPr>
          <w:p>
            <w:pPr>
              <w:spacing w:after="0"/>
              <w:rPr>
                <w:sz w:val="21"/>
                <w:szCs w:val="21"/>
                <w:color w:val="auto"/>
              </w:rPr>
            </w:pPr>
          </w:p>
        </w:tc>
      </w:tr>
      <w:tr>
        <w:trPr>
          <w:trHeight w:val="243"/>
        </w:trPr>
        <w:tc>
          <w:tcPr>
            <w:tcW w:w="7640" w:type="dxa"/>
            <w:vAlign w:val="bottom"/>
          </w:tcPr>
          <w:p>
            <w:pPr>
              <w:ind w:left="260"/>
              <w:spacing w:after="0"/>
              <w:rPr>
                <w:sz w:val="20"/>
                <w:szCs w:val="20"/>
                <w:color w:val="auto"/>
              </w:rPr>
            </w:pPr>
            <w:r>
              <w:rPr>
                <w:rFonts w:ascii="Arial" w:cs="Arial" w:eastAsia="Arial" w:hAnsi="Arial"/>
                <w:sz w:val="20"/>
                <w:szCs w:val="20"/>
                <w:color w:val="auto"/>
              </w:rPr>
              <w:t>Asphalt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28,541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20"/>
                <w:szCs w:val="20"/>
                <w:color w:val="auto"/>
              </w:rPr>
              <w:t>33,125</w:t>
            </w:r>
          </w:p>
        </w:tc>
        <w:tc>
          <w:tcPr>
            <w:tcW w:w="120" w:type="dxa"/>
            <w:vAlign w:val="bottom"/>
          </w:tcPr>
          <w:p>
            <w:pPr>
              <w:spacing w:after="0"/>
              <w:rPr>
                <w:sz w:val="21"/>
                <w:szCs w:val="21"/>
                <w:color w:val="auto"/>
              </w:rPr>
            </w:pPr>
          </w:p>
        </w:tc>
      </w:tr>
      <w:tr>
        <w:trPr>
          <w:trHeight w:val="243"/>
        </w:trPr>
        <w:tc>
          <w:tcPr>
            <w:tcW w:w="76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Ready Mixed Concrete</w:t>
            </w:r>
          </w:p>
        </w:tc>
        <w:tc>
          <w:tcPr>
            <w:tcW w:w="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93,005</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90,388</w:t>
            </w:r>
          </w:p>
        </w:tc>
        <w:tc>
          <w:tcPr>
            <w:tcW w:w="120" w:type="dxa"/>
            <w:vAlign w:val="bottom"/>
            <w:shd w:val="clear" w:color="auto" w:fill="CFF0FC"/>
          </w:tcPr>
          <w:p>
            <w:pPr>
              <w:spacing w:after="0"/>
              <w:rPr>
                <w:sz w:val="21"/>
                <w:szCs w:val="21"/>
                <w:color w:val="auto"/>
              </w:rPr>
            </w:pPr>
          </w:p>
        </w:tc>
      </w:tr>
      <w:tr>
        <w:trPr>
          <w:trHeight w:val="243"/>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Road Paving</w:t>
            </w:r>
          </w:p>
        </w:tc>
        <w:tc>
          <w:tcPr>
            <w:tcW w:w="320" w:type="dxa"/>
            <w:vAlign w:val="bottom"/>
            <w:tcBorders>
              <w:bottom w:val="single" w:sz="8" w:color="CFF0FC"/>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46,250</w:t>
            </w:r>
          </w:p>
        </w:tc>
        <w:tc>
          <w:tcPr>
            <w:tcW w:w="2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52,975</w:t>
            </w:r>
          </w:p>
        </w:tc>
        <w:tc>
          <w:tcPr>
            <w:tcW w:w="120" w:type="dxa"/>
            <w:vAlign w:val="bottom"/>
            <w:tcBorders>
              <w:bottom w:val="single" w:sz="8" w:color="CFF0FC"/>
            </w:tcBorders>
          </w:tcPr>
          <w:p>
            <w:pPr>
              <w:spacing w:after="0"/>
              <w:rPr>
                <w:sz w:val="21"/>
                <w:szCs w:val="21"/>
                <w:color w:val="auto"/>
              </w:rPr>
            </w:pPr>
          </w:p>
        </w:tc>
      </w:tr>
      <w:tr>
        <w:trPr>
          <w:trHeight w:val="237"/>
        </w:trPr>
        <w:tc>
          <w:tcPr>
            <w:tcW w:w="7640" w:type="dxa"/>
            <w:vAlign w:val="bottom"/>
            <w:shd w:val="clear" w:color="auto" w:fill="CFF0FC"/>
          </w:tcPr>
          <w:p>
            <w:pPr>
              <w:spacing w:after="0"/>
              <w:rPr>
                <w:sz w:val="20"/>
                <w:szCs w:val="20"/>
                <w:color w:val="auto"/>
              </w:rPr>
            </w:pPr>
            <w:r>
              <w:rPr>
                <w:rFonts w:ascii="Arial" w:cs="Arial" w:eastAsia="Arial" w:hAnsi="Arial"/>
                <w:sz w:val="20"/>
                <w:szCs w:val="20"/>
                <w:color w:val="auto"/>
              </w:rPr>
              <w:t>Total Heritage</w:t>
            </w:r>
          </w:p>
        </w:tc>
        <w:tc>
          <w:tcPr>
            <w:tcW w:w="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913,540</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862,346</w:t>
            </w:r>
          </w:p>
        </w:tc>
        <w:tc>
          <w:tcPr>
            <w:tcW w:w="120" w:type="dxa"/>
            <w:vAlign w:val="bottom"/>
            <w:shd w:val="clear" w:color="auto" w:fill="CFF0FC"/>
          </w:tcPr>
          <w:p>
            <w:pPr>
              <w:spacing w:after="0"/>
              <w:rPr>
                <w:sz w:val="20"/>
                <w:szCs w:val="20"/>
                <w:color w:val="auto"/>
              </w:rPr>
            </w:pPr>
          </w:p>
        </w:tc>
      </w:tr>
      <w:tr>
        <w:trPr>
          <w:trHeight w:val="243"/>
        </w:trPr>
        <w:tc>
          <w:tcPr>
            <w:tcW w:w="7640" w:type="dxa"/>
            <w:vAlign w:val="bottom"/>
          </w:tcPr>
          <w:p>
            <w:pPr>
              <w:spacing w:after="0"/>
              <w:rPr>
                <w:sz w:val="20"/>
                <w:szCs w:val="20"/>
                <w:color w:val="auto"/>
              </w:rPr>
            </w:pPr>
            <w:r>
              <w:rPr>
                <w:rFonts w:ascii="Arial" w:cs="Arial" w:eastAsia="Arial" w:hAnsi="Arial"/>
                <w:sz w:val="20"/>
                <w:szCs w:val="20"/>
                <w:color w:val="auto"/>
              </w:rPr>
              <w:t>Acquisitions</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252,403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20"/>
                <w:szCs w:val="20"/>
                <w:color w:val="auto"/>
              </w:rPr>
              <w:t>—</w:t>
            </w:r>
          </w:p>
        </w:tc>
      </w:tr>
      <w:tr>
        <w:trPr>
          <w:trHeight w:val="237"/>
        </w:trPr>
        <w:tc>
          <w:tcPr>
            <w:tcW w:w="7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Aggregates Business</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w w:val="71"/>
              </w:rPr>
              <w:t>$</w:t>
            </w:r>
          </w:p>
        </w:tc>
        <w:tc>
          <w:tcPr>
            <w:tcW w:w="14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1,165,943</w:t>
            </w: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862,346</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9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38"/>
        </w:trPr>
        <w:tc>
          <w:tcPr>
            <w:tcW w:w="9540" w:type="dxa"/>
            <w:vAlign w:val="bottom"/>
            <w:gridSpan w:val="7"/>
          </w:tcPr>
          <w:p>
            <w:pPr>
              <w:spacing w:after="0"/>
              <w:rPr>
                <w:sz w:val="20"/>
                <w:szCs w:val="20"/>
                <w:color w:val="auto"/>
              </w:rPr>
            </w:pPr>
            <w:r>
              <w:rPr>
                <w:rFonts w:ascii="Arial" w:cs="Arial" w:eastAsia="Arial" w:hAnsi="Arial"/>
                <w:sz w:val="20"/>
                <w:szCs w:val="20"/>
                <w:color w:val="auto"/>
              </w:rPr>
              <w:t>The following tables present volume and pricing data and shipments data for the aggregates product line.</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0"/>
        </w:trPr>
        <w:tc>
          <w:tcPr>
            <w:tcW w:w="7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gridSpan w:val="8"/>
          </w:tcPr>
          <w:p>
            <w:pPr>
              <w:jc w:val="right"/>
              <w:ind w:right="1260"/>
              <w:spacing w:after="0"/>
              <w:rPr>
                <w:sz w:val="20"/>
                <w:szCs w:val="20"/>
                <w:color w:val="auto"/>
              </w:rPr>
            </w:pPr>
            <w:r>
              <w:rPr>
                <w:rFonts w:ascii="Arial" w:cs="Arial" w:eastAsia="Arial" w:hAnsi="Arial"/>
                <w:sz w:val="20"/>
                <w:szCs w:val="20"/>
                <w:color w:val="auto"/>
              </w:rPr>
              <w:t>Six Months Ended</w:t>
            </w:r>
          </w:p>
        </w:tc>
      </w:tr>
      <w:tr>
        <w:trPr>
          <w:trHeight w:val="246"/>
        </w:trPr>
        <w:tc>
          <w:tcPr>
            <w:tcW w:w="76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20"/>
                <w:szCs w:val="20"/>
                <w:color w:val="auto"/>
              </w:rPr>
              <w:t>June 30, 2015</w:t>
            </w:r>
          </w:p>
        </w:tc>
        <w:tc>
          <w:tcPr>
            <w:tcW w:w="12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7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20"/>
                <w:szCs w:val="20"/>
                <w:color w:val="auto"/>
              </w:rPr>
              <w:t>Volume</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81"/>
              <w:spacing w:after="0"/>
              <w:rPr>
                <w:sz w:val="20"/>
                <w:szCs w:val="20"/>
                <w:color w:val="auto"/>
              </w:rPr>
            </w:pPr>
            <w:r>
              <w:rPr>
                <w:rFonts w:ascii="Arial" w:cs="Arial" w:eastAsia="Arial" w:hAnsi="Arial"/>
                <w:sz w:val="20"/>
                <w:szCs w:val="20"/>
                <w:color w:val="auto"/>
                <w:w w:val="98"/>
              </w:rPr>
              <w:t>Pricing</w:t>
            </w:r>
          </w:p>
        </w:tc>
        <w:tc>
          <w:tcPr>
            <w:tcW w:w="180" w:type="dxa"/>
            <w:vAlign w:val="bottom"/>
            <w:gridSpan w:val="2"/>
          </w:tcPr>
          <w:p>
            <w:pPr>
              <w:spacing w:after="0"/>
              <w:rPr>
                <w:sz w:val="20"/>
                <w:szCs w:val="20"/>
                <w:color w:val="auto"/>
              </w:rPr>
            </w:pPr>
          </w:p>
        </w:tc>
      </w:tr>
      <w:tr>
        <w:trPr>
          <w:trHeight w:val="237"/>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 xml:space="preserve">Volume/Pricing Variance </w:t>
            </w:r>
            <w:r>
              <w:rPr>
                <w:rFonts w:ascii="Arial" w:cs="Arial" w:eastAsia="Arial" w:hAnsi="Arial"/>
                <w:sz w:val="16"/>
                <w:szCs w:val="16"/>
                <w:color w:val="auto"/>
              </w:rPr>
              <w:t>(1)</w:t>
            </w:r>
          </w:p>
        </w:tc>
        <w:tc>
          <w:tcPr>
            <w:tcW w:w="3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7640" w:type="dxa"/>
            <w:vAlign w:val="bottom"/>
          </w:tcPr>
          <w:p>
            <w:pPr>
              <w:spacing w:after="0"/>
              <w:rPr>
                <w:sz w:val="20"/>
                <w:szCs w:val="20"/>
                <w:color w:val="auto"/>
              </w:rPr>
            </w:pPr>
            <w:r>
              <w:rPr>
                <w:rFonts w:ascii="Arial" w:cs="Arial" w:eastAsia="Arial" w:hAnsi="Arial"/>
                <w:sz w:val="20"/>
                <w:szCs w:val="20"/>
                <w:color w:val="auto"/>
              </w:rPr>
              <w:t xml:space="preserve">Heritage Aggregates Product Line </w:t>
            </w:r>
            <w:r>
              <w:rPr>
                <w:rFonts w:ascii="Arial" w:cs="Arial" w:eastAsia="Arial" w:hAnsi="Arial"/>
                <w:sz w:val="16"/>
                <w:szCs w:val="16"/>
                <w:color w:val="auto"/>
              </w:rPr>
              <w:t>(2)</w:t>
            </w: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76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7.3%</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4.9%</w:t>
            </w:r>
          </w:p>
        </w:tc>
      </w:tr>
      <w:tr>
        <w:trPr>
          <w:trHeight w:val="243"/>
        </w:trPr>
        <w:tc>
          <w:tcPr>
            <w:tcW w:w="7640" w:type="dxa"/>
            <w:vAlign w:val="bottom"/>
          </w:tcPr>
          <w:p>
            <w:pPr>
              <w:ind w:left="260"/>
              <w:spacing w:after="0"/>
              <w:rPr>
                <w:sz w:val="20"/>
                <w:szCs w:val="20"/>
                <w:color w:val="auto"/>
              </w:rPr>
            </w:pPr>
            <w:r>
              <w:rPr>
                <w:rFonts w:ascii="Arial" w:cs="Arial" w:eastAsia="Arial" w:hAnsi="Arial"/>
                <w:sz w:val="20"/>
                <w:szCs w:val="20"/>
                <w:color w:val="auto"/>
              </w:rPr>
              <w:t>Southeast Group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41"/>
              <w:spacing w:after="0"/>
              <w:rPr>
                <w:sz w:val="20"/>
                <w:szCs w:val="20"/>
                <w:color w:val="auto"/>
              </w:rPr>
            </w:pPr>
            <w:r>
              <w:rPr>
                <w:rFonts w:ascii="Arial" w:cs="Arial" w:eastAsia="Arial" w:hAnsi="Arial"/>
                <w:sz w:val="20"/>
                <w:szCs w:val="20"/>
                <w:color w:val="auto"/>
              </w:rPr>
              <w:t>4.3%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20"/>
                <w:szCs w:val="20"/>
                <w:color w:val="auto"/>
              </w:rPr>
              <w:t>4.0%</w:t>
            </w:r>
          </w:p>
        </w:tc>
      </w:tr>
      <w:tr>
        <w:trPr>
          <w:trHeight w:val="243"/>
        </w:trPr>
        <w:tc>
          <w:tcPr>
            <w:tcW w:w="76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(8.0)%</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13.7%</w:t>
            </w:r>
          </w:p>
        </w:tc>
      </w:tr>
      <w:tr>
        <w:trPr>
          <w:trHeight w:val="243"/>
        </w:trPr>
        <w:tc>
          <w:tcPr>
            <w:tcW w:w="7640" w:type="dxa"/>
            <w:vAlign w:val="bottom"/>
          </w:tcPr>
          <w:p>
            <w:pPr>
              <w:spacing w:after="0"/>
              <w:rPr>
                <w:sz w:val="20"/>
                <w:szCs w:val="20"/>
                <w:color w:val="auto"/>
              </w:rPr>
            </w:pPr>
            <w:r>
              <w:rPr>
                <w:rFonts w:ascii="Arial" w:cs="Arial" w:eastAsia="Arial" w:hAnsi="Arial"/>
                <w:sz w:val="20"/>
                <w:szCs w:val="20"/>
                <w:color w:val="auto"/>
              </w:rPr>
              <w:t>Heritage Aggregates Operations</w:t>
            </w:r>
            <w:r>
              <w:rPr>
                <w:rFonts w:ascii="Arial" w:cs="Arial" w:eastAsia="Arial" w:hAnsi="Arial"/>
                <w:sz w:val="16"/>
                <w:szCs w:val="16"/>
                <w:color w:val="auto"/>
              </w:rPr>
              <w:t>(2)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41"/>
              <w:spacing w:after="0"/>
              <w:rPr>
                <w:sz w:val="20"/>
                <w:szCs w:val="20"/>
                <w:color w:val="auto"/>
              </w:rPr>
            </w:pPr>
            <w:r>
              <w:rPr>
                <w:rFonts w:ascii="Arial" w:cs="Arial" w:eastAsia="Arial" w:hAnsi="Arial"/>
                <w:sz w:val="20"/>
                <w:szCs w:val="20"/>
                <w:color w:val="auto"/>
              </w:rPr>
              <w:t>0.3%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20"/>
                <w:szCs w:val="20"/>
                <w:color w:val="auto"/>
              </w:rPr>
              <w:t>8.7%</w:t>
            </w:r>
          </w:p>
        </w:tc>
      </w:tr>
      <w:tr>
        <w:trPr>
          <w:trHeight w:val="243"/>
        </w:trPr>
        <w:tc>
          <w:tcPr>
            <w:tcW w:w="764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Aggregates Product Line </w:t>
            </w:r>
            <w:r>
              <w:rPr>
                <w:rFonts w:ascii="Arial" w:cs="Arial" w:eastAsia="Arial" w:hAnsi="Arial"/>
                <w:sz w:val="16"/>
                <w:szCs w:val="16"/>
                <w:color w:val="auto"/>
              </w:rPr>
              <w:t>(3)</w:t>
            </w:r>
          </w:p>
        </w:tc>
        <w:tc>
          <w:tcPr>
            <w:tcW w:w="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11.5%</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9.7%</w:t>
            </w:r>
          </w:p>
        </w:tc>
      </w:tr>
      <w:tr>
        <w:trPr>
          <w:trHeight w:val="456"/>
        </w:trPr>
        <w:tc>
          <w:tcPr>
            <w:tcW w:w="7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gridSpan w:val="8"/>
          </w:tcPr>
          <w:p>
            <w:pPr>
              <w:jc w:val="center"/>
              <w:ind w:right="220"/>
              <w:spacing w:after="0"/>
              <w:rPr>
                <w:sz w:val="20"/>
                <w:szCs w:val="20"/>
                <w:color w:val="auto"/>
              </w:rPr>
            </w:pPr>
            <w:r>
              <w:rPr>
                <w:rFonts w:ascii="Arial" w:cs="Arial" w:eastAsia="Arial" w:hAnsi="Arial"/>
                <w:sz w:val="20"/>
                <w:szCs w:val="20"/>
                <w:color w:val="auto"/>
                <w:w w:val="91"/>
              </w:rPr>
              <w:t>Six Months Ended</w:t>
            </w:r>
          </w:p>
        </w:tc>
      </w:tr>
      <w:tr>
        <w:trPr>
          <w:trHeight w:val="246"/>
        </w:trPr>
        <w:tc>
          <w:tcPr>
            <w:tcW w:w="7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color w:val="auto"/>
                <w:w w:val="85"/>
              </w:rPr>
              <w:t>June 30,</w:t>
            </w:r>
          </w:p>
        </w:tc>
        <w:tc>
          <w:tcPr>
            <w:tcW w:w="12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7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2015</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2014</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7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7"/>
          </w:tcPr>
          <w:p>
            <w:pPr>
              <w:jc w:val="center"/>
              <w:ind w:right="100"/>
              <w:spacing w:after="0"/>
              <w:rPr>
                <w:sz w:val="20"/>
                <w:szCs w:val="20"/>
                <w:color w:val="auto"/>
              </w:rPr>
            </w:pPr>
            <w:r>
              <w:rPr>
                <w:rFonts w:ascii="Arial" w:cs="Arial" w:eastAsia="Arial" w:hAnsi="Arial"/>
                <w:sz w:val="20"/>
                <w:szCs w:val="20"/>
                <w:i w:val="1"/>
                <w:iCs w:val="1"/>
                <w:color w:val="auto"/>
                <w:w w:val="89"/>
              </w:rPr>
              <w:t>(tons in thousands)</w:t>
            </w:r>
          </w:p>
        </w:tc>
        <w:tc>
          <w:tcPr>
            <w:tcW w:w="120" w:type="dxa"/>
            <w:vAlign w:val="bottom"/>
          </w:tcPr>
          <w:p>
            <w:pPr>
              <w:spacing w:after="0"/>
              <w:rPr>
                <w:sz w:val="20"/>
                <w:szCs w:val="20"/>
                <w:color w:val="auto"/>
              </w:rPr>
            </w:pPr>
          </w:p>
        </w:tc>
      </w:tr>
      <w:tr>
        <w:trPr>
          <w:trHeight w:val="243"/>
        </w:trPr>
        <w:tc>
          <w:tcPr>
            <w:tcW w:w="76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Shipments</w:t>
            </w:r>
          </w:p>
        </w:tc>
        <w:tc>
          <w:tcPr>
            <w:tcW w:w="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7640" w:type="dxa"/>
            <w:vAlign w:val="bottom"/>
          </w:tcPr>
          <w:p>
            <w:pPr>
              <w:spacing w:after="0"/>
              <w:rPr>
                <w:sz w:val="20"/>
                <w:szCs w:val="20"/>
                <w:color w:val="auto"/>
              </w:rPr>
            </w:pPr>
            <w:r>
              <w:rPr>
                <w:rFonts w:ascii="Arial" w:cs="Arial" w:eastAsia="Arial" w:hAnsi="Arial"/>
                <w:sz w:val="20"/>
                <w:szCs w:val="20"/>
                <w:color w:val="auto"/>
              </w:rPr>
              <w:t xml:space="preserve">Heritage Aggregates Product Line </w:t>
            </w:r>
            <w:r>
              <w:rPr>
                <w:rFonts w:ascii="Arial" w:cs="Arial" w:eastAsia="Arial" w:hAnsi="Arial"/>
                <w:sz w:val="16"/>
                <w:szCs w:val="16"/>
                <w:color w:val="auto"/>
              </w:rPr>
              <w:t>(2)</w:t>
            </w: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76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29,149</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27,176</w:t>
            </w:r>
          </w:p>
        </w:tc>
        <w:tc>
          <w:tcPr>
            <w:tcW w:w="120" w:type="dxa"/>
            <w:vAlign w:val="bottom"/>
            <w:shd w:val="clear" w:color="auto" w:fill="CFF0FC"/>
          </w:tcPr>
          <w:p>
            <w:pPr>
              <w:spacing w:after="0"/>
              <w:rPr>
                <w:sz w:val="21"/>
                <w:szCs w:val="21"/>
                <w:color w:val="auto"/>
              </w:rPr>
            </w:pPr>
          </w:p>
        </w:tc>
      </w:tr>
      <w:tr>
        <w:trPr>
          <w:trHeight w:val="243"/>
        </w:trPr>
        <w:tc>
          <w:tcPr>
            <w:tcW w:w="7640" w:type="dxa"/>
            <w:vAlign w:val="bottom"/>
          </w:tcPr>
          <w:p>
            <w:pPr>
              <w:ind w:left="260"/>
              <w:spacing w:after="0"/>
              <w:rPr>
                <w:sz w:val="20"/>
                <w:szCs w:val="20"/>
                <w:color w:val="auto"/>
              </w:rPr>
            </w:pPr>
            <w:r>
              <w:rPr>
                <w:rFonts w:ascii="Arial" w:cs="Arial" w:eastAsia="Arial" w:hAnsi="Arial"/>
                <w:sz w:val="20"/>
                <w:szCs w:val="20"/>
                <w:color w:val="auto"/>
              </w:rPr>
              <w:t>Southeast Group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9,364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20"/>
                <w:szCs w:val="20"/>
                <w:color w:val="auto"/>
              </w:rPr>
              <w:t>8,977</w:t>
            </w:r>
          </w:p>
        </w:tc>
        <w:tc>
          <w:tcPr>
            <w:tcW w:w="120" w:type="dxa"/>
            <w:vAlign w:val="bottom"/>
          </w:tcPr>
          <w:p>
            <w:pPr>
              <w:spacing w:after="0"/>
              <w:rPr>
                <w:sz w:val="21"/>
                <w:szCs w:val="21"/>
                <w:color w:val="auto"/>
              </w:rPr>
            </w:pPr>
          </w:p>
        </w:tc>
      </w:tr>
      <w:tr>
        <w:trPr>
          <w:trHeight w:val="243"/>
        </w:trPr>
        <w:tc>
          <w:tcPr>
            <w:tcW w:w="76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25,251</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27,440</w:t>
            </w:r>
          </w:p>
        </w:tc>
        <w:tc>
          <w:tcPr>
            <w:tcW w:w="120" w:type="dxa"/>
            <w:vAlign w:val="bottom"/>
            <w:shd w:val="clear" w:color="auto" w:fill="CFF0FC"/>
          </w:tcPr>
          <w:p>
            <w:pPr>
              <w:spacing w:after="0"/>
              <w:rPr>
                <w:sz w:val="21"/>
                <w:szCs w:val="21"/>
                <w:color w:val="auto"/>
              </w:rPr>
            </w:pPr>
          </w:p>
        </w:tc>
      </w:tr>
      <w:tr>
        <w:trPr>
          <w:trHeight w:val="237"/>
        </w:trPr>
        <w:tc>
          <w:tcPr>
            <w:tcW w:w="7640" w:type="dxa"/>
            <w:vAlign w:val="bottom"/>
          </w:tcPr>
          <w:p>
            <w:pPr>
              <w:spacing w:after="0"/>
              <w:rPr>
                <w:sz w:val="20"/>
                <w:szCs w:val="20"/>
                <w:color w:val="auto"/>
              </w:rPr>
            </w:pPr>
            <w:r>
              <w:rPr>
                <w:rFonts w:ascii="Arial" w:cs="Arial" w:eastAsia="Arial" w:hAnsi="Arial"/>
                <w:sz w:val="20"/>
                <w:szCs w:val="20"/>
                <w:color w:val="auto"/>
              </w:rPr>
              <w:t>Heritage Aggregates Operations</w:t>
            </w:r>
            <w:r>
              <w:rPr>
                <w:rFonts w:ascii="Arial" w:cs="Arial" w:eastAsia="Arial" w:hAnsi="Arial"/>
                <w:sz w:val="16"/>
                <w:szCs w:val="16"/>
                <w:color w:val="auto"/>
              </w:rPr>
              <w:t>(2)</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63,764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20"/>
                <w:szCs w:val="20"/>
                <w:color w:val="auto"/>
              </w:rPr>
              <w:t>63,593</w:t>
            </w:r>
          </w:p>
        </w:tc>
        <w:tc>
          <w:tcPr>
            <w:tcW w:w="120" w:type="dxa"/>
            <w:vAlign w:val="bottom"/>
          </w:tcPr>
          <w:p>
            <w:pPr>
              <w:spacing w:after="0"/>
              <w:rPr>
                <w:sz w:val="20"/>
                <w:szCs w:val="20"/>
                <w:color w:val="auto"/>
              </w:rPr>
            </w:pPr>
          </w:p>
        </w:tc>
      </w:tr>
      <w:tr>
        <w:trPr>
          <w:trHeight w:val="243"/>
        </w:trPr>
        <w:tc>
          <w:tcPr>
            <w:tcW w:w="7640" w:type="dxa"/>
            <w:vAlign w:val="bottom"/>
            <w:shd w:val="clear" w:color="auto" w:fill="CFF0FC"/>
          </w:tcPr>
          <w:p>
            <w:pPr>
              <w:spacing w:after="0"/>
              <w:rPr>
                <w:sz w:val="20"/>
                <w:szCs w:val="20"/>
                <w:color w:val="auto"/>
              </w:rPr>
            </w:pPr>
            <w:r>
              <w:rPr>
                <w:rFonts w:ascii="Arial" w:cs="Arial" w:eastAsia="Arial" w:hAnsi="Arial"/>
                <w:sz w:val="20"/>
                <w:szCs w:val="20"/>
                <w:color w:val="auto"/>
              </w:rPr>
              <w:t>Acquisitions</w:t>
            </w:r>
          </w:p>
        </w:tc>
        <w:tc>
          <w:tcPr>
            <w:tcW w:w="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7,075</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gridSpan w:val="3"/>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r>
      <w:tr>
        <w:trPr>
          <w:trHeight w:val="237"/>
        </w:trPr>
        <w:tc>
          <w:tcPr>
            <w:tcW w:w="7640" w:type="dxa"/>
            <w:vAlign w:val="bottom"/>
          </w:tcPr>
          <w:p>
            <w:pPr>
              <w:spacing w:after="0"/>
              <w:rPr>
                <w:sz w:val="20"/>
                <w:szCs w:val="20"/>
                <w:color w:val="auto"/>
              </w:rPr>
            </w:pPr>
            <w:r>
              <w:rPr>
                <w:rFonts w:ascii="Arial" w:cs="Arial" w:eastAsia="Arial" w:hAnsi="Arial"/>
                <w:sz w:val="20"/>
                <w:szCs w:val="20"/>
                <w:color w:val="auto"/>
              </w:rPr>
              <w:t xml:space="preserve">Aggregates Product Line </w:t>
            </w:r>
            <w:r>
              <w:rPr>
                <w:rFonts w:ascii="Arial" w:cs="Arial" w:eastAsia="Arial" w:hAnsi="Arial"/>
                <w:sz w:val="16"/>
                <w:szCs w:val="16"/>
                <w:color w:val="auto"/>
              </w:rPr>
              <w:t>(3)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70,839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63,593</w:t>
            </w:r>
          </w:p>
        </w:tc>
        <w:tc>
          <w:tcPr>
            <w:tcW w:w="12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43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29" w:lineRule="exact"/>
        <w:rPr>
          <w:sz w:val="20"/>
          <w:szCs w:val="20"/>
          <w:color w:val="auto"/>
        </w:rPr>
      </w:pPr>
    </w:p>
    <w:p>
      <w:pPr>
        <w:jc w:val="center"/>
        <w:ind w:left="7860"/>
        <w:spacing w:after="0"/>
        <w:rPr>
          <w:sz w:val="20"/>
          <w:szCs w:val="20"/>
          <w:color w:val="auto"/>
        </w:rPr>
      </w:pPr>
      <w:r>
        <w:rPr>
          <w:rFonts w:ascii="Arial" w:cs="Arial" w:eastAsia="Arial" w:hAnsi="Arial"/>
          <w:sz w:val="20"/>
          <w:szCs w:val="20"/>
          <w:color w:val="auto"/>
        </w:rPr>
        <w:t>Six Months Ended</w:t>
      </w:r>
    </w:p>
    <w:p>
      <w:pPr>
        <w:spacing w:after="0" w:line="20" w:lineRule="exact"/>
        <w:rPr>
          <w:sz w:val="20"/>
          <w:szCs w:val="20"/>
          <w:color w:val="auto"/>
        </w:rPr>
      </w:pPr>
    </w:p>
    <w:p>
      <w:pPr>
        <w:jc w:val="center"/>
        <w:ind w:left="7860"/>
        <w:spacing w:after="0"/>
        <w:rPr>
          <w:sz w:val="20"/>
          <w:szCs w:val="20"/>
          <w:color w:val="auto"/>
        </w:rPr>
      </w:pPr>
      <w:r>
        <w:rPr>
          <w:rFonts w:ascii="Arial" w:cs="Arial" w:eastAsia="Arial" w:hAnsi="Arial"/>
          <w:sz w:val="20"/>
          <w:szCs w:val="20"/>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80" w:type="dxa"/>
            <w:vAlign w:val="bottom"/>
            <w:gridSpan w:val="2"/>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2015</w:t>
            </w:r>
          </w:p>
        </w:tc>
        <w:tc>
          <w:tcPr>
            <w:tcW w:w="1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0"/>
                <w:szCs w:val="20"/>
                <w:color w:val="auto"/>
              </w:rPr>
              <w:t>2014</w:t>
            </w:r>
          </w:p>
        </w:tc>
        <w:tc>
          <w:tcPr>
            <w:tcW w:w="58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740" w:type="dxa"/>
            <w:vAlign w:val="bottom"/>
            <w:gridSpan w:val="4"/>
          </w:tcPr>
          <w:p>
            <w:pPr>
              <w:jc w:val="right"/>
              <w:ind w:right="320"/>
              <w:spacing w:after="0" w:line="228" w:lineRule="exact"/>
              <w:rPr>
                <w:sz w:val="20"/>
                <w:szCs w:val="20"/>
                <w:color w:val="auto"/>
              </w:rPr>
            </w:pPr>
            <w:r>
              <w:rPr>
                <w:rFonts w:ascii="Arial" w:cs="Arial" w:eastAsia="Arial" w:hAnsi="Arial"/>
                <w:sz w:val="20"/>
                <w:szCs w:val="20"/>
                <w:i w:val="1"/>
                <w:iCs w:val="1"/>
                <w:color w:val="auto"/>
              </w:rPr>
              <w:t>(tons in thousands)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960" w:type="dxa"/>
            <w:vAlign w:val="bottom"/>
            <w:gridSpan w:val="3"/>
          </w:tcPr>
          <w:p>
            <w:pPr>
              <w:spacing w:after="0"/>
              <w:rPr>
                <w:sz w:val="20"/>
                <w:szCs w:val="20"/>
                <w:color w:val="auto"/>
              </w:rPr>
            </w:pPr>
            <w:r>
              <w:rPr>
                <w:rFonts w:ascii="Arial" w:cs="Arial" w:eastAsia="Arial" w:hAnsi="Arial"/>
                <w:sz w:val="20"/>
                <w:szCs w:val="20"/>
                <w:b w:val="1"/>
                <w:bCs w:val="1"/>
                <w:color w:val="auto"/>
              </w:rPr>
              <w:t>Shipments</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 xml:space="preserve">Heritage Aggregates Product Line </w:t>
            </w:r>
            <w:r>
              <w:rPr>
                <w:rFonts w:ascii="Arial" w:cs="Arial" w:eastAsia="Arial" w:hAnsi="Arial"/>
                <w:sz w:val="16"/>
                <w:szCs w:val="16"/>
                <w:color w:val="auto"/>
              </w:rPr>
              <w:t>(2)</w:t>
            </w:r>
            <w:r>
              <w:rPr>
                <w:rFonts w:ascii="Arial" w:cs="Arial" w:eastAsia="Arial" w:hAnsi="Arial"/>
                <w:sz w:val="20"/>
                <w:szCs w:val="20"/>
                <w:color w:val="auto"/>
              </w:rPr>
              <w:t>:</w:t>
            </w:r>
          </w:p>
        </w:tc>
        <w:tc>
          <w:tcPr>
            <w:tcW w:w="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40" w:type="dxa"/>
            <w:vAlign w:val="bottom"/>
            <w:gridSpan w:val="2"/>
          </w:tcPr>
          <w:p>
            <w:pPr>
              <w:ind w:left="240"/>
              <w:spacing w:after="0"/>
              <w:rPr>
                <w:sz w:val="20"/>
                <w:szCs w:val="20"/>
                <w:color w:val="auto"/>
              </w:rPr>
            </w:pPr>
            <w:r>
              <w:rPr>
                <w:rFonts w:ascii="Arial" w:cs="Arial" w:eastAsia="Arial" w:hAnsi="Arial"/>
                <w:sz w:val="20"/>
                <w:szCs w:val="20"/>
                <w:color w:val="auto"/>
              </w:rPr>
              <w:t>Tons to external customers</w:t>
            </w:r>
          </w:p>
        </w:tc>
        <w:tc>
          <w:tcPr>
            <w:tcW w:w="560" w:type="dxa"/>
            <w:vAlign w:val="bottom"/>
          </w:tcPr>
          <w:p>
            <w:pPr>
              <w:jc w:val="right"/>
              <w:spacing w:after="0"/>
              <w:rPr>
                <w:sz w:val="20"/>
                <w:szCs w:val="20"/>
                <w:color w:val="auto"/>
              </w:rPr>
            </w:pPr>
            <w:r>
              <w:rPr>
                <w:rFonts w:ascii="Arial" w:cs="Arial" w:eastAsia="Arial" w:hAnsi="Arial"/>
                <w:sz w:val="20"/>
                <w:szCs w:val="20"/>
                <w:color w:val="auto"/>
                <w:w w:val="88"/>
              </w:rPr>
              <w:t>61,479</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88"/>
              </w:rPr>
              <w:t>61,136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Internal tons used in other product lines</w:t>
            </w:r>
          </w:p>
        </w:tc>
        <w:tc>
          <w:tcPr>
            <w:tcW w:w="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2,285</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2,457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980" w:type="dxa"/>
            <w:vAlign w:val="bottom"/>
            <w:gridSpan w:val="2"/>
          </w:tcPr>
          <w:p>
            <w:pPr>
              <w:spacing w:after="0"/>
              <w:rPr>
                <w:sz w:val="20"/>
                <w:szCs w:val="20"/>
                <w:color w:val="auto"/>
              </w:rPr>
            </w:pPr>
            <w:r>
              <w:rPr>
                <w:rFonts w:ascii="Arial" w:cs="Arial" w:eastAsia="Arial" w:hAnsi="Arial"/>
                <w:sz w:val="20"/>
                <w:szCs w:val="20"/>
                <w:color w:val="auto"/>
              </w:rPr>
              <w:t>Total heritage aggregates tons</w:t>
            </w:r>
          </w:p>
        </w:tc>
        <w:tc>
          <w:tcPr>
            <w:tcW w:w="9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8"/>
              </w:rPr>
              <w:t>63,764</w:t>
            </w:r>
          </w:p>
        </w:tc>
        <w:tc>
          <w:tcPr>
            <w:tcW w:w="220" w:type="dxa"/>
            <w:vAlign w:val="bottom"/>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8"/>
              </w:rPr>
              <w:t>63,593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9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940" w:type="dxa"/>
            <w:vAlign w:val="bottom"/>
            <w:gridSpan w:val="2"/>
          </w:tcPr>
          <w:p>
            <w:pPr>
              <w:spacing w:after="0"/>
              <w:rPr>
                <w:sz w:val="20"/>
                <w:szCs w:val="20"/>
                <w:color w:val="auto"/>
              </w:rPr>
            </w:pPr>
            <w:r>
              <w:rPr>
                <w:rFonts w:ascii="Arial" w:cs="Arial" w:eastAsia="Arial" w:hAnsi="Arial"/>
                <w:sz w:val="20"/>
                <w:szCs w:val="20"/>
                <w:color w:val="auto"/>
              </w:rPr>
              <w:t>Acquisitions:</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5,304</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40" w:type="dxa"/>
            <w:vAlign w:val="bottom"/>
            <w:gridSpan w:val="2"/>
          </w:tcPr>
          <w:p>
            <w:pPr>
              <w:ind w:left="240"/>
              <w:spacing w:after="0"/>
              <w:rPr>
                <w:sz w:val="20"/>
                <w:szCs w:val="20"/>
                <w:color w:val="auto"/>
              </w:rPr>
            </w:pPr>
            <w:r>
              <w:rPr>
                <w:rFonts w:ascii="Arial" w:cs="Arial" w:eastAsia="Arial" w:hAnsi="Arial"/>
                <w:sz w:val="20"/>
                <w:szCs w:val="20"/>
                <w:color w:val="auto"/>
              </w:rPr>
              <w:t>Internal tons used in other product lines</w:t>
            </w:r>
          </w:p>
        </w:tc>
        <w:tc>
          <w:tcPr>
            <w:tcW w:w="560" w:type="dxa"/>
            <w:vAlign w:val="bottom"/>
          </w:tcPr>
          <w:p>
            <w:pPr>
              <w:jc w:val="right"/>
              <w:spacing w:after="0"/>
              <w:rPr>
                <w:sz w:val="20"/>
                <w:szCs w:val="20"/>
                <w:color w:val="auto"/>
              </w:rPr>
            </w:pPr>
            <w:r>
              <w:rPr>
                <w:rFonts w:ascii="Arial" w:cs="Arial" w:eastAsia="Arial" w:hAnsi="Arial"/>
                <w:sz w:val="20"/>
                <w:szCs w:val="20"/>
                <w:color w:val="auto"/>
              </w:rPr>
              <w:t>1,771</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acquisition aggregates tons</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7,075</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3" w:lineRule="exact"/>
        <w:rPr>
          <w:rFonts w:ascii="Arial" w:cs="Arial" w:eastAsia="Arial" w:hAnsi="Arial"/>
          <w:sz w:val="15"/>
          <w:szCs w:val="15"/>
          <w:i w:val="1"/>
          <w:iCs w:val="1"/>
          <w:color w:val="auto"/>
        </w:rPr>
      </w:pPr>
    </w:p>
    <w:p>
      <w:pPr>
        <w:ind w:left="280" w:hanging="272"/>
        <w:spacing w:after="0" w:line="250" w:lineRule="auto"/>
        <w:tabs>
          <w:tab w:leader="none" w:pos="280" w:val="left"/>
        </w:tabs>
        <w:numPr>
          <w:ilvl w:val="0"/>
          <w:numId w:val="31"/>
        </w:numPr>
        <w:rPr>
          <w:rFonts w:ascii="Arial" w:cs="Arial" w:eastAsia="Arial" w:hAnsi="Arial"/>
          <w:sz w:val="15"/>
          <w:szCs w:val="15"/>
          <w:i w:val="1"/>
          <w:iCs w:val="1"/>
          <w:color w:val="auto"/>
        </w:rPr>
      </w:pPr>
      <w:r>
        <w:rPr>
          <w:rFonts w:ascii="Arial" w:cs="Arial" w:eastAsia="Arial" w:hAnsi="Arial"/>
          <w:sz w:val="18"/>
          <w:szCs w:val="18"/>
          <w:i w:val="1"/>
          <w:iCs w:val="1"/>
          <w:color w:val="auto"/>
        </w:rPr>
        <w:t>Heritage Aggregates Product Line and Heritage Aggregates Operations exclude volume and pricing data for acquisitions that have not been included in operations for a full calendar year.</w:t>
      </w:r>
    </w:p>
    <w:p>
      <w:pPr>
        <w:ind w:left="280" w:hanging="272"/>
        <w:spacing w:after="0"/>
        <w:tabs>
          <w:tab w:leader="none" w:pos="280" w:val="left"/>
        </w:tabs>
        <w:numPr>
          <w:ilvl w:val="0"/>
          <w:numId w:val="31"/>
        </w:numPr>
        <w:rPr>
          <w:rFonts w:ascii="Arial" w:cs="Arial" w:eastAsia="Arial" w:hAnsi="Arial"/>
          <w:sz w:val="15"/>
          <w:szCs w:val="15"/>
          <w:i w:val="1"/>
          <w:iCs w:val="1"/>
          <w:color w:val="auto"/>
        </w:rPr>
      </w:pPr>
      <w:r>
        <w:rPr>
          <w:rFonts w:ascii="Arial" w:cs="Arial" w:eastAsia="Arial" w:hAnsi="Arial"/>
          <w:sz w:val="18"/>
          <w:szCs w:val="18"/>
          <w:i w:val="1"/>
          <w:iCs w:val="1"/>
          <w:color w:val="auto"/>
        </w:rPr>
        <w:t>Aggregates Product Line includes all acquisitions from the date of acquisition and divestitures through the date of disposal.</w:t>
      </w:r>
    </w:p>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per-ton average selling price for the aggregates product line was $11.88 and $10.93 for the six months ended June 30, 2015 and 2014,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Average selling prices by product line for the Corporation’s aggregates-related downstream operations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60" w:type="dxa"/>
            <w:vAlign w:val="bottom"/>
          </w:tcPr>
          <w:p>
            <w:pPr>
              <w:spacing w:after="0"/>
              <w:rPr>
                <w:sz w:val="21"/>
                <w:szCs w:val="21"/>
                <w:color w:val="auto"/>
              </w:rPr>
            </w:pPr>
          </w:p>
        </w:tc>
        <w:tc>
          <w:tcPr>
            <w:tcW w:w="3460" w:type="dxa"/>
            <w:vAlign w:val="bottom"/>
            <w:gridSpan w:val="4"/>
          </w:tcPr>
          <w:p>
            <w:pPr>
              <w:jc w:val="center"/>
              <w:spacing w:after="0"/>
              <w:rPr>
                <w:sz w:val="20"/>
                <w:szCs w:val="20"/>
                <w:color w:val="auto"/>
              </w:rPr>
            </w:pPr>
            <w:r>
              <w:rPr>
                <w:rFonts w:ascii="Arial" w:cs="Arial" w:eastAsia="Arial" w:hAnsi="Arial"/>
                <w:sz w:val="20"/>
                <w:szCs w:val="20"/>
                <w:color w:val="auto"/>
                <w:w w:val="91"/>
              </w:rPr>
              <w:t>Six Months Ended</w:t>
            </w:r>
          </w:p>
        </w:tc>
      </w:tr>
      <w:tr>
        <w:trPr>
          <w:trHeight w:val="246"/>
        </w:trPr>
        <w:tc>
          <w:tcPr>
            <w:tcW w:w="796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center"/>
              <w:ind w:right="1241"/>
              <w:spacing w:after="0"/>
              <w:rPr>
                <w:sz w:val="20"/>
                <w:szCs w:val="20"/>
                <w:color w:val="auto"/>
              </w:rPr>
            </w:pPr>
            <w:r>
              <w:rPr>
                <w:rFonts w:ascii="Arial" w:cs="Arial" w:eastAsia="Arial" w:hAnsi="Arial"/>
                <w:sz w:val="20"/>
                <w:szCs w:val="20"/>
                <w:color w:val="auto"/>
                <w:w w:val="85"/>
              </w:rPr>
              <w:t>June 30,</w:t>
            </w:r>
          </w:p>
        </w:tc>
      </w:tr>
      <w:tr>
        <w:trPr>
          <w:trHeight w:val="237"/>
        </w:trPr>
        <w:tc>
          <w:tcPr>
            <w:tcW w:w="7960" w:type="dxa"/>
            <w:vAlign w:val="bottom"/>
          </w:tcPr>
          <w:p>
            <w:pPr>
              <w:spacing w:after="0"/>
              <w:rPr>
                <w:sz w:val="20"/>
                <w:szCs w:val="20"/>
                <w:color w:val="auto"/>
              </w:rPr>
            </w:pPr>
          </w:p>
        </w:tc>
        <w:tc>
          <w:tcPr>
            <w:tcW w:w="1340" w:type="dxa"/>
            <w:vAlign w:val="bottom"/>
          </w:tcPr>
          <w:p>
            <w:pPr>
              <w:jc w:val="center"/>
              <w:ind w:left="201"/>
              <w:spacing w:after="0"/>
              <w:rPr>
                <w:sz w:val="20"/>
                <w:szCs w:val="20"/>
                <w:color w:val="auto"/>
              </w:rPr>
            </w:pPr>
            <w:r>
              <w:rPr>
                <w:rFonts w:ascii="Arial" w:cs="Arial" w:eastAsia="Arial" w:hAnsi="Arial"/>
                <w:sz w:val="20"/>
                <w:szCs w:val="20"/>
                <w:color w:val="auto"/>
                <w:w w:val="89"/>
              </w:rPr>
              <w:t>2015</w:t>
            </w:r>
          </w:p>
        </w:tc>
        <w:tc>
          <w:tcPr>
            <w:tcW w:w="2120" w:type="dxa"/>
            <w:vAlign w:val="bottom"/>
            <w:gridSpan w:val="3"/>
          </w:tcPr>
          <w:p>
            <w:pPr>
              <w:jc w:val="center"/>
              <w:ind w:left="321"/>
              <w:spacing w:after="0"/>
              <w:rPr>
                <w:sz w:val="20"/>
                <w:szCs w:val="20"/>
                <w:color w:val="auto"/>
              </w:rPr>
            </w:pPr>
            <w:r>
              <w:rPr>
                <w:rFonts w:ascii="Arial" w:cs="Arial" w:eastAsia="Arial" w:hAnsi="Arial"/>
                <w:sz w:val="20"/>
                <w:szCs w:val="20"/>
                <w:color w:val="auto"/>
                <w:w w:val="85"/>
              </w:rPr>
              <w:t>2014</w:t>
            </w:r>
          </w:p>
        </w:tc>
      </w:tr>
      <w:tr>
        <w:trPr>
          <w:trHeight w:val="237"/>
        </w:trPr>
        <w:tc>
          <w:tcPr>
            <w:tcW w:w="7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Heritage:</w:t>
            </w:r>
          </w:p>
        </w:tc>
        <w:tc>
          <w:tcPr>
            <w:tcW w:w="13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spacing w:after="0"/>
              <w:rPr>
                <w:sz w:val="20"/>
                <w:szCs w:val="20"/>
                <w:color w:val="auto"/>
              </w:rPr>
            </w:pPr>
          </w:p>
        </w:tc>
      </w:tr>
      <w:tr>
        <w:trPr>
          <w:trHeight w:val="243"/>
        </w:trPr>
        <w:tc>
          <w:tcPr>
            <w:tcW w:w="7960" w:type="dxa"/>
            <w:vAlign w:val="bottom"/>
          </w:tcPr>
          <w:p>
            <w:pPr>
              <w:ind w:left="140"/>
              <w:spacing w:after="0"/>
              <w:rPr>
                <w:sz w:val="20"/>
                <w:szCs w:val="20"/>
                <w:color w:val="auto"/>
              </w:rPr>
            </w:pPr>
            <w:r>
              <w:rPr>
                <w:rFonts w:ascii="Arial" w:cs="Arial" w:eastAsia="Arial" w:hAnsi="Arial"/>
                <w:sz w:val="20"/>
                <w:szCs w:val="20"/>
                <w:color w:val="auto"/>
              </w:rPr>
              <w:t>Asphalt</w:t>
            </w:r>
          </w:p>
        </w:tc>
        <w:tc>
          <w:tcPr>
            <w:tcW w:w="1340" w:type="dxa"/>
            <w:vAlign w:val="bottom"/>
          </w:tcPr>
          <w:p>
            <w:pPr>
              <w:jc w:val="center"/>
              <w:ind w:left="221"/>
              <w:spacing w:after="0"/>
              <w:rPr>
                <w:sz w:val="20"/>
                <w:szCs w:val="20"/>
                <w:color w:val="auto"/>
              </w:rPr>
            </w:pPr>
            <w:r>
              <w:rPr>
                <w:rFonts w:ascii="Arial" w:cs="Arial" w:eastAsia="Arial" w:hAnsi="Arial"/>
                <w:sz w:val="20"/>
                <w:szCs w:val="20"/>
                <w:color w:val="auto"/>
                <w:w w:val="90"/>
              </w:rPr>
              <w:t>$42.56/ton</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20"/>
                <w:szCs w:val="20"/>
                <w:color w:val="auto"/>
                <w:w w:val="90"/>
              </w:rPr>
              <w:t>$42.11/ton</w:t>
            </w:r>
          </w:p>
        </w:tc>
      </w:tr>
      <w:tr>
        <w:trPr>
          <w:trHeight w:val="243"/>
        </w:trPr>
        <w:tc>
          <w:tcPr>
            <w:tcW w:w="79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Ready Mixed Concrete</w:t>
            </w:r>
          </w:p>
        </w:tc>
        <w:tc>
          <w:tcPr>
            <w:tcW w:w="1340" w:type="dxa"/>
            <w:vAlign w:val="bottom"/>
            <w:shd w:val="clear" w:color="auto" w:fill="CFF0FC"/>
          </w:tcPr>
          <w:p>
            <w:pPr>
              <w:jc w:val="center"/>
              <w:ind w:left="201"/>
              <w:spacing w:after="0"/>
              <w:rPr>
                <w:sz w:val="20"/>
                <w:szCs w:val="20"/>
                <w:color w:val="auto"/>
              </w:rPr>
            </w:pPr>
            <w:r>
              <w:rPr>
                <w:rFonts w:ascii="Arial" w:cs="Arial" w:eastAsia="Arial" w:hAnsi="Arial"/>
                <w:sz w:val="20"/>
                <w:szCs w:val="20"/>
                <w:color w:val="auto"/>
                <w:w w:val="90"/>
              </w:rPr>
              <w:t>$100.35/yd³</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0"/>
              </w:rPr>
              <w:t>$90.97/yd³</w:t>
            </w:r>
          </w:p>
        </w:tc>
      </w:tr>
      <w:tr>
        <w:trPr>
          <w:trHeight w:val="243"/>
        </w:trPr>
        <w:tc>
          <w:tcPr>
            <w:tcW w:w="7960" w:type="dxa"/>
            <w:vAlign w:val="bottom"/>
          </w:tcPr>
          <w:p>
            <w:pPr>
              <w:spacing w:after="0"/>
              <w:rPr>
                <w:sz w:val="20"/>
                <w:szCs w:val="20"/>
                <w:color w:val="auto"/>
              </w:rPr>
            </w:pPr>
            <w:r>
              <w:rPr>
                <w:rFonts w:ascii="Arial" w:cs="Arial" w:eastAsia="Arial" w:hAnsi="Arial"/>
                <w:sz w:val="20"/>
                <w:szCs w:val="20"/>
                <w:color w:val="auto"/>
              </w:rPr>
              <w:t>Acquisitions:</w:t>
            </w:r>
          </w:p>
        </w:tc>
        <w:tc>
          <w:tcPr>
            <w:tcW w:w="1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79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 xml:space="preserve">Ready Mixed Concrete </w:t>
            </w:r>
            <w:r>
              <w:rPr>
                <w:rFonts w:ascii="Arial" w:cs="Arial" w:eastAsia="Arial" w:hAnsi="Arial"/>
                <w:sz w:val="16"/>
                <w:szCs w:val="16"/>
                <w:color w:val="auto"/>
              </w:rPr>
              <w:t>(4)</w:t>
            </w:r>
          </w:p>
        </w:tc>
        <w:tc>
          <w:tcPr>
            <w:tcW w:w="1340" w:type="dxa"/>
            <w:vAlign w:val="bottom"/>
            <w:shd w:val="clear" w:color="auto" w:fill="CFF0FC"/>
          </w:tcPr>
          <w:p>
            <w:pPr>
              <w:jc w:val="center"/>
              <w:ind w:left="221"/>
              <w:spacing w:after="0"/>
              <w:rPr>
                <w:sz w:val="20"/>
                <w:szCs w:val="20"/>
                <w:color w:val="auto"/>
              </w:rPr>
            </w:pPr>
            <w:r>
              <w:rPr>
                <w:rFonts w:ascii="Arial" w:cs="Arial" w:eastAsia="Arial" w:hAnsi="Arial"/>
                <w:sz w:val="20"/>
                <w:szCs w:val="20"/>
                <w:color w:val="auto"/>
                <w:w w:val="90"/>
              </w:rPr>
              <w:t>$87.70/yd³</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44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Unit shipments by product line for the Corporation’s aggregates-related downstream operations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980" w:type="dxa"/>
            <w:vAlign w:val="bottom"/>
            <w:gridSpan w:val="3"/>
          </w:tcPr>
          <w:p>
            <w:pPr>
              <w:jc w:val="center"/>
              <w:ind w:right="460"/>
              <w:spacing w:after="0"/>
              <w:rPr>
                <w:sz w:val="20"/>
                <w:szCs w:val="20"/>
                <w:color w:val="auto"/>
              </w:rPr>
            </w:pPr>
            <w:r>
              <w:rPr>
                <w:rFonts w:ascii="Arial" w:cs="Arial" w:eastAsia="Arial" w:hAnsi="Arial"/>
                <w:sz w:val="20"/>
                <w:szCs w:val="20"/>
                <w:color w:val="auto"/>
                <w:w w:val="91"/>
              </w:rPr>
              <w:t>Six Months Ended</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6"/>
        </w:trPr>
        <w:tc>
          <w:tcPr>
            <w:tcW w:w="774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20"/>
                <w:szCs w:val="20"/>
                <w:color w:val="auto"/>
                <w:w w:val="85"/>
              </w:rPr>
              <w:t>June 30,</w:t>
            </w:r>
          </w:p>
        </w:tc>
        <w:tc>
          <w:tcPr>
            <w:tcW w:w="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77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2015</w:t>
            </w:r>
          </w:p>
        </w:tc>
        <w:tc>
          <w:tcPr>
            <w:tcW w:w="1980" w:type="dxa"/>
            <w:vAlign w:val="bottom"/>
            <w:gridSpan w:val="3"/>
          </w:tcPr>
          <w:p>
            <w:pPr>
              <w:jc w:val="right"/>
              <w:ind w:right="120"/>
              <w:spacing w:after="0"/>
              <w:rPr>
                <w:sz w:val="20"/>
                <w:szCs w:val="20"/>
                <w:color w:val="auto"/>
              </w:rPr>
            </w:pPr>
            <w:r>
              <w:rPr>
                <w:rFonts w:ascii="Arial" w:cs="Arial" w:eastAsia="Arial" w:hAnsi="Arial"/>
                <w:sz w:val="20"/>
                <w:szCs w:val="20"/>
                <w:color w:val="auto"/>
              </w:rPr>
              <w:t>2014</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7740" w:type="dxa"/>
            <w:vAlign w:val="bottom"/>
          </w:tcPr>
          <w:p>
            <w:pPr>
              <w:spacing w:after="0"/>
              <w:rPr>
                <w:sz w:val="20"/>
                <w:szCs w:val="20"/>
                <w:color w:val="auto"/>
              </w:rPr>
            </w:pPr>
            <w:r>
              <w:rPr>
                <w:rFonts w:ascii="Arial" w:cs="Arial" w:eastAsia="Arial" w:hAnsi="Arial"/>
                <w:sz w:val="20"/>
                <w:szCs w:val="20"/>
                <w:color w:val="auto"/>
              </w:rPr>
              <w:t>Asphalt Product Line (in thousands):</w:t>
            </w: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876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Tons to external customers</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569</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706</w:t>
            </w:r>
          </w:p>
        </w:tc>
        <w:tc>
          <w:tcPr>
            <w:tcW w:w="120" w:type="dxa"/>
            <w:vAlign w:val="bottom"/>
            <w:shd w:val="clear" w:color="auto" w:fill="CFF0FC"/>
          </w:tcPr>
          <w:p>
            <w:pPr>
              <w:spacing w:after="0"/>
              <w:rPr>
                <w:sz w:val="21"/>
                <w:szCs w:val="21"/>
                <w:color w:val="auto"/>
              </w:rPr>
            </w:pPr>
          </w:p>
        </w:tc>
      </w:tr>
      <w:tr>
        <w:trPr>
          <w:trHeight w:val="243"/>
        </w:trPr>
        <w:tc>
          <w:tcPr>
            <w:tcW w:w="8760" w:type="dxa"/>
            <w:vAlign w:val="bottom"/>
            <w:gridSpan w:val="2"/>
          </w:tcPr>
          <w:p>
            <w:pPr>
              <w:ind w:left="260"/>
              <w:spacing w:after="0"/>
              <w:rPr>
                <w:sz w:val="20"/>
                <w:szCs w:val="20"/>
                <w:color w:val="auto"/>
              </w:rPr>
            </w:pPr>
            <w:r>
              <w:rPr>
                <w:rFonts w:ascii="Arial" w:cs="Arial" w:eastAsia="Arial" w:hAnsi="Arial"/>
                <w:sz w:val="20"/>
                <w:szCs w:val="20"/>
                <w:color w:val="auto"/>
              </w:rPr>
              <w:t>Internal tons used in road paving business</w:t>
            </w:r>
          </w:p>
        </w:tc>
        <w:tc>
          <w:tcPr>
            <w:tcW w:w="600" w:type="dxa"/>
            <w:vAlign w:val="bottom"/>
          </w:tcPr>
          <w:p>
            <w:pPr>
              <w:jc w:val="right"/>
              <w:spacing w:after="0"/>
              <w:rPr>
                <w:sz w:val="20"/>
                <w:szCs w:val="20"/>
                <w:color w:val="auto"/>
              </w:rPr>
            </w:pPr>
            <w:r>
              <w:rPr>
                <w:rFonts w:ascii="Arial" w:cs="Arial" w:eastAsia="Arial" w:hAnsi="Arial"/>
                <w:sz w:val="20"/>
                <w:szCs w:val="20"/>
                <w:color w:val="auto"/>
              </w:rPr>
              <w:t>513</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570</w:t>
            </w:r>
          </w:p>
        </w:tc>
        <w:tc>
          <w:tcPr>
            <w:tcW w:w="120" w:type="dxa"/>
            <w:vAlign w:val="bottom"/>
          </w:tcPr>
          <w:p>
            <w:pPr>
              <w:spacing w:after="0"/>
              <w:rPr>
                <w:sz w:val="21"/>
                <w:szCs w:val="21"/>
                <w:color w:val="auto"/>
              </w:rPr>
            </w:pPr>
          </w:p>
        </w:tc>
      </w:tr>
      <w:tr>
        <w:trPr>
          <w:trHeight w:val="237"/>
        </w:trPr>
        <w:tc>
          <w:tcPr>
            <w:tcW w:w="7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asphalt tons</w:t>
            </w: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1,082</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1,276</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8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7740" w:type="dxa"/>
            <w:vAlign w:val="bottom"/>
          </w:tcPr>
          <w:p>
            <w:pPr>
              <w:spacing w:after="0" w:line="224" w:lineRule="exact"/>
              <w:rPr>
                <w:sz w:val="20"/>
                <w:szCs w:val="20"/>
                <w:color w:val="auto"/>
              </w:rPr>
            </w:pPr>
            <w:r>
              <w:rPr>
                <w:rFonts w:ascii="Arial" w:cs="Arial" w:eastAsia="Arial" w:hAnsi="Arial"/>
                <w:sz w:val="20"/>
                <w:szCs w:val="20"/>
                <w:color w:val="auto"/>
              </w:rPr>
              <w:t>Ready Mixed Concrete (in thousands of cubic yards):</w:t>
            </w:r>
          </w:p>
        </w:tc>
        <w:tc>
          <w:tcPr>
            <w:tcW w:w="10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876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Heritage</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897</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959</w:t>
            </w:r>
          </w:p>
        </w:tc>
        <w:tc>
          <w:tcPr>
            <w:tcW w:w="120" w:type="dxa"/>
            <w:vAlign w:val="bottom"/>
            <w:shd w:val="clear" w:color="auto" w:fill="CFF0FC"/>
          </w:tcPr>
          <w:p>
            <w:pPr>
              <w:spacing w:after="0"/>
              <w:rPr>
                <w:sz w:val="21"/>
                <w:szCs w:val="21"/>
                <w:color w:val="auto"/>
              </w:rPr>
            </w:pPr>
          </w:p>
        </w:tc>
      </w:tr>
      <w:tr>
        <w:trPr>
          <w:trHeight w:val="243"/>
        </w:trPr>
        <w:tc>
          <w:tcPr>
            <w:tcW w:w="8760" w:type="dxa"/>
            <w:vAlign w:val="bottom"/>
            <w:gridSpan w:val="2"/>
          </w:tcPr>
          <w:p>
            <w:pPr>
              <w:ind w:left="260"/>
              <w:spacing w:after="0"/>
              <w:rPr>
                <w:sz w:val="20"/>
                <w:szCs w:val="20"/>
                <w:color w:val="auto"/>
              </w:rPr>
            </w:pPr>
            <w:r>
              <w:rPr>
                <w:rFonts w:ascii="Arial" w:cs="Arial" w:eastAsia="Arial" w:hAnsi="Arial"/>
                <w:sz w:val="20"/>
                <w:szCs w:val="20"/>
                <w:color w:val="auto"/>
              </w:rPr>
              <w:t>Acquisitions</w:t>
            </w:r>
            <w:r>
              <w:rPr>
                <w:rFonts w:ascii="Arial" w:cs="Arial" w:eastAsia="Arial" w:hAnsi="Arial"/>
                <w:sz w:val="16"/>
                <w:szCs w:val="16"/>
                <w:color w:val="auto"/>
              </w:rPr>
              <w:t>(4)</w:t>
            </w:r>
          </w:p>
        </w:tc>
        <w:tc>
          <w:tcPr>
            <w:tcW w:w="600" w:type="dxa"/>
            <w:vAlign w:val="bottom"/>
          </w:tcPr>
          <w:p>
            <w:pPr>
              <w:jc w:val="right"/>
              <w:spacing w:after="0"/>
              <w:rPr>
                <w:sz w:val="20"/>
                <w:szCs w:val="20"/>
                <w:color w:val="auto"/>
              </w:rPr>
            </w:pPr>
            <w:r>
              <w:rPr>
                <w:rFonts w:ascii="Arial" w:cs="Arial" w:eastAsia="Arial" w:hAnsi="Arial"/>
                <w:sz w:val="20"/>
                <w:szCs w:val="20"/>
                <w:color w:val="auto"/>
              </w:rPr>
              <w:t>2,080</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r>
      <w:tr>
        <w:trPr>
          <w:trHeight w:val="237"/>
        </w:trPr>
        <w:tc>
          <w:tcPr>
            <w:tcW w:w="7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cubic yards</w:t>
            </w: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2,977</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959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5"/>
          <w:szCs w:val="15"/>
          <w:color w:val="auto"/>
        </w:rPr>
      </w:pPr>
      <w:r>
        <w:rPr>
          <w:rFonts w:ascii="Arial" w:cs="Arial" w:eastAsia="Arial" w:hAnsi="Arial"/>
          <w:sz w:val="18"/>
          <w:szCs w:val="18"/>
          <w:color w:val="auto"/>
        </w:rPr>
        <w:t>TXI ready mixed concrete operations acquired on July 1, 2014.</w:t>
      </w:r>
    </w:p>
    <w:p>
      <w:pPr>
        <w:spacing w:after="0" w:line="22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For 2015, Magnesia Specialties reported net sales of $119.2 million, flat with the prior-year period. Earnings from operations were $36.5 million compared with $37.3 million.</w:t>
      </w:r>
    </w:p>
    <w:p>
      <w:pPr>
        <w:spacing w:after="0" w:line="17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Consolidated gross margin (excluding freight and delivery revenues) was 18.5% for 2015 versus 16.4% for 2014. The following presents a rollforward of the Corporation’s gross profit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440" w:type="dxa"/>
            <w:vAlign w:val="bottom"/>
          </w:tcPr>
          <w:p>
            <w:pPr>
              <w:spacing w:after="0"/>
              <w:rPr>
                <w:sz w:val="20"/>
                <w:szCs w:val="20"/>
                <w:color w:val="auto"/>
              </w:rPr>
            </w:pPr>
            <w:r>
              <w:rPr>
                <w:rFonts w:ascii="Arial" w:cs="Arial" w:eastAsia="Arial" w:hAnsi="Arial"/>
                <w:sz w:val="20"/>
                <w:szCs w:val="20"/>
                <w:color w:val="auto"/>
              </w:rPr>
              <w:t>Consolidated gross profit, six months ended June 30, 2014</w:t>
            </w:r>
          </w:p>
        </w:tc>
        <w:tc>
          <w:tcPr>
            <w:tcW w:w="640" w:type="dxa"/>
            <w:vAlign w:val="bottom"/>
            <w:gridSpan w:val="2"/>
          </w:tcPr>
          <w:p>
            <w:pPr>
              <w:jc w:val="right"/>
              <w:ind w:right="463"/>
              <w:spacing w:after="0"/>
              <w:rPr>
                <w:sz w:val="20"/>
                <w:szCs w:val="20"/>
                <w:color w:val="auto"/>
              </w:rPr>
            </w:pPr>
            <w:r>
              <w:rPr>
                <w:rFonts w:ascii="Arial" w:cs="Arial" w:eastAsia="Arial" w:hAnsi="Arial"/>
                <w:sz w:val="20"/>
                <w:szCs w:val="20"/>
                <w:color w:val="auto"/>
                <w:w w:val="71"/>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161,438</w:t>
            </w:r>
          </w:p>
        </w:tc>
        <w:tc>
          <w:tcPr>
            <w:tcW w:w="120" w:type="dxa"/>
            <w:vAlign w:val="bottom"/>
          </w:tcPr>
          <w:p>
            <w:pPr>
              <w:spacing w:after="0"/>
              <w:rPr>
                <w:sz w:val="21"/>
                <w:szCs w:val="21"/>
                <w:color w:val="auto"/>
              </w:rPr>
            </w:pPr>
          </w:p>
        </w:tc>
      </w:tr>
      <w:tr>
        <w:trPr>
          <w:trHeight w:val="237"/>
        </w:trPr>
        <w:tc>
          <w:tcPr>
            <w:tcW w:w="9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Aggregates product line:</w:t>
            </w:r>
          </w:p>
        </w:tc>
        <w:tc>
          <w:tcPr>
            <w:tcW w:w="20" w:type="dxa"/>
            <w:vAlign w:val="bottom"/>
            <w:tcBorders>
              <w:top w:val="single" w:sz="8" w:color="CFF0FC"/>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9440" w:type="dxa"/>
            <w:vAlign w:val="bottom"/>
          </w:tcPr>
          <w:p>
            <w:pPr>
              <w:ind w:left="260"/>
              <w:spacing w:after="0"/>
              <w:rPr>
                <w:sz w:val="20"/>
                <w:szCs w:val="20"/>
                <w:color w:val="auto"/>
              </w:rPr>
            </w:pPr>
            <w:r>
              <w:rPr>
                <w:rFonts w:ascii="Arial" w:cs="Arial" w:eastAsia="Arial" w:hAnsi="Arial"/>
                <w:sz w:val="20"/>
                <w:szCs w:val="20"/>
                <w:color w:val="auto"/>
              </w:rPr>
              <w:t>Heritage volume strength</w:t>
            </w: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2,043</w:t>
            </w:r>
          </w:p>
        </w:tc>
        <w:tc>
          <w:tcPr>
            <w:tcW w:w="120" w:type="dxa"/>
            <w:vAlign w:val="bottom"/>
          </w:tcPr>
          <w:p>
            <w:pPr>
              <w:spacing w:after="0"/>
              <w:rPr>
                <w:sz w:val="21"/>
                <w:szCs w:val="21"/>
                <w:color w:val="auto"/>
              </w:rPr>
            </w:pPr>
          </w:p>
        </w:tc>
      </w:tr>
      <w:tr>
        <w:trPr>
          <w:trHeight w:val="243"/>
        </w:trPr>
        <w:tc>
          <w:tcPr>
            <w:tcW w:w="94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Heritage pricing strength</w:t>
            </w:r>
          </w:p>
        </w:tc>
        <w:tc>
          <w:tcPr>
            <w:tcW w:w="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60,413</w:t>
            </w:r>
          </w:p>
        </w:tc>
        <w:tc>
          <w:tcPr>
            <w:tcW w:w="120" w:type="dxa"/>
            <w:vAlign w:val="bottom"/>
            <w:shd w:val="clear" w:color="auto" w:fill="CFF0FC"/>
          </w:tcPr>
          <w:p>
            <w:pPr>
              <w:spacing w:after="0"/>
              <w:rPr>
                <w:sz w:val="21"/>
                <w:szCs w:val="21"/>
                <w:color w:val="auto"/>
              </w:rPr>
            </w:pPr>
          </w:p>
        </w:tc>
      </w:tr>
      <w:tr>
        <w:trPr>
          <w:trHeight w:val="243"/>
        </w:trPr>
        <w:tc>
          <w:tcPr>
            <w:tcW w:w="9440" w:type="dxa"/>
            <w:vAlign w:val="bottom"/>
          </w:tcPr>
          <w:p>
            <w:pPr>
              <w:ind w:left="260"/>
              <w:spacing w:after="0"/>
              <w:rPr>
                <w:sz w:val="20"/>
                <w:szCs w:val="20"/>
                <w:color w:val="auto"/>
              </w:rPr>
            </w:pPr>
            <w:r>
              <w:rPr>
                <w:rFonts w:ascii="Arial" w:cs="Arial" w:eastAsia="Arial" w:hAnsi="Arial"/>
                <w:sz w:val="20"/>
                <w:szCs w:val="20"/>
                <w:color w:val="auto"/>
              </w:rPr>
              <w:t>Cost increases, net</w:t>
            </w: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20"/>
                <w:szCs w:val="20"/>
                <w:color w:val="auto"/>
              </w:rPr>
              <w:t>(8,749)</w:t>
            </w:r>
          </w:p>
        </w:tc>
      </w:tr>
      <w:tr>
        <w:trPr>
          <w:trHeight w:val="237"/>
        </w:trPr>
        <w:tc>
          <w:tcPr>
            <w:tcW w:w="9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Increase in aggregates product line gross profit</w:t>
            </w:r>
          </w:p>
        </w:tc>
        <w:tc>
          <w:tcPr>
            <w:tcW w:w="20" w:type="dxa"/>
            <w:vAlign w:val="bottom"/>
            <w:tcBorders>
              <w:top w:val="single" w:sz="8" w:color="CFF0FC"/>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53,707</w:t>
            </w: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9440" w:type="dxa"/>
            <w:vAlign w:val="bottom"/>
          </w:tcPr>
          <w:p>
            <w:pPr>
              <w:spacing w:after="0"/>
              <w:rPr>
                <w:sz w:val="20"/>
                <w:szCs w:val="20"/>
                <w:color w:val="auto"/>
              </w:rPr>
            </w:pPr>
            <w:r>
              <w:rPr>
                <w:rFonts w:ascii="Arial" w:cs="Arial" w:eastAsia="Arial" w:hAnsi="Arial"/>
                <w:sz w:val="20"/>
                <w:szCs w:val="20"/>
                <w:color w:val="auto"/>
              </w:rPr>
              <w:t>Aggregates-related downstream product lines</w:t>
            </w: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6,332</w:t>
            </w:r>
          </w:p>
        </w:tc>
        <w:tc>
          <w:tcPr>
            <w:tcW w:w="120" w:type="dxa"/>
            <w:vAlign w:val="bottom"/>
          </w:tcPr>
          <w:p>
            <w:pPr>
              <w:spacing w:after="0"/>
              <w:rPr>
                <w:sz w:val="21"/>
                <w:szCs w:val="21"/>
                <w:color w:val="auto"/>
              </w:rPr>
            </w:pPr>
          </w:p>
        </w:tc>
      </w:tr>
      <w:tr>
        <w:trPr>
          <w:trHeight w:val="243"/>
        </w:trPr>
        <w:tc>
          <w:tcPr>
            <w:tcW w:w="9440" w:type="dxa"/>
            <w:vAlign w:val="bottom"/>
            <w:shd w:val="clear" w:color="auto" w:fill="CFF0FC"/>
          </w:tcPr>
          <w:p>
            <w:pPr>
              <w:spacing w:after="0"/>
              <w:rPr>
                <w:sz w:val="20"/>
                <w:szCs w:val="20"/>
                <w:color w:val="auto"/>
              </w:rPr>
            </w:pPr>
            <w:r>
              <w:rPr>
                <w:rFonts w:ascii="Arial" w:cs="Arial" w:eastAsia="Arial" w:hAnsi="Arial"/>
                <w:sz w:val="20"/>
                <w:szCs w:val="20"/>
                <w:color w:val="auto"/>
              </w:rPr>
              <w:t>Acquired aggregates business operations</w:t>
            </w:r>
          </w:p>
        </w:tc>
        <w:tc>
          <w:tcPr>
            <w:tcW w:w="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13,859</w:t>
            </w:r>
          </w:p>
        </w:tc>
        <w:tc>
          <w:tcPr>
            <w:tcW w:w="120" w:type="dxa"/>
            <w:vAlign w:val="bottom"/>
            <w:shd w:val="clear" w:color="auto" w:fill="CFF0FC"/>
          </w:tcPr>
          <w:p>
            <w:pPr>
              <w:spacing w:after="0"/>
              <w:rPr>
                <w:sz w:val="21"/>
                <w:szCs w:val="21"/>
                <w:color w:val="auto"/>
              </w:rPr>
            </w:pPr>
          </w:p>
        </w:tc>
      </w:tr>
      <w:tr>
        <w:trPr>
          <w:trHeight w:val="243"/>
        </w:trPr>
        <w:tc>
          <w:tcPr>
            <w:tcW w:w="9440" w:type="dxa"/>
            <w:vAlign w:val="bottom"/>
          </w:tcPr>
          <w:p>
            <w:pPr>
              <w:spacing w:after="0"/>
              <w:rPr>
                <w:sz w:val="20"/>
                <w:szCs w:val="20"/>
                <w:color w:val="auto"/>
              </w:rPr>
            </w:pPr>
            <w:r>
              <w:rPr>
                <w:rFonts w:ascii="Arial" w:cs="Arial" w:eastAsia="Arial" w:hAnsi="Arial"/>
                <w:sz w:val="20"/>
                <w:szCs w:val="20"/>
                <w:color w:val="auto"/>
              </w:rPr>
              <w:t>Acquired cement</w:t>
            </w: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49,400</w:t>
            </w:r>
          </w:p>
        </w:tc>
        <w:tc>
          <w:tcPr>
            <w:tcW w:w="120" w:type="dxa"/>
            <w:vAlign w:val="bottom"/>
          </w:tcPr>
          <w:p>
            <w:pPr>
              <w:spacing w:after="0"/>
              <w:rPr>
                <w:sz w:val="21"/>
                <w:szCs w:val="21"/>
                <w:color w:val="auto"/>
              </w:rPr>
            </w:pPr>
          </w:p>
        </w:tc>
      </w:tr>
      <w:tr>
        <w:trPr>
          <w:trHeight w:val="243"/>
        </w:trPr>
        <w:tc>
          <w:tcPr>
            <w:tcW w:w="9440" w:type="dxa"/>
            <w:vAlign w:val="bottom"/>
            <w:shd w:val="clear" w:color="auto" w:fill="CFF0FC"/>
          </w:tcPr>
          <w:p>
            <w:pPr>
              <w:spacing w:after="0"/>
              <w:rPr>
                <w:sz w:val="20"/>
                <w:szCs w:val="20"/>
                <w:color w:val="auto"/>
              </w:rPr>
            </w:pPr>
            <w:r>
              <w:rPr>
                <w:rFonts w:ascii="Arial" w:cs="Arial" w:eastAsia="Arial" w:hAnsi="Arial"/>
                <w:sz w:val="20"/>
                <w:szCs w:val="20"/>
                <w:color w:val="auto"/>
              </w:rPr>
              <w:t>Decrease in Magnesia Specialties</w:t>
            </w:r>
          </w:p>
        </w:tc>
        <w:tc>
          <w:tcPr>
            <w:tcW w:w="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(747)</w:t>
            </w:r>
          </w:p>
        </w:tc>
      </w:tr>
      <w:tr>
        <w:trPr>
          <w:trHeight w:val="243"/>
        </w:trPr>
        <w:tc>
          <w:tcPr>
            <w:tcW w:w="9440" w:type="dxa"/>
            <w:vAlign w:val="bottom"/>
          </w:tcPr>
          <w:p>
            <w:pPr>
              <w:spacing w:after="0"/>
              <w:rPr>
                <w:sz w:val="20"/>
                <w:szCs w:val="20"/>
                <w:color w:val="auto"/>
              </w:rPr>
            </w:pPr>
            <w:r>
              <w:rPr>
                <w:rFonts w:ascii="Arial" w:cs="Arial" w:eastAsia="Arial" w:hAnsi="Arial"/>
                <w:sz w:val="20"/>
                <w:szCs w:val="20"/>
                <w:color w:val="auto"/>
              </w:rPr>
              <w:t>Decrease in corporate</w:t>
            </w: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20"/>
                <w:szCs w:val="20"/>
                <w:color w:val="auto"/>
              </w:rPr>
              <w:t>(9,575)</w:t>
            </w:r>
          </w:p>
        </w:tc>
      </w:tr>
      <w:tr>
        <w:trPr>
          <w:trHeight w:val="237"/>
        </w:trPr>
        <w:tc>
          <w:tcPr>
            <w:tcW w:w="9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Increase in consolidated gross profit</w:t>
            </w:r>
          </w:p>
        </w:tc>
        <w:tc>
          <w:tcPr>
            <w:tcW w:w="20" w:type="dxa"/>
            <w:vAlign w:val="bottom"/>
            <w:tcBorders>
              <w:top w:val="single" w:sz="8" w:color="CFF0FC"/>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112,976</w:t>
            </w:r>
          </w:p>
        </w:tc>
        <w:tc>
          <w:tcPr>
            <w:tcW w:w="120" w:type="dxa"/>
            <w:vAlign w:val="bottom"/>
            <w:tcBorders>
              <w:top w:val="single" w:sz="8" w:color="CFF0FC"/>
            </w:tcBorders>
            <w:shd w:val="clear" w:color="auto" w:fill="CFF0FC"/>
          </w:tcPr>
          <w:p>
            <w:pPr>
              <w:spacing w:after="0"/>
              <w:rPr>
                <w:sz w:val="20"/>
                <w:szCs w:val="20"/>
                <w:color w:val="auto"/>
              </w:rPr>
            </w:pPr>
          </w:p>
        </w:tc>
      </w:tr>
      <w:tr>
        <w:trPr>
          <w:trHeight w:val="237"/>
        </w:trPr>
        <w:tc>
          <w:tcPr>
            <w:tcW w:w="9440" w:type="dxa"/>
            <w:vAlign w:val="bottom"/>
          </w:tcPr>
          <w:p>
            <w:pPr>
              <w:spacing w:after="0"/>
              <w:rPr>
                <w:sz w:val="20"/>
                <w:szCs w:val="20"/>
                <w:color w:val="auto"/>
              </w:rPr>
            </w:pPr>
            <w:r>
              <w:rPr>
                <w:rFonts w:ascii="Arial" w:cs="Arial" w:eastAsia="Arial" w:hAnsi="Arial"/>
                <w:sz w:val="20"/>
                <w:szCs w:val="20"/>
                <w:color w:val="auto"/>
              </w:rPr>
              <w:t>Consolidated gross profit, six months ended June 30, 2015</w:t>
            </w:r>
          </w:p>
        </w:tc>
        <w:tc>
          <w:tcPr>
            <w:tcW w:w="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274,414</w:t>
            </w:r>
          </w:p>
        </w:tc>
        <w:tc>
          <w:tcPr>
            <w:tcW w:w="120" w:type="dxa"/>
            <w:vAlign w:val="bottom"/>
          </w:tcPr>
          <w:p>
            <w:pPr>
              <w:spacing w:after="0"/>
              <w:rPr>
                <w:sz w:val="20"/>
                <w:szCs w:val="20"/>
                <w:color w:val="auto"/>
              </w:rPr>
            </w:pPr>
          </w:p>
        </w:tc>
      </w:tr>
      <w:tr>
        <w:trPr>
          <w:trHeight w:val="20"/>
        </w:trPr>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45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20" w:type="dxa"/>
            <w:vAlign w:val="bottom"/>
            <w:gridSpan w:val="3"/>
          </w:tcPr>
          <w:p>
            <w:pPr>
              <w:spacing w:after="0"/>
              <w:rPr>
                <w:sz w:val="20"/>
                <w:szCs w:val="20"/>
                <w:color w:val="auto"/>
              </w:rPr>
            </w:pPr>
            <w:r>
              <w:rPr>
                <w:rFonts w:ascii="Arial" w:cs="Arial" w:eastAsia="Arial" w:hAnsi="Arial"/>
                <w:sz w:val="20"/>
                <w:szCs w:val="20"/>
                <w:color w:val="auto"/>
              </w:rPr>
              <w:t>Gross profit (loss) by business is as follows:</w:t>
            </w:r>
          </w:p>
        </w:tc>
        <w:tc>
          <w:tcPr>
            <w:tcW w:w="2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40" w:type="dxa"/>
            <w:vAlign w:val="bottom"/>
            <w:gridSpan w:val="6"/>
            <w:vMerge w:val="restart"/>
          </w:tcPr>
          <w:p>
            <w:pPr>
              <w:jc w:val="center"/>
              <w:ind w:right="460"/>
              <w:spacing w:after="0"/>
              <w:rPr>
                <w:sz w:val="20"/>
                <w:szCs w:val="20"/>
                <w:color w:val="auto"/>
              </w:rPr>
            </w:pPr>
            <w:r>
              <w:rPr>
                <w:rFonts w:ascii="Arial" w:cs="Arial" w:eastAsia="Arial" w:hAnsi="Arial"/>
                <w:sz w:val="20"/>
                <w:szCs w:val="20"/>
                <w:color w:val="auto"/>
                <w:w w:val="91"/>
              </w:rPr>
              <w:t>Six Months Ended</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4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4"/>
          </w:tcPr>
          <w:p>
            <w:pPr>
              <w:jc w:val="center"/>
              <w:ind w:left="801"/>
              <w:spacing w:after="0"/>
              <w:rPr>
                <w:sz w:val="20"/>
                <w:szCs w:val="20"/>
                <w:color w:val="auto"/>
              </w:rPr>
            </w:pPr>
            <w:r>
              <w:rPr>
                <w:rFonts w:ascii="Arial" w:cs="Arial" w:eastAsia="Arial" w:hAnsi="Arial"/>
                <w:sz w:val="20"/>
                <w:szCs w:val="20"/>
                <w:color w:val="auto"/>
                <w:w w:val="85"/>
              </w:rPr>
              <w:t>June 30,</w:t>
            </w: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2015</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gridSpan w:val="5"/>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shd w:val="clear" w:color="auto" w:fill="CFF0FC"/>
          </w:tcPr>
          <w:p>
            <w:pPr>
              <w:spacing w:after="0" w:line="203" w:lineRule="exact"/>
              <w:rPr>
                <w:sz w:val="20"/>
                <w:szCs w:val="20"/>
                <w:color w:val="auto"/>
              </w:rPr>
            </w:pPr>
            <w:r>
              <w:rPr>
                <w:rFonts w:ascii="Arial" w:cs="Arial" w:eastAsia="Arial" w:hAnsi="Arial"/>
                <w:sz w:val="20"/>
                <w:szCs w:val="20"/>
                <w:color w:val="auto"/>
              </w:rPr>
              <w:t>Gross profit (loss):</w:t>
            </w:r>
          </w:p>
        </w:tc>
        <w:tc>
          <w:tcPr>
            <w:tcW w:w="2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Heritage:</w:t>
            </w:r>
          </w:p>
        </w:tc>
        <w:tc>
          <w:tcPr>
            <w:tcW w:w="4120" w:type="dxa"/>
            <w:vAlign w:val="bottom"/>
            <w:tcBorders>
              <w:top w:val="single" w:sz="8" w:color="CFF0FC"/>
            </w:tcBorders>
          </w:tcPr>
          <w:p>
            <w:pPr>
              <w:spacing w:after="0"/>
              <w:rPr>
                <w:sz w:val="21"/>
                <w:szCs w:val="21"/>
                <w:color w:val="auto"/>
              </w:rPr>
            </w:pPr>
          </w:p>
        </w:tc>
        <w:tc>
          <w:tcPr>
            <w:tcW w:w="2120" w:type="dxa"/>
            <w:vAlign w:val="bottom"/>
            <w:tcBorders>
              <w:top w:val="single" w:sz="8" w:color="CFF0FC"/>
            </w:tcBorders>
          </w:tcPr>
          <w:p>
            <w:pPr>
              <w:spacing w:after="0"/>
              <w:rPr>
                <w:sz w:val="21"/>
                <w:szCs w:val="21"/>
                <w:color w:val="auto"/>
              </w:rPr>
            </w:pPr>
          </w:p>
        </w:tc>
        <w:tc>
          <w:tcPr>
            <w:tcW w:w="340" w:type="dxa"/>
            <w:vAlign w:val="bottom"/>
            <w:tcBorders>
              <w:top w:val="single" w:sz="8" w:color="CFF0FC"/>
            </w:tcBorders>
          </w:tcPr>
          <w:p>
            <w:pPr>
              <w:spacing w:after="0"/>
              <w:rPr>
                <w:sz w:val="21"/>
                <w:szCs w:val="21"/>
                <w:color w:val="auto"/>
              </w:rPr>
            </w:pPr>
          </w:p>
        </w:tc>
        <w:tc>
          <w:tcPr>
            <w:tcW w:w="128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460" w:type="dxa"/>
            <w:vAlign w:val="bottom"/>
            <w:tcBorders>
              <w:top w:val="single" w:sz="8" w:color="CFF0FC"/>
            </w:tcBorders>
          </w:tcPr>
          <w:p>
            <w:pPr>
              <w:spacing w:after="0"/>
              <w:rPr>
                <w:sz w:val="21"/>
                <w:szCs w:val="21"/>
                <w:color w:val="auto"/>
              </w:rPr>
            </w:pPr>
          </w:p>
        </w:tc>
        <w:tc>
          <w:tcPr>
            <w:tcW w:w="128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CFF0FC"/>
          </w:tcPr>
          <w:p>
            <w:pPr>
              <w:ind w:left="480"/>
              <w:spacing w:after="0"/>
              <w:rPr>
                <w:sz w:val="20"/>
                <w:szCs w:val="20"/>
                <w:color w:val="auto"/>
              </w:rPr>
            </w:pPr>
            <w:r>
              <w:rPr>
                <w:rFonts w:ascii="Arial" w:cs="Arial" w:eastAsia="Arial" w:hAnsi="Arial"/>
                <w:sz w:val="20"/>
                <w:szCs w:val="20"/>
                <w:color w:val="auto"/>
              </w:rPr>
              <w:t>Aggregates</w:t>
            </w:r>
          </w:p>
        </w:tc>
        <w:tc>
          <w:tcPr>
            <w:tcW w:w="2460" w:type="dxa"/>
            <w:vAlign w:val="bottom"/>
            <w:gridSpan w:val="2"/>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163,901</w:t>
            </w:r>
          </w:p>
        </w:tc>
        <w:tc>
          <w:tcPr>
            <w:tcW w:w="1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61"/>
              <w:spacing w:after="0"/>
              <w:rPr>
                <w:sz w:val="20"/>
                <w:szCs w:val="20"/>
                <w:color w:val="auto"/>
              </w:rPr>
            </w:pPr>
            <w:r>
              <w:rPr>
                <w:rFonts w:ascii="Arial" w:cs="Arial" w:eastAsia="Arial" w:hAnsi="Arial"/>
                <w:sz w:val="20"/>
                <w:szCs w:val="20"/>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110,194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480"/>
              <w:spacing w:after="0"/>
              <w:rPr>
                <w:sz w:val="20"/>
                <w:szCs w:val="20"/>
                <w:color w:val="auto"/>
              </w:rPr>
            </w:pPr>
            <w:r>
              <w:rPr>
                <w:rFonts w:ascii="Arial" w:cs="Arial" w:eastAsia="Arial" w:hAnsi="Arial"/>
                <w:sz w:val="20"/>
                <w:szCs w:val="20"/>
                <w:color w:val="auto"/>
              </w:rPr>
              <w:t>Asphalt</w:t>
            </w:r>
          </w:p>
        </w:tc>
        <w:tc>
          <w:tcPr>
            <w:tcW w:w="2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2,851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3,443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CFF0FC"/>
          </w:tcPr>
          <w:p>
            <w:pPr>
              <w:ind w:left="480"/>
              <w:spacing w:after="0"/>
              <w:rPr>
                <w:sz w:val="20"/>
                <w:szCs w:val="20"/>
                <w:color w:val="auto"/>
              </w:rPr>
            </w:pPr>
            <w:r>
              <w:rPr>
                <w:rFonts w:ascii="Arial" w:cs="Arial" w:eastAsia="Arial" w:hAnsi="Arial"/>
                <w:sz w:val="20"/>
                <w:szCs w:val="20"/>
                <w:color w:val="auto"/>
              </w:rPr>
              <w:t>Ready Mixed Concrete</w:t>
            </w:r>
          </w:p>
        </w:tc>
        <w:tc>
          <w:tcPr>
            <w:tcW w:w="2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12,354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9,926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480"/>
              <w:spacing w:after="0"/>
              <w:rPr>
                <w:sz w:val="20"/>
                <w:szCs w:val="20"/>
                <w:color w:val="auto"/>
              </w:rPr>
            </w:pPr>
            <w:r>
              <w:rPr>
                <w:rFonts w:ascii="Arial" w:cs="Arial" w:eastAsia="Arial" w:hAnsi="Arial"/>
                <w:sz w:val="20"/>
                <w:szCs w:val="20"/>
                <w:color w:val="auto"/>
              </w:rPr>
              <w:t>Road Paving</w:t>
            </w:r>
          </w:p>
        </w:tc>
        <w:tc>
          <w:tcPr>
            <w:tcW w:w="2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(4,231)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top w:val="single" w:sz="8" w:color="CFF0FC"/>
            </w:tcBorders>
            <w:gridSpan w:val="2"/>
            <w:shd w:val="clear" w:color="auto" w:fill="CFF0FC"/>
          </w:tcPr>
          <w:p>
            <w:pPr>
              <w:ind w:left="480"/>
              <w:spacing w:after="0"/>
              <w:rPr>
                <w:sz w:val="20"/>
                <w:szCs w:val="20"/>
                <w:color w:val="auto"/>
              </w:rPr>
            </w:pPr>
            <w:r>
              <w:rPr>
                <w:rFonts w:ascii="Arial" w:cs="Arial" w:eastAsia="Arial" w:hAnsi="Arial"/>
                <w:sz w:val="20"/>
                <w:szCs w:val="20"/>
                <w:color w:val="auto"/>
              </w:rPr>
              <w:t>Total Aggregates Business</w:t>
            </w:r>
          </w:p>
        </w:tc>
        <w:tc>
          <w:tcPr>
            <w:tcW w:w="212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179,371</w:t>
            </w:r>
          </w:p>
        </w:tc>
        <w:tc>
          <w:tcPr>
            <w:tcW w:w="1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119,332</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240"/>
              <w:spacing w:after="0"/>
              <w:rPr>
                <w:sz w:val="20"/>
                <w:szCs w:val="20"/>
                <w:color w:val="auto"/>
              </w:rPr>
            </w:pPr>
            <w:r>
              <w:rPr>
                <w:rFonts w:ascii="Arial" w:cs="Arial" w:eastAsia="Arial" w:hAnsi="Arial"/>
                <w:sz w:val="20"/>
                <w:szCs w:val="20"/>
                <w:color w:val="auto"/>
              </w:rPr>
              <w:t>Magnesia Specialties</w:t>
            </w:r>
          </w:p>
        </w:tc>
        <w:tc>
          <w:tcPr>
            <w:tcW w:w="2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41,402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42,149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Corporate</w:t>
            </w:r>
          </w:p>
        </w:tc>
        <w:tc>
          <w:tcPr>
            <w:tcW w:w="2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(8,298)</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37"/>
        </w:trPr>
        <w:tc>
          <w:tcPr>
            <w:tcW w:w="5620" w:type="dxa"/>
            <w:vAlign w:val="bottom"/>
            <w:gridSpan w:val="3"/>
          </w:tcPr>
          <w:p>
            <w:pPr>
              <w:spacing w:after="0"/>
              <w:rPr>
                <w:sz w:val="20"/>
                <w:szCs w:val="20"/>
                <w:color w:val="auto"/>
              </w:rPr>
            </w:pPr>
            <w:r>
              <w:rPr>
                <w:rFonts w:ascii="Arial" w:cs="Arial" w:eastAsia="Arial" w:hAnsi="Arial"/>
                <w:sz w:val="20"/>
                <w:szCs w:val="20"/>
                <w:color w:val="auto"/>
              </w:rPr>
              <w:t>Total Heritage</w:t>
            </w:r>
          </w:p>
        </w:tc>
        <w:tc>
          <w:tcPr>
            <w:tcW w:w="2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212,475</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161,438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Acquisitions:</w:t>
            </w:r>
          </w:p>
        </w:tc>
        <w:tc>
          <w:tcPr>
            <w:tcW w:w="212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240"/>
              <w:spacing w:after="0"/>
              <w:rPr>
                <w:sz w:val="20"/>
                <w:szCs w:val="20"/>
                <w:color w:val="auto"/>
              </w:rPr>
            </w:pPr>
            <w:r>
              <w:rPr>
                <w:rFonts w:ascii="Arial" w:cs="Arial" w:eastAsia="Arial" w:hAnsi="Arial"/>
                <w:sz w:val="20"/>
                <w:szCs w:val="20"/>
                <w:color w:val="auto"/>
              </w:rPr>
              <w:t>Aggregates</w:t>
            </w:r>
          </w:p>
        </w:tc>
        <w:tc>
          <w:tcPr>
            <w:tcW w:w="2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14,790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Ready Mixed Concrete</w:t>
            </w:r>
          </w:p>
        </w:tc>
        <w:tc>
          <w:tcPr>
            <w:tcW w:w="2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(931)</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240"/>
              <w:spacing w:after="0"/>
              <w:rPr>
                <w:sz w:val="20"/>
                <w:szCs w:val="20"/>
                <w:color w:val="auto"/>
              </w:rPr>
            </w:pPr>
            <w:r>
              <w:rPr>
                <w:rFonts w:ascii="Arial" w:cs="Arial" w:eastAsia="Arial" w:hAnsi="Arial"/>
                <w:sz w:val="20"/>
                <w:szCs w:val="20"/>
                <w:color w:val="auto"/>
              </w:rPr>
              <w:t>Cement</w:t>
            </w:r>
          </w:p>
        </w:tc>
        <w:tc>
          <w:tcPr>
            <w:tcW w:w="2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49,400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Corporate</w:t>
            </w:r>
          </w:p>
        </w:tc>
        <w:tc>
          <w:tcPr>
            <w:tcW w:w="2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(1,320)</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5620" w:type="dxa"/>
            <w:vAlign w:val="bottom"/>
            <w:gridSpan w:val="3"/>
          </w:tcPr>
          <w:p>
            <w:pPr>
              <w:spacing w:after="0"/>
              <w:rPr>
                <w:sz w:val="20"/>
                <w:szCs w:val="20"/>
                <w:color w:val="auto"/>
              </w:rPr>
            </w:pPr>
            <w:r>
              <w:rPr>
                <w:rFonts w:ascii="Arial" w:cs="Arial" w:eastAsia="Arial" w:hAnsi="Arial"/>
                <w:sz w:val="20"/>
                <w:szCs w:val="20"/>
                <w:color w:val="auto"/>
              </w:rPr>
              <w:t>Total Acquisitions</w:t>
            </w:r>
          </w:p>
        </w:tc>
        <w:tc>
          <w:tcPr>
            <w:tcW w:w="2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61,939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Total</w:t>
            </w:r>
          </w:p>
        </w:tc>
        <w:tc>
          <w:tcPr>
            <w:tcW w:w="212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274,414</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ind w:right="261"/>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161,438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Consolidated SG&amp;A expenses were 7.2% of net sales, flat compared with the prior-year period.</w:t>
      </w:r>
    </w:p>
    <w:p>
      <w:pPr>
        <w:spacing w:after="0" w:line="216"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auto"/>
        </w:rPr>
        <w:t>For the first six months, consolidated other operating income and expenses, net, was an expense of $1.9 million in 2015 compared with income of $4.8 million in 2014, due in part to higher customer accounts receivable writeoffs in 2015 and higher gains on the disposal of assets in 2014. The 10-year average of annual accounts receivable writeoffs has been $2 million. During the six months ended June 30, 2015, the Corporation reserved two large accounts and wrote-off a customer account who declared bankruptcy, collectively totaling $4.0 million. Conversely, the six months ended June 30, 2014, the Corporation had bad debt recoveries of $0.6 million.</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addition to other offsetting amounts, other nonoperating income and expenses, net, are comprised generally of interest income and net equity earnings from nonconsolidated investments. Consolidated other nonoperating income and expenses, net, for the six months ended June 30 was income of $2.1 million in 2015 compared with expense of $3.2 million in 2014, primarily driven by increased income from nonconsolidated affiliates.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46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Cash provided by operating activities for the six months ended June 30, 2015 was $127.1 million compared with $70.4 million for the same period in 2014. The increase was primarily attributable to higher earnings before depreciation, depletion and amortization expense, partially offset by increased cash payments in 2015 for 2014 taxes that were ineligible for NOL utilization. Operating cash flow is primarily derived from consolidated net earnings before deducting depreciation, depletion and amortization, and the impact of changes in working capital. Depreciation, depletion and amortization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20" w:type="dxa"/>
            <w:vAlign w:val="bottom"/>
            <w:gridSpan w:val="4"/>
          </w:tcPr>
          <w:p>
            <w:pPr>
              <w:jc w:val="center"/>
              <w:ind w:right="381"/>
              <w:spacing w:after="0"/>
              <w:rPr>
                <w:sz w:val="20"/>
                <w:szCs w:val="20"/>
                <w:color w:val="auto"/>
              </w:rPr>
            </w:pPr>
            <w:r>
              <w:rPr>
                <w:rFonts w:ascii="Arial" w:cs="Arial" w:eastAsia="Arial" w:hAnsi="Arial"/>
                <w:sz w:val="20"/>
                <w:szCs w:val="20"/>
                <w:color w:val="auto"/>
                <w:w w:val="91"/>
              </w:rPr>
              <w:t>Six Months Ended</w:t>
            </w:r>
          </w:p>
        </w:tc>
      </w:tr>
      <w:tr>
        <w:trPr>
          <w:trHeight w:val="246"/>
        </w:trPr>
        <w:tc>
          <w:tcPr>
            <w:tcW w:w="79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20"/>
                <w:szCs w:val="20"/>
                <w:color w:val="auto"/>
                <w:w w:val="85"/>
              </w:rPr>
              <w:t>June 30,</w:t>
            </w:r>
          </w:p>
        </w:tc>
        <w:tc>
          <w:tcPr>
            <w:tcW w:w="1280" w:type="dxa"/>
            <w:vAlign w:val="bottom"/>
            <w:tcBorders>
              <w:bottom w:val="single" w:sz="8" w:color="auto"/>
            </w:tcBorders>
          </w:tcPr>
          <w:p>
            <w:pPr>
              <w:spacing w:after="0"/>
              <w:rPr>
                <w:sz w:val="21"/>
                <w:szCs w:val="21"/>
                <w:color w:val="auto"/>
              </w:rPr>
            </w:pPr>
          </w:p>
        </w:tc>
      </w:tr>
      <w:tr>
        <w:trPr>
          <w:trHeight w:val="237"/>
        </w:trPr>
        <w:tc>
          <w:tcPr>
            <w:tcW w:w="7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2015</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2014</w:t>
            </w:r>
          </w:p>
        </w:tc>
      </w:tr>
      <w:tr>
        <w:trPr>
          <w:trHeight w:val="233"/>
        </w:trPr>
        <w:tc>
          <w:tcPr>
            <w:tcW w:w="7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4"/>
          </w:tcPr>
          <w:p>
            <w:pPr>
              <w:jc w:val="center"/>
              <w:ind w:right="381"/>
              <w:spacing w:after="0"/>
              <w:rPr>
                <w:sz w:val="20"/>
                <w:szCs w:val="20"/>
                <w:color w:val="auto"/>
              </w:rPr>
            </w:pPr>
            <w:r>
              <w:rPr>
                <w:rFonts w:ascii="Arial" w:cs="Arial" w:eastAsia="Arial" w:hAnsi="Arial"/>
                <w:sz w:val="20"/>
                <w:szCs w:val="20"/>
                <w:i w:val="1"/>
                <w:iCs w:val="1"/>
                <w:color w:val="auto"/>
                <w:w w:val="91"/>
              </w:rPr>
              <w:t>(Dollars in Thousands)</w:t>
            </w:r>
          </w:p>
        </w:tc>
      </w:tr>
      <w:tr>
        <w:trPr>
          <w:trHeight w:val="246"/>
        </w:trPr>
        <w:tc>
          <w:tcPr>
            <w:tcW w:w="7960" w:type="dxa"/>
            <w:vAlign w:val="bottom"/>
          </w:tcPr>
          <w:p>
            <w:pPr>
              <w:spacing w:after="0"/>
              <w:rPr>
                <w:sz w:val="20"/>
                <w:szCs w:val="20"/>
                <w:color w:val="auto"/>
              </w:rPr>
            </w:pPr>
            <w:r>
              <w:rPr>
                <w:rFonts w:ascii="Arial" w:cs="Arial" w:eastAsia="Arial" w:hAnsi="Arial"/>
                <w:sz w:val="20"/>
                <w:szCs w:val="20"/>
                <w:color w:val="auto"/>
              </w:rPr>
              <w:t>Depreciation</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119,807</w:t>
            </w:r>
          </w:p>
        </w:tc>
        <w:tc>
          <w:tcPr>
            <w:tcW w:w="120" w:type="dxa"/>
            <w:vAlign w:val="bottom"/>
          </w:tcPr>
          <w:p>
            <w:pPr>
              <w:spacing w:after="0"/>
              <w:rPr>
                <w:sz w:val="21"/>
                <w:szCs w:val="21"/>
                <w:color w:val="auto"/>
              </w:rPr>
            </w:pPr>
          </w:p>
        </w:tc>
        <w:tc>
          <w:tcPr>
            <w:tcW w:w="400" w:type="dxa"/>
            <w:vAlign w:val="bottom"/>
          </w:tcPr>
          <w:p>
            <w:pPr>
              <w:jc w:val="right"/>
              <w:ind w:right="201"/>
              <w:spacing w:after="0"/>
              <w:rPr>
                <w:sz w:val="20"/>
                <w:szCs w:val="20"/>
                <w:color w:val="auto"/>
              </w:rPr>
            </w:pPr>
            <w:r>
              <w:rPr>
                <w:rFonts w:ascii="Arial" w:cs="Arial" w:eastAsia="Arial" w:hAnsi="Arial"/>
                <w:sz w:val="20"/>
                <w:szCs w:val="20"/>
                <w:color w:val="auto"/>
                <w:w w:val="71"/>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80,952</w:t>
            </w:r>
          </w:p>
        </w:tc>
      </w:tr>
      <w:tr>
        <w:trPr>
          <w:trHeight w:val="243"/>
        </w:trPr>
        <w:tc>
          <w:tcPr>
            <w:tcW w:w="7960" w:type="dxa"/>
            <w:vAlign w:val="bottom"/>
            <w:shd w:val="clear" w:color="auto" w:fill="CFF0FC"/>
          </w:tcPr>
          <w:p>
            <w:pPr>
              <w:spacing w:after="0"/>
              <w:rPr>
                <w:sz w:val="20"/>
                <w:szCs w:val="20"/>
                <w:color w:val="auto"/>
              </w:rPr>
            </w:pPr>
            <w:r>
              <w:rPr>
                <w:rFonts w:ascii="Arial" w:cs="Arial" w:eastAsia="Arial" w:hAnsi="Arial"/>
                <w:sz w:val="20"/>
                <w:szCs w:val="20"/>
                <w:color w:val="auto"/>
              </w:rPr>
              <w:t>Depletion</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6,452</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2,696</w:t>
            </w:r>
          </w:p>
        </w:tc>
      </w:tr>
      <w:tr>
        <w:trPr>
          <w:trHeight w:val="243"/>
        </w:trPr>
        <w:tc>
          <w:tcPr>
            <w:tcW w:w="79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Amortization</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8,699</w:t>
            </w:r>
          </w:p>
        </w:tc>
        <w:tc>
          <w:tcPr>
            <w:tcW w:w="12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2,499</w:t>
            </w:r>
          </w:p>
        </w:tc>
      </w:tr>
      <w:tr>
        <w:trPr>
          <w:trHeight w:val="237"/>
        </w:trPr>
        <w:tc>
          <w:tcPr>
            <w:tcW w:w="79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rPr>
              <w:t>134,958</w:t>
            </w: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01"/>
              <w:spacing w:after="0"/>
              <w:rPr>
                <w:sz w:val="20"/>
                <w:szCs w:val="20"/>
                <w:color w:val="auto"/>
              </w:rPr>
            </w:pPr>
            <w:r>
              <w:rPr>
                <w:rFonts w:ascii="Arial" w:cs="Arial" w:eastAsia="Arial" w:hAnsi="Arial"/>
                <w:sz w:val="20"/>
                <w:szCs w:val="20"/>
                <w:color w:val="auto"/>
                <w:w w:val="71"/>
              </w:rPr>
              <w:t>$</w:t>
            </w:r>
          </w:p>
        </w:tc>
        <w:tc>
          <w:tcPr>
            <w:tcW w:w="12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rPr>
              <w:t>86,147</w:t>
            </w:r>
          </w:p>
        </w:tc>
      </w:tr>
      <w:tr>
        <w:trPr>
          <w:trHeight w:val="20"/>
        </w:trPr>
        <w:tc>
          <w:tcPr>
            <w:tcW w:w="7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increase in depreciation, depletion and amortization expense is attributable to the acquired property, plant and equipment and other intangible assets from business combinations, primarily TXI. Depreciation, depletion and amortization expense for the acquired businesses was $44.6 million for the six months ended June 30, 2015.</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seasonal nature of the construction aggregates business impacts quarterly operating cash flow when compared with the full year. Full-year 2014 net cash provided by operating activities was $381.7 million compared with $70.4 million for the first six months of 2014. For the year, the Corporation expects to utilize allowable federal net operating loss carryforwards of $363 million acquired with TXI.</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During the first six months ended June 30, 2015, the Corporation invested $128.0 million of capital into its business. Full-year capital spending is expected to be approximately $330 million. Comparable full-year capital expenditures were $232.2 million in 2014, including $80 million for the Medina Rock and Rail (“Medina”) capital project. With a budgeted cost of nearly $160 million, the Medina project is the largest capital expansion project in the Corporation’s history. The project, located outside of San Antonio, consists of building a rail-connected limestone aggregates processing facility with the capability of producing in excess of 10 million tons per year.</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Corporation can repurchase its common stock through open-market purchases pursuant to authority granted by its Board of Directors or through private transactions at such prices and upon such terms as the Chief Executive Officer deems appropriate. During the six months ended June 30, 2015, the Corporation repurchased 670,000 shares of common stock. At June 30, 2015, 19,330,000 shares of common stock were remaining under the Corporation’s repurchase authorization.</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Corporation entered into a definitive agreement to sell its California cement business for $420 million. The sale, which is subject to regulatory approval under the Hart-Scott-Rodino Act and customary conditions, is expected to close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47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the third quarter of 2015. While the Corporation believes the California cement plant is one of the most up-to-date plants in the region, it is not in close proximity to other core assets of the Corporation and, unlike other marketplace competitors, is not vertically integrated with ready mixed concrete production. After careful evaluation, it was determined a divestiture is the best avenue to maximize shareholder value. The Corporation expects to use the proceeds from the sale to repurchase additional shares of its stock.</w:t>
      </w:r>
    </w:p>
    <w:p>
      <w:pPr>
        <w:spacing w:after="0" w:line="177"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The Credit Agreement (which consists of a $250 million Term Loan Facility and a $350 million Revolving Facility) requires the Corporation’s ratio of consolidated debt to consolidated earnings before interest, taxes, depreciation, depletion and amortization (“EBITDA”), as defined, for the trailing twelve month period (the “Ratio”) to not exceed 3.50x as of the end of any fiscal quarter, provided that the Corporation may exclude from the Ratio debt incurred in connection with certain acquisitions for a period of 180 days so long as the Corporation, as a consequence of such specified acquisition, does not have its ratings on long-term unsecured debt fall below BBB by Standard &amp; Poor’s or Baa2 by Moody’s and the Ratio calculated without such exclusion does not exceed 3.75x. Additionally, if there are no amounts outstanding under the Revolving Facility, consolidated debt, including debt for which the Corporation is a co-borrower, will be reduced for purposes of the covenant calculation by the Corporation’s unrestricted cash and cash equivalents in excess of $50 million, such reduction not to exceed $200 million.</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Ratio is calculated as debt, including debt for which the Corporation is a co-borrower, divided by consolidated EBITDA, as defined by the Credit Agreement, for the trailing twelve months. Consolidated EBITDA is generally defined as earnings before interest expense, income tax expense, and depreciation, depletion and amortization expense for continuing operations. Additionally, stock-based compensation expense is added back and interest income is deducted in the calculation of consolidated EBITDA. Certain other nonrecurring noncash items, if they occur, can affect the calculation of consolidated EBITDA.</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2014, the Corporation amended the Credit Agreement to ensure the impact of the business combination with TXI does not impair liquidity available under the Term Loan Facility and the Revolving Facility. The amendment adjusts consolidated EBITDA to add back fees, costs or expenses relating to the TXI business combination incurred on or prior to the closing of the combination not to exceed $95,000,000; any integration or similar costs or expenses related to the TXI business combination incurred in any period prior to the second anniversary of the closing of the TXI business combination not to exceed $70,000,000; and any make-whole fees incurred in connection with the redemption of TXI’s 9.25% senior notes due 2020.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48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June 30, 2015, the Corporation’s ratio of consolidated debt to consolidated EBITDA, as defined, for the trailing twelve months EBITDA was 2.36 times and was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gridSpan w:val="2"/>
          </w:tcPr>
          <w:p>
            <w:pPr>
              <w:jc w:val="center"/>
              <w:ind w:right="300"/>
              <w:spacing w:after="0"/>
              <w:rPr>
                <w:sz w:val="20"/>
                <w:szCs w:val="20"/>
                <w:color w:val="auto"/>
              </w:rPr>
            </w:pPr>
            <w:r>
              <w:rPr>
                <w:rFonts w:ascii="Arial" w:cs="Arial" w:eastAsia="Arial" w:hAnsi="Arial"/>
                <w:sz w:val="20"/>
                <w:szCs w:val="20"/>
                <w:color w:val="auto"/>
                <w:w w:val="90"/>
              </w:rPr>
              <w:t>July 1, 2014 to</w:t>
            </w:r>
          </w:p>
        </w:tc>
        <w:tc>
          <w:tcPr>
            <w:tcW w:w="0" w:type="dxa"/>
            <w:vAlign w:val="bottom"/>
          </w:tcPr>
          <w:p>
            <w:pPr>
              <w:spacing w:after="0"/>
              <w:rPr>
                <w:sz w:val="1"/>
                <w:szCs w:val="1"/>
                <w:color w:val="auto"/>
              </w:rPr>
            </w:pPr>
          </w:p>
        </w:tc>
      </w:tr>
      <w:tr>
        <w:trPr>
          <w:trHeight w:val="246"/>
        </w:trPr>
        <w:tc>
          <w:tcPr>
            <w:tcW w:w="7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gridSpan w:val="2"/>
          </w:tcPr>
          <w:p>
            <w:pPr>
              <w:jc w:val="center"/>
              <w:ind w:right="300"/>
              <w:spacing w:after="0"/>
              <w:rPr>
                <w:sz w:val="20"/>
                <w:szCs w:val="20"/>
                <w:color w:val="auto"/>
              </w:rPr>
            </w:pPr>
            <w:r>
              <w:rPr>
                <w:rFonts w:ascii="Arial" w:cs="Arial" w:eastAsia="Arial" w:hAnsi="Arial"/>
                <w:sz w:val="20"/>
                <w:szCs w:val="20"/>
                <w:color w:val="auto"/>
                <w:w w:val="86"/>
              </w:rPr>
              <w:t>June 30, 2015</w:t>
            </w:r>
          </w:p>
        </w:tc>
        <w:tc>
          <w:tcPr>
            <w:tcW w:w="0" w:type="dxa"/>
            <w:vAlign w:val="bottom"/>
          </w:tcPr>
          <w:p>
            <w:pPr>
              <w:spacing w:after="0"/>
              <w:rPr>
                <w:sz w:val="1"/>
                <w:szCs w:val="1"/>
                <w:color w:val="auto"/>
              </w:rPr>
            </w:pPr>
          </w:p>
        </w:tc>
      </w:tr>
      <w:tr>
        <w:trPr>
          <w:trHeight w:val="233"/>
        </w:trPr>
        <w:tc>
          <w:tcPr>
            <w:tcW w:w="7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center"/>
              <w:ind w:right="101"/>
              <w:spacing w:after="0"/>
              <w:rPr>
                <w:sz w:val="20"/>
                <w:szCs w:val="20"/>
                <w:color w:val="auto"/>
              </w:rPr>
            </w:pPr>
            <w:r>
              <w:rPr>
                <w:rFonts w:ascii="Arial" w:cs="Arial" w:eastAsia="Arial" w:hAnsi="Arial"/>
                <w:sz w:val="20"/>
                <w:szCs w:val="20"/>
                <w:i w:val="1"/>
                <w:iCs w:val="1"/>
                <w:color w:val="auto"/>
                <w:w w:val="92"/>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660" w:type="dxa"/>
            <w:vAlign w:val="bottom"/>
          </w:tcPr>
          <w:p>
            <w:pPr>
              <w:spacing w:after="0"/>
              <w:rPr>
                <w:sz w:val="20"/>
                <w:szCs w:val="20"/>
                <w:color w:val="auto"/>
              </w:rPr>
            </w:pPr>
            <w:r>
              <w:rPr>
                <w:rFonts w:ascii="Arial" w:cs="Arial" w:eastAsia="Arial" w:hAnsi="Arial"/>
                <w:sz w:val="20"/>
                <w:szCs w:val="20"/>
                <w:color w:val="auto"/>
              </w:rPr>
              <w:t>Earnings from continuing operations attributable to Martin Marietta</w:t>
            </w:r>
          </w:p>
        </w:tc>
        <w:tc>
          <w:tcPr>
            <w:tcW w:w="14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160" w:type="dxa"/>
            <w:vAlign w:val="bottom"/>
          </w:tcPr>
          <w:p>
            <w:pPr>
              <w:jc w:val="right"/>
              <w:spacing w:after="0"/>
              <w:rPr>
                <w:sz w:val="20"/>
                <w:szCs w:val="20"/>
                <w:color w:val="auto"/>
              </w:rPr>
            </w:pPr>
            <w:r>
              <w:rPr>
                <w:rFonts w:ascii="Arial" w:cs="Arial" w:eastAsia="Arial" w:hAnsi="Arial"/>
                <w:sz w:val="20"/>
                <w:szCs w:val="20"/>
                <w:color w:val="auto"/>
              </w:rPr>
              <w:t>205,729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FF0FC"/>
          </w:tcPr>
          <w:p>
            <w:pPr>
              <w:spacing w:after="0"/>
              <w:rPr>
                <w:sz w:val="20"/>
                <w:szCs w:val="20"/>
                <w:color w:val="auto"/>
              </w:rPr>
            </w:pPr>
            <w:r>
              <w:rPr>
                <w:rFonts w:ascii="Arial" w:cs="Arial" w:eastAsia="Arial" w:hAnsi="Arial"/>
                <w:sz w:val="20"/>
                <w:szCs w:val="20"/>
                <w:color w:val="auto"/>
              </w:rPr>
              <w:t>Add back:</w:t>
            </w:r>
          </w:p>
        </w:tc>
        <w:tc>
          <w:tcPr>
            <w:tcW w:w="1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60"/>
              <w:spacing w:after="0"/>
              <w:rPr>
                <w:sz w:val="20"/>
                <w:szCs w:val="20"/>
                <w:color w:val="auto"/>
              </w:rPr>
            </w:pPr>
            <w:r>
              <w:rPr>
                <w:rFonts w:ascii="Arial" w:cs="Arial" w:eastAsia="Arial" w:hAnsi="Arial"/>
                <w:sz w:val="20"/>
                <w:szCs w:val="20"/>
                <w:color w:val="auto"/>
              </w:rPr>
              <w:t>Interest expense</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79,326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Income tax expense</w:t>
            </w:r>
          </w:p>
        </w:tc>
        <w:tc>
          <w:tcPr>
            <w:tcW w:w="1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117,387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60"/>
              <w:spacing w:after="0"/>
              <w:rPr>
                <w:sz w:val="20"/>
                <w:szCs w:val="20"/>
                <w:color w:val="auto"/>
              </w:rPr>
            </w:pPr>
            <w:r>
              <w:rPr>
                <w:rFonts w:ascii="Arial" w:cs="Arial" w:eastAsia="Arial" w:hAnsi="Arial"/>
                <w:sz w:val="20"/>
                <w:szCs w:val="20"/>
                <w:color w:val="auto"/>
              </w:rPr>
              <w:t>Depreciation, depletion and amortization expense</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267,626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Stock-based compensation expense</w:t>
            </w:r>
          </w:p>
        </w:tc>
        <w:tc>
          <w:tcPr>
            <w:tcW w:w="1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12,147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60"/>
              <w:spacing w:after="0"/>
              <w:rPr>
                <w:sz w:val="20"/>
                <w:szCs w:val="20"/>
                <w:color w:val="auto"/>
              </w:rPr>
            </w:pPr>
            <w:r>
              <w:rPr>
                <w:rFonts w:ascii="Arial" w:cs="Arial" w:eastAsia="Arial" w:hAnsi="Arial"/>
                <w:sz w:val="20"/>
                <w:szCs w:val="20"/>
                <w:color w:val="auto"/>
              </w:rPr>
              <w:t>Acquisition-related expenses, net, related to the TXI acquisition</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31,284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FF0FC"/>
          </w:tcPr>
          <w:p>
            <w:pPr>
              <w:spacing w:after="0"/>
              <w:rPr>
                <w:sz w:val="20"/>
                <w:szCs w:val="20"/>
                <w:color w:val="auto"/>
              </w:rPr>
            </w:pPr>
            <w:r>
              <w:rPr>
                <w:rFonts w:ascii="Arial" w:cs="Arial" w:eastAsia="Arial" w:hAnsi="Arial"/>
                <w:sz w:val="20"/>
                <w:szCs w:val="20"/>
                <w:color w:val="auto"/>
              </w:rPr>
              <w:t>Deduct:</w:t>
            </w:r>
          </w:p>
        </w:tc>
        <w:tc>
          <w:tcPr>
            <w:tcW w:w="1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60"/>
              <w:spacing w:after="0"/>
              <w:rPr>
                <w:sz w:val="20"/>
                <w:szCs w:val="20"/>
                <w:color w:val="auto"/>
              </w:rPr>
            </w:pPr>
            <w:r>
              <w:rPr>
                <w:rFonts w:ascii="Arial" w:cs="Arial" w:eastAsia="Arial" w:hAnsi="Arial"/>
                <w:sz w:val="20"/>
                <w:szCs w:val="20"/>
                <w:color w:val="auto"/>
              </w:rPr>
              <w:t>Interest income</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gridSpan w:val="2"/>
          </w:tcPr>
          <w:p>
            <w:pPr>
              <w:jc w:val="right"/>
              <w:ind w:right="60"/>
              <w:spacing w:after="0"/>
              <w:rPr>
                <w:sz w:val="20"/>
                <w:szCs w:val="20"/>
                <w:color w:val="auto"/>
              </w:rPr>
            </w:pPr>
            <w:r>
              <w:rPr>
                <w:rFonts w:ascii="Arial" w:cs="Arial" w:eastAsia="Arial" w:hAnsi="Arial"/>
                <w:sz w:val="20"/>
                <w:szCs w:val="20"/>
                <w:color w:val="auto"/>
              </w:rPr>
              <w:t>(428)</w:t>
            </w:r>
          </w:p>
        </w:tc>
        <w:tc>
          <w:tcPr>
            <w:tcW w:w="0" w:type="dxa"/>
            <w:vAlign w:val="bottom"/>
          </w:tcPr>
          <w:p>
            <w:pPr>
              <w:spacing w:after="0"/>
              <w:rPr>
                <w:sz w:val="1"/>
                <w:szCs w:val="1"/>
                <w:color w:val="auto"/>
              </w:rPr>
            </w:pPr>
          </w:p>
        </w:tc>
      </w:tr>
      <w:tr>
        <w:trPr>
          <w:trHeight w:val="243"/>
        </w:trPr>
        <w:tc>
          <w:tcPr>
            <w:tcW w:w="7660" w:type="dxa"/>
            <w:vAlign w:val="bottom"/>
            <w:shd w:val="clear" w:color="auto" w:fill="CFF0FC"/>
          </w:tcPr>
          <w:p>
            <w:pPr>
              <w:spacing w:after="0"/>
              <w:rPr>
                <w:sz w:val="20"/>
                <w:szCs w:val="20"/>
                <w:color w:val="auto"/>
              </w:rPr>
            </w:pPr>
            <w:r>
              <w:rPr>
                <w:rFonts w:ascii="Arial" w:cs="Arial" w:eastAsia="Arial" w:hAnsi="Arial"/>
                <w:sz w:val="20"/>
                <w:szCs w:val="20"/>
                <w:color w:val="auto"/>
              </w:rPr>
              <w:t>Consolidated EBITDA, as defined</w:t>
            </w: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2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713,071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20"/>
                <w:szCs w:val="20"/>
                <w:color w:val="auto"/>
              </w:rPr>
              <w:t>Consolidated debt, including debt for which the Corporation is a co-borrower,</w:t>
            </w:r>
          </w:p>
        </w:tc>
        <w:tc>
          <w:tcPr>
            <w:tcW w:w="1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6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7660" w:type="dxa"/>
            <w:vAlign w:val="bottom"/>
          </w:tcPr>
          <w:p>
            <w:pPr>
              <w:ind w:left="160"/>
              <w:spacing w:after="0"/>
              <w:rPr>
                <w:sz w:val="20"/>
                <w:szCs w:val="20"/>
                <w:color w:val="auto"/>
              </w:rPr>
            </w:pPr>
            <w:r>
              <w:rPr>
                <w:rFonts w:ascii="Arial" w:cs="Arial" w:eastAsia="Arial" w:hAnsi="Arial"/>
                <w:sz w:val="20"/>
                <w:szCs w:val="20"/>
                <w:color w:val="auto"/>
              </w:rPr>
              <w:t>at June 30, 2015</w:t>
            </w:r>
          </w:p>
        </w:tc>
        <w:tc>
          <w:tcPr>
            <w:tcW w:w="14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160" w:type="dxa"/>
            <w:vAlign w:val="bottom"/>
          </w:tcPr>
          <w:p>
            <w:pPr>
              <w:jc w:val="right"/>
              <w:spacing w:after="0"/>
              <w:rPr>
                <w:sz w:val="20"/>
                <w:szCs w:val="20"/>
                <w:color w:val="auto"/>
              </w:rPr>
            </w:pPr>
            <w:r>
              <w:rPr>
                <w:rFonts w:ascii="Arial" w:cs="Arial" w:eastAsia="Arial" w:hAnsi="Arial"/>
                <w:sz w:val="20"/>
                <w:szCs w:val="20"/>
                <w:color w:val="auto"/>
              </w:rPr>
              <w:t>1,683,676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660" w:type="dxa"/>
            <w:vAlign w:val="bottom"/>
            <w:tcBorders>
              <w:top w:val="single" w:sz="8" w:color="CFF0FC"/>
            </w:tcBorders>
            <w:shd w:val="clear" w:color="auto" w:fill="CFF0FC"/>
          </w:tcPr>
          <w:p>
            <w:pPr>
              <w:spacing w:after="0" w:line="207" w:lineRule="exact"/>
              <w:rPr>
                <w:sz w:val="20"/>
                <w:szCs w:val="20"/>
                <w:color w:val="auto"/>
              </w:rPr>
            </w:pPr>
            <w:r>
              <w:rPr>
                <w:rFonts w:ascii="Arial" w:cs="Arial" w:eastAsia="Arial" w:hAnsi="Arial"/>
                <w:sz w:val="20"/>
                <w:szCs w:val="20"/>
                <w:color w:val="auto"/>
              </w:rPr>
              <w:t>Consolidated debt to consolidated EBITDA, as defined, at June 30, 2015 for the</w:t>
            </w:r>
          </w:p>
        </w:tc>
        <w:tc>
          <w:tcPr>
            <w:tcW w:w="1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2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76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trailing twelve months EBITDA</w:t>
            </w:r>
          </w:p>
        </w:tc>
        <w:tc>
          <w:tcPr>
            <w:tcW w:w="1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2.36x</w:t>
            </w:r>
          </w:p>
        </w:tc>
        <w:tc>
          <w:tcPr>
            <w:tcW w:w="0" w:type="dxa"/>
            <w:vAlign w:val="bottom"/>
          </w:tcPr>
          <w:p>
            <w:pPr>
              <w:spacing w:after="0"/>
              <w:rPr>
                <w:sz w:val="1"/>
                <w:szCs w:val="1"/>
                <w:color w:val="auto"/>
              </w:rPr>
            </w:pPr>
          </w:p>
        </w:tc>
      </w:tr>
      <w:tr>
        <w:trPr>
          <w:trHeight w:val="20"/>
        </w:trPr>
        <w:tc>
          <w:tcPr>
            <w:tcW w:w="766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right="20"/>
        <w:spacing w:after="0" w:line="386" w:lineRule="auto"/>
        <w:rPr>
          <w:sz w:val="20"/>
          <w:szCs w:val="20"/>
          <w:color w:val="auto"/>
        </w:rPr>
      </w:pPr>
      <w:r>
        <w:rPr>
          <w:rFonts w:ascii="Arial" w:cs="Arial" w:eastAsia="Arial" w:hAnsi="Arial"/>
          <w:sz w:val="16"/>
          <w:szCs w:val="16"/>
          <w:color w:val="auto"/>
        </w:rPr>
        <w:t>The Trade Receivable Facility contains a cross-default provision to the Corporation’s other debt agreements. In the event of a default on the Ratio, the lenders can terminate the Credit Agreement and Trade Receivable Facility and declare any outstanding balances as immediately due.</w:t>
      </w:r>
    </w:p>
    <w:p>
      <w:pPr>
        <w:spacing w:after="0" w:line="8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Cash on hand, along with the Corporation’s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meet capital expenditures and discretionary investment needs, fund certain acquisition opportunities that may arise and allow for payment of dividends for the foreseeable future. At June 30, 2015, the Corporation had $520 million of unused borrowing capacity under its Revolving Facility and Trade Receivable Facility, subject to complying with the related leverage covenant. The Revolving Facility expires on November 29, 2018 and the Trade Receivable Facility expires on September 30, 2016.</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Corporation may be required to obtain financing to fund certain strategic acquisitions, if any such opportunities arise, or to refinance outstanding debt. Any strategic acquisition of size for cash would likely require an appropriate balance of newly-issued equity with debt in order to maintain a composite investment-grade credit rating. Furthermore, the Corporation is exposed to the credit markets, through the interest cost related to its variable-rate debt, which included borrowings under its Term Loan Facility at June 30, 2015. The Corporation is currently rated by three credit rating agencies; two of those agencies’ credit ratings are investment-grade level and the third agency’s credit rating is one level below investment grade. The Corporation’s composite credit rating remains at investment-grade level, which facilitates obtaining financing at lower rates than noninvestment-grade ratings.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49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CONTRACTUAL AND OFF BALANCE SHEET OBLIGATIONS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During 2015, the Corporation entered into an 18-month fixed price fuel contract which totaled $55.4 million and a 15-year railcar lease which totaled $24.8 million at June 30, 2015.</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2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30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Arial" w:cs="Arial" w:eastAsia="Arial" w:hAnsi="Arial"/>
                <w:sz w:val="20"/>
                <w:szCs w:val="20"/>
                <w:color w:val="auto"/>
              </w:rPr>
              <w:t>Total</w:t>
            </w:r>
          </w:p>
        </w:tc>
        <w:tc>
          <w:tcPr>
            <w:tcW w:w="240" w:type="dxa"/>
            <w:vAlign w:val="bottom"/>
          </w:tcPr>
          <w:p>
            <w:pPr>
              <w:spacing w:after="0"/>
              <w:rPr>
                <w:sz w:val="21"/>
                <w:szCs w:val="21"/>
                <w:color w:val="auto"/>
              </w:rPr>
            </w:pPr>
          </w:p>
        </w:tc>
        <w:tc>
          <w:tcPr>
            <w:tcW w:w="1200" w:type="dxa"/>
            <w:vAlign w:val="bottom"/>
          </w:tcPr>
          <w:p>
            <w:pPr>
              <w:jc w:val="right"/>
              <w:ind w:right="301"/>
              <w:spacing w:after="0"/>
              <w:rPr>
                <w:sz w:val="20"/>
                <w:szCs w:val="20"/>
                <w:color w:val="auto"/>
              </w:rPr>
            </w:pPr>
            <w:r>
              <w:rPr>
                <w:rFonts w:ascii="Arial" w:cs="Arial" w:eastAsia="Arial" w:hAnsi="Arial"/>
                <w:sz w:val="20"/>
                <w:szCs w:val="20"/>
                <w:color w:val="auto"/>
              </w:rPr>
              <w:t>&lt; 1 Year</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80"/>
              <w:spacing w:after="0"/>
              <w:rPr>
                <w:sz w:val="20"/>
                <w:szCs w:val="20"/>
                <w:color w:val="auto"/>
              </w:rPr>
            </w:pPr>
            <w:r>
              <w:rPr>
                <w:rFonts w:ascii="Arial" w:cs="Arial" w:eastAsia="Arial" w:hAnsi="Arial"/>
                <w:sz w:val="20"/>
                <w:szCs w:val="20"/>
                <w:color w:val="auto"/>
              </w:rPr>
              <w:t>1 to 3 Years</w:t>
            </w:r>
          </w:p>
        </w:tc>
        <w:tc>
          <w:tcPr>
            <w:tcW w:w="180" w:type="dxa"/>
            <w:vAlign w:val="bottom"/>
          </w:tcPr>
          <w:p>
            <w:pPr>
              <w:spacing w:after="0"/>
              <w:rPr>
                <w:sz w:val="21"/>
                <w:szCs w:val="21"/>
                <w:color w:val="auto"/>
              </w:rPr>
            </w:pPr>
          </w:p>
        </w:tc>
        <w:tc>
          <w:tcPr>
            <w:tcW w:w="1380" w:type="dxa"/>
            <w:vAlign w:val="bottom"/>
            <w:gridSpan w:val="2"/>
          </w:tcPr>
          <w:p>
            <w:pPr>
              <w:ind w:left="80"/>
              <w:spacing w:after="0"/>
              <w:rPr>
                <w:sz w:val="20"/>
                <w:szCs w:val="20"/>
                <w:color w:val="auto"/>
              </w:rPr>
            </w:pPr>
            <w:r>
              <w:rPr>
                <w:rFonts w:ascii="Arial" w:cs="Arial" w:eastAsia="Arial" w:hAnsi="Arial"/>
                <w:sz w:val="20"/>
                <w:szCs w:val="20"/>
                <w:color w:val="auto"/>
              </w:rPr>
              <w:t>3 to 5 Years</w:t>
            </w:r>
          </w:p>
        </w:tc>
        <w:tc>
          <w:tcPr>
            <w:tcW w:w="24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Arial" w:cs="Arial" w:eastAsia="Arial" w:hAnsi="Arial"/>
                <w:sz w:val="20"/>
                <w:szCs w:val="20"/>
                <w:color w:val="auto"/>
              </w:rPr>
              <w:t>&gt; 5 Years</w:t>
            </w:r>
          </w:p>
        </w:tc>
      </w:tr>
      <w:tr>
        <w:trPr>
          <w:trHeight w:val="233"/>
        </w:trPr>
        <w:tc>
          <w:tcPr>
            <w:tcW w:w="20" w:type="dxa"/>
            <w:vAlign w:val="bottom"/>
          </w:tcPr>
          <w:p>
            <w:pPr>
              <w:spacing w:after="0"/>
              <w:rPr>
                <w:sz w:val="20"/>
                <w:szCs w:val="20"/>
                <w:color w:val="auto"/>
              </w:rPr>
            </w:pPr>
          </w:p>
        </w:tc>
        <w:tc>
          <w:tcPr>
            <w:tcW w:w="36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Off Balance Sheet:</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6"/>
        </w:trPr>
        <w:tc>
          <w:tcPr>
            <w:tcW w:w="3620" w:type="dxa"/>
            <w:vAlign w:val="bottom"/>
            <w:gridSpan w:val="2"/>
          </w:tcPr>
          <w:p>
            <w:pPr>
              <w:spacing w:after="0"/>
              <w:rPr>
                <w:sz w:val="20"/>
                <w:szCs w:val="20"/>
                <w:color w:val="auto"/>
              </w:rPr>
            </w:pPr>
            <w:r>
              <w:rPr>
                <w:rFonts w:ascii="Arial" w:cs="Arial" w:eastAsia="Arial" w:hAnsi="Arial"/>
                <w:sz w:val="20"/>
                <w:szCs w:val="20"/>
                <w:color w:val="auto"/>
              </w:rPr>
              <w:t>Operating lease - rail</w:t>
            </w: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24,793</w:t>
            </w:r>
          </w:p>
        </w:tc>
        <w:tc>
          <w:tcPr>
            <w:tcW w:w="12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1,653</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3,306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3,306</w:t>
            </w:r>
          </w:p>
        </w:tc>
        <w:tc>
          <w:tcPr>
            <w:tcW w:w="10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16,528</w:t>
            </w: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20"/>
                <w:szCs w:val="20"/>
                <w:color w:val="auto"/>
              </w:rPr>
              <w:t>Purchase commitment - energy</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55,409</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36,939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18,470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r>
      <w:tr>
        <w:trPr>
          <w:trHeight w:val="237"/>
        </w:trPr>
        <w:tc>
          <w:tcPr>
            <w:tcW w:w="3620" w:type="dxa"/>
            <w:vAlign w:val="bottom"/>
            <w:gridSpan w:val="2"/>
          </w:tcPr>
          <w:p>
            <w:pPr>
              <w:spacing w:after="0"/>
              <w:rPr>
                <w:sz w:val="20"/>
                <w:szCs w:val="20"/>
                <w:color w:val="auto"/>
              </w:rPr>
            </w:pPr>
            <w:r>
              <w:rPr>
                <w:rFonts w:ascii="Arial" w:cs="Arial" w:eastAsia="Arial" w:hAnsi="Arial"/>
                <w:sz w:val="20"/>
                <w:szCs w:val="20"/>
                <w:color w:val="auto"/>
              </w:rPr>
              <w:t>Total</w:t>
            </w: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80,202</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38,592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21,776</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3,306</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16,528</w:t>
            </w: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outlined the risks associated with its business in its Annual Report on Form 10-K for the year ended December 31, 2014.</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Management continues to evaluate its exposure to all operating risks on an ongoing basis.</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OUTLOOK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Corporation is encouraged by positive trends in its business and markets, notably:</w:t>
      </w:r>
    </w:p>
    <w:p>
      <w:pPr>
        <w:spacing w:after="0" w:line="108" w:lineRule="exact"/>
        <w:rPr>
          <w:sz w:val="20"/>
          <w:szCs w:val="20"/>
          <w:color w:val="auto"/>
        </w:rPr>
      </w:pPr>
    </w:p>
    <w:p>
      <w:pPr>
        <w:ind w:left="940" w:right="20" w:hanging="430"/>
        <w:spacing w:after="0" w:line="260" w:lineRule="auto"/>
        <w:tabs>
          <w:tab w:leader="none" w:pos="940" w:val="left"/>
        </w:tabs>
        <w:numPr>
          <w:ilvl w:val="0"/>
          <w:numId w:val="33"/>
        </w:numPr>
        <w:rPr>
          <w:rFonts w:ascii="Arial" w:cs="Arial" w:eastAsia="Arial" w:hAnsi="Arial"/>
          <w:sz w:val="18"/>
          <w:szCs w:val="18"/>
          <w:color w:val="auto"/>
        </w:rPr>
      </w:pPr>
      <w:r>
        <w:rPr>
          <w:rFonts w:ascii="Arial" w:cs="Arial" w:eastAsia="Arial" w:hAnsi="Arial"/>
          <w:sz w:val="20"/>
          <w:szCs w:val="20"/>
          <w:color w:val="auto"/>
        </w:rPr>
        <w:t>Nonresidential construction is expected to grow in both the heavy industrial and commercial sectors. The Dodge Momentum Index remains high and signals continued growth.</w:t>
      </w:r>
    </w:p>
    <w:p>
      <w:pPr>
        <w:spacing w:after="0" w:line="68" w:lineRule="exact"/>
        <w:rPr>
          <w:rFonts w:ascii="Arial" w:cs="Arial" w:eastAsia="Arial" w:hAnsi="Arial"/>
          <w:sz w:val="18"/>
          <w:szCs w:val="18"/>
          <w:color w:val="auto"/>
        </w:rPr>
      </w:pPr>
    </w:p>
    <w:p>
      <w:pPr>
        <w:jc w:val="both"/>
        <w:ind w:left="940" w:right="20" w:hanging="430"/>
        <w:spacing w:after="0" w:line="246" w:lineRule="auto"/>
        <w:tabs>
          <w:tab w:leader="none" w:pos="940" w:val="left"/>
        </w:tabs>
        <w:numPr>
          <w:ilvl w:val="0"/>
          <w:numId w:val="33"/>
        </w:numPr>
        <w:rPr>
          <w:rFonts w:ascii="Arial" w:cs="Arial" w:eastAsia="Arial" w:hAnsi="Arial"/>
          <w:sz w:val="18"/>
          <w:szCs w:val="18"/>
          <w:color w:val="auto"/>
        </w:rPr>
      </w:pPr>
      <w:r>
        <w:rPr>
          <w:rFonts w:ascii="Arial" w:cs="Arial" w:eastAsia="Arial" w:hAnsi="Arial"/>
          <w:sz w:val="20"/>
          <w:szCs w:val="20"/>
          <w:color w:val="auto"/>
        </w:rPr>
        <w:t>Energy-related economic activity, including follow-on public and private construction activities in the Corporation’s primary markets, is anticipated to remain strong. Residential construction is expected to continue to grow, driven by historically low levels of construction activity over the previous several years, employment gains, low mortgage rates, significant lot absorption, higher multi-family rental rates and rising housing prices.</w:t>
      </w:r>
    </w:p>
    <w:p>
      <w:pPr>
        <w:spacing w:after="0" w:line="83" w:lineRule="exact"/>
        <w:rPr>
          <w:rFonts w:ascii="Arial" w:cs="Arial" w:eastAsia="Arial" w:hAnsi="Arial"/>
          <w:sz w:val="18"/>
          <w:szCs w:val="18"/>
          <w:color w:val="auto"/>
        </w:rPr>
      </w:pPr>
    </w:p>
    <w:p>
      <w:pPr>
        <w:jc w:val="both"/>
        <w:ind w:left="940" w:right="20" w:hanging="430"/>
        <w:spacing w:after="0" w:line="250" w:lineRule="auto"/>
        <w:tabs>
          <w:tab w:leader="none" w:pos="940" w:val="left"/>
        </w:tabs>
        <w:numPr>
          <w:ilvl w:val="0"/>
          <w:numId w:val="33"/>
        </w:numPr>
        <w:rPr>
          <w:rFonts w:ascii="Arial" w:cs="Arial" w:eastAsia="Arial" w:hAnsi="Arial"/>
          <w:sz w:val="18"/>
          <w:szCs w:val="18"/>
          <w:color w:val="auto"/>
        </w:rPr>
      </w:pPr>
      <w:r>
        <w:rPr>
          <w:rFonts w:ascii="Arial" w:cs="Arial" w:eastAsia="Arial" w:hAnsi="Arial"/>
          <w:sz w:val="20"/>
          <w:szCs w:val="20"/>
          <w:color w:val="auto"/>
        </w:rPr>
        <w:t>For the public sector, authorized highway funding from MAP-21 should remain stable compared with 2014. Additionally, state initiatives to finance infrastructure projects, including support from TIFIA, are expected to grow and continue to play an expanded role in public-sector activity.</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significant amount of rainfall during the first half of the year coupled with capacity constraints is expected to delay a portion of weather-delayed shipments into 2016. Based on this expectation and external trends, the Corporation anticipates the following for the full year, which reflects the pending sale of the California cement operations:</w:t>
      </w:r>
    </w:p>
    <w:p>
      <w:pPr>
        <w:spacing w:after="0" w:line="78" w:lineRule="exact"/>
        <w:rPr>
          <w:sz w:val="20"/>
          <w:szCs w:val="20"/>
          <w:color w:val="auto"/>
        </w:rPr>
      </w:pPr>
    </w:p>
    <w:p>
      <w:pPr>
        <w:ind w:left="880" w:hanging="363"/>
        <w:spacing w:after="0"/>
        <w:tabs>
          <w:tab w:leader="none" w:pos="8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Aggregates end-use markets compared to 2014 levels are as follows:</w:t>
      </w:r>
    </w:p>
    <w:p>
      <w:pPr>
        <w:spacing w:after="0" w:line="106" w:lineRule="exact"/>
        <w:rPr>
          <w:sz w:val="20"/>
          <w:szCs w:val="20"/>
          <w:color w:val="auto"/>
        </w:rPr>
      </w:pPr>
    </w:p>
    <w:p>
      <w:pPr>
        <w:ind w:left="1620" w:hanging="342"/>
        <w:spacing w:after="0"/>
        <w:tabs>
          <w:tab w:leader="none" w:pos="1620" w:val="left"/>
        </w:tabs>
        <w:numPr>
          <w:ilvl w:val="1"/>
          <w:numId w:val="35"/>
        </w:numPr>
        <w:rPr>
          <w:rFonts w:ascii="Courier New" w:cs="Courier New" w:eastAsia="Courier New" w:hAnsi="Courier New"/>
          <w:sz w:val="20"/>
          <w:szCs w:val="20"/>
          <w:color w:val="auto"/>
        </w:rPr>
      </w:pPr>
      <w:r>
        <w:rPr>
          <w:rFonts w:ascii="Arial" w:cs="Arial" w:eastAsia="Arial" w:hAnsi="Arial"/>
          <w:sz w:val="20"/>
          <w:szCs w:val="20"/>
          <w:color w:val="auto"/>
        </w:rPr>
        <w:t>Infrastructure market to be relatively flat.</w:t>
      </w:r>
    </w:p>
    <w:p>
      <w:pPr>
        <w:ind w:left="1620" w:hanging="342"/>
        <w:spacing w:after="0" w:line="227" w:lineRule="auto"/>
        <w:tabs>
          <w:tab w:leader="none" w:pos="1620" w:val="left"/>
        </w:tabs>
        <w:numPr>
          <w:ilvl w:val="1"/>
          <w:numId w:val="35"/>
        </w:numPr>
        <w:rPr>
          <w:rFonts w:ascii="Courier New" w:cs="Courier New" w:eastAsia="Courier New" w:hAnsi="Courier New"/>
          <w:sz w:val="20"/>
          <w:szCs w:val="20"/>
          <w:color w:val="auto"/>
        </w:rPr>
      </w:pPr>
      <w:r>
        <w:rPr>
          <w:rFonts w:ascii="Arial" w:cs="Arial" w:eastAsia="Arial" w:hAnsi="Arial"/>
          <w:sz w:val="20"/>
          <w:szCs w:val="20"/>
          <w:color w:val="auto"/>
        </w:rPr>
        <w:t>Nonresidential market to increase in the high-single digits.</w:t>
      </w:r>
    </w:p>
    <w:p>
      <w:pPr>
        <w:spacing w:after="0" w:line="87" w:lineRule="exact"/>
        <w:rPr>
          <w:rFonts w:ascii="Courier New" w:cs="Courier New" w:eastAsia="Courier New" w:hAnsi="Courier New"/>
          <w:sz w:val="20"/>
          <w:szCs w:val="20"/>
          <w:color w:val="auto"/>
        </w:rPr>
      </w:pPr>
    </w:p>
    <w:p>
      <w:pPr>
        <w:ind w:left="1620" w:hanging="342"/>
        <w:spacing w:after="0"/>
        <w:tabs>
          <w:tab w:leader="none" w:pos="1620" w:val="left"/>
        </w:tabs>
        <w:numPr>
          <w:ilvl w:val="1"/>
          <w:numId w:val="35"/>
        </w:numPr>
        <w:rPr>
          <w:rFonts w:ascii="Courier New" w:cs="Courier New" w:eastAsia="Courier New" w:hAnsi="Courier New"/>
          <w:sz w:val="20"/>
          <w:szCs w:val="20"/>
          <w:color w:val="auto"/>
        </w:rPr>
      </w:pPr>
      <w:r>
        <w:rPr>
          <w:rFonts w:ascii="Arial" w:cs="Arial" w:eastAsia="Arial" w:hAnsi="Arial"/>
          <w:sz w:val="20"/>
          <w:szCs w:val="20"/>
          <w:color w:val="auto"/>
        </w:rPr>
        <w:t>Residential market to experience a double-digit increase.</w:t>
      </w:r>
    </w:p>
    <w:p>
      <w:pPr>
        <w:spacing w:after="0" w:line="89" w:lineRule="exact"/>
        <w:rPr>
          <w:rFonts w:ascii="Courier New" w:cs="Courier New" w:eastAsia="Courier New" w:hAnsi="Courier New"/>
          <w:sz w:val="20"/>
          <w:szCs w:val="20"/>
          <w:color w:val="auto"/>
        </w:rPr>
      </w:pPr>
    </w:p>
    <w:p>
      <w:pPr>
        <w:ind w:left="1620" w:hanging="342"/>
        <w:spacing w:after="0"/>
        <w:tabs>
          <w:tab w:leader="none" w:pos="1620" w:val="left"/>
        </w:tabs>
        <w:numPr>
          <w:ilvl w:val="1"/>
          <w:numId w:val="35"/>
        </w:numPr>
        <w:rPr>
          <w:rFonts w:ascii="Courier New" w:cs="Courier New" w:eastAsia="Courier New" w:hAnsi="Courier New"/>
          <w:sz w:val="20"/>
          <w:szCs w:val="20"/>
          <w:color w:val="auto"/>
        </w:rPr>
      </w:pPr>
      <w:r>
        <w:rPr>
          <w:rFonts w:ascii="Arial" w:cs="Arial" w:eastAsia="Arial" w:hAnsi="Arial"/>
          <w:sz w:val="20"/>
          <w:szCs w:val="20"/>
          <w:color w:val="auto"/>
        </w:rPr>
        <w:t>ChemRock/Rail market to remain relatively flat.</w:t>
      </w:r>
    </w:p>
    <w:p>
      <w:pPr>
        <w:spacing w:after="0" w:line="89" w:lineRule="exact"/>
        <w:rPr>
          <w:rFonts w:ascii="Courier New" w:cs="Courier New" w:eastAsia="Courier New" w:hAnsi="Courier New"/>
          <w:sz w:val="20"/>
          <w:szCs w:val="20"/>
          <w:color w:val="auto"/>
        </w:rPr>
      </w:pPr>
    </w:p>
    <w:p>
      <w:pPr>
        <w:ind w:left="880" w:hanging="363"/>
        <w:spacing w:after="0"/>
        <w:tabs>
          <w:tab w:leader="none" w:pos="8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Aggregates product line shipments to increase by 7% to 10% compared with 2014 levels.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50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ind w:left="1620" w:hanging="342"/>
        <w:spacing w:after="0"/>
        <w:tabs>
          <w:tab w:leader="none" w:pos="1620" w:val="left"/>
        </w:tabs>
        <w:numPr>
          <w:ilvl w:val="1"/>
          <w:numId w:val="36"/>
        </w:numPr>
        <w:rPr>
          <w:rFonts w:ascii="Courier New" w:cs="Courier New" w:eastAsia="Courier New" w:hAnsi="Courier New"/>
          <w:sz w:val="20"/>
          <w:szCs w:val="20"/>
          <w:color w:val="auto"/>
        </w:rPr>
      </w:pPr>
      <w:r>
        <w:rPr>
          <w:rFonts w:ascii="Arial" w:cs="Arial" w:eastAsia="Arial" w:hAnsi="Arial"/>
          <w:sz w:val="20"/>
          <w:szCs w:val="20"/>
          <w:color w:val="auto"/>
        </w:rPr>
        <w:t>Heritage aggregates shipments to increase 3% to 5%.</w:t>
      </w:r>
    </w:p>
    <w:p>
      <w:pPr>
        <w:spacing w:after="0" w:line="89" w:lineRule="exact"/>
        <w:rPr>
          <w:rFonts w:ascii="Courier New" w:cs="Courier New" w:eastAsia="Courier New" w:hAnsi="Courier New"/>
          <w:sz w:val="20"/>
          <w:szCs w:val="20"/>
          <w:color w:val="auto"/>
        </w:rPr>
      </w:pPr>
    </w:p>
    <w:p>
      <w:pPr>
        <w:ind w:left="880" w:hanging="363"/>
        <w:spacing w:after="0"/>
        <w:tabs>
          <w:tab w:leader="none" w:pos="8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Aggregates product line pricing to increase by 7% to 9% compared with 2014.</w:t>
      </w:r>
    </w:p>
    <w:p>
      <w:pPr>
        <w:spacing w:after="0" w:line="107" w:lineRule="exact"/>
        <w:rPr>
          <w:rFonts w:ascii="Arial" w:cs="Arial" w:eastAsia="Arial" w:hAnsi="Arial"/>
          <w:sz w:val="20"/>
          <w:szCs w:val="20"/>
          <w:color w:val="auto"/>
        </w:rPr>
      </w:pPr>
    </w:p>
    <w:p>
      <w:pPr>
        <w:ind w:left="880" w:hanging="363"/>
        <w:spacing w:after="0"/>
        <w:tabs>
          <w:tab w:leader="none" w:pos="8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Aggregates product line production cost per ton shipped to decline slightly.</w:t>
      </w:r>
    </w:p>
    <w:p>
      <w:pPr>
        <w:spacing w:after="0" w:line="107" w:lineRule="exact"/>
        <w:rPr>
          <w:rFonts w:ascii="Arial" w:cs="Arial" w:eastAsia="Arial" w:hAnsi="Arial"/>
          <w:sz w:val="20"/>
          <w:szCs w:val="20"/>
          <w:color w:val="auto"/>
        </w:rPr>
      </w:pPr>
    </w:p>
    <w:p>
      <w:pPr>
        <w:ind w:left="880" w:hanging="363"/>
        <w:spacing w:after="0" w:line="260" w:lineRule="auto"/>
        <w:tabs>
          <w:tab w:leader="none" w:pos="8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Aggregates-related downstream product lines to generate between $875 million and $925 million of net sales and $65 million to $70 million of gross profit.</w:t>
      </w:r>
    </w:p>
    <w:p>
      <w:pPr>
        <w:spacing w:after="0" w:line="68" w:lineRule="exact"/>
        <w:rPr>
          <w:rFonts w:ascii="Arial" w:cs="Arial" w:eastAsia="Arial" w:hAnsi="Arial"/>
          <w:sz w:val="20"/>
          <w:szCs w:val="20"/>
          <w:color w:val="auto"/>
        </w:rPr>
      </w:pPr>
    </w:p>
    <w:p>
      <w:pPr>
        <w:ind w:left="880" w:right="20" w:hanging="363"/>
        <w:spacing w:after="0" w:line="260" w:lineRule="auto"/>
        <w:tabs>
          <w:tab w:leader="none" w:pos="8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Net sales for the Cement segment to be between $375 million and $400 million, generating $110 million to $120 million of gross profit.</w:t>
      </w:r>
    </w:p>
    <w:p>
      <w:pPr>
        <w:spacing w:after="0" w:line="68" w:lineRule="exact"/>
        <w:rPr>
          <w:rFonts w:ascii="Arial" w:cs="Arial" w:eastAsia="Arial" w:hAnsi="Arial"/>
          <w:sz w:val="20"/>
          <w:szCs w:val="20"/>
          <w:color w:val="auto"/>
        </w:rPr>
      </w:pPr>
    </w:p>
    <w:p>
      <w:pPr>
        <w:ind w:left="880" w:right="20" w:hanging="363"/>
        <w:spacing w:after="0" w:line="260" w:lineRule="auto"/>
        <w:tabs>
          <w:tab w:leader="none" w:pos="8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Net sales for the Magnesia Specialties segment to be between $240 million and $250 million, generating $85 million to $90 million of gross profit.</w:t>
      </w:r>
    </w:p>
    <w:p>
      <w:pPr>
        <w:spacing w:after="0" w:line="68" w:lineRule="exact"/>
        <w:rPr>
          <w:rFonts w:ascii="Arial" w:cs="Arial" w:eastAsia="Arial" w:hAnsi="Arial"/>
          <w:sz w:val="20"/>
          <w:szCs w:val="20"/>
          <w:color w:val="auto"/>
        </w:rPr>
      </w:pPr>
    </w:p>
    <w:p>
      <w:pPr>
        <w:ind w:left="880" w:hanging="363"/>
        <w:spacing w:after="0" w:line="260" w:lineRule="auto"/>
        <w:tabs>
          <w:tab w:leader="none" w:pos="8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SG&amp;A expenses as a percentage of net sales to be less than 6.0%, despite an $18 million increase in heritage pension costs that resulted from lower discount rate.</w:t>
      </w:r>
    </w:p>
    <w:p>
      <w:pPr>
        <w:spacing w:after="0" w:line="68" w:lineRule="exact"/>
        <w:rPr>
          <w:rFonts w:ascii="Arial" w:cs="Arial" w:eastAsia="Arial" w:hAnsi="Arial"/>
          <w:sz w:val="20"/>
          <w:szCs w:val="20"/>
          <w:color w:val="auto"/>
        </w:rPr>
      </w:pPr>
    </w:p>
    <w:p>
      <w:pPr>
        <w:ind w:left="880" w:hanging="363"/>
        <w:spacing w:after="0"/>
        <w:tabs>
          <w:tab w:leader="none" w:pos="8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Interest expense to approximate $75 million to $80 million.</w:t>
      </w:r>
    </w:p>
    <w:p>
      <w:pPr>
        <w:spacing w:after="0" w:line="107" w:lineRule="exact"/>
        <w:rPr>
          <w:rFonts w:ascii="Arial" w:cs="Arial" w:eastAsia="Arial" w:hAnsi="Arial"/>
          <w:sz w:val="20"/>
          <w:szCs w:val="20"/>
          <w:color w:val="auto"/>
        </w:rPr>
      </w:pPr>
    </w:p>
    <w:p>
      <w:pPr>
        <w:ind w:left="880" w:hanging="363"/>
        <w:spacing w:after="0"/>
        <w:tabs>
          <w:tab w:leader="none" w:pos="8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Estimated effective income tax rate to approximate 31%, excluding discrete events.</w:t>
      </w:r>
    </w:p>
    <w:p>
      <w:pPr>
        <w:spacing w:after="0" w:line="107" w:lineRule="exact"/>
        <w:rPr>
          <w:rFonts w:ascii="Arial" w:cs="Arial" w:eastAsia="Arial" w:hAnsi="Arial"/>
          <w:sz w:val="20"/>
          <w:szCs w:val="20"/>
          <w:color w:val="auto"/>
        </w:rPr>
      </w:pPr>
    </w:p>
    <w:p>
      <w:pPr>
        <w:ind w:left="880" w:hanging="363"/>
        <w:spacing w:after="0"/>
        <w:tabs>
          <w:tab w:leader="none" w:pos="8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Consolidated EBITDA to range from $810 million to $850 million.</w:t>
      </w:r>
    </w:p>
    <w:p>
      <w:pPr>
        <w:spacing w:after="0" w:line="107" w:lineRule="exact"/>
        <w:rPr>
          <w:rFonts w:ascii="Arial" w:cs="Arial" w:eastAsia="Arial" w:hAnsi="Arial"/>
          <w:sz w:val="20"/>
          <w:szCs w:val="20"/>
          <w:color w:val="auto"/>
        </w:rPr>
      </w:pPr>
    </w:p>
    <w:p>
      <w:pPr>
        <w:ind w:left="880" w:hanging="363"/>
        <w:spacing w:after="0"/>
        <w:tabs>
          <w:tab w:leader="none" w:pos="8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Cash taxes paid to approximate $62 million.</w:t>
      </w:r>
    </w:p>
    <w:p>
      <w:pPr>
        <w:spacing w:after="0" w:line="107" w:lineRule="exact"/>
        <w:rPr>
          <w:rFonts w:ascii="Arial" w:cs="Arial" w:eastAsia="Arial" w:hAnsi="Arial"/>
          <w:sz w:val="20"/>
          <w:szCs w:val="20"/>
          <w:color w:val="auto"/>
        </w:rPr>
      </w:pPr>
    </w:p>
    <w:p>
      <w:pPr>
        <w:ind w:left="880" w:hanging="363"/>
        <w:spacing w:after="0" w:line="260" w:lineRule="auto"/>
        <w:tabs>
          <w:tab w:leader="none" w:pos="8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Capital expenditures to approximate $330 million, including $35 million of synergy-related capital and $80 million for Medina limestone quarry.</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2015 outlook includes management’s assessment of the likelihood of certain risks and uncertainties that will affect performance. The most significant risks to the Corporation’s performance will be Congress’ actions and timing surrounding federal highway funding and uncertainty over the funding mechanism for the Highway Trust Fund. Congress recently extended federal highway funding through continuing resolution through October 29, 2015. Further, a decline in consumer confidence may negatively impact investment in construction projects. While both MAP-21 and TIFIA credit assistance are excluded from the U.S. debt ceiling limit, this issue may have a significant impact on the economy and, consequently, construction activity. Other risks and uncertainties related to the Corporation’s future performance include, but are not limited to: both price and volume, and a recurrence of widespread decline in aggregates volume negatively affecting aggregates price; the termination, capping and/or reduction of the federal and/or state gasoline tax(es) or other revenue related to infrastructure construction; a significant change in the funding patterns for traditional federal, state and/or local infrastructure projects; a reduction in defense spending, and the subsequent impact on construction activity on or near military bases; a decline in nonresidential construction; a decline in energy-related drilling activity resulting from a sustained period of low global oil prices or changes in oil production patterns in response to this decline and certain regulatory or other economic factors; a slowdown in the residential construction recovery, or some combination thereof; a reduction in economic activity in the Corporation’s Midwest states resulting from reduced funding levels provided by the Agricultural Act of 2014 and a reduction in capital investment by the railroads; an increase in the cost of compliance with governmental laws and regulations; unexpected equipment failures, unscheduled maintenance, industrial accident or other prolonged and/or significant disruption to our cement production facilities; and the possibility that certain expected synergies and operating efficiencies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51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connection with the TXI acquisition are not realized within the expected time-frames or at all. Further, increased highway construction funding pressures resulting from either federal or state issues can affect profitability. If these negatively affect transportation budgets more than in the past, construction spending could be reduced. Cement is subject to cyclical supply and demand and price fluctuations. The Magnesia Specialties business runs at near capacity; therefore any unplanned changes in costs or realignment of customers introduce volatility to the earnings of this segment.</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Corporation’s principal business serves customers in aggregates-related construction markets. This concentration could increase the risk of potential losses on customer receivables; however, payment bonds normally posted on public projects, together with lien rights on private projects, help to mitigate the risk of uncollectible receivables. The level of aggregates demand in the Corporation’s end-use markets, production levels and the management of production costs will affect the operating leverage of the Aggregates business and, therefore, profitability. Production costs in the Aggregates business are also sensitive to energy and raw material prices, both directly and indirectly. Diesel fuel and other consumables change production costs directly through consumption or indirectly by increased energy-related input costs, such as steel, explosives, tires and conveyor belts. Fluctuating diesel fuel pricing also affects transportation costs, primarily through fuel surcharges in the Corporation’s long-haul distribution network. The Cement business is also energy intensive and fluctuations in the price of coal affects costs. The Magnesia Specialties business is sensitive to changes in domestic steel capacity utilization and the absolute price and fluctuations in the cost of natural gas.</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Transportation in the Corporation’s long-haul network, particularly the supply of railcars and locomotive power and condition of rail infrastructure to move trains, affects the Corporation’s ability to efficiently transport aggregate into certain markets, most notably Texas, Florida and the Gulf Coast. In addition, availability of railcars and locomotives affects the Corporation’s ability to move dolomitic lime, a key raw material for magnesia chemicals, to both the Corporation’s plant in Manistee, Michigan, and customers. The availability of trucks, drivers and railcars to transport the Corporation’s products, particularly in markets experiencing high growth and increased demand, is also a risk and pressures the associated costs.</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All of the Corporation’s businesses are also subject to weather-related risks that can significantly affect production schedules and profitability. The first and fourth quarters are most adversely affected by winter weather. Hurricane activity in the Atlantic Ocean and Gulf Coast generally is most active during the third and fourth quarters.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Risks to the outlook also include shipment declines as a result of economic events beyond the Corporation’s control. In addition to the impact on nonresidential and residential construction, the Corporation is exposed to risk in its estimated outlook from credit markets and the availability of and interest cost related to its debt.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Corporation’s future performance is also exposed to risks from tax reform at the federal and state levels.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52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2015</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If you are interested in Martin Marietta stock, management recommends that, at a minimum, you read the Corporation’s current Annual Report and Forms 10-K, 10-Q and 8-K reports to the Securities and Exchange Commission (SEC) over the past year. The Corporation’s recent proxy statement for the annual meeting of shareholders also contains important information. These and other materials that have been filed with the SEC are accessible through the Corporation’s website at www.martinmarietta.com and are also available at the SEC’s website at www.sec.gov. You may also write or call the Corporation’s Corporate Secretary, who will provide copies of such reports.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Investors are cautioned that all statements in this Form 10-Q that relate to the future involve risks and uncertainties, and are based on assumptions that the Corporation believes in good faith are reasonable but which may be materially different from actual results. Forward-looking statements give the investor management’s expectations or forecasts of future events.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our forward-looking statements here and in other publications may turn out to be wrong.</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Factors that the Corporation currently believes could cause actual results to differ materially from the forward-looking statements in this Annual Report include, but are not limited to, Congress’ actions and timing surrounding federal highway funding and uncertainty over the funding mechanism for the Highway Trust Fund; the performance of the United States economy and the resolution and impact of the debt ceiling and sequestration issues; widespread decline in aggregates pricing; the history of both cement and ready mixed concrete, to be subject to significant changes in supply, demand and price; the termination, capping and/or reduction of the federal and/or state gasoline tax(es) or other revenue related to infrastructure construction; the level and timing of federal and state transportation funding, most particularly in Texas, North Carolina, Iowa, Colorado and Georgia; the ability of states and/or other entities to finance approved projects either with tax revenues or alternative financing structures; levels of construction spending in the markets the Corporation serves; a reduction in defense spending, and the subsequent impact on construction activity on or near military bases; a decline in the commercial component of the nonresidential construction market, notably office and retail space; a slowdown in energy-related drilling activity, particularly in Texas; a slowdown in residential construction recovery; a reduction in construction activity and related shipments due to a decline in funding under the domestic farm bill; unfavorable weather conditions, particularly Atlantic Ocean hurricane activity, the late start to spring or the early onset of winter and the impact of a drought or excessive rainfall in the markets served by the Corporation; the volatility of fuel costs, particularly diesel fuel, and the impact on the cost of other consumables, namely steel, explosives, tires and conveyor belts, and with respect to the Cement and Magnesia Specialties businesses, natural gas; continued increases in the cost of other repair and supply parts; unexpected equipment failures, unscheduled maintenance, industrial accident or other prolonged and/or significant disruption to cement production facilities; increasing governmental regulation, including environmental laws; transportation availability, notably the availability of railcars and locomotive power to move trains to supply the Corporation’s Texas, Florida and Gulf Coast markets; increased transportation costs, including increases from higher passed-through energy and other costs to comply with tightening regulations as well as higher volumes of rail and water shipments; availability of trucks and licensed drivers for transport of the Corporation’s materials, particularly in areas with significant energy-related activity, such as Texas and Colorado; availability and cost of construction equipment in the United States; weakening in the steel industry markets served by the Corporation’s dolomitic lime products; proper functioning of information technology 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53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RESULTS OF OPERATIONS</w:t>
      </w:r>
    </w:p>
    <w:p>
      <w:pPr>
        <w:jc w:val="center"/>
        <w:ind w:right="-19"/>
        <w:spacing w:after="0"/>
        <w:rPr>
          <w:sz w:val="20"/>
          <w:szCs w:val="20"/>
          <w:color w:val="auto"/>
        </w:rPr>
      </w:pPr>
      <w:r>
        <w:rPr>
          <w:rFonts w:ascii="Arial" w:cs="Arial" w:eastAsia="Arial" w:hAnsi="Arial"/>
          <w:sz w:val="20"/>
          <w:szCs w:val="20"/>
          <w:color w:val="auto"/>
        </w:rPr>
        <w:t>Second Quarter Ended June 30, 2015</w:t>
      </w:r>
    </w:p>
    <w:p>
      <w:pPr>
        <w:jc w:val="center"/>
        <w:ind w:right="-19"/>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automated operating systems to manage or support operations; inflation and its effect on both production and interest costs; ability to successfully integrate acquisitions quickly and in a cost-effective manner and achieve anticipated profitability to maintain compliance with the Corporation’s leverage ratio debt covenant; changes in tax laws, the interpretation of such laws and/or administrative practices that would increase the Corporation’s tax rate; violation of the Corporation’s debt covenant if price and/or volumes return to previous levels of instability; downward pressure on the Corporation’s common stock price and its impact on goodwill impairment evaluations; reduction of the Corporation’s credit rating to non-investment grade resulting from strategic acquisitions; and other risk factors listed from time to time found in the Corporation’s filings with the SEC. Other factors besides those listed here may also adversely affect the Corporation, and may be material to the Corporation. The Corporation assumes no obligation to update any such forward-looking statements.</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Shareholders may obtain, without charge, a copy of Martin Marietta’s Annual Report on Form 10-K, as filed with the Securities and Exchange Commission for the fiscal year ended December 31, 2014, by writing to:</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Martin Marietta</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Attn: Corporate Secretary</w:t>
      </w:r>
    </w:p>
    <w:p>
      <w:pPr>
        <w:ind w:left="260"/>
        <w:spacing w:after="0"/>
        <w:rPr>
          <w:sz w:val="20"/>
          <w:szCs w:val="20"/>
          <w:color w:val="auto"/>
        </w:rPr>
      </w:pPr>
      <w:r>
        <w:rPr>
          <w:rFonts w:ascii="Arial" w:cs="Arial" w:eastAsia="Arial" w:hAnsi="Arial"/>
          <w:sz w:val="20"/>
          <w:szCs w:val="20"/>
          <w:color w:val="auto"/>
        </w:rPr>
        <w:t>2710 Wycliff Road</w:t>
      </w:r>
    </w:p>
    <w:p>
      <w:pPr>
        <w:ind w:left="260"/>
        <w:spacing w:after="0"/>
        <w:rPr>
          <w:sz w:val="20"/>
          <w:szCs w:val="20"/>
          <w:color w:val="auto"/>
        </w:rPr>
      </w:pPr>
      <w:r>
        <w:rPr>
          <w:rFonts w:ascii="Arial" w:cs="Arial" w:eastAsia="Arial" w:hAnsi="Arial"/>
          <w:sz w:val="20"/>
          <w:szCs w:val="20"/>
          <w:color w:val="auto"/>
        </w:rPr>
        <w:t>Raleigh, North Carolina 27607-3033</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Additionally, Martin Marietta’s Annual Report, press releases and filings with the Securities and Exchange Commission, including Forms 10-K, 10-Q, 8-K and 11-K, can generally be accessed via the Corporation’s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783-4540</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www.martinmarietta.com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Information included on the Corporation’s website is not incorporated into, or otherwise create a part of, this report.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54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Corporation’s operations are highly dependent upon the interest rate-sensitive construction and steelmaking industries. Consequently, these marketplaces could experience lower levels of economic activity in an environment of rising interest rates or escalating costs.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Management has considered the current economic environment and its potential impact to the Corporation’s business. Demand for aggregates products, particularly in the infrastructure construction market, has already been negatively affected by federal and state budget and deficit issues and the uncertainty over future highway funding levels beyond the expiration of MAP-21 which has been extended via several continuing resolutions, the latest of which expires October 29, 2015. Further, delays or cancellations to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Demand in the residential construction market is affected by interest rates. The Federal Reserve kept the federal funds rate near zero percent during the six months ended June 30, 2015, unchanged since 2008. The residential construction market accounted for 14% of the Corporation’s aggregates product line shipments in 2014.</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Aside from these inherent risks from within its operations, the Corporation’s earnings are also affected by changes in short-term interest rates. However, rising interest rates are not necessarily predictive of weaker operating results. In fact, since 2007, the Corporation’s profitability increased when interest rates rose, based on the last twelve months quarterly historical net income regression versus a 10-year U.S. government bond. In essence, the Corporation’s underlying business generally serves as a natural hedge to rising interest rates.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Variable-Rate Borrowing Facilities. </w:t>
      </w:r>
      <w:r>
        <w:rPr>
          <w:rFonts w:ascii="Arial" w:cs="Arial" w:eastAsia="Arial" w:hAnsi="Arial"/>
          <w:sz w:val="19"/>
          <w:szCs w:val="19"/>
          <w:color w:val="auto"/>
        </w:rPr>
        <w:t>At June 30, 2015, the Corporation had a $600 million Credit Agreement, comprised of a $350 million</w:t>
      </w:r>
      <w:r>
        <w:rPr>
          <w:rFonts w:ascii="Arial" w:cs="Arial" w:eastAsia="Arial" w:hAnsi="Arial"/>
          <w:sz w:val="19"/>
          <w:szCs w:val="19"/>
          <w:i w:val="1"/>
          <w:iCs w:val="1"/>
          <w:color w:val="auto"/>
        </w:rPr>
        <w:t xml:space="preserve"> </w:t>
      </w:r>
      <w:r>
        <w:rPr>
          <w:rFonts w:ascii="Arial" w:cs="Arial" w:eastAsia="Arial" w:hAnsi="Arial"/>
          <w:sz w:val="19"/>
          <w:szCs w:val="19"/>
          <w:color w:val="auto"/>
        </w:rPr>
        <w:t>Revolving Facility and $250 million Term Loan Facility, and a $250 million Trade Receivable Facility. Borrowings under these facilities bear interest at a variable interest rate. A hypothetical 100-basis-point increase in interest rates on borrowings of $310.2 million, which was the collective outstanding balance at June 30, 2015, would increase interest expense by $3.1 million on an annual basis.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Pension Expense. </w:t>
      </w:r>
      <w:r>
        <w:rPr>
          <w:rFonts w:ascii="Arial" w:cs="Arial" w:eastAsia="Arial" w:hAnsi="Arial"/>
          <w:sz w:val="18"/>
          <w:szCs w:val="18"/>
          <w:color w:val="auto"/>
        </w:rPr>
        <w:t>The Corporation’s results of operations are affected by its pension expense. Assumptions that affect pension expense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discount rate and, for the defined benefit pension plans only, the expected long-term rate of return on assets. Therefore, the Corporation has interest rate risk associated with these factors. The impact of hypothetical changes in these assumptions on the Corporation’s annual pension expense is discussed in the Corporation’s Annual Report on Form 10-K for the year ended December 31, 2014.</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Energy Costs</w:t>
      </w:r>
      <w:r>
        <w:rPr>
          <w:rFonts w:ascii="Arial" w:cs="Arial" w:eastAsia="Arial" w:hAnsi="Arial"/>
          <w:sz w:val="20"/>
          <w:szCs w:val="20"/>
          <w:color w:val="auto"/>
        </w:rPr>
        <w:t>. Energy costs, including diesel fuel, natural gas, coal and liquid asphalt, represent significant production costs of the Corporation.</w:t>
      </w:r>
      <w:r>
        <w:rPr>
          <w:rFonts w:ascii="Arial" w:cs="Arial" w:eastAsia="Arial" w:hAnsi="Arial"/>
          <w:sz w:val="20"/>
          <w:szCs w:val="20"/>
          <w:i w:val="1"/>
          <w:iCs w:val="1"/>
          <w:color w:val="auto"/>
        </w:rPr>
        <w:t xml:space="preserve"> </w:t>
      </w:r>
      <w:r>
        <w:rPr>
          <w:rFonts w:ascii="Arial" w:cs="Arial" w:eastAsia="Arial" w:hAnsi="Arial"/>
          <w:sz w:val="20"/>
          <w:szCs w:val="20"/>
          <w:color w:val="auto"/>
        </w:rPr>
        <w:t>The Corporation entered into a fixed price arrangement for 40% of its diesel fuel to reduce its diesel fuel price risk. The Magnesia Specialties business has fixed price agreements covering half of its 2015 coal requirements and the cement business has fixed pricing agreements on 100% of its 2015 coal requirements. A hypothetical 10% change in the Corporation’s energy prices in 2015 as compared with 2014, assuming constant volumes, would change 2015 energy expense by $27.9 million. However, the impact would be partially offset by the change in the amount capitalized into inventory standards.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Commodity risk. </w:t>
      </w:r>
      <w:r>
        <w:rPr>
          <w:rFonts w:ascii="Arial" w:cs="Arial" w:eastAsia="Arial" w:hAnsi="Arial"/>
          <w:sz w:val="20"/>
          <w:szCs w:val="20"/>
          <w:color w:val="auto"/>
        </w:rPr>
        <w:t>Cement is a commodity and competition is based principally on price, which is highly sensitive to changes in supply and</w:t>
      </w:r>
      <w:r>
        <w:rPr>
          <w:rFonts w:ascii="Arial" w:cs="Arial" w:eastAsia="Arial" w:hAnsi="Arial"/>
          <w:sz w:val="20"/>
          <w:szCs w:val="20"/>
          <w:i w:val="1"/>
          <w:iCs w:val="1"/>
          <w:color w:val="auto"/>
        </w:rPr>
        <w:t xml:space="preserve"> </w:t>
      </w:r>
      <w:r>
        <w:rPr>
          <w:rFonts w:ascii="Arial" w:cs="Arial" w:eastAsia="Arial" w:hAnsi="Arial"/>
          <w:sz w:val="20"/>
          <w:szCs w:val="20"/>
          <w:color w:val="auto"/>
        </w:rPr>
        <w:t>demand. Prices are often subject to material changes in response to relatively minor fluctuations in supply and demand, general economic conditions and other market conditions beyond the Corporation’s control. Increases in the production capacity of industry participants or increases in cement imports tend to create an oversupply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55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Ended June 30, 2015</w:t>
      </w:r>
    </w:p>
    <w:p>
      <w:pPr>
        <w:jc w:val="center"/>
        <w:ind w:right="-19"/>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of such products leading to an imbalance between supply and demand, which can have a negative impact on product prices. There can be no assurance that prices for products sold will not decline in the future or that such declines will not have a material adverse effect on the Corporation’s business, financial condition and results of operations. Based on forecasted net sales for the Cement business for full-year 2015 of $375 million to $400 million, a hypothetical 10% change in sales price would impact net sales by $37.5 million to $40 million.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of June 30, 2015, an evaluation was performed under the supervision and with the participation of the Corporation’s management, including the Chief Executive Officer and Chief Financial Officer, of the effectiveness of the design and the operation of the Corporation’s disclosure controls and procedures. Based on that evaluation, the Corporation’s management, including the Chief Executive Officer and Chief Financial Officer, concluded that the Corporation’s disclosure controls and procedures were effective as of June 30, 2015. As permitted by the Securities and Exchange Commission, management’s assessment of and conclusion on the effectiveness of internal control over financial reporting did not include the internal controls over accounts receivable related to the TXI ready mixed concrete operations, which are included in the consolidated financial statements for the period ending June 30, 2015. The excluded assets constituted less than one percent of consolidated total assets as of June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56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w:t>
      </w:r>
      <w:r>
        <w:rPr>
          <w:rFonts w:ascii="Arial" w:cs="Arial" w:eastAsia="Arial" w:hAnsi="Arial"/>
          <w:sz w:val="20"/>
          <w:szCs w:val="20"/>
          <w:color w:val="auto"/>
        </w:rPr>
        <w:t xml:space="preserve">. </w:t>
      </w:r>
      <w:r>
        <w:rPr>
          <w:rFonts w:ascii="Arial" w:cs="Arial" w:eastAsia="Arial" w:hAnsi="Arial"/>
          <w:sz w:val="20"/>
          <w:szCs w:val="20"/>
          <w:i w:val="1"/>
          <w:iCs w:val="1"/>
          <w:color w:val="auto"/>
        </w:rPr>
        <w:t>Item 3. Legal Proceedings</w:t>
      </w:r>
      <w:r>
        <w:rPr>
          <w:rFonts w:ascii="Arial" w:cs="Arial" w:eastAsia="Arial" w:hAnsi="Arial"/>
          <w:sz w:val="20"/>
          <w:szCs w:val="20"/>
          <w:color w:val="auto"/>
        </w:rPr>
        <w:t xml:space="preserve"> of the Martin Marietta Annual Report on Form 10-K for the year ended December 31, 2014.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 Item 1A. Risk Factors and Forward-Looking Statements</w:t>
      </w:r>
      <w:r>
        <w:rPr>
          <w:rFonts w:ascii="Arial" w:cs="Arial" w:eastAsia="Arial" w:hAnsi="Arial"/>
          <w:sz w:val="20"/>
          <w:szCs w:val="20"/>
          <w:color w:val="auto"/>
        </w:rPr>
        <w:t xml:space="preserve"> of the Martin Marietta Annual Report on Form 10-K for the year ended December 31, 2014.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r>
        <w:rPr>
          <w:rFonts w:ascii="Arial" w:cs="Arial" w:eastAsia="Arial" w:hAnsi="Arial"/>
          <w:sz w:val="20"/>
          <w:szCs w:val="20"/>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Total Number of Shares</w:t>
            </w:r>
          </w:p>
        </w:tc>
        <w:tc>
          <w:tcPr>
            <w:tcW w:w="1900" w:type="dxa"/>
            <w:vAlign w:val="bottom"/>
            <w:gridSpan w:val="2"/>
          </w:tcPr>
          <w:p>
            <w:pPr>
              <w:jc w:val="center"/>
              <w:ind w:right="120"/>
              <w:spacing w:after="0"/>
              <w:rPr>
                <w:sz w:val="20"/>
                <w:szCs w:val="20"/>
                <w:color w:val="auto"/>
              </w:rPr>
            </w:pPr>
            <w:r>
              <w:rPr>
                <w:rFonts w:ascii="Arial" w:cs="Arial" w:eastAsia="Arial" w:hAnsi="Arial"/>
                <w:sz w:val="20"/>
                <w:szCs w:val="20"/>
                <w:color w:val="auto"/>
                <w:w w:val="93"/>
              </w:rPr>
              <w:t>Maximum Number of</w:t>
            </w: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20"/>
                <w:szCs w:val="20"/>
                <w:color w:val="auto"/>
                <w:w w:val="86"/>
              </w:rPr>
              <w:t>Purchased as Part of</w:t>
            </w:r>
          </w:p>
        </w:tc>
        <w:tc>
          <w:tcPr>
            <w:tcW w:w="1900" w:type="dxa"/>
            <w:vAlign w:val="bottom"/>
            <w:gridSpan w:val="2"/>
          </w:tcPr>
          <w:p>
            <w:pPr>
              <w:jc w:val="center"/>
              <w:ind w:right="140"/>
              <w:spacing w:after="0"/>
              <w:rPr>
                <w:sz w:val="20"/>
                <w:szCs w:val="20"/>
                <w:color w:val="auto"/>
              </w:rPr>
            </w:pPr>
            <w:r>
              <w:rPr>
                <w:rFonts w:ascii="Arial" w:cs="Arial" w:eastAsia="Arial" w:hAnsi="Arial"/>
                <w:sz w:val="20"/>
                <w:szCs w:val="20"/>
                <w:color w:val="auto"/>
                <w:w w:val="88"/>
              </w:rPr>
              <w:t>Shares that May Yet</w:t>
            </w: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w w:val="96"/>
              </w:rPr>
              <w:t>Total Number of</w:t>
            </w:r>
          </w:p>
        </w:tc>
        <w:tc>
          <w:tcPr>
            <w:tcW w:w="220" w:type="dxa"/>
            <w:vAlign w:val="bottom"/>
          </w:tcPr>
          <w:p>
            <w:pPr>
              <w:spacing w:after="0"/>
              <w:rPr>
                <w:sz w:val="21"/>
                <w:szCs w:val="21"/>
                <w:color w:val="auto"/>
              </w:rPr>
            </w:pPr>
          </w:p>
        </w:tc>
        <w:tc>
          <w:tcPr>
            <w:tcW w:w="1380" w:type="dxa"/>
            <w:vAlign w:val="bottom"/>
            <w:gridSpan w:val="3"/>
          </w:tcPr>
          <w:p>
            <w:pPr>
              <w:ind w:left="20"/>
              <w:spacing w:after="0"/>
              <w:rPr>
                <w:sz w:val="20"/>
                <w:szCs w:val="20"/>
                <w:color w:val="auto"/>
              </w:rPr>
            </w:pPr>
            <w:r>
              <w:rPr>
                <w:rFonts w:ascii="Arial" w:cs="Arial" w:eastAsia="Arial" w:hAnsi="Arial"/>
                <w:sz w:val="20"/>
                <w:szCs w:val="20"/>
                <w:color w:val="auto"/>
              </w:rPr>
              <w:t>Average Price</w:t>
            </w:r>
          </w:p>
        </w:tc>
        <w:tc>
          <w:tcPr>
            <w:tcW w:w="2120" w:type="dxa"/>
            <w:vAlign w:val="bottom"/>
            <w:gridSpan w:val="2"/>
          </w:tcPr>
          <w:p>
            <w:pPr>
              <w:jc w:val="center"/>
              <w:ind w:right="220"/>
              <w:spacing w:after="0"/>
              <w:rPr>
                <w:sz w:val="20"/>
                <w:szCs w:val="20"/>
                <w:color w:val="auto"/>
              </w:rPr>
            </w:pPr>
            <w:r>
              <w:rPr>
                <w:rFonts w:ascii="Arial" w:cs="Arial" w:eastAsia="Arial" w:hAnsi="Arial"/>
                <w:sz w:val="20"/>
                <w:szCs w:val="20"/>
                <w:color w:val="auto"/>
                <w:w w:val="92"/>
              </w:rPr>
              <w:t>Publicly Announced</w:t>
            </w:r>
          </w:p>
        </w:tc>
        <w:tc>
          <w:tcPr>
            <w:tcW w:w="1900" w:type="dxa"/>
            <w:vAlign w:val="bottom"/>
            <w:gridSpan w:val="2"/>
          </w:tcPr>
          <w:p>
            <w:pPr>
              <w:jc w:val="center"/>
              <w:ind w:right="120"/>
              <w:spacing w:after="0"/>
              <w:rPr>
                <w:sz w:val="20"/>
                <w:szCs w:val="20"/>
                <w:color w:val="auto"/>
              </w:rPr>
            </w:pPr>
            <w:r>
              <w:rPr>
                <w:rFonts w:ascii="Arial" w:cs="Arial" w:eastAsia="Arial" w:hAnsi="Arial"/>
                <w:sz w:val="20"/>
                <w:szCs w:val="20"/>
                <w:color w:val="auto"/>
                <w:w w:val="86"/>
              </w:rPr>
              <w:t>be Purchased Under</w:t>
            </w:r>
          </w:p>
        </w:tc>
      </w:tr>
      <w:tr>
        <w:trPr>
          <w:trHeight w:val="246"/>
        </w:trPr>
        <w:tc>
          <w:tcPr>
            <w:tcW w:w="20" w:type="dxa"/>
            <w:vAlign w:val="bottom"/>
          </w:tcPr>
          <w:p>
            <w:pPr>
              <w:spacing w:after="0"/>
              <w:rPr>
                <w:sz w:val="21"/>
                <w:szCs w:val="21"/>
                <w:color w:val="auto"/>
              </w:rPr>
            </w:pPr>
          </w:p>
        </w:tc>
        <w:tc>
          <w:tcPr>
            <w:tcW w:w="4300" w:type="dxa"/>
            <w:vAlign w:val="bottom"/>
            <w:gridSpan w:val="2"/>
          </w:tcPr>
          <w:p>
            <w:pPr>
              <w:ind w:left="1820"/>
              <w:spacing w:after="0"/>
              <w:rPr>
                <w:sz w:val="20"/>
                <w:szCs w:val="20"/>
                <w:color w:val="auto"/>
              </w:rPr>
            </w:pPr>
            <w:r>
              <w:rPr>
                <w:rFonts w:ascii="Arial" w:cs="Arial" w:eastAsia="Arial" w:hAnsi="Arial"/>
                <w:sz w:val="20"/>
                <w:szCs w:val="20"/>
                <w:color w:val="auto"/>
              </w:rPr>
              <w:t>Period</w:t>
            </w:r>
          </w:p>
        </w:tc>
        <w:tc>
          <w:tcPr>
            <w:tcW w:w="1480" w:type="dxa"/>
            <w:vAlign w:val="bottom"/>
          </w:tcPr>
          <w:p>
            <w:pPr>
              <w:jc w:val="right"/>
              <w:spacing w:after="0"/>
              <w:rPr>
                <w:sz w:val="20"/>
                <w:szCs w:val="20"/>
                <w:color w:val="auto"/>
              </w:rPr>
            </w:pPr>
            <w:r>
              <w:rPr>
                <w:rFonts w:ascii="Arial" w:cs="Arial" w:eastAsia="Arial" w:hAnsi="Arial"/>
                <w:sz w:val="20"/>
                <w:szCs w:val="20"/>
                <w:color w:val="auto"/>
                <w:w w:val="86"/>
              </w:rPr>
              <w:t>Shares Purchased</w:t>
            </w:r>
          </w:p>
        </w:tc>
        <w:tc>
          <w:tcPr>
            <w:tcW w:w="220" w:type="dxa"/>
            <w:vAlign w:val="bottom"/>
          </w:tcPr>
          <w:p>
            <w:pPr>
              <w:spacing w:after="0"/>
              <w:rPr>
                <w:sz w:val="21"/>
                <w:szCs w:val="21"/>
                <w:color w:val="auto"/>
              </w:rPr>
            </w:pPr>
          </w:p>
        </w:tc>
        <w:tc>
          <w:tcPr>
            <w:tcW w:w="1380" w:type="dxa"/>
            <w:vAlign w:val="bottom"/>
            <w:gridSpan w:val="3"/>
          </w:tcPr>
          <w:p>
            <w:pPr>
              <w:spacing w:after="0"/>
              <w:rPr>
                <w:sz w:val="20"/>
                <w:szCs w:val="20"/>
                <w:color w:val="auto"/>
              </w:rPr>
            </w:pPr>
            <w:r>
              <w:rPr>
                <w:rFonts w:ascii="Arial" w:cs="Arial" w:eastAsia="Arial" w:hAnsi="Arial"/>
                <w:sz w:val="20"/>
                <w:szCs w:val="20"/>
                <w:color w:val="auto"/>
              </w:rPr>
              <w:t>Paid per Share</w:t>
            </w:r>
          </w:p>
        </w:tc>
        <w:tc>
          <w:tcPr>
            <w:tcW w:w="2120" w:type="dxa"/>
            <w:vAlign w:val="bottom"/>
            <w:gridSpan w:val="2"/>
          </w:tcPr>
          <w:p>
            <w:pPr>
              <w:jc w:val="center"/>
              <w:ind w:right="220"/>
              <w:spacing w:after="0"/>
              <w:rPr>
                <w:sz w:val="20"/>
                <w:szCs w:val="20"/>
                <w:color w:val="auto"/>
              </w:rPr>
            </w:pPr>
            <w:r>
              <w:rPr>
                <w:rFonts w:ascii="Arial" w:cs="Arial" w:eastAsia="Arial" w:hAnsi="Arial"/>
                <w:sz w:val="20"/>
                <w:szCs w:val="20"/>
                <w:color w:val="auto"/>
                <w:w w:val="88"/>
              </w:rPr>
              <w:t>Plans or Programs</w:t>
            </w:r>
          </w:p>
        </w:tc>
        <w:tc>
          <w:tcPr>
            <w:tcW w:w="1900" w:type="dxa"/>
            <w:vAlign w:val="bottom"/>
            <w:gridSpan w:val="2"/>
          </w:tcPr>
          <w:p>
            <w:pPr>
              <w:jc w:val="right"/>
              <w:ind w:right="140"/>
              <w:spacing w:after="0"/>
              <w:rPr>
                <w:sz w:val="20"/>
                <w:szCs w:val="20"/>
                <w:color w:val="auto"/>
              </w:rPr>
            </w:pPr>
            <w:r>
              <w:rPr>
                <w:rFonts w:ascii="Arial" w:cs="Arial" w:eastAsia="Arial" w:hAnsi="Arial"/>
                <w:sz w:val="20"/>
                <w:szCs w:val="20"/>
                <w:color w:val="auto"/>
                <w:w w:val="87"/>
              </w:rPr>
              <w:t>the Plans or Programs</w:t>
            </w:r>
          </w:p>
        </w:tc>
      </w:tr>
      <w:tr>
        <w:trPr>
          <w:trHeight w:val="237"/>
        </w:trPr>
        <w:tc>
          <w:tcPr>
            <w:tcW w:w="20" w:type="dxa"/>
            <w:vAlign w:val="bottom"/>
          </w:tcPr>
          <w:p>
            <w:pPr>
              <w:spacing w:after="0"/>
              <w:rPr>
                <w:sz w:val="20"/>
                <w:szCs w:val="20"/>
                <w:color w:val="auto"/>
              </w:rPr>
            </w:pPr>
          </w:p>
        </w:tc>
        <w:tc>
          <w:tcPr>
            <w:tcW w:w="42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April 1, 2015 - April 30, 2015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20,000,000</w:t>
            </w:r>
          </w:p>
        </w:tc>
        <w:tc>
          <w:tcPr>
            <w:tcW w:w="1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May 1, 2015 - May 31, 2015</w:t>
            </w:r>
          </w:p>
        </w:tc>
        <w:tc>
          <w:tcPr>
            <w:tcW w:w="1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156,106</w:t>
            </w:r>
          </w:p>
        </w:tc>
        <w:tc>
          <w:tcPr>
            <w:tcW w:w="580" w:type="dxa"/>
            <w:vAlign w:val="bottom"/>
            <w:gridSpan w:val="2"/>
            <w:shd w:val="clear" w:color="auto" w:fill="CFF0FC"/>
          </w:tcPr>
          <w:p>
            <w:pPr>
              <w:ind w:left="220"/>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150.67</w:t>
            </w:r>
          </w:p>
        </w:tc>
        <w:tc>
          <w:tcPr>
            <w:tcW w:w="20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156,106</w:t>
            </w:r>
          </w:p>
        </w:tc>
        <w:tc>
          <w:tcPr>
            <w:tcW w:w="20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19,843,894</w:t>
            </w:r>
          </w:p>
        </w:tc>
        <w:tc>
          <w:tcPr>
            <w:tcW w:w="120" w:type="dxa"/>
            <w:vAlign w:val="bottom"/>
            <w:shd w:val="clear" w:color="auto" w:fill="CFF0FC"/>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300" w:type="dxa"/>
            <w:vAlign w:val="bottom"/>
            <w:gridSpan w:val="2"/>
          </w:tcPr>
          <w:p>
            <w:pPr>
              <w:spacing w:after="0"/>
              <w:rPr>
                <w:sz w:val="20"/>
                <w:szCs w:val="20"/>
                <w:color w:val="auto"/>
              </w:rPr>
            </w:pPr>
            <w:r>
              <w:rPr>
                <w:rFonts w:ascii="Arial" w:cs="Arial" w:eastAsia="Arial" w:hAnsi="Arial"/>
                <w:sz w:val="20"/>
                <w:szCs w:val="20"/>
                <w:color w:val="auto"/>
              </w:rPr>
              <w:t>June 1, 2015 - June 30, 2015</w:t>
            </w:r>
          </w:p>
        </w:tc>
        <w:tc>
          <w:tcPr>
            <w:tcW w:w="1480" w:type="dxa"/>
            <w:vAlign w:val="bottom"/>
          </w:tcPr>
          <w:p>
            <w:pPr>
              <w:jc w:val="right"/>
              <w:spacing w:after="0"/>
              <w:rPr>
                <w:sz w:val="20"/>
                <w:szCs w:val="20"/>
                <w:color w:val="auto"/>
              </w:rPr>
            </w:pPr>
            <w:r>
              <w:rPr>
                <w:rFonts w:ascii="Arial" w:cs="Arial" w:eastAsia="Arial" w:hAnsi="Arial"/>
                <w:sz w:val="20"/>
                <w:szCs w:val="20"/>
                <w:color w:val="auto"/>
              </w:rPr>
              <w:t>513,812</w:t>
            </w:r>
          </w:p>
        </w:tc>
        <w:tc>
          <w:tcPr>
            <w:tcW w:w="580" w:type="dxa"/>
            <w:vAlign w:val="bottom"/>
            <w:gridSpan w:val="2"/>
          </w:tcPr>
          <w:p>
            <w:pPr>
              <w:ind w:left="2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148.97</w:t>
            </w:r>
          </w:p>
        </w:tc>
        <w:tc>
          <w:tcPr>
            <w:tcW w:w="2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rPr>
              <w:t>513,812</w:t>
            </w: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19,330,082</w:t>
            </w:r>
          </w:p>
        </w:tc>
        <w:tc>
          <w:tcPr>
            <w:tcW w:w="120" w:type="dxa"/>
            <w:vAlign w:val="bottom"/>
          </w:tcPr>
          <w:p>
            <w:pPr>
              <w:spacing w:after="0"/>
              <w:rPr>
                <w:sz w:val="21"/>
                <w:szCs w:val="21"/>
                <w:color w:val="auto"/>
              </w:rPr>
            </w:pPr>
          </w:p>
        </w:tc>
      </w:tr>
    </w:tbl>
    <w:p>
      <w:pPr>
        <w:spacing w:after="0" w:line="200" w:lineRule="exact"/>
        <w:rPr>
          <w:sz w:val="20"/>
          <w:szCs w:val="20"/>
          <w:color w:val="auto"/>
        </w:rPr>
      </w:pP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Reference is made to the press release dated February 10, 2015 for the December 31, 2014 fourth-quarter and full-year results and announcement of the new share repurchase program. The Corporation’s Board of Directors authorized a maximum of 20 million shares to be repurchased under the program. The program does not have an expiration date.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57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6. Exhibits.</w:t>
      </w:r>
    </w:p>
    <w:p>
      <w:pPr>
        <w:spacing w:after="0" w:line="229" w:lineRule="exact"/>
        <w:rPr>
          <w:sz w:val="20"/>
          <w:szCs w:val="20"/>
          <w:color w:val="auto"/>
        </w:rPr>
      </w:pPr>
    </w:p>
    <w:p>
      <w:pPr>
        <w:ind w:left="20"/>
        <w:spacing w:after="0"/>
        <w:tabs>
          <w:tab w:leader="none" w:pos="5800" w:val="left"/>
        </w:tabs>
        <w:rPr>
          <w:sz w:val="20"/>
          <w:szCs w:val="20"/>
          <w:color w:val="auto"/>
        </w:rPr>
      </w:pPr>
      <w:r>
        <w:rPr>
          <w:rFonts w:ascii="Arial" w:cs="Arial" w:eastAsia="Arial" w:hAnsi="Arial"/>
          <w:sz w:val="20"/>
          <w:szCs w:val="20"/>
          <w:u w:val="single" w:color="auto"/>
          <w:color w:val="auto"/>
        </w:rPr>
        <w:t>Exhibit No.</w:t>
      </w:r>
      <w:r>
        <w:rPr>
          <w:sz w:val="20"/>
          <w:szCs w:val="20"/>
          <w:color w:val="auto"/>
        </w:rPr>
        <w:tab/>
      </w:r>
      <w:r>
        <w:rPr>
          <w:rFonts w:ascii="Arial" w:cs="Arial" w:eastAsia="Arial" w:hAnsi="Arial"/>
          <w:sz w:val="16"/>
          <w:szCs w:val="16"/>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19050</wp:posOffset>
            </wp:positionV>
            <wp:extent cx="65862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20"/>
                <w:szCs w:val="20"/>
                <w:color w:val="auto"/>
              </w:rPr>
              <w:t>31.01</w:t>
            </w:r>
          </w:p>
        </w:tc>
        <w:tc>
          <w:tcPr>
            <w:tcW w:w="10520" w:type="dxa"/>
            <w:vAlign w:val="bottom"/>
          </w:tcPr>
          <w:p>
            <w:pPr>
              <w:ind w:left="140"/>
              <w:spacing w:after="0"/>
              <w:rPr>
                <w:sz w:val="20"/>
                <w:szCs w:val="20"/>
                <w:color w:val="auto"/>
              </w:rPr>
            </w:pPr>
            <w:r>
              <w:rPr>
                <w:rFonts w:ascii="Arial" w:cs="Arial" w:eastAsia="Arial" w:hAnsi="Arial"/>
                <w:sz w:val="20"/>
                <w:szCs w:val="20"/>
                <w:color w:val="auto"/>
                <w:w w:val="93"/>
              </w:rPr>
              <w:t>Certification dated August 7, 2015 of Chief Executive Officer pursuant to Securities and Exchange Act of 1934 rule 13a-14 as</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31.02</w:t>
            </w:r>
          </w:p>
        </w:tc>
        <w:tc>
          <w:tcPr>
            <w:tcW w:w="10520" w:type="dxa"/>
            <w:vAlign w:val="bottom"/>
          </w:tcPr>
          <w:p>
            <w:pPr>
              <w:ind w:left="140"/>
              <w:spacing w:after="0"/>
              <w:rPr>
                <w:sz w:val="20"/>
                <w:szCs w:val="20"/>
                <w:color w:val="auto"/>
              </w:rPr>
            </w:pPr>
            <w:r>
              <w:rPr>
                <w:rFonts w:ascii="Arial" w:cs="Arial" w:eastAsia="Arial" w:hAnsi="Arial"/>
                <w:sz w:val="20"/>
                <w:szCs w:val="20"/>
                <w:color w:val="auto"/>
                <w:w w:val="94"/>
              </w:rPr>
              <w:t>Certification dated August 7, 2015 of Chief Financial Officer pursuant to Securities and Exchange Act of 1934 rule 13a-14 as</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32.01</w:t>
            </w:r>
          </w:p>
        </w:tc>
        <w:tc>
          <w:tcPr>
            <w:tcW w:w="10520" w:type="dxa"/>
            <w:vAlign w:val="bottom"/>
          </w:tcPr>
          <w:p>
            <w:pPr>
              <w:ind w:left="140"/>
              <w:spacing w:after="0"/>
              <w:rPr>
                <w:sz w:val="20"/>
                <w:szCs w:val="20"/>
                <w:color w:val="auto"/>
              </w:rPr>
            </w:pPr>
            <w:r>
              <w:rPr>
                <w:rFonts w:ascii="Arial" w:cs="Arial" w:eastAsia="Arial" w:hAnsi="Arial"/>
                <w:sz w:val="20"/>
                <w:szCs w:val="20"/>
                <w:color w:val="auto"/>
                <w:w w:val="98"/>
              </w:rPr>
              <w:t>Written Statement dated August 7, 2015 of Chief Executive Officer required by 18 U.S.C. 1350, as adopted pursuant to</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Section 906 of the Sarbanes-Oxley Act of 2002</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32.02</w:t>
            </w:r>
          </w:p>
        </w:tc>
        <w:tc>
          <w:tcPr>
            <w:tcW w:w="10520" w:type="dxa"/>
            <w:vAlign w:val="bottom"/>
          </w:tcPr>
          <w:p>
            <w:pPr>
              <w:ind w:left="140"/>
              <w:spacing w:after="0"/>
              <w:rPr>
                <w:sz w:val="20"/>
                <w:szCs w:val="20"/>
                <w:color w:val="auto"/>
              </w:rPr>
            </w:pPr>
            <w:r>
              <w:rPr>
                <w:rFonts w:ascii="Arial" w:cs="Arial" w:eastAsia="Arial" w:hAnsi="Arial"/>
                <w:sz w:val="20"/>
                <w:szCs w:val="20"/>
                <w:color w:val="auto"/>
                <w:w w:val="99"/>
              </w:rPr>
              <w:t>Written Statement dated August 7, 2015 of Chief Financial Officer required by 18 U.S.C. 1350, as adopted pursuant to</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Section 906 of the Sarbanes-Oxley Act of 2002</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95</w:t>
            </w:r>
          </w:p>
        </w:tc>
        <w:tc>
          <w:tcPr>
            <w:tcW w:w="10520" w:type="dxa"/>
            <w:vAlign w:val="bottom"/>
          </w:tcPr>
          <w:p>
            <w:pPr>
              <w:ind w:left="140"/>
              <w:spacing w:after="0"/>
              <w:rPr>
                <w:sz w:val="20"/>
                <w:szCs w:val="20"/>
                <w:color w:val="auto"/>
              </w:rPr>
            </w:pPr>
            <w:r>
              <w:rPr>
                <w:rFonts w:ascii="Arial" w:cs="Arial" w:eastAsia="Arial" w:hAnsi="Arial"/>
                <w:sz w:val="20"/>
                <w:szCs w:val="20"/>
                <w:color w:val="auto"/>
              </w:rPr>
              <w:t>Mine Safety Disclosures</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101.INS</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Instance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101.SCH</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Schema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101.CAL</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Calculation Linkbase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101.LAB</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Label Linkbase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101.PRE</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Presentation Linkbase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101.DEF</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Definition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58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20"/>
                <w:szCs w:val="20"/>
                <w:color w:val="auto"/>
              </w:rPr>
              <w:t>MARTIN MARIETTA MATERIALS, INC.</w:t>
            </w:r>
          </w:p>
        </w:tc>
      </w:tr>
      <w:tr>
        <w:trPr>
          <w:trHeight w:val="250"/>
        </w:trPr>
        <w:tc>
          <w:tcPr>
            <w:tcW w:w="426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200" w:type="dxa"/>
            <w:vAlign w:val="bottom"/>
          </w:tcPr>
          <w:p>
            <w:pPr>
              <w:jc w:val="center"/>
              <w:ind w:right="1961"/>
              <w:spacing w:after="0"/>
              <w:rPr>
                <w:sz w:val="20"/>
                <w:szCs w:val="20"/>
                <w:color w:val="auto"/>
              </w:rPr>
            </w:pPr>
            <w:r>
              <w:rPr>
                <w:rFonts w:ascii="Arial" w:cs="Arial" w:eastAsia="Arial" w:hAnsi="Arial"/>
                <w:sz w:val="20"/>
                <w:szCs w:val="20"/>
                <w:color w:val="auto"/>
                <w:w w:val="89"/>
              </w:rPr>
              <w:t>(Registrant)</w:t>
            </w:r>
          </w:p>
        </w:tc>
      </w:tr>
      <w:tr>
        <w:trPr>
          <w:trHeight w:val="455"/>
        </w:trPr>
        <w:tc>
          <w:tcPr>
            <w:tcW w:w="4260" w:type="dxa"/>
            <w:vAlign w:val="bottom"/>
          </w:tcPr>
          <w:p>
            <w:pPr>
              <w:spacing w:after="0"/>
              <w:rPr>
                <w:sz w:val="20"/>
                <w:szCs w:val="20"/>
                <w:color w:val="auto"/>
              </w:rPr>
            </w:pPr>
            <w:r>
              <w:rPr>
                <w:rFonts w:ascii="Arial" w:cs="Arial" w:eastAsia="Arial" w:hAnsi="Arial"/>
                <w:sz w:val="20"/>
                <w:szCs w:val="20"/>
                <w:color w:val="auto"/>
              </w:rPr>
              <w:t>Date: August 7, 2015</w:t>
            </w:r>
          </w:p>
        </w:tc>
        <w:tc>
          <w:tcPr>
            <w:tcW w:w="7160" w:type="dxa"/>
            <w:vAlign w:val="bottom"/>
            <w:gridSpan w:val="2"/>
          </w:tcPr>
          <w:p>
            <w:pPr>
              <w:ind w:left="2560"/>
              <w:spacing w:after="0"/>
              <w:rPr>
                <w:sz w:val="20"/>
                <w:szCs w:val="20"/>
                <w:color w:val="auto"/>
              </w:rPr>
            </w:pPr>
            <w:r>
              <w:rPr>
                <w:rFonts w:ascii="Arial" w:cs="Arial" w:eastAsia="Arial" w:hAnsi="Arial"/>
                <w:sz w:val="20"/>
                <w:szCs w:val="20"/>
                <w:color w:val="auto"/>
              </w:rPr>
              <w:t>By: /s/ Anne H. Lloyd</w:t>
            </w:r>
          </w:p>
        </w:tc>
      </w:tr>
      <w:tr>
        <w:trPr>
          <w:trHeight w:val="206"/>
        </w:trPr>
        <w:tc>
          <w:tcPr>
            <w:tcW w:w="42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2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Anne H. Lloyd</w:t>
            </w:r>
          </w:p>
        </w:tc>
      </w:tr>
      <w:tr>
        <w:trPr>
          <w:trHeight w:val="230"/>
        </w:trPr>
        <w:tc>
          <w:tcPr>
            <w:tcW w:w="42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20"/>
                <w:szCs w:val="20"/>
                <w:color w:val="auto"/>
              </w:rPr>
              <w:t>Executive Vice President and</w:t>
            </w:r>
          </w:p>
        </w:tc>
      </w:tr>
      <w:tr>
        <w:trPr>
          <w:trHeight w:val="250"/>
        </w:trPr>
        <w:tc>
          <w:tcPr>
            <w:tcW w:w="426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200" w:type="dxa"/>
            <w:vAlign w:val="bottom"/>
          </w:tcPr>
          <w:p>
            <w:pPr>
              <w:jc w:val="center"/>
              <w:ind w:right="1961"/>
              <w:spacing w:after="0"/>
              <w:rPr>
                <w:sz w:val="20"/>
                <w:szCs w:val="20"/>
                <w:color w:val="auto"/>
              </w:rPr>
            </w:pPr>
            <w:r>
              <w:rPr>
                <w:rFonts w:ascii="Arial" w:cs="Arial" w:eastAsia="Arial" w:hAnsi="Arial"/>
                <w:sz w:val="20"/>
                <w:szCs w:val="20"/>
                <w:color w:val="auto"/>
                <w:w w:val="94"/>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59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INDEX</w:t>
      </w:r>
    </w:p>
    <w:p>
      <w:pPr>
        <w:spacing w:after="0" w:line="229" w:lineRule="exact"/>
        <w:rPr>
          <w:sz w:val="20"/>
          <w:szCs w:val="20"/>
          <w:color w:val="auto"/>
        </w:rPr>
      </w:pPr>
    </w:p>
    <w:p>
      <w:pPr>
        <w:ind w:left="20"/>
        <w:spacing w:after="0"/>
        <w:tabs>
          <w:tab w:leader="none" w:pos="5800" w:val="left"/>
        </w:tabs>
        <w:rPr>
          <w:sz w:val="20"/>
          <w:szCs w:val="20"/>
          <w:color w:val="auto"/>
        </w:rPr>
      </w:pPr>
      <w:r>
        <w:rPr>
          <w:rFonts w:ascii="Arial" w:cs="Arial" w:eastAsia="Arial" w:hAnsi="Arial"/>
          <w:sz w:val="20"/>
          <w:szCs w:val="20"/>
          <w:u w:val="single" w:color="auto"/>
          <w:color w:val="auto"/>
        </w:rPr>
        <w:t>Exhibit No.</w:t>
      </w:r>
      <w:r>
        <w:rPr>
          <w:sz w:val="20"/>
          <w:szCs w:val="20"/>
          <w:color w:val="auto"/>
        </w:rPr>
        <w:tab/>
      </w:r>
      <w:r>
        <w:rPr>
          <w:rFonts w:ascii="Arial" w:cs="Arial" w:eastAsia="Arial" w:hAnsi="Arial"/>
          <w:sz w:val="16"/>
          <w:szCs w:val="16"/>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19050</wp:posOffset>
            </wp:positionV>
            <wp:extent cx="65862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20"/>
                <w:szCs w:val="20"/>
                <w:color w:val="auto"/>
              </w:rPr>
              <w:t>31.01</w:t>
            </w:r>
          </w:p>
        </w:tc>
        <w:tc>
          <w:tcPr>
            <w:tcW w:w="10520" w:type="dxa"/>
            <w:vAlign w:val="bottom"/>
          </w:tcPr>
          <w:p>
            <w:pPr>
              <w:ind w:left="140"/>
              <w:spacing w:after="0"/>
              <w:rPr>
                <w:sz w:val="20"/>
                <w:szCs w:val="20"/>
                <w:color w:val="auto"/>
              </w:rPr>
            </w:pPr>
            <w:r>
              <w:rPr>
                <w:rFonts w:ascii="Arial" w:cs="Arial" w:eastAsia="Arial" w:hAnsi="Arial"/>
                <w:sz w:val="20"/>
                <w:szCs w:val="20"/>
                <w:color w:val="auto"/>
                <w:w w:val="93"/>
              </w:rPr>
              <w:t>Certification dated August 7, 2015 of Chief Executive Officer pursuant to Securities and Exchange Act of 1934 rule 13a-14 as</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31.02</w:t>
            </w:r>
          </w:p>
        </w:tc>
        <w:tc>
          <w:tcPr>
            <w:tcW w:w="10520" w:type="dxa"/>
            <w:vAlign w:val="bottom"/>
          </w:tcPr>
          <w:p>
            <w:pPr>
              <w:ind w:left="140"/>
              <w:spacing w:after="0"/>
              <w:rPr>
                <w:sz w:val="20"/>
                <w:szCs w:val="20"/>
                <w:color w:val="auto"/>
              </w:rPr>
            </w:pPr>
            <w:r>
              <w:rPr>
                <w:rFonts w:ascii="Arial" w:cs="Arial" w:eastAsia="Arial" w:hAnsi="Arial"/>
                <w:sz w:val="20"/>
                <w:szCs w:val="20"/>
                <w:color w:val="auto"/>
                <w:w w:val="94"/>
              </w:rPr>
              <w:t>Certification dated August 7, 2015 of Chief Financial Officer pursuant to Securities and Exchange Act of 1934 rule 13a-14 as</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32.01</w:t>
            </w:r>
          </w:p>
        </w:tc>
        <w:tc>
          <w:tcPr>
            <w:tcW w:w="10520" w:type="dxa"/>
            <w:vAlign w:val="bottom"/>
          </w:tcPr>
          <w:p>
            <w:pPr>
              <w:ind w:left="140"/>
              <w:spacing w:after="0"/>
              <w:rPr>
                <w:sz w:val="20"/>
                <w:szCs w:val="20"/>
                <w:color w:val="auto"/>
              </w:rPr>
            </w:pPr>
            <w:r>
              <w:rPr>
                <w:rFonts w:ascii="Arial" w:cs="Arial" w:eastAsia="Arial" w:hAnsi="Arial"/>
                <w:sz w:val="20"/>
                <w:szCs w:val="20"/>
                <w:color w:val="auto"/>
                <w:w w:val="92"/>
              </w:rPr>
              <w:t>Written Statement dated August 7, 2015 of Chief Executive Officer required by 18 U.S.C. 1350, as adopted pursuant to Section</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906 of the Sarbanes-Oxley Act of 2002</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32.02</w:t>
            </w:r>
          </w:p>
        </w:tc>
        <w:tc>
          <w:tcPr>
            <w:tcW w:w="10520" w:type="dxa"/>
            <w:vAlign w:val="bottom"/>
          </w:tcPr>
          <w:p>
            <w:pPr>
              <w:ind w:left="140"/>
              <w:spacing w:after="0"/>
              <w:rPr>
                <w:sz w:val="20"/>
                <w:szCs w:val="20"/>
                <w:color w:val="auto"/>
              </w:rPr>
            </w:pPr>
            <w:r>
              <w:rPr>
                <w:rFonts w:ascii="Arial" w:cs="Arial" w:eastAsia="Arial" w:hAnsi="Arial"/>
                <w:sz w:val="20"/>
                <w:szCs w:val="20"/>
                <w:color w:val="auto"/>
                <w:w w:val="92"/>
              </w:rPr>
              <w:t>Written Statement dated August 7, 2015 of Chief Financial Officer required by 18 U.S.C. 1350, as adopted pursuant to Section</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906 of the Sarbanes-Oxley Act of 2002</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95</w:t>
            </w:r>
          </w:p>
        </w:tc>
        <w:tc>
          <w:tcPr>
            <w:tcW w:w="10520" w:type="dxa"/>
            <w:vAlign w:val="bottom"/>
          </w:tcPr>
          <w:p>
            <w:pPr>
              <w:ind w:left="140"/>
              <w:spacing w:after="0"/>
              <w:rPr>
                <w:sz w:val="20"/>
                <w:szCs w:val="20"/>
                <w:color w:val="auto"/>
              </w:rPr>
            </w:pPr>
            <w:r>
              <w:rPr>
                <w:rFonts w:ascii="Arial" w:cs="Arial" w:eastAsia="Arial" w:hAnsi="Arial"/>
                <w:sz w:val="20"/>
                <w:szCs w:val="20"/>
                <w:color w:val="auto"/>
              </w:rPr>
              <w:t>Mine Safety Disclosures</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101.INS</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Instance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101.SCH</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Schema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101.CAL</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Calculation Linkbase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101.LAB</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Label Linkbase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101.PRE</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Presentation Linkbase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101.DEF</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Definition Linkbase</w:t>
            </w: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60 of 60</w:t>
      </w:r>
    </w:p>
    <w:p>
      <w:pPr>
        <w:sectPr>
          <w:pgSz w:w="11900" w:h="16838" w:orient="portrait"/>
          <w:cols w:equalWidth="0" w:num="1">
            <w:col w:w="11420"/>
          </w:cols>
          <w:pgMar w:left="240" w:top="339"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86" w:lineRule="exact"/>
        <w:rPr>
          <w:sz w:val="20"/>
          <w:szCs w:val="20"/>
          <w:color w:val="auto"/>
        </w:rPr>
      </w:pPr>
    </w:p>
    <w:p>
      <w:pPr>
        <w:jc w:val="center"/>
        <w:ind w:left="260" w:right="100"/>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29" w:lineRule="exact"/>
        <w:rPr>
          <w:sz w:val="20"/>
          <w:szCs w:val="20"/>
          <w:color w:val="auto"/>
        </w:rPr>
      </w:pPr>
    </w:p>
    <w:p>
      <w:pPr>
        <w:ind w:left="1300" w:hanging="415"/>
        <w:spacing w:after="0"/>
        <w:tabs>
          <w:tab w:leader="none" w:pos="13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9" w:lineRule="exact"/>
        <w:rPr>
          <w:rFonts w:ascii="Arial" w:cs="Arial" w:eastAsia="Arial" w:hAnsi="Arial"/>
          <w:sz w:val="20"/>
          <w:szCs w:val="20"/>
          <w:color w:val="auto"/>
        </w:rPr>
      </w:pPr>
    </w:p>
    <w:p>
      <w:pPr>
        <w:jc w:val="both"/>
        <w:ind w:left="1300" w:hanging="415"/>
        <w:spacing w:after="0" w:line="250" w:lineRule="auto"/>
        <w:tabs>
          <w:tab w:leader="none" w:pos="13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15"/>
        <w:spacing w:after="0" w:line="250" w:lineRule="auto"/>
        <w:tabs>
          <w:tab w:leader="none" w:pos="13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15"/>
        <w:spacing w:after="0" w:line="250" w:lineRule="auto"/>
        <w:tabs>
          <w:tab w:leader="none" w:pos="13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40" w:hanging="377"/>
        <w:spacing w:after="0" w:line="246" w:lineRule="auto"/>
        <w:tabs>
          <w:tab w:leader="none" w:pos="2140" w:val="left"/>
        </w:tabs>
        <w:numPr>
          <w:ilvl w:val="1"/>
          <w:numId w:val="3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0"/>
          <w:szCs w:val="20"/>
          <w:color w:val="auto"/>
        </w:rPr>
      </w:pPr>
    </w:p>
    <w:p>
      <w:pPr>
        <w:jc w:val="both"/>
        <w:ind w:left="2140" w:hanging="377"/>
        <w:spacing w:after="0" w:line="246" w:lineRule="auto"/>
        <w:tabs>
          <w:tab w:leader="none" w:pos="2140" w:val="left"/>
        </w:tabs>
        <w:numPr>
          <w:ilvl w:val="1"/>
          <w:numId w:val="3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5" w:lineRule="exact"/>
        <w:rPr>
          <w:rFonts w:ascii="Arial" w:cs="Arial" w:eastAsia="Arial" w:hAnsi="Arial"/>
          <w:sz w:val="20"/>
          <w:szCs w:val="20"/>
          <w:color w:val="auto"/>
        </w:rPr>
      </w:pPr>
    </w:p>
    <w:p>
      <w:pPr>
        <w:jc w:val="both"/>
        <w:ind w:left="2140" w:hanging="377"/>
        <w:spacing w:after="0" w:line="250" w:lineRule="auto"/>
        <w:tabs>
          <w:tab w:leader="none" w:pos="2140" w:val="left"/>
        </w:tabs>
        <w:numPr>
          <w:ilvl w:val="1"/>
          <w:numId w:val="3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40" w:hanging="377"/>
        <w:spacing w:after="0" w:line="250" w:lineRule="auto"/>
        <w:tabs>
          <w:tab w:leader="none" w:pos="2140" w:val="left"/>
        </w:tabs>
        <w:numPr>
          <w:ilvl w:val="1"/>
          <w:numId w:val="3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1" w:name="page62"/>
    <w:bookmarkEnd w:id="61"/>
    <w:p>
      <w:pPr>
        <w:jc w:val="both"/>
        <w:ind w:left="1300" w:hanging="415"/>
        <w:spacing w:after="0" w:line="250" w:lineRule="auto"/>
        <w:tabs>
          <w:tab w:leader="none" w:pos="1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40" w:hanging="377"/>
        <w:spacing w:after="0" w:line="250" w:lineRule="auto"/>
        <w:tabs>
          <w:tab w:leader="none" w:pos="2140" w:val="left"/>
        </w:tabs>
        <w:numPr>
          <w:ilvl w:val="1"/>
          <w:numId w:val="3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40" w:hanging="377"/>
        <w:spacing w:after="0" w:line="260" w:lineRule="auto"/>
        <w:tabs>
          <w:tab w:leader="none" w:pos="2140" w:val="left"/>
        </w:tabs>
        <w:numPr>
          <w:ilvl w:val="1"/>
          <w:numId w:val="3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00" w:type="dxa"/>
            <w:vAlign w:val="bottom"/>
          </w:tcPr>
          <w:p>
            <w:pPr>
              <w:spacing w:after="0"/>
              <w:rPr>
                <w:sz w:val="20"/>
                <w:szCs w:val="20"/>
                <w:color w:val="auto"/>
              </w:rPr>
            </w:pPr>
            <w:r>
              <w:rPr>
                <w:rFonts w:ascii="Arial" w:cs="Arial" w:eastAsia="Arial" w:hAnsi="Arial"/>
                <w:sz w:val="20"/>
                <w:szCs w:val="20"/>
                <w:color w:val="auto"/>
              </w:rPr>
              <w:t>Date: August 7, 2015</w:t>
            </w:r>
          </w:p>
        </w:tc>
        <w:tc>
          <w:tcPr>
            <w:tcW w:w="7120" w:type="dxa"/>
            <w:vAlign w:val="bottom"/>
            <w:gridSpan w:val="2"/>
          </w:tcPr>
          <w:p>
            <w:pPr>
              <w:ind w:left="2560"/>
              <w:spacing w:after="0"/>
              <w:rPr>
                <w:sz w:val="20"/>
                <w:szCs w:val="20"/>
                <w:color w:val="auto"/>
              </w:rPr>
            </w:pPr>
            <w:r>
              <w:rPr>
                <w:rFonts w:ascii="Arial" w:cs="Arial" w:eastAsia="Arial" w:hAnsi="Arial"/>
                <w:sz w:val="20"/>
                <w:szCs w:val="20"/>
                <w:color w:val="auto"/>
              </w:rPr>
              <w:t>By:  /s/ C. Howard Nye</w:t>
            </w:r>
          </w:p>
        </w:tc>
      </w:tr>
      <w:tr>
        <w:trPr>
          <w:trHeight w:val="206"/>
        </w:trPr>
        <w:tc>
          <w:tcPr>
            <w:tcW w:w="43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1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C. Howard Nye</w:t>
            </w:r>
          </w:p>
        </w:tc>
      </w:tr>
      <w:tr>
        <w:trPr>
          <w:trHeight w:val="230"/>
        </w:trPr>
        <w:tc>
          <w:tcPr>
            <w:tcW w:w="43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20"/>
                <w:szCs w:val="20"/>
                <w:color w:val="auto"/>
              </w:rPr>
              <w:t>Chairman, President and</w:t>
            </w:r>
          </w:p>
        </w:tc>
      </w:tr>
      <w:tr>
        <w:trPr>
          <w:trHeight w:val="250"/>
        </w:trPr>
        <w:tc>
          <w:tcPr>
            <w:tcW w:w="43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100" w:type="dxa"/>
            <w:vAlign w:val="bottom"/>
          </w:tcPr>
          <w:p>
            <w:pPr>
              <w:ind w:left="14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420"/>
          </w:cols>
          <w:pgMar w:left="240" w:top="104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86" w:lineRule="exact"/>
        <w:rPr>
          <w:sz w:val="20"/>
          <w:szCs w:val="20"/>
          <w:color w:val="auto"/>
        </w:rPr>
      </w:pPr>
    </w:p>
    <w:p>
      <w:pPr>
        <w:jc w:val="center"/>
        <w:ind w:left="260" w:right="100"/>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I, Anne H. Lloyd, certify that:</w:t>
      </w:r>
    </w:p>
    <w:p>
      <w:pPr>
        <w:spacing w:after="0" w:line="229" w:lineRule="exact"/>
        <w:rPr>
          <w:sz w:val="20"/>
          <w:szCs w:val="20"/>
          <w:color w:val="auto"/>
        </w:rPr>
      </w:pPr>
    </w:p>
    <w:p>
      <w:pPr>
        <w:ind w:left="1300" w:hanging="415"/>
        <w:spacing w:after="0"/>
        <w:tabs>
          <w:tab w:leader="none" w:pos="1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9" w:lineRule="exact"/>
        <w:rPr>
          <w:rFonts w:ascii="Arial" w:cs="Arial" w:eastAsia="Arial" w:hAnsi="Arial"/>
          <w:sz w:val="20"/>
          <w:szCs w:val="20"/>
          <w:color w:val="auto"/>
        </w:rPr>
      </w:pPr>
    </w:p>
    <w:p>
      <w:pPr>
        <w:jc w:val="both"/>
        <w:ind w:left="1300" w:hanging="415"/>
        <w:spacing w:after="0" w:line="250" w:lineRule="auto"/>
        <w:tabs>
          <w:tab w:leader="none" w:pos="1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15"/>
        <w:spacing w:after="0" w:line="250" w:lineRule="auto"/>
        <w:tabs>
          <w:tab w:leader="none" w:pos="1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15"/>
        <w:spacing w:after="0" w:line="250" w:lineRule="auto"/>
        <w:tabs>
          <w:tab w:leader="none" w:pos="1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40" w:hanging="377"/>
        <w:spacing w:after="0" w:line="246" w:lineRule="auto"/>
        <w:tabs>
          <w:tab w:leader="none" w:pos="2140" w:val="left"/>
        </w:tabs>
        <w:numPr>
          <w:ilvl w:val="1"/>
          <w:numId w:val="3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0"/>
          <w:szCs w:val="20"/>
          <w:color w:val="auto"/>
        </w:rPr>
      </w:pPr>
    </w:p>
    <w:p>
      <w:pPr>
        <w:jc w:val="both"/>
        <w:ind w:left="2140" w:hanging="377"/>
        <w:spacing w:after="0" w:line="246" w:lineRule="auto"/>
        <w:tabs>
          <w:tab w:leader="none" w:pos="2140" w:val="left"/>
        </w:tabs>
        <w:numPr>
          <w:ilvl w:val="1"/>
          <w:numId w:val="3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5" w:lineRule="exact"/>
        <w:rPr>
          <w:rFonts w:ascii="Arial" w:cs="Arial" w:eastAsia="Arial" w:hAnsi="Arial"/>
          <w:sz w:val="20"/>
          <w:szCs w:val="20"/>
          <w:color w:val="auto"/>
        </w:rPr>
      </w:pPr>
    </w:p>
    <w:p>
      <w:pPr>
        <w:jc w:val="both"/>
        <w:ind w:left="2140" w:hanging="377"/>
        <w:spacing w:after="0" w:line="250" w:lineRule="auto"/>
        <w:tabs>
          <w:tab w:leader="none" w:pos="2140" w:val="left"/>
        </w:tabs>
        <w:numPr>
          <w:ilvl w:val="1"/>
          <w:numId w:val="3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40" w:hanging="377"/>
        <w:spacing w:after="0" w:line="250" w:lineRule="auto"/>
        <w:tabs>
          <w:tab w:leader="none" w:pos="2140" w:val="left"/>
        </w:tabs>
        <w:numPr>
          <w:ilvl w:val="1"/>
          <w:numId w:val="3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63" w:name="page64"/>
    <w:bookmarkEnd w:id="63"/>
    <w:p>
      <w:pPr>
        <w:jc w:val="both"/>
        <w:ind w:left="1300" w:hanging="415"/>
        <w:spacing w:after="0" w:line="250" w:lineRule="auto"/>
        <w:tabs>
          <w:tab w:leader="none" w:pos="13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40" w:hanging="377"/>
        <w:spacing w:after="0" w:line="250" w:lineRule="auto"/>
        <w:tabs>
          <w:tab w:leader="none" w:pos="2140" w:val="left"/>
        </w:tabs>
        <w:numPr>
          <w:ilvl w:val="1"/>
          <w:numId w:val="4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40" w:hanging="377"/>
        <w:spacing w:after="0" w:line="260" w:lineRule="auto"/>
        <w:tabs>
          <w:tab w:leader="none" w:pos="2140" w:val="left"/>
        </w:tabs>
        <w:numPr>
          <w:ilvl w:val="1"/>
          <w:numId w:val="4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80" w:type="dxa"/>
            <w:vAlign w:val="bottom"/>
          </w:tcPr>
          <w:p>
            <w:pPr>
              <w:spacing w:after="0"/>
              <w:rPr>
                <w:sz w:val="20"/>
                <w:szCs w:val="20"/>
                <w:color w:val="auto"/>
              </w:rPr>
            </w:pPr>
            <w:r>
              <w:rPr>
                <w:rFonts w:ascii="Arial" w:cs="Arial" w:eastAsia="Arial" w:hAnsi="Arial"/>
                <w:sz w:val="20"/>
                <w:szCs w:val="20"/>
                <w:color w:val="auto"/>
              </w:rPr>
              <w:t>Date: August 7, 2015</w:t>
            </w:r>
          </w:p>
        </w:tc>
        <w:tc>
          <w:tcPr>
            <w:tcW w:w="7140" w:type="dxa"/>
            <w:vAlign w:val="bottom"/>
            <w:gridSpan w:val="2"/>
          </w:tcPr>
          <w:p>
            <w:pPr>
              <w:ind w:left="2580"/>
              <w:spacing w:after="0"/>
              <w:rPr>
                <w:sz w:val="20"/>
                <w:szCs w:val="20"/>
                <w:color w:val="auto"/>
              </w:rPr>
            </w:pPr>
            <w:r>
              <w:rPr>
                <w:rFonts w:ascii="Arial" w:cs="Arial" w:eastAsia="Arial" w:hAnsi="Arial"/>
                <w:sz w:val="20"/>
                <w:szCs w:val="20"/>
                <w:color w:val="auto"/>
              </w:rPr>
              <w:t>By:  /s/ Anne H. Lloyd</w:t>
            </w:r>
          </w:p>
        </w:tc>
      </w:tr>
      <w:tr>
        <w:trPr>
          <w:trHeight w:val="206"/>
        </w:trPr>
        <w:tc>
          <w:tcPr>
            <w:tcW w:w="42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1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Anne H. Lloyd</w:t>
            </w:r>
          </w:p>
        </w:tc>
      </w:tr>
      <w:tr>
        <w:trPr>
          <w:trHeight w:val="230"/>
        </w:trPr>
        <w:tc>
          <w:tcPr>
            <w:tcW w:w="42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20"/>
                <w:szCs w:val="20"/>
                <w:color w:val="auto"/>
              </w:rPr>
              <w:t>Executive Vice President and</w:t>
            </w:r>
          </w:p>
        </w:tc>
      </w:tr>
      <w:tr>
        <w:trPr>
          <w:trHeight w:val="250"/>
        </w:trPr>
        <w:tc>
          <w:tcPr>
            <w:tcW w:w="42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100" w:type="dxa"/>
            <w:vAlign w:val="bottom"/>
          </w:tcPr>
          <w:p>
            <w:pPr>
              <w:ind w:left="14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420"/>
          </w:cols>
          <w:pgMar w:left="240" w:top="104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20"/>
          <w:szCs w:val="20"/>
          <w:b w:val="1"/>
          <w:bCs w:val="1"/>
          <w:color w:val="auto"/>
        </w:rPr>
        <w:t>EXHIBIT 32.01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00" w:lineRule="exact"/>
        <w:rPr>
          <w:sz w:val="20"/>
          <w:szCs w:val="20"/>
          <w:color w:val="auto"/>
        </w:rPr>
      </w:pPr>
    </w:p>
    <w:p>
      <w:pPr>
        <w:spacing w:after="0" w:line="243"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June 30, 2015 (the “Report”) of Martin Marietta Materials, Inc. (the “Registrant”), as filed with the Securities and Exchange Commission on the date hereof, I, C. Howard Nye, the Chief Executive Officer of the Registrant, certify, to the best of my knowledge, that:</w:t>
      </w:r>
    </w:p>
    <w:p>
      <w:pPr>
        <w:spacing w:after="0" w:line="200" w:lineRule="exact"/>
        <w:rPr>
          <w:sz w:val="20"/>
          <w:szCs w:val="20"/>
          <w:color w:val="auto"/>
        </w:rPr>
      </w:pPr>
    </w:p>
    <w:p>
      <w:pPr>
        <w:ind w:left="1700" w:hanging="815"/>
        <w:spacing w:after="0" w:line="260" w:lineRule="auto"/>
        <w:tabs>
          <w:tab w:leader="none" w:pos="17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00" w:right="20" w:hanging="815"/>
        <w:spacing w:after="0" w:line="260" w:lineRule="auto"/>
        <w:tabs>
          <w:tab w:leader="none" w:pos="17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C. Howard Nye</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Chairman, President and</w:t>
      </w:r>
    </w:p>
    <w:p>
      <w:pPr>
        <w:ind w:left="700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Dated: August 7, 2015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20"/>
          <w:szCs w:val="20"/>
          <w:b w:val="1"/>
          <w:bCs w:val="1"/>
          <w:color w:val="auto"/>
        </w:rPr>
        <w:t>EXHIBIT 32.02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00" w:lineRule="exact"/>
        <w:rPr>
          <w:sz w:val="20"/>
          <w:szCs w:val="20"/>
          <w:color w:val="auto"/>
        </w:rPr>
      </w:pPr>
    </w:p>
    <w:p>
      <w:pPr>
        <w:spacing w:after="0" w:line="243"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June 30, 2015 (the “Report”) of Martin Marietta Materials, Inc. (the “Registrant”), as filed with the Securities and Exchange Commission on the date hereof, I, Anne H. Lloyd, the Chief Financial Officer of the Registrant, certify, to the best of my knowledge, that:</w:t>
      </w:r>
    </w:p>
    <w:p>
      <w:pPr>
        <w:spacing w:after="0" w:line="200" w:lineRule="exact"/>
        <w:rPr>
          <w:sz w:val="20"/>
          <w:szCs w:val="20"/>
          <w:color w:val="auto"/>
        </w:rPr>
      </w:pPr>
    </w:p>
    <w:p>
      <w:pPr>
        <w:ind w:left="1700" w:hanging="815"/>
        <w:spacing w:after="0" w:line="260" w:lineRule="auto"/>
        <w:tabs>
          <w:tab w:leader="none" w:pos="17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00" w:right="20" w:hanging="815"/>
        <w:spacing w:after="0" w:line="260" w:lineRule="auto"/>
        <w:tabs>
          <w:tab w:leader="none" w:pos="17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Anne H.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Anne H. Lloyd</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Executive Vice President and</w:t>
      </w:r>
    </w:p>
    <w:p>
      <w:pPr>
        <w:ind w:left="700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August 7, 2015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36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20"/>
          <w:szCs w:val="20"/>
          <w:b w:val="1"/>
          <w:bCs w:val="1"/>
          <w:color w:val="auto"/>
        </w:rPr>
        <w:t>EXHIBIT 95</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operation of the Corporation’s domestic aggregates quarries and mines is subject to regulation by the federal Mine Safety and Health Administration (MSHA) under the Federal Mine Safety and Health Act of 1977 (the “Mine Act”). MSHA inspects the Corporation’s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Under the Dodd-Frank Wall Street Reform and Consumer Protection Act (the “Dodd-Frank Act”), the Corporation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Corporation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Corporation’s quarries and mines operated outside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presents the following items regarding certain mining safety and health matters for the three months ended June 30, 2015:</w:t>
      </w:r>
    </w:p>
    <w:p>
      <w:pPr>
        <w:spacing w:after="0" w:line="252" w:lineRule="exact"/>
        <w:rPr>
          <w:sz w:val="20"/>
          <w:szCs w:val="20"/>
          <w:color w:val="auto"/>
        </w:rPr>
      </w:pPr>
    </w:p>
    <w:p>
      <w:pPr>
        <w:jc w:val="both"/>
        <w:ind w:left="520" w:right="20" w:hanging="441"/>
        <w:spacing w:after="0" w:line="259" w:lineRule="auto"/>
        <w:tabs>
          <w:tab w:leader="none" w:pos="520" w:val="left"/>
        </w:tabs>
        <w:numPr>
          <w:ilvl w:val="0"/>
          <w:numId w:val="43"/>
        </w:numPr>
        <w:rPr>
          <w:rFonts w:ascii="Arial" w:cs="Arial" w:eastAsia="Arial" w:hAnsi="Arial"/>
          <w:sz w:val="19"/>
          <w:szCs w:val="19"/>
          <w:b w:val="1"/>
          <w:bCs w:val="1"/>
          <w:color w:val="auto"/>
        </w:rPr>
      </w:pPr>
      <w:r>
        <w:rPr>
          <w:rFonts w:ascii="Arial" w:cs="Arial" w:eastAsia="Arial" w:hAnsi="Arial"/>
          <w:sz w:val="19"/>
          <w:szCs w:val="19"/>
          <w:color w:val="auto"/>
        </w:rPr>
        <w:t>Total number of violations of mandatory health or safety standards that could significantly and substantially contribute to the cause and effect of a mine safety or health hazard under section 104 of the Mine Act for which the Corporation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 “S&amp;S” violation). MSHA inspectors will classify each citation or order written as a “S&amp;S” violation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7" w:name="page68"/>
    <w:bookmarkEnd w:id="67"/>
    <w:p>
      <w:pPr>
        <w:jc w:val="both"/>
        <w:ind w:left="441" w:right="20" w:hanging="441"/>
        <w:spacing w:after="0" w:line="247" w:lineRule="auto"/>
        <w:tabs>
          <w:tab w:leader="none" w:pos="441" w:val="left"/>
        </w:tabs>
        <w:numPr>
          <w:ilvl w:val="0"/>
          <w:numId w:val="44"/>
        </w:numPr>
        <w:rPr>
          <w:rFonts w:ascii="Arial" w:cs="Arial" w:eastAsia="Arial" w:hAnsi="Arial"/>
          <w:sz w:val="20"/>
          <w:szCs w:val="20"/>
          <w:b w:val="1"/>
          <w:bCs w:val="1"/>
          <w:color w:val="auto"/>
        </w:rPr>
      </w:pPr>
      <w:r>
        <w:rPr>
          <w:rFonts w:ascii="Arial" w:cs="Arial" w:eastAsia="Arial" w:hAnsi="Arial"/>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202" w:lineRule="exact"/>
        <w:rPr>
          <w:rFonts w:ascii="Arial" w:cs="Arial" w:eastAsia="Arial" w:hAnsi="Arial"/>
          <w:sz w:val="20"/>
          <w:szCs w:val="20"/>
          <w:b w:val="1"/>
          <w:bCs w:val="1"/>
          <w:color w:val="auto"/>
        </w:rPr>
      </w:pPr>
    </w:p>
    <w:p>
      <w:pPr>
        <w:jc w:val="both"/>
        <w:ind w:left="441" w:hanging="439"/>
        <w:spacing w:after="0" w:line="260" w:lineRule="auto"/>
        <w:tabs>
          <w:tab w:leader="none" w:pos="441" w:val="left"/>
        </w:tabs>
        <w:numPr>
          <w:ilvl w:val="0"/>
          <w:numId w:val="44"/>
        </w:numPr>
        <w:rPr>
          <w:rFonts w:ascii="Arial" w:cs="Arial" w:eastAsia="Arial" w:hAnsi="Arial"/>
          <w:sz w:val="19"/>
          <w:szCs w:val="19"/>
          <w:b w:val="1"/>
          <w:bCs w:val="1"/>
          <w:color w:val="auto"/>
        </w:rPr>
      </w:pPr>
      <w:r>
        <w:rPr>
          <w:rFonts w:ascii="Arial" w:cs="Arial" w:eastAsia="Arial" w:hAnsi="Arial"/>
          <w:sz w:val="19"/>
          <w:szCs w:val="19"/>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194" w:lineRule="exact"/>
        <w:rPr>
          <w:rFonts w:ascii="Arial" w:cs="Arial" w:eastAsia="Arial" w:hAnsi="Arial"/>
          <w:sz w:val="19"/>
          <w:szCs w:val="19"/>
          <w:b w:val="1"/>
          <w:bCs w:val="1"/>
          <w:color w:val="auto"/>
        </w:rPr>
      </w:pPr>
    </w:p>
    <w:p>
      <w:pPr>
        <w:jc w:val="both"/>
        <w:ind w:left="441" w:right="20" w:hanging="439"/>
        <w:spacing w:after="0" w:line="244" w:lineRule="auto"/>
        <w:tabs>
          <w:tab w:leader="none" w:pos="441" w:val="left"/>
        </w:tabs>
        <w:numPr>
          <w:ilvl w:val="0"/>
          <w:numId w:val="44"/>
        </w:numPr>
        <w:rPr>
          <w:rFonts w:ascii="Arial" w:cs="Arial" w:eastAsia="Arial" w:hAnsi="Arial"/>
          <w:sz w:val="20"/>
          <w:szCs w:val="20"/>
          <w:b w:val="1"/>
          <w:bCs w:val="1"/>
          <w:color w:val="auto"/>
        </w:rPr>
      </w:pPr>
      <w:r>
        <w:rPr>
          <w:rFonts w:ascii="Arial" w:cs="Arial" w:eastAsia="Arial" w:hAnsi="Arial"/>
          <w:sz w:val="20"/>
          <w:szCs w:val="20"/>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8" w:lineRule="exact"/>
        <w:rPr>
          <w:rFonts w:ascii="Arial" w:cs="Arial" w:eastAsia="Arial" w:hAnsi="Arial"/>
          <w:sz w:val="20"/>
          <w:szCs w:val="20"/>
          <w:b w:val="1"/>
          <w:bCs w:val="1"/>
          <w:color w:val="auto"/>
        </w:rPr>
      </w:pPr>
    </w:p>
    <w:p>
      <w:pPr>
        <w:jc w:val="both"/>
        <w:ind w:left="441" w:hanging="439"/>
        <w:spacing w:after="0" w:line="263" w:lineRule="auto"/>
        <w:tabs>
          <w:tab w:leader="none" w:pos="441" w:val="left"/>
        </w:tabs>
        <w:numPr>
          <w:ilvl w:val="0"/>
          <w:numId w:val="44"/>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90" w:lineRule="exact"/>
        <w:rPr>
          <w:rFonts w:ascii="Arial" w:cs="Arial" w:eastAsia="Arial" w:hAnsi="Arial"/>
          <w:sz w:val="19"/>
          <w:szCs w:val="19"/>
          <w:b w:val="1"/>
          <w:bCs w:val="1"/>
          <w:color w:val="auto"/>
        </w:rPr>
      </w:pPr>
    </w:p>
    <w:p>
      <w:pPr>
        <w:jc w:val="both"/>
        <w:ind w:left="441" w:right="20" w:hanging="439"/>
        <w:spacing w:after="0" w:line="282" w:lineRule="auto"/>
        <w:tabs>
          <w:tab w:leader="none" w:pos="441"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75" w:lineRule="exact"/>
        <w:rPr>
          <w:rFonts w:ascii="Arial" w:cs="Arial" w:eastAsia="Arial" w:hAnsi="Arial"/>
          <w:sz w:val="18"/>
          <w:szCs w:val="18"/>
          <w:b w:val="1"/>
          <w:bCs w:val="1"/>
          <w:color w:val="auto"/>
        </w:rPr>
      </w:pPr>
    </w:p>
    <w:p>
      <w:pPr>
        <w:jc w:val="both"/>
        <w:ind w:left="441" w:right="20" w:hanging="439"/>
        <w:spacing w:after="0" w:line="291" w:lineRule="auto"/>
        <w:tabs>
          <w:tab w:leader="none" w:pos="441"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300355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1"/>
          </w:cols>
          <w:pgMar w:left="319" w:top="122" w:right="239" w:bottom="1440" w:gutter="0" w:footer="0" w:header="0"/>
        </w:sectPr>
      </w:pPr>
    </w:p>
    <w:bookmarkStart w:id="68" w:name="page69"/>
    <w:bookmarkEnd w:id="68"/>
    <w:p>
      <w:pPr>
        <w:jc w:val="both"/>
        <w:ind w:left="439" w:hanging="439"/>
        <w:spacing w:after="0" w:line="263" w:lineRule="auto"/>
        <w:tabs>
          <w:tab w:leader="none" w:pos="439" w:val="left"/>
        </w:tabs>
        <w:numPr>
          <w:ilvl w:val="0"/>
          <w:numId w:val="45"/>
        </w:numPr>
        <w:rPr>
          <w:rFonts w:ascii="Arial" w:cs="Arial" w:eastAsia="Arial" w:hAnsi="Arial"/>
          <w:sz w:val="19"/>
          <w:szCs w:val="19"/>
          <w:b w:val="1"/>
          <w:bCs w:val="1"/>
          <w:color w:val="auto"/>
        </w:rPr>
      </w:pPr>
      <w:r>
        <w:rPr>
          <w:rFonts w:ascii="Arial" w:cs="Arial" w:eastAsia="Arial" w:hAnsi="Arial"/>
          <w:sz w:val="19"/>
          <w:szCs w:val="19"/>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90" w:lineRule="exact"/>
        <w:rPr>
          <w:rFonts w:ascii="Arial" w:cs="Arial" w:eastAsia="Arial" w:hAnsi="Arial"/>
          <w:sz w:val="19"/>
          <w:szCs w:val="19"/>
          <w:b w:val="1"/>
          <w:bCs w:val="1"/>
          <w:color w:val="auto"/>
        </w:rPr>
      </w:pPr>
    </w:p>
    <w:p>
      <w:pPr>
        <w:ind w:left="439" w:hanging="439"/>
        <w:spacing w:after="0"/>
        <w:tabs>
          <w:tab w:leader="none" w:pos="439" w:val="left"/>
        </w:tabs>
        <w:numPr>
          <w:ilvl w:val="0"/>
          <w:numId w:val="45"/>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pending as of the last day of period.</w:t>
      </w:r>
    </w:p>
    <w:p>
      <w:pPr>
        <w:spacing w:after="0" w:line="229" w:lineRule="exact"/>
        <w:rPr>
          <w:rFonts w:ascii="Arial" w:cs="Arial" w:eastAsia="Arial" w:hAnsi="Arial"/>
          <w:sz w:val="20"/>
          <w:szCs w:val="20"/>
          <w:b w:val="1"/>
          <w:bCs w:val="1"/>
          <w:color w:val="auto"/>
        </w:rPr>
      </w:pPr>
    </w:p>
    <w:p>
      <w:pPr>
        <w:ind w:left="439" w:hanging="439"/>
        <w:spacing w:after="0"/>
        <w:tabs>
          <w:tab w:leader="none" w:pos="439" w:val="left"/>
        </w:tabs>
        <w:numPr>
          <w:ilvl w:val="0"/>
          <w:numId w:val="45"/>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initiated during period.</w:t>
      </w:r>
    </w:p>
    <w:p>
      <w:pPr>
        <w:spacing w:after="0" w:line="229" w:lineRule="exact"/>
        <w:rPr>
          <w:rFonts w:ascii="Arial" w:cs="Arial" w:eastAsia="Arial" w:hAnsi="Arial"/>
          <w:sz w:val="20"/>
          <w:szCs w:val="20"/>
          <w:b w:val="1"/>
          <w:bCs w:val="1"/>
          <w:color w:val="auto"/>
        </w:rPr>
      </w:pPr>
    </w:p>
    <w:p>
      <w:pPr>
        <w:ind w:left="439" w:hanging="439"/>
        <w:spacing w:after="0"/>
        <w:tabs>
          <w:tab w:leader="none" w:pos="439" w:val="left"/>
        </w:tabs>
        <w:numPr>
          <w:ilvl w:val="0"/>
          <w:numId w:val="45"/>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resolved during period.</w:t>
      </w:r>
    </w:p>
    <w:p>
      <w:pPr>
        <w:spacing w:after="0" w:line="200" w:lineRule="exact"/>
        <w:rPr>
          <w:sz w:val="20"/>
          <w:szCs w:val="20"/>
          <w:color w:val="auto"/>
        </w:rPr>
      </w:pPr>
    </w:p>
    <w:p>
      <w:pPr>
        <w:spacing w:after="0" w:line="259" w:lineRule="exact"/>
        <w:rPr>
          <w:sz w:val="20"/>
          <w:szCs w:val="20"/>
          <w:color w:val="auto"/>
        </w:rPr>
      </w:pPr>
    </w:p>
    <w:p>
      <w:pPr>
        <w:jc w:val="both"/>
        <w:ind w:left="39"/>
        <w:spacing w:after="0" w:line="273" w:lineRule="auto"/>
        <w:rPr>
          <w:sz w:val="20"/>
          <w:szCs w:val="20"/>
          <w:color w:val="auto"/>
        </w:rPr>
      </w:pPr>
      <w:r>
        <w:rPr>
          <w:rFonts w:ascii="Arial" w:cs="Arial" w:eastAsia="Arial" w:hAnsi="Arial"/>
          <w:sz w:val="18"/>
          <w:szCs w:val="18"/>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Corporation’s quarries and mines identified, as of June 30, 2015,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83" w:lineRule="exact"/>
        <w:rPr>
          <w:sz w:val="20"/>
          <w:szCs w:val="20"/>
          <w:color w:val="auto"/>
        </w:rPr>
      </w:pPr>
    </w:p>
    <w:p>
      <w:pPr>
        <w:ind w:left="39"/>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632460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39"/>
          </w:cols>
          <w:pgMar w:left="321" w:top="352"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52"/>
        </w:trPr>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Appendix 1</w:t>
            </w:r>
          </w:p>
        </w:tc>
        <w:tc>
          <w:tcPr>
            <w:tcW w:w="0" w:type="dxa"/>
            <w:vAlign w:val="bottom"/>
          </w:tcPr>
          <w:p>
            <w:pPr>
              <w:spacing w:after="0"/>
              <w:rPr>
                <w:sz w:val="1"/>
                <w:szCs w:val="1"/>
                <w:color w:val="auto"/>
              </w:rPr>
            </w:pPr>
          </w:p>
        </w:tc>
      </w:tr>
      <w:tr>
        <w:trPr>
          <w:trHeight w:val="446"/>
        </w:trPr>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20"/>
                <w:szCs w:val="20"/>
                <w:b w:val="1"/>
                <w:bCs w:val="1"/>
                <w:color w:val="auto"/>
                <w:w w:val="86"/>
              </w:rPr>
              <w:t>Received Received</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20"/>
                <w:szCs w:val="20"/>
                <w:b w:val="1"/>
                <w:bCs w:val="1"/>
                <w:color w:val="auto"/>
                <w:w w:val="88"/>
              </w:rPr>
              <w:t>Notice of Notice of</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1"/>
              </w:rPr>
              <w:t>Total</w:t>
            </w:r>
          </w:p>
        </w:tc>
        <w:tc>
          <w:tcPr>
            <w:tcW w:w="2300" w:type="dxa"/>
            <w:vAlign w:val="bottom"/>
            <w:gridSpan w:val="3"/>
          </w:tcPr>
          <w:p>
            <w:pPr>
              <w:jc w:val="center"/>
              <w:spacing w:after="0"/>
              <w:rPr>
                <w:sz w:val="20"/>
                <w:szCs w:val="20"/>
                <w:color w:val="auto"/>
              </w:rPr>
            </w:pPr>
            <w:r>
              <w:rPr>
                <w:rFonts w:ascii="Arial" w:cs="Arial" w:eastAsia="Arial" w:hAnsi="Arial"/>
                <w:sz w:val="20"/>
                <w:szCs w:val="20"/>
                <w:b w:val="1"/>
                <w:bCs w:val="1"/>
                <w:color w:val="auto"/>
                <w:w w:val="91"/>
              </w:rPr>
              <w:t>Pattern Potential Actions</w:t>
            </w: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5"/>
              </w:rPr>
              <w:t>Number</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1500" w:type="dxa"/>
            <w:vAlign w:val="bottom"/>
            <w:gridSpan w:val="2"/>
          </w:tcPr>
          <w:p>
            <w:pPr>
              <w:ind w:left="80"/>
              <w:spacing w:after="0"/>
              <w:rPr>
                <w:sz w:val="20"/>
                <w:szCs w:val="20"/>
                <w:color w:val="auto"/>
              </w:rPr>
            </w:pPr>
            <w:r>
              <w:rPr>
                <w:rFonts w:ascii="Arial" w:cs="Arial" w:eastAsia="Arial" w:hAnsi="Arial"/>
                <w:sz w:val="20"/>
                <w:szCs w:val="20"/>
                <w:b w:val="1"/>
                <w:bCs w:val="1"/>
                <w:color w:val="auto"/>
                <w:w w:val="90"/>
              </w:rPr>
              <w:t>to have Pending</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104(d)</w:t>
            </w: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Arial" w:cs="Arial" w:eastAsia="Arial" w:hAnsi="Arial"/>
                <w:sz w:val="20"/>
                <w:szCs w:val="20"/>
                <w:b w:val="1"/>
                <w:bCs w:val="1"/>
                <w:color w:val="auto"/>
                <w:w w:val="92"/>
              </w:rPr>
              <w:t>Total Dollar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1600" w:type="dxa"/>
            <w:vAlign w:val="bottom"/>
            <w:gridSpan w:val="2"/>
          </w:tcPr>
          <w:p>
            <w:pPr>
              <w:spacing w:after="0"/>
              <w:rPr>
                <w:sz w:val="20"/>
                <w:szCs w:val="20"/>
                <w:color w:val="auto"/>
              </w:rPr>
            </w:pPr>
            <w:r>
              <w:rPr>
                <w:rFonts w:ascii="Arial" w:cs="Arial" w:eastAsia="Arial" w:hAnsi="Arial"/>
                <w:sz w:val="20"/>
                <w:szCs w:val="20"/>
                <w:b w:val="1"/>
                <w:bCs w:val="1"/>
                <w:color w:val="auto"/>
                <w:w w:val="99"/>
              </w:rPr>
              <w:t>Violation Pattern</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1"/>
              </w:rPr>
              <w:t>as of</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7"/>
              </w:rPr>
              <w:t>Actions</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7"/>
              </w:rPr>
              <w:t>Actions</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20" w:type="dxa"/>
            <w:vAlign w:val="bottom"/>
            <w:gridSpan w:val="3"/>
          </w:tcPr>
          <w:p>
            <w:pPr>
              <w:ind w:left="80"/>
              <w:spacing w:after="0"/>
              <w:rPr>
                <w:sz w:val="20"/>
                <w:szCs w:val="20"/>
                <w:color w:val="auto"/>
              </w:rPr>
            </w:pPr>
            <w:r>
              <w:rPr>
                <w:rFonts w:ascii="Arial" w:cs="Arial" w:eastAsia="Arial" w:hAnsi="Arial"/>
                <w:sz w:val="20"/>
                <w:szCs w:val="20"/>
                <w:b w:val="1"/>
                <w:bCs w:val="1"/>
                <w:color w:val="auto"/>
                <w:w w:val="87"/>
              </w:rPr>
              <w:t>Section Section Citations</w:t>
            </w:r>
          </w:p>
        </w:tc>
        <w:tc>
          <w:tcPr>
            <w:tcW w:w="820" w:type="dxa"/>
            <w:vAlign w:val="bottom"/>
          </w:tcPr>
          <w:p>
            <w:pPr>
              <w:ind w:left="120"/>
              <w:spacing w:after="0"/>
              <w:rPr>
                <w:sz w:val="20"/>
                <w:szCs w:val="20"/>
                <w:color w:val="auto"/>
              </w:rPr>
            </w:pPr>
            <w:r>
              <w:rPr>
                <w:rFonts w:ascii="Arial" w:cs="Arial" w:eastAsia="Arial" w:hAnsi="Arial"/>
                <w:sz w:val="20"/>
                <w:szCs w:val="20"/>
                <w:b w:val="1"/>
                <w:bCs w:val="1"/>
                <w:color w:val="auto"/>
                <w:w w:val="94"/>
              </w:rPr>
              <w:t>Section</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w w:val="91"/>
              </w:rPr>
              <w:t>Section</w:t>
            </w:r>
          </w:p>
        </w:tc>
        <w:tc>
          <w:tcPr>
            <w:tcW w:w="180" w:type="dxa"/>
            <w:vAlign w:val="bottom"/>
          </w:tcPr>
          <w:p>
            <w:pPr>
              <w:spacing w:after="0"/>
              <w:rPr>
                <w:sz w:val="19"/>
                <w:szCs w:val="19"/>
                <w:color w:val="auto"/>
              </w:rPr>
            </w:pPr>
          </w:p>
        </w:tc>
        <w:tc>
          <w:tcPr>
            <w:tcW w:w="1040" w:type="dxa"/>
            <w:vAlign w:val="bottom"/>
          </w:tcPr>
          <w:p>
            <w:pPr>
              <w:jc w:val="center"/>
              <w:ind w:right="81"/>
              <w:spacing w:after="0"/>
              <w:rPr>
                <w:sz w:val="20"/>
                <w:szCs w:val="20"/>
                <w:color w:val="auto"/>
              </w:rPr>
            </w:pPr>
            <w:r>
              <w:rPr>
                <w:rFonts w:ascii="Arial" w:cs="Arial" w:eastAsia="Arial" w:hAnsi="Arial"/>
                <w:sz w:val="20"/>
                <w:szCs w:val="20"/>
                <w:b w:val="1"/>
                <w:bCs w:val="1"/>
                <w:color w:val="auto"/>
                <w:w w:val="89"/>
              </w:rPr>
              <w:t>Value of</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3"/>
              </w:rPr>
              <w:t>Mining</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3"/>
              </w:rPr>
              <w:t>Under</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under</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92"/>
              </w:rPr>
              <w:t>Last</w:t>
            </w:r>
          </w:p>
        </w:tc>
        <w:tc>
          <w:tcPr>
            <w:tcW w:w="1640" w:type="dxa"/>
            <w:vAlign w:val="bottom"/>
            <w:gridSpan w:val="2"/>
          </w:tcPr>
          <w:p>
            <w:pPr>
              <w:jc w:val="right"/>
              <w:spacing w:after="0"/>
              <w:rPr>
                <w:sz w:val="20"/>
                <w:szCs w:val="20"/>
                <w:color w:val="auto"/>
              </w:rPr>
            </w:pPr>
            <w:r>
              <w:rPr>
                <w:rFonts w:ascii="Arial" w:cs="Arial" w:eastAsia="Arial" w:hAnsi="Arial"/>
                <w:sz w:val="20"/>
                <w:szCs w:val="20"/>
                <w:b w:val="1"/>
                <w:bCs w:val="1"/>
                <w:color w:val="auto"/>
                <w:w w:val="86"/>
              </w:rPr>
              <w:t>Instituted Resolved</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20"/>
                <w:szCs w:val="20"/>
                <w:b w:val="1"/>
                <w:bCs w:val="1"/>
                <w:color w:val="auto"/>
                <w:w w:val="98"/>
              </w:rPr>
              <w:t>104 S&amp;S 104(b)</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and</w:t>
            </w:r>
          </w:p>
        </w:tc>
        <w:tc>
          <w:tcPr>
            <w:tcW w:w="1520" w:type="dxa"/>
            <w:vAlign w:val="bottom"/>
            <w:gridSpan w:val="2"/>
          </w:tcPr>
          <w:p>
            <w:pPr>
              <w:jc w:val="right"/>
              <w:spacing w:after="0"/>
              <w:rPr>
                <w:sz w:val="20"/>
                <w:szCs w:val="20"/>
                <w:color w:val="auto"/>
              </w:rPr>
            </w:pPr>
            <w:r>
              <w:rPr>
                <w:rFonts w:ascii="Arial" w:cs="Arial" w:eastAsia="Arial" w:hAnsi="Arial"/>
                <w:sz w:val="20"/>
                <w:szCs w:val="20"/>
                <w:b w:val="1"/>
                <w:bCs w:val="1"/>
                <w:color w:val="auto"/>
                <w:w w:val="96"/>
              </w:rPr>
              <w:t>110(b)(2) 107(a)</w:t>
            </w:r>
          </w:p>
        </w:tc>
        <w:tc>
          <w:tcPr>
            <w:tcW w:w="180" w:type="dxa"/>
            <w:vAlign w:val="bottom"/>
          </w:tcPr>
          <w:p>
            <w:pPr>
              <w:spacing w:after="0"/>
              <w:rPr>
                <w:sz w:val="19"/>
                <w:szCs w:val="19"/>
                <w:color w:val="auto"/>
              </w:rPr>
            </w:pPr>
          </w:p>
        </w:tc>
        <w:tc>
          <w:tcPr>
            <w:tcW w:w="1040" w:type="dxa"/>
            <w:vAlign w:val="bottom"/>
          </w:tcPr>
          <w:p>
            <w:pPr>
              <w:jc w:val="center"/>
              <w:ind w:right="101"/>
              <w:spacing w:after="0"/>
              <w:rPr>
                <w:sz w:val="20"/>
                <w:szCs w:val="20"/>
                <w:color w:val="auto"/>
              </w:rPr>
            </w:pPr>
            <w:r>
              <w:rPr>
                <w:rFonts w:ascii="Arial" w:cs="Arial" w:eastAsia="Arial" w:hAnsi="Arial"/>
                <w:sz w:val="20"/>
                <w:szCs w:val="20"/>
                <w:b w:val="1"/>
                <w:bCs w:val="1"/>
                <w:color w:val="auto"/>
              </w:rPr>
              <w:t>MSHA</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8"/>
              </w:rPr>
              <w:t>Related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91"/>
              </w:rPr>
              <w:t>Day of</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3"/>
              </w:rPr>
              <w:t>During</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3"/>
              </w:rPr>
              <w:t>During</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2180" w:type="dxa"/>
            <w:vAlign w:val="bottom"/>
            <w:gridSpan w:val="3"/>
          </w:tcPr>
          <w:p>
            <w:pPr>
              <w:ind w:left="60"/>
              <w:spacing w:after="0"/>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Orders</w:t>
            </w:r>
          </w:p>
        </w:tc>
        <w:tc>
          <w:tcPr>
            <w:tcW w:w="1520" w:type="dxa"/>
            <w:vAlign w:val="bottom"/>
            <w:gridSpan w:val="2"/>
          </w:tcPr>
          <w:p>
            <w:pPr>
              <w:jc w:val="right"/>
              <w:spacing w:after="0"/>
              <w:rPr>
                <w:sz w:val="20"/>
                <w:szCs w:val="20"/>
                <w:color w:val="auto"/>
              </w:rPr>
            </w:pPr>
            <w:r>
              <w:rPr>
                <w:rFonts w:ascii="Arial" w:cs="Arial" w:eastAsia="Arial" w:hAnsi="Arial"/>
                <w:sz w:val="20"/>
                <w:szCs w:val="20"/>
                <w:b w:val="1"/>
                <w:bCs w:val="1"/>
                <w:color w:val="auto"/>
                <w:w w:val="90"/>
              </w:rPr>
              <w:t>ViolationsOrders</w:t>
            </w:r>
          </w:p>
        </w:tc>
        <w:tc>
          <w:tcPr>
            <w:tcW w:w="2040" w:type="dxa"/>
            <w:vAlign w:val="bottom"/>
            <w:gridSpan w:val="3"/>
          </w:tcPr>
          <w:p>
            <w:pPr>
              <w:ind w:left="40"/>
              <w:spacing w:after="0"/>
              <w:rPr>
                <w:sz w:val="20"/>
                <w:szCs w:val="20"/>
                <w:color w:val="auto"/>
              </w:rPr>
            </w:pPr>
            <w:r>
              <w:rPr>
                <w:rFonts w:ascii="Arial" w:cs="Arial" w:eastAsia="Arial" w:hAnsi="Arial"/>
                <w:sz w:val="20"/>
                <w:szCs w:val="20"/>
                <w:b w:val="1"/>
                <w:bCs w:val="1"/>
                <w:color w:val="auto"/>
                <w:w w:val="87"/>
              </w:rPr>
              <w:t>Assessment/$ Fatalities</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0" w:type="dxa"/>
            <w:vAlign w:val="bottom"/>
          </w:tcPr>
          <w:p>
            <w:pPr>
              <w:spacing w:after="0"/>
              <w:rPr>
                <w:sz w:val="1"/>
                <w:szCs w:val="1"/>
                <w:color w:val="auto"/>
              </w:rPr>
            </w:pPr>
          </w:p>
        </w:tc>
      </w:tr>
      <w:tr>
        <w:trPr>
          <w:trHeight w:val="252"/>
        </w:trPr>
        <w:tc>
          <w:tcPr>
            <w:tcW w:w="1000" w:type="dxa"/>
            <w:vAlign w:val="bottom"/>
          </w:tcPr>
          <w:p>
            <w:pPr>
              <w:ind w:left="120"/>
              <w:spacing w:after="0"/>
              <w:rPr>
                <w:sz w:val="20"/>
                <w:szCs w:val="20"/>
                <w:color w:val="auto"/>
              </w:rPr>
            </w:pPr>
            <w:r>
              <w:rPr>
                <w:rFonts w:ascii="Arial" w:cs="Arial" w:eastAsia="Arial" w:hAnsi="Arial"/>
                <w:sz w:val="20"/>
                <w:szCs w:val="20"/>
                <w:b w:val="1"/>
                <w:bCs w:val="1"/>
                <w:color w:val="auto"/>
              </w:rPr>
              <w:t>Location</w:t>
            </w:r>
          </w:p>
        </w:tc>
        <w:tc>
          <w:tcPr>
            <w:tcW w:w="720" w:type="dxa"/>
            <w:vAlign w:val="bottom"/>
          </w:tcPr>
          <w:p>
            <w:pPr>
              <w:jc w:val="right"/>
              <w:ind w:right="161"/>
              <w:spacing w:after="0"/>
              <w:rPr>
                <w:sz w:val="20"/>
                <w:szCs w:val="20"/>
                <w:color w:val="auto"/>
              </w:rPr>
            </w:pPr>
            <w:r>
              <w:rPr>
                <w:rFonts w:ascii="Arial" w:cs="Arial" w:eastAsia="Arial" w:hAnsi="Arial"/>
                <w:sz w:val="20"/>
                <w:szCs w:val="20"/>
                <w:b w:val="1"/>
                <w:bCs w:val="1"/>
                <w:color w:val="auto"/>
              </w:rPr>
              <w:t>ID</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00" w:type="dxa"/>
            <w:vAlign w:val="bottom"/>
          </w:tcPr>
          <w:p>
            <w:pPr>
              <w:jc w:val="right"/>
              <w:ind w:right="121"/>
              <w:spacing w:after="0"/>
              <w:rPr>
                <w:sz w:val="20"/>
                <w:szCs w:val="20"/>
                <w:color w:val="auto"/>
              </w:rPr>
            </w:pPr>
            <w:r>
              <w:rPr>
                <w:rFonts w:ascii="Arial" w:cs="Arial" w:eastAsia="Arial" w:hAnsi="Arial"/>
                <w:sz w:val="20"/>
                <w:szCs w:val="20"/>
                <w:b w:val="1"/>
                <w:bCs w:val="1"/>
                <w:color w:val="auto"/>
              </w:rPr>
              <w:t>(#)</w:t>
            </w:r>
          </w:p>
        </w:tc>
        <w:tc>
          <w:tcPr>
            <w:tcW w:w="180" w:type="dxa"/>
            <w:vAlign w:val="bottom"/>
          </w:tcPr>
          <w:p>
            <w:pPr>
              <w:spacing w:after="0"/>
              <w:rPr>
                <w:sz w:val="21"/>
                <w:szCs w:val="21"/>
                <w:color w:val="auto"/>
              </w:rPr>
            </w:pPr>
          </w:p>
        </w:tc>
        <w:tc>
          <w:tcPr>
            <w:tcW w:w="1040" w:type="dxa"/>
            <w:vAlign w:val="bottom"/>
          </w:tcPr>
          <w:p>
            <w:pPr>
              <w:jc w:val="center"/>
              <w:ind w:right="81"/>
              <w:spacing w:after="0"/>
              <w:rPr>
                <w:sz w:val="20"/>
                <w:szCs w:val="20"/>
                <w:color w:val="auto"/>
              </w:rPr>
            </w:pPr>
            <w:r>
              <w:rPr>
                <w:rFonts w:ascii="Arial" w:cs="Arial" w:eastAsia="Arial" w:hAnsi="Arial"/>
                <w:sz w:val="20"/>
                <w:szCs w:val="20"/>
                <w:b w:val="1"/>
                <w:bCs w:val="1"/>
                <w:color w:val="auto"/>
                <w:w w:val="84"/>
              </w:rPr>
              <w:t>Proposed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0" w:type="dxa"/>
            <w:vAlign w:val="bottom"/>
          </w:tcPr>
          <w:p>
            <w:pPr>
              <w:spacing w:after="0"/>
              <w:rPr>
                <w:sz w:val="1"/>
                <w:szCs w:val="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Alexander</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BN5</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shd w:val="clear" w:color="auto" w:fill="CFF0FC"/>
          </w:tcPr>
          <w:p>
            <w:pPr>
              <w:spacing w:after="0"/>
              <w:rPr>
                <w:sz w:val="21"/>
                <w:szCs w:val="21"/>
                <w:color w:val="auto"/>
              </w:rPr>
            </w:pPr>
          </w:p>
        </w:tc>
        <w:tc>
          <w:tcPr>
            <w:tcW w:w="1040" w:type="dxa"/>
            <w:vAlign w:val="bottom"/>
            <w:vMerge w:val="continue"/>
            <w:shd w:val="clear" w:color="auto" w:fill="CFF0FC"/>
          </w:tcPr>
          <w:p>
            <w:pPr>
              <w:spacing w:after="0"/>
              <w:rPr>
                <w:sz w:val="21"/>
                <w:szCs w:val="21"/>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American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rPr>
              <w:t>Stone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3100189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Anderson</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Creek</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4402963</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shd w:val="clear" w:color="auto" w:fill="CFF0FC"/>
          </w:tcPr>
          <w:p>
            <w:pPr>
              <w:spacing w:after="0"/>
              <w:rPr>
                <w:sz w:val="21"/>
                <w:szCs w:val="21"/>
                <w:color w:val="auto"/>
              </w:rPr>
            </w:pPr>
          </w:p>
        </w:tc>
        <w:tc>
          <w:tcPr>
            <w:tcW w:w="1040" w:type="dxa"/>
            <w:vAlign w:val="bottom"/>
            <w:vMerge w:val="continue"/>
            <w:shd w:val="clear" w:color="auto" w:fill="CFF0FC"/>
          </w:tcPr>
          <w:p>
            <w:pPr>
              <w:spacing w:after="0"/>
              <w:rPr>
                <w:sz w:val="21"/>
                <w:szCs w:val="21"/>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Arrowood</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3100059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Asheboro</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3100066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shd w:val="clear" w:color="auto" w:fill="CFF0FC"/>
          </w:tcPr>
          <w:p>
            <w:pPr>
              <w:spacing w:after="0"/>
              <w:rPr>
                <w:sz w:val="21"/>
                <w:szCs w:val="21"/>
                <w:color w:val="auto"/>
              </w:rPr>
            </w:pPr>
          </w:p>
        </w:tc>
        <w:tc>
          <w:tcPr>
            <w:tcW w:w="1040" w:type="dxa"/>
            <w:vAlign w:val="bottom"/>
            <w:vMerge w:val="continue"/>
            <w:shd w:val="clear" w:color="auto" w:fill="CFF0FC"/>
          </w:tcPr>
          <w:p>
            <w:pPr>
              <w:spacing w:after="0"/>
              <w:rPr>
                <w:sz w:val="21"/>
                <w:szCs w:val="21"/>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Bakers</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3100071</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Belgrade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3100064</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shd w:val="clear" w:color="auto" w:fill="CFF0FC"/>
          </w:tcPr>
          <w:p>
            <w:pPr>
              <w:spacing w:after="0"/>
              <w:rPr>
                <w:sz w:val="21"/>
                <w:szCs w:val="21"/>
                <w:color w:val="auto"/>
              </w:rPr>
            </w:pPr>
          </w:p>
        </w:tc>
        <w:tc>
          <w:tcPr>
            <w:tcW w:w="1040" w:type="dxa"/>
            <w:vAlign w:val="bottom"/>
            <w:vMerge w:val="continue"/>
            <w:shd w:val="clear" w:color="auto" w:fill="CFF0FC"/>
          </w:tcPr>
          <w:p>
            <w:pPr>
              <w:spacing w:after="0"/>
              <w:rPr>
                <w:sz w:val="21"/>
                <w:szCs w:val="21"/>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Benson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3101979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Berkeley</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3800072</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shd w:val="clear" w:color="auto" w:fill="CFF0FC"/>
          </w:tcPr>
          <w:p>
            <w:pPr>
              <w:spacing w:after="0"/>
              <w:rPr>
                <w:sz w:val="21"/>
                <w:szCs w:val="21"/>
                <w:color w:val="auto"/>
              </w:rPr>
            </w:pPr>
          </w:p>
        </w:tc>
        <w:tc>
          <w:tcPr>
            <w:tcW w:w="1040" w:type="dxa"/>
            <w:vAlign w:val="bottom"/>
            <w:vMerge w:val="continue"/>
            <w:shd w:val="clear" w:color="auto" w:fill="CFF0FC"/>
          </w:tcPr>
          <w:p>
            <w:pPr>
              <w:spacing w:after="0"/>
              <w:rPr>
                <w:sz w:val="21"/>
                <w:szCs w:val="21"/>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Bessemer</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720" w:type="dxa"/>
            <w:vAlign w:val="bottom"/>
            <w:gridSpan w:val="2"/>
          </w:tcPr>
          <w:p>
            <w:pPr>
              <w:spacing w:after="0"/>
              <w:rPr>
                <w:sz w:val="20"/>
                <w:szCs w:val="20"/>
                <w:color w:val="auto"/>
              </w:rPr>
            </w:pPr>
            <w:r>
              <w:rPr>
                <w:rFonts w:ascii="Arial" w:cs="Arial" w:eastAsia="Arial" w:hAnsi="Arial"/>
                <w:sz w:val="20"/>
                <w:szCs w:val="20"/>
                <w:color w:val="auto"/>
                <w:w w:val="92"/>
              </w:rPr>
              <w:t>City Quarry 3101105</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Black</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Ankle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3102220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shd w:val="clear" w:color="auto" w:fill="CFF0FC"/>
          </w:tcPr>
          <w:p>
            <w:pPr>
              <w:spacing w:after="0"/>
              <w:rPr>
                <w:sz w:val="21"/>
                <w:szCs w:val="21"/>
                <w:color w:val="auto"/>
              </w:rPr>
            </w:pPr>
          </w:p>
        </w:tc>
        <w:tc>
          <w:tcPr>
            <w:tcW w:w="1040" w:type="dxa"/>
            <w:vAlign w:val="bottom"/>
            <w:vMerge w:val="continue"/>
            <w:shd w:val="clear" w:color="auto" w:fill="CFF0FC"/>
          </w:tcPr>
          <w:p>
            <w:pPr>
              <w:spacing w:after="0"/>
              <w:rPr>
                <w:sz w:val="21"/>
                <w:szCs w:val="21"/>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Bonds</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Gravel Pit</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3101963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Boonsboro</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1800024</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shd w:val="clear" w:color="auto" w:fill="CFF0FC"/>
          </w:tcPr>
          <w:p>
            <w:pPr>
              <w:spacing w:after="0"/>
              <w:rPr>
                <w:sz w:val="21"/>
                <w:szCs w:val="21"/>
                <w:color w:val="auto"/>
              </w:rPr>
            </w:pPr>
          </w:p>
        </w:tc>
        <w:tc>
          <w:tcPr>
            <w:tcW w:w="1040" w:type="dxa"/>
            <w:vAlign w:val="bottom"/>
            <w:vMerge w:val="continue"/>
            <w:shd w:val="clear" w:color="auto" w:fill="CFF0FC"/>
          </w:tcPr>
          <w:p>
            <w:pPr>
              <w:spacing w:after="0"/>
              <w:rPr>
                <w:sz w:val="21"/>
                <w:szCs w:val="21"/>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Burlington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3100042</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Caldwell</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3101869</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shd w:val="clear" w:color="auto" w:fill="CFF0FC"/>
          </w:tcPr>
          <w:p>
            <w:pPr>
              <w:spacing w:after="0"/>
              <w:rPr>
                <w:sz w:val="21"/>
                <w:szCs w:val="21"/>
                <w:color w:val="auto"/>
              </w:rPr>
            </w:pPr>
          </w:p>
        </w:tc>
        <w:tc>
          <w:tcPr>
            <w:tcW w:w="1040" w:type="dxa"/>
            <w:vAlign w:val="bottom"/>
            <w:vMerge w:val="continue"/>
            <w:shd w:val="clear" w:color="auto" w:fill="CFF0FC"/>
          </w:tcPr>
          <w:p>
            <w:pPr>
              <w:spacing w:after="0"/>
              <w:rPr>
                <w:sz w:val="21"/>
                <w:szCs w:val="21"/>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Carmel</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rPr>
              <w:t>Church</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4405633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Castle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Hayne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3100063</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shd w:val="clear" w:color="auto" w:fill="CFF0FC"/>
          </w:tcPr>
          <w:p>
            <w:pPr>
              <w:spacing w:after="0"/>
              <w:rPr>
                <w:sz w:val="21"/>
                <w:szCs w:val="21"/>
                <w:color w:val="auto"/>
              </w:rPr>
            </w:pPr>
          </w:p>
        </w:tc>
        <w:tc>
          <w:tcPr>
            <w:tcW w:w="1040" w:type="dxa"/>
            <w:vAlign w:val="bottom"/>
            <w:vMerge w:val="continue"/>
            <w:shd w:val="clear" w:color="auto" w:fill="CFF0FC"/>
          </w:tcPr>
          <w:p>
            <w:pPr>
              <w:spacing w:after="0"/>
              <w:rPr>
                <w:sz w:val="21"/>
                <w:szCs w:val="21"/>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Cayce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3800016</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Central</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Rock</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3100050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shd w:val="clear" w:color="auto" w:fill="CFF0FC"/>
          </w:tcPr>
          <w:p>
            <w:pPr>
              <w:spacing w:after="0"/>
              <w:rPr>
                <w:sz w:val="21"/>
                <w:szCs w:val="21"/>
                <w:color w:val="auto"/>
              </w:rPr>
            </w:pPr>
          </w:p>
        </w:tc>
        <w:tc>
          <w:tcPr>
            <w:tcW w:w="1040" w:type="dxa"/>
            <w:vAlign w:val="bottom"/>
            <w:vMerge w:val="continue"/>
            <w:shd w:val="clear" w:color="auto" w:fill="CFF0FC"/>
          </w:tcPr>
          <w:p>
            <w:pPr>
              <w:spacing w:after="0"/>
              <w:rPr>
                <w:sz w:val="21"/>
                <w:szCs w:val="21"/>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Charlotte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3100057</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1"/>
              </w:rPr>
              <w:t>Chesterfield</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3800682</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shd w:val="clear" w:color="auto" w:fill="CFF0FC"/>
          </w:tcPr>
          <w:p>
            <w:pPr>
              <w:spacing w:after="0"/>
              <w:rPr>
                <w:sz w:val="21"/>
                <w:szCs w:val="21"/>
                <w:color w:val="auto"/>
              </w:rPr>
            </w:pPr>
          </w:p>
        </w:tc>
        <w:tc>
          <w:tcPr>
            <w:tcW w:w="1040" w:type="dxa"/>
            <w:vAlign w:val="bottom"/>
            <w:vMerge w:val="continue"/>
            <w:shd w:val="clear" w:color="auto" w:fill="CFF0FC"/>
          </w:tcPr>
          <w:p>
            <w:pPr>
              <w:spacing w:after="0"/>
              <w:rPr>
                <w:sz w:val="21"/>
                <w:szCs w:val="21"/>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Clarks</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3102009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89"/>
              </w:rPr>
              <w:t>Cumberland</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3102237</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shd w:val="clear" w:color="auto" w:fill="CFF0FC"/>
          </w:tcPr>
          <w:p>
            <w:pPr>
              <w:spacing w:after="0"/>
              <w:rPr>
                <w:sz w:val="21"/>
                <w:szCs w:val="21"/>
                <w:color w:val="auto"/>
              </w:rPr>
            </w:pPr>
          </w:p>
        </w:tc>
        <w:tc>
          <w:tcPr>
            <w:tcW w:w="1040" w:type="dxa"/>
            <w:vAlign w:val="bottom"/>
            <w:vMerge w:val="continue"/>
            <w:shd w:val="clear" w:color="auto" w:fill="CFF0FC"/>
          </w:tcPr>
          <w:p>
            <w:pPr>
              <w:spacing w:after="0"/>
              <w:rPr>
                <w:sz w:val="21"/>
                <w:szCs w:val="21"/>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0"/>
                <w:szCs w:val="20"/>
                <w:color w:val="auto"/>
              </w:rPr>
            </w:pPr>
            <w:r>
              <w:rPr>
                <w:rFonts w:ascii="Arial" w:cs="Arial" w:eastAsia="Arial" w:hAnsi="Arial"/>
                <w:sz w:val="20"/>
                <w:szCs w:val="20"/>
                <w:color w:val="auto"/>
              </w:rPr>
              <w:t>Denver</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3101971</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Doswell</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4400045</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shd w:val="clear" w:color="auto" w:fill="CFF0FC"/>
          </w:tcPr>
          <w:p>
            <w:pPr>
              <w:spacing w:after="0"/>
              <w:rPr>
                <w:sz w:val="21"/>
                <w:szCs w:val="21"/>
                <w:color w:val="auto"/>
              </w:rPr>
            </w:pPr>
          </w:p>
        </w:tc>
        <w:tc>
          <w:tcPr>
            <w:tcW w:w="1040" w:type="dxa"/>
            <w:vAlign w:val="bottom"/>
            <w:vMerge w:val="continue"/>
            <w:shd w:val="clear" w:color="auto" w:fill="CFF0FC"/>
          </w:tcPr>
          <w:p>
            <w:pPr>
              <w:spacing w:after="0"/>
              <w:rPr>
                <w:sz w:val="21"/>
                <w:szCs w:val="21"/>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East</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20"/>
                <w:szCs w:val="20"/>
                <w:color w:val="auto"/>
              </w:rPr>
              <w:t>Alamance</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3102021</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1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22" w:right="219" w:bottom="383" w:gutter="0" w:footer="0" w:header="0"/>
        </w:sectPr>
      </w:pPr>
    </w:p>
    <w:bookmarkStart w:id="70" w:name="page71"/>
    <w:bookmarkEnd w:id="70"/>
    <w:p>
      <w:pPr>
        <w:ind w:left="10500"/>
        <w:spacing w:after="0"/>
        <w:rPr>
          <w:sz w:val="20"/>
          <w:szCs w:val="20"/>
          <w:color w:val="auto"/>
        </w:rPr>
      </w:pPr>
      <w:r>
        <w:rPr>
          <w:rFonts w:ascii="Arial" w:cs="Arial" w:eastAsia="Arial" w:hAnsi="Arial"/>
          <w:sz w:val="18"/>
          <w:szCs w:val="18"/>
          <w:color w:val="auto"/>
        </w:rPr>
        <w:t>Appendix 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Fountain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3100065</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Franklin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3102130</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Fuquay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3102055</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Garner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3100072</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Georgetown ll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3800525</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Hickory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3100043</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Hicone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3102088</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Jamestown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3100051</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Kannapolis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3100070</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w w:val="99"/>
              </w:rPr>
              <w:t>Kings Mountain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3100047</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Lemon Springs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3101104</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w w:val="94"/>
              </w:rPr>
              <w:t>Loamy Sand and Gravel</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3800721</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Maiden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3102125</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Mallard Creek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3102006</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Matthews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3102084</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Midlothian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4403767</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w w:val="99"/>
              </w:rPr>
              <w:t>North Columbia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3800146</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Onslow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3102120</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Pinesburg</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1800021</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Pomona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3100052</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w w:val="96"/>
              </w:rPr>
              <w:t>Raleigh Durham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3101941</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Red Hill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4400072</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Reidsville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3100068</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Rock Hill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3800026</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2</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3</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Rocky River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3102033</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w w:val="99"/>
              </w:rPr>
              <w:t>Salem Stone Company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3102038</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Siler City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3100044</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Statesville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3100055</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Thomasville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3101475</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Wilson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3102230</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Woodleaf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3100069</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60" w:type="dxa"/>
            <w:vAlign w:val="bottom"/>
          </w:tcPr>
          <w:p>
            <w:pPr>
              <w:spacing w:after="0" w:line="227" w:lineRule="exact"/>
              <w:rPr>
                <w:sz w:val="20"/>
                <w:szCs w:val="20"/>
                <w:color w:val="auto"/>
              </w:rPr>
            </w:pPr>
            <w:r>
              <w:rPr>
                <w:rFonts w:ascii="Arial" w:cs="Arial" w:eastAsia="Arial" w:hAnsi="Arial"/>
                <w:sz w:val="20"/>
                <w:szCs w:val="20"/>
                <w:color w:val="auto"/>
              </w:rPr>
              <w:t>(45) North Indianapolis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vMerge w:val="restart"/>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0"/>
                <w:szCs w:val="20"/>
                <w:color w:val="auto"/>
              </w:rPr>
            </w:pPr>
            <w:r>
              <w:rPr>
                <w:rFonts w:ascii="Arial" w:cs="Arial" w:eastAsia="Arial" w:hAnsi="Arial"/>
                <w:sz w:val="20"/>
                <w:szCs w:val="20"/>
                <w:color w:val="auto"/>
              </w:rPr>
              <w:t>SURFACE</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1200002</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vMerge w:val="continue"/>
          </w:tcPr>
          <w:p>
            <w:pPr>
              <w:spacing w:after="0"/>
              <w:rPr>
                <w:sz w:val="21"/>
                <w:szCs w:val="21"/>
                <w:color w:val="auto"/>
              </w:rPr>
            </w:pPr>
          </w:p>
        </w:tc>
        <w:tc>
          <w:tcPr>
            <w:tcW w:w="500" w:type="dxa"/>
            <w:vAlign w:val="bottom"/>
            <w:vMerge w:val="continue"/>
          </w:tcPr>
          <w:p>
            <w:pPr>
              <w:spacing w:after="0"/>
              <w:rPr>
                <w:sz w:val="21"/>
                <w:szCs w:val="21"/>
                <w:color w:val="auto"/>
              </w:rPr>
            </w:pP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Apple Grove</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3301676</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20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52"/>
        </w:trPr>
        <w:tc>
          <w:tcPr>
            <w:tcW w:w="2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60" w:type="dxa"/>
            <w:vAlign w:val="bottom"/>
            <w:gridSpan w:val="3"/>
          </w:tcPr>
          <w:p>
            <w:pPr>
              <w:ind w:left="420"/>
              <w:spacing w:after="0"/>
              <w:rPr>
                <w:sz w:val="20"/>
                <w:szCs w:val="20"/>
                <w:color w:val="auto"/>
              </w:rPr>
            </w:pPr>
            <w:r>
              <w:rPr>
                <w:rFonts w:ascii="Arial" w:cs="Arial" w:eastAsia="Arial" w:hAnsi="Arial"/>
                <w:sz w:val="20"/>
                <w:szCs w:val="20"/>
                <w:color w:val="auto"/>
                <w:w w:val="91"/>
              </w:rPr>
              <w:t>Appendix 1</w:t>
            </w:r>
          </w:p>
        </w:tc>
      </w:tr>
      <w:tr>
        <w:trPr>
          <w:trHeight w:val="469"/>
        </w:trPr>
        <w:tc>
          <w:tcPr>
            <w:tcW w:w="2020" w:type="dxa"/>
            <w:vAlign w:val="bottom"/>
          </w:tcPr>
          <w:p>
            <w:pPr>
              <w:spacing w:after="0"/>
              <w:rPr>
                <w:sz w:val="20"/>
                <w:szCs w:val="20"/>
                <w:color w:val="auto"/>
              </w:rPr>
            </w:pPr>
            <w:r>
              <w:rPr>
                <w:rFonts w:ascii="Arial" w:cs="Arial" w:eastAsia="Arial" w:hAnsi="Arial"/>
                <w:sz w:val="20"/>
                <w:szCs w:val="20"/>
                <w:color w:val="auto"/>
              </w:rPr>
              <w:t>Belmont Sand</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1201911</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Blue Rock</w:t>
            </w:r>
          </w:p>
        </w:tc>
        <w:tc>
          <w:tcPr>
            <w:tcW w:w="10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3300016</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Burning Springs</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4608862</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Carmel SandG</w:t>
            </w:r>
          </w:p>
        </w:tc>
        <w:tc>
          <w:tcPr>
            <w:tcW w:w="10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1202124</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Cedarville</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3304072</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Clinton County</w:t>
            </w:r>
          </w:p>
        </w:tc>
        <w:tc>
          <w:tcPr>
            <w:tcW w:w="10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3304546</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Cloverdale</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1201744</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Cook Road</w:t>
            </w:r>
          </w:p>
        </w:tc>
        <w:tc>
          <w:tcPr>
            <w:tcW w:w="10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3304534</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E-Town SandG</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3304279</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100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Fairborn Gravel</w:t>
            </w:r>
          </w:p>
        </w:tc>
        <w:tc>
          <w:tcPr>
            <w:tcW w:w="10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3301388</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Fairfield</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3301396</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Franklin Gravel</w:t>
            </w:r>
          </w:p>
        </w:tc>
        <w:tc>
          <w:tcPr>
            <w:tcW w:w="10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3302940</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Hamilton Gravel</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3301394</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Harrison</w:t>
            </w:r>
          </w:p>
        </w:tc>
        <w:tc>
          <w:tcPr>
            <w:tcW w:w="10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3301395</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Kentucky Ave Mine</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1201762</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2</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Kokomo Mine</w:t>
            </w:r>
          </w:p>
        </w:tc>
        <w:tc>
          <w:tcPr>
            <w:tcW w:w="10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1202105</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Kokomo Sand</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1202203</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Kokomo Stone</w:t>
            </w:r>
          </w:p>
        </w:tc>
        <w:tc>
          <w:tcPr>
            <w:tcW w:w="10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1200142</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Lynchburg Quarry</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3304281</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Noblesville SandG</w:t>
            </w:r>
          </w:p>
        </w:tc>
        <w:tc>
          <w:tcPr>
            <w:tcW w:w="10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1201994</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2</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Noblesville Stone</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1202176</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1</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1</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North Indianapolis</w:t>
            </w:r>
          </w:p>
        </w:tc>
        <w:tc>
          <w:tcPr>
            <w:tcW w:w="10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1201993</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Ohio Recycle</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3304394</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Petersburg</w:t>
            </w:r>
          </w:p>
        </w:tc>
        <w:tc>
          <w:tcPr>
            <w:tcW w:w="10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1516895</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Phillipsburg</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3300006</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Ross Gravel</w:t>
            </w:r>
          </w:p>
        </w:tc>
        <w:tc>
          <w:tcPr>
            <w:tcW w:w="10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3301587</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Troy Gravel</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3301678</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Waverly Sand</w:t>
            </w:r>
          </w:p>
        </w:tc>
        <w:tc>
          <w:tcPr>
            <w:tcW w:w="10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1202038</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Xenia</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3301393</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w w:val="97"/>
              </w:rPr>
              <w:t>Alabaster Quarry Co19</w:t>
            </w:r>
          </w:p>
        </w:tc>
        <w:tc>
          <w:tcPr>
            <w:tcW w:w="10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103068</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Appling Quarry</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901083</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Auburn, Al Quarry</w:t>
            </w:r>
          </w:p>
        </w:tc>
        <w:tc>
          <w:tcPr>
            <w:tcW w:w="10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100006</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20"/>
                <w:szCs w:val="20"/>
                <w:color w:val="auto"/>
              </w:rPr>
              <w:t>Auburn, GA Quarry</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900436</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Augusta Quarry-GA</w:t>
            </w:r>
          </w:p>
        </w:tc>
        <w:tc>
          <w:tcPr>
            <w:tcW w:w="10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900065</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561"/>
        </w:trPr>
        <w:tc>
          <w:tcPr>
            <w:tcW w:w="20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52"/>
        </w:trPr>
        <w:tc>
          <w:tcPr>
            <w:tcW w:w="2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60" w:type="dxa"/>
            <w:vAlign w:val="bottom"/>
            <w:gridSpan w:val="3"/>
          </w:tcPr>
          <w:p>
            <w:pPr>
              <w:ind w:left="420"/>
              <w:spacing w:after="0"/>
              <w:rPr>
                <w:sz w:val="20"/>
                <w:szCs w:val="20"/>
                <w:color w:val="auto"/>
              </w:rPr>
            </w:pPr>
            <w:r>
              <w:rPr>
                <w:rFonts w:ascii="Arial" w:cs="Arial" w:eastAsia="Arial" w:hAnsi="Arial"/>
                <w:sz w:val="20"/>
                <w:szCs w:val="20"/>
                <w:color w:val="auto"/>
                <w:w w:val="91"/>
              </w:rPr>
              <w:t>Appendix 1</w:t>
            </w:r>
          </w:p>
        </w:tc>
      </w:tr>
      <w:tr>
        <w:trPr>
          <w:trHeight w:val="469"/>
        </w:trPr>
        <w:tc>
          <w:tcPr>
            <w:tcW w:w="2060" w:type="dxa"/>
            <w:vAlign w:val="bottom"/>
          </w:tcPr>
          <w:p>
            <w:pPr>
              <w:spacing w:after="0"/>
              <w:rPr>
                <w:sz w:val="20"/>
                <w:szCs w:val="20"/>
                <w:color w:val="auto"/>
              </w:rPr>
            </w:pPr>
            <w:r>
              <w:rPr>
                <w:rFonts w:ascii="Arial" w:cs="Arial" w:eastAsia="Arial" w:hAnsi="Arial"/>
                <w:sz w:val="20"/>
                <w:szCs w:val="20"/>
                <w:color w:val="auto"/>
              </w:rPr>
              <w:t>Birmingham Shop</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102096</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w w:val="98"/>
              </w:rPr>
              <w:t>Cabbage Grove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800008</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Camak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900075</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Chattanooga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4003159</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412</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Forsyth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901035</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Jefferson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901106</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Junction City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901029</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Lithonia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900023</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Maylene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100634</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100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Morgan Co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901126</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Newton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900899</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ONeal Quarry Co19</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103076</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Paulding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901107</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Perry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801083</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Red Oak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900069</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138</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R-S Sand and Gravel</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2200381</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Ruby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900074</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w w:val="92"/>
              </w:rPr>
              <w:t>Shorter Sand and Gravel</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102852</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Six Mile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901144</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Tyrone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900306</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100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Vance Quarry Co19</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103022</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Warrenton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900580</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Alden Portable Sand</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1302037</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Alden Portable Plant 1</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1302031</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Alden Portable Plant 2</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1302033</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354</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Alden Portable Wash</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1302122</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Alden Quarry - Shop</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1300228</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308</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Alden Shop</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1302320</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Ames Mine</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1300014</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2</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1,329</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Beaver Lake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4503347</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Cedar Rapids Quarry</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1300122</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Des Moines Portable</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1300150</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Des Moines Shop</w:t>
            </w:r>
          </w:p>
        </w:tc>
        <w:tc>
          <w:tcPr>
            <w:tcW w:w="1000" w:type="dxa"/>
            <w:vAlign w:val="bottom"/>
          </w:tcPr>
          <w:p>
            <w:pPr>
              <w:jc w:val="right"/>
              <w:ind w:right="81"/>
              <w:spacing w:after="0"/>
              <w:rPr>
                <w:sz w:val="20"/>
                <w:szCs w:val="20"/>
                <w:color w:val="auto"/>
              </w:rPr>
            </w:pPr>
            <w:r>
              <w:rPr>
                <w:rFonts w:ascii="Arial" w:cs="Arial" w:eastAsia="Arial" w:hAnsi="Arial"/>
                <w:sz w:val="20"/>
                <w:szCs w:val="20"/>
                <w:color w:val="auto"/>
              </w:rPr>
              <w:t>1300932</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100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Dubois Quarry</w:t>
            </w:r>
          </w:p>
        </w:tc>
        <w:tc>
          <w:tcPr>
            <w:tcW w:w="10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2501046</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61"/>
        </w:trPr>
        <w:tc>
          <w:tcPr>
            <w:tcW w:w="20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52"/>
        </w:trPr>
        <w:tc>
          <w:tcPr>
            <w:tcW w:w="2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20" w:type="dxa"/>
            <w:vAlign w:val="bottom"/>
            <w:gridSpan w:val="3"/>
          </w:tcPr>
          <w:p>
            <w:pPr>
              <w:ind w:left="38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469"/>
        </w:trPr>
        <w:tc>
          <w:tcPr>
            <w:tcW w:w="2080" w:type="dxa"/>
            <w:vAlign w:val="bottom"/>
          </w:tcPr>
          <w:p>
            <w:pPr>
              <w:spacing w:after="0"/>
              <w:rPr>
                <w:sz w:val="20"/>
                <w:szCs w:val="20"/>
                <w:color w:val="auto"/>
              </w:rPr>
            </w:pPr>
            <w:r>
              <w:rPr>
                <w:rFonts w:ascii="Arial" w:cs="Arial" w:eastAsia="Arial" w:hAnsi="Arial"/>
                <w:sz w:val="20"/>
                <w:szCs w:val="20"/>
                <w:color w:val="auto"/>
              </w:rPr>
              <w:t>Durham Mine</w:t>
            </w: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1301225</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400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Earlham Quarry</w:t>
            </w: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1302123</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80" w:type="dxa"/>
            <w:vAlign w:val="bottom"/>
          </w:tcPr>
          <w:p>
            <w:pPr>
              <w:spacing w:after="0" w:line="227" w:lineRule="exact"/>
              <w:rPr>
                <w:sz w:val="20"/>
                <w:szCs w:val="20"/>
                <w:color w:val="auto"/>
              </w:rPr>
            </w:pPr>
            <w:r>
              <w:rPr>
                <w:rFonts w:ascii="Arial" w:cs="Arial" w:eastAsia="Arial" w:hAnsi="Arial"/>
                <w:sz w:val="20"/>
                <w:szCs w:val="20"/>
                <w:color w:val="auto"/>
              </w:rPr>
              <w:t>Environmental Crew</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100</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80" w:type="dxa"/>
            <w:vAlign w:val="bottom"/>
          </w:tcPr>
          <w:p>
            <w:pPr>
              <w:spacing w:after="0"/>
              <w:rPr>
                <w:sz w:val="20"/>
                <w:szCs w:val="20"/>
                <w:color w:val="auto"/>
              </w:rPr>
            </w:pPr>
            <w:r>
              <w:rPr>
                <w:rFonts w:ascii="Arial" w:cs="Arial" w:eastAsia="Arial" w:hAnsi="Arial"/>
                <w:sz w:val="20"/>
                <w:szCs w:val="20"/>
                <w:color w:val="auto"/>
              </w:rPr>
              <w:t>(Plant 854)</w:t>
            </w: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1302126</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Ferguson Quarry</w:t>
            </w: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1300124</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Fort Calhoun</w:t>
            </w: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2500006</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Fort Dodge Mine</w:t>
            </w: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1300032</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484</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Greenwood</w:t>
            </w: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2300141</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250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Iowa Grading</w:t>
            </w: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1302316</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LeGrand Portable</w:t>
            </w: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1302317</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Linn County Sand</w:t>
            </w: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1302208</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Malcom Mine</w:t>
            </w: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1300112</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1</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1,111</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Marshalltown Sand</w:t>
            </w: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1300718</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Moore Quarry</w:t>
            </w: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1302188</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New Harvey Sand</w:t>
            </w: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1301778</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Northwest Division OH</w:t>
            </w: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A2354</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Ottawa Quarry</w:t>
            </w: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1401590</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300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Pacific Quarry</w:t>
            </w: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4500844</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Parkville Mine</w:t>
            </w: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2301883</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1</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Pederson Quarry</w:t>
            </w: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1302192</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Raccoon River Sand</w:t>
            </w: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1302315</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Randolph Deep Mine</w:t>
            </w: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2302308</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3</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100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6</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Reasoner Sand</w:t>
            </w: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1300814</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Saylorville Sand</w:t>
            </w: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1302290</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Springfield Quarry</w:t>
            </w: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2501103</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St Cloud Quarry</w:t>
            </w: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2100081</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Stamper Mine</w:t>
            </w: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2302232</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3</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Sully Mine</w:t>
            </w: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1300063</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100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Sunflower</w:t>
            </w: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1401556</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1</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Weeping Water Mine</w:t>
            </w: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2500998</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1</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2,101</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12</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2</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w w:val="97"/>
              </w:rPr>
              <w:t>Yellow Medicine Quarry</w:t>
            </w: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2100033</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211 Quarry</w:t>
            </w: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4103829</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Augusta Quarry-KS</w:t>
            </w: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1400126</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0"/>
                <w:szCs w:val="20"/>
                <w:color w:val="auto"/>
              </w:rPr>
            </w:pPr>
            <w:r>
              <w:rPr>
                <w:rFonts w:ascii="Arial" w:cs="Arial" w:eastAsia="Arial" w:hAnsi="Arial"/>
                <w:sz w:val="20"/>
                <w:szCs w:val="20"/>
                <w:color w:val="auto"/>
              </w:rPr>
              <w:t>Beckman Quarry</w:t>
            </w: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4101335</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7"/>
        </w:trPr>
        <w:tc>
          <w:tcPr>
            <w:tcW w:w="20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4" w:name="page75"/>
    <w:bookmarkEnd w:id="74"/>
    <w:p>
      <w:pPr>
        <w:ind w:left="10500"/>
        <w:spacing w:after="0"/>
        <w:rPr>
          <w:sz w:val="20"/>
          <w:szCs w:val="20"/>
          <w:color w:val="auto"/>
        </w:rPr>
      </w:pPr>
      <w:r>
        <w:rPr>
          <w:rFonts w:ascii="Arial" w:cs="Arial" w:eastAsia="Arial" w:hAnsi="Arial"/>
          <w:sz w:val="18"/>
          <w:szCs w:val="18"/>
          <w:color w:val="auto"/>
        </w:rPr>
        <w:t>Appendix 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Bedrock Plant</w:t>
            </w:r>
          </w:p>
        </w:tc>
        <w:tc>
          <w:tcPr>
            <w:tcW w:w="10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4103283</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20"/>
                <w:szCs w:val="20"/>
                <w:color w:val="auto"/>
              </w:rPr>
              <w:t>Bells Savoy SG TXI</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4104019</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Black Rock Quarry</w:t>
            </w:r>
          </w:p>
        </w:tc>
        <w:tc>
          <w:tcPr>
            <w:tcW w:w="10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300011</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20"/>
                <w:szCs w:val="20"/>
                <w:color w:val="auto"/>
              </w:rPr>
              <w:t>Black Spur Quarry</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4104159</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3</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Blake Quarry</w:t>
            </w:r>
          </w:p>
        </w:tc>
        <w:tc>
          <w:tcPr>
            <w:tcW w:w="10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1401584</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1</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734</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20"/>
                <w:szCs w:val="20"/>
                <w:color w:val="auto"/>
              </w:rPr>
              <w:t>Bridgeport Stone TXI</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4100007</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2</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Broken Bow SandG</w:t>
            </w:r>
          </w:p>
        </w:tc>
        <w:tc>
          <w:tcPr>
            <w:tcW w:w="10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3400460</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138</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20"/>
                <w:szCs w:val="20"/>
                <w:color w:val="auto"/>
              </w:rPr>
              <w:t>Chico</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4103360</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Cobey</w:t>
            </w:r>
          </w:p>
        </w:tc>
        <w:tc>
          <w:tcPr>
            <w:tcW w:w="10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4104140</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20"/>
                <w:szCs w:val="20"/>
                <w:color w:val="auto"/>
              </w:rPr>
              <w:t>Davis</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3401299</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Garfield SG TXI</w:t>
            </w:r>
          </w:p>
        </w:tc>
        <w:tc>
          <w:tcPr>
            <w:tcW w:w="10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4103909</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20"/>
                <w:szCs w:val="20"/>
                <w:color w:val="auto"/>
              </w:rPr>
              <w:t>Garwood</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4102886</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1</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933</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GMS - TXI</w:t>
            </w:r>
          </w:p>
        </w:tc>
        <w:tc>
          <w:tcPr>
            <w:tcW w:w="10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C335</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20"/>
                <w:szCs w:val="20"/>
                <w:color w:val="auto"/>
              </w:rPr>
              <w:t>Hatton Quarry</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301614</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Helotes</w:t>
            </w:r>
          </w:p>
        </w:tc>
        <w:tc>
          <w:tcPr>
            <w:tcW w:w="10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4103137</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20"/>
                <w:szCs w:val="20"/>
                <w:color w:val="auto"/>
              </w:rPr>
              <w:t>Hondo</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4104708</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Hondo-1</w:t>
            </w:r>
          </w:p>
        </w:tc>
        <w:tc>
          <w:tcPr>
            <w:tcW w:w="10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4104090</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20"/>
                <w:szCs w:val="20"/>
                <w:color w:val="auto"/>
              </w:rPr>
              <w:t>Hugo</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3400061</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Idabel</w:t>
            </w:r>
          </w:p>
        </w:tc>
        <w:tc>
          <w:tcPr>
            <w:tcW w:w="10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3400507</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20"/>
                <w:szCs w:val="20"/>
                <w:color w:val="auto"/>
              </w:rPr>
              <w:t>Jena Aggregates TXI</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1601298</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Jones Mill Quarry</w:t>
            </w:r>
          </w:p>
        </w:tc>
        <w:tc>
          <w:tcPr>
            <w:tcW w:w="10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301586</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20"/>
                <w:szCs w:val="20"/>
                <w:color w:val="auto"/>
              </w:rPr>
              <w:t>Koontz McCombs Pit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4105048</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Mill Creek</w:t>
            </w:r>
          </w:p>
        </w:tc>
        <w:tc>
          <w:tcPr>
            <w:tcW w:w="10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3401285</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20"/>
                <w:szCs w:val="20"/>
                <w:color w:val="auto"/>
              </w:rPr>
              <w:t>Mill Creek TXI</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3401859</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New Braunfels Quarry</w:t>
            </w:r>
          </w:p>
        </w:tc>
        <w:tc>
          <w:tcPr>
            <w:tcW w:w="10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4104264</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1</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3060" w:type="dxa"/>
            <w:vAlign w:val="bottom"/>
            <w:gridSpan w:val="2"/>
          </w:tcPr>
          <w:p>
            <w:pPr>
              <w:spacing w:after="0"/>
              <w:rPr>
                <w:sz w:val="20"/>
                <w:szCs w:val="20"/>
                <w:color w:val="auto"/>
              </w:rPr>
            </w:pPr>
            <w:r>
              <w:rPr>
                <w:rFonts w:ascii="Arial" w:cs="Arial" w:eastAsia="Arial" w:hAnsi="Arial"/>
                <w:sz w:val="20"/>
                <w:szCs w:val="20"/>
                <w:color w:val="auto"/>
                <w:w w:val="98"/>
              </w:rPr>
              <w:t>Perryville Aggregates TXI 1601417</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1</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Poteet (Sand Plant)</w:t>
            </w:r>
          </w:p>
        </w:tc>
        <w:tc>
          <w:tcPr>
            <w:tcW w:w="10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4101342</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20"/>
                <w:szCs w:val="20"/>
                <w:color w:val="auto"/>
              </w:rPr>
              <w:t>Rio Medina</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4103594</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S.T. Porter Pit</w:t>
            </w:r>
          </w:p>
        </w:tc>
        <w:tc>
          <w:tcPr>
            <w:tcW w:w="10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4102673</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20"/>
                <w:szCs w:val="20"/>
                <w:color w:val="auto"/>
              </w:rPr>
              <w:t>San Pedro Quarry</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4101337</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Sawyer</w:t>
            </w:r>
          </w:p>
        </w:tc>
        <w:tc>
          <w:tcPr>
            <w:tcW w:w="10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3401634</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20"/>
                <w:szCs w:val="20"/>
                <w:color w:val="auto"/>
              </w:rPr>
              <w:t>Snyder</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3401651</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w w:val="97"/>
              </w:rPr>
              <w:t>South Texas Port No.2</w:t>
            </w:r>
          </w:p>
        </w:tc>
        <w:tc>
          <w:tcPr>
            <w:tcW w:w="10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4104204</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56"/>
        </w:trPr>
        <w:tc>
          <w:tcPr>
            <w:tcW w:w="2000" w:type="dxa"/>
            <w:vAlign w:val="bottom"/>
          </w:tcPr>
          <w:p>
            <w:pPr>
              <w:spacing w:after="0"/>
              <w:rPr>
                <w:sz w:val="20"/>
                <w:szCs w:val="20"/>
                <w:color w:val="auto"/>
              </w:rPr>
            </w:pPr>
            <w:r>
              <w:rPr>
                <w:rFonts w:ascii="Arial" w:cs="Arial" w:eastAsia="Arial" w:hAnsi="Arial"/>
                <w:sz w:val="20"/>
                <w:szCs w:val="20"/>
                <w:color w:val="auto"/>
              </w:rPr>
              <w:t>Tin Top SG TXI</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4102852</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4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2"/>
                <w:szCs w:val="22"/>
                <w:color w:val="auto"/>
              </w:rPr>
            </w:pPr>
          </w:p>
        </w:tc>
      </w:tr>
      <w:tr>
        <w:trPr>
          <w:trHeight w:val="547"/>
        </w:trPr>
        <w:tc>
          <w:tcPr>
            <w:tcW w:w="20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5" w:name="page76"/>
    <w:bookmarkEnd w:id="75"/>
    <w:p>
      <w:pPr>
        <w:ind w:left="10500"/>
        <w:spacing w:after="0"/>
        <w:rPr>
          <w:sz w:val="20"/>
          <w:szCs w:val="20"/>
          <w:color w:val="auto"/>
        </w:rPr>
      </w:pPr>
      <w:r>
        <w:rPr>
          <w:rFonts w:ascii="Arial" w:cs="Arial" w:eastAsia="Arial" w:hAnsi="Arial"/>
          <w:sz w:val="18"/>
          <w:szCs w:val="18"/>
          <w:color w:val="auto"/>
        </w:rPr>
        <w:t>Appendix 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Washita Quarry</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3402049</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300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Webberville TXI</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4104363</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1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Woodworth Aggregates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TXI</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1601070</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vMerge w:val="continue"/>
            <w:shd w:val="clear" w:color="auto" w:fill="CFF0FC"/>
          </w:tcPr>
          <w:p>
            <w:pPr>
              <w:spacing w:after="0"/>
              <w:rPr>
                <w:sz w:val="21"/>
                <w:szCs w:val="21"/>
                <w:color w:val="auto"/>
              </w:rPr>
            </w:pPr>
          </w:p>
        </w:tc>
        <w:tc>
          <w:tcPr>
            <w:tcW w:w="680" w:type="dxa"/>
            <w:vAlign w:val="bottom"/>
            <w:vMerge w:val="continue"/>
            <w:shd w:val="clear" w:color="auto" w:fill="CFF0FC"/>
          </w:tcPr>
          <w:p>
            <w:pPr>
              <w:spacing w:after="0"/>
              <w:rPr>
                <w:sz w:val="21"/>
                <w:szCs w:val="21"/>
                <w:color w:val="auto"/>
              </w:rPr>
            </w:pP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120" w:type="dxa"/>
            <w:vAlign w:val="bottom"/>
          </w:tcPr>
          <w:p>
            <w:pPr>
              <w:spacing w:after="0" w:line="227" w:lineRule="exact"/>
              <w:rPr>
                <w:sz w:val="20"/>
                <w:szCs w:val="20"/>
                <w:color w:val="auto"/>
              </w:rPr>
            </w:pPr>
            <w:r>
              <w:rPr>
                <w:rFonts w:ascii="Arial" w:cs="Arial" w:eastAsia="Arial" w:hAnsi="Arial"/>
                <w:sz w:val="20"/>
                <w:szCs w:val="20"/>
                <w:color w:val="auto"/>
              </w:rPr>
              <w:t>Cottonwood Sand and</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100</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120" w:type="dxa"/>
            <w:vAlign w:val="bottom"/>
          </w:tcPr>
          <w:p>
            <w:pPr>
              <w:spacing w:after="0"/>
              <w:rPr>
                <w:sz w:val="20"/>
                <w:szCs w:val="20"/>
                <w:color w:val="auto"/>
              </w:rPr>
            </w:pPr>
            <w:r>
              <w:rPr>
                <w:rFonts w:ascii="Arial" w:cs="Arial" w:eastAsia="Arial" w:hAnsi="Arial"/>
                <w:sz w:val="20"/>
                <w:szCs w:val="20"/>
                <w:color w:val="auto"/>
              </w:rPr>
              <w:t>Gravel</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504418</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w w:val="89"/>
              </w:rPr>
              <w:t>Fountain Sand and Gravel</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503821</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Granite Canyon Quarry</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4800018</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w w:val="97"/>
              </w:rPr>
              <w:t>Greeley 35th Ready Mix</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503215</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120" w:type="dxa"/>
            <w:vAlign w:val="bottom"/>
          </w:tcPr>
          <w:p>
            <w:pPr>
              <w:spacing w:after="0" w:line="227" w:lineRule="exact"/>
              <w:rPr>
                <w:sz w:val="20"/>
                <w:szCs w:val="20"/>
                <w:color w:val="auto"/>
              </w:rPr>
            </w:pPr>
            <w:r>
              <w:rPr>
                <w:rFonts w:ascii="Arial" w:cs="Arial" w:eastAsia="Arial" w:hAnsi="Arial"/>
                <w:sz w:val="20"/>
                <w:szCs w:val="20"/>
                <w:color w:val="auto"/>
              </w:rPr>
              <w:t>Greeley 35th Sand and</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120" w:type="dxa"/>
            <w:vAlign w:val="bottom"/>
          </w:tcPr>
          <w:p>
            <w:pPr>
              <w:spacing w:after="0"/>
              <w:rPr>
                <w:sz w:val="20"/>
                <w:szCs w:val="20"/>
                <w:color w:val="auto"/>
              </w:rPr>
            </w:pPr>
            <w:r>
              <w:rPr>
                <w:rFonts w:ascii="Arial" w:cs="Arial" w:eastAsia="Arial" w:hAnsi="Arial"/>
                <w:sz w:val="20"/>
                <w:szCs w:val="20"/>
                <w:color w:val="auto"/>
              </w:rPr>
              <w:t>Gravel</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504613</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Guernsey</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4800004</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254</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w w:val="99"/>
              </w:rPr>
              <w:t>Gypsum Portable 4 - 11</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504320</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w w:val="92"/>
              </w:rPr>
              <w:t>Mamm Creek Portable 15</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504647</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Milford</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4202177</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200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Mustang Quarry</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2602484</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Portable Crushing</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503984</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Portable Plant 10</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503984</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Portable Recycle 18</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501057</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Portable Recycle 2</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504360</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Portable Recycle 21</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504520</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Powers Portable</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504531</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120" w:type="dxa"/>
            <w:vAlign w:val="bottom"/>
          </w:tcPr>
          <w:p>
            <w:pPr>
              <w:spacing w:after="0" w:line="227" w:lineRule="exact"/>
              <w:rPr>
                <w:sz w:val="20"/>
                <w:szCs w:val="20"/>
                <w:color w:val="auto"/>
              </w:rPr>
            </w:pPr>
            <w:r>
              <w:rPr>
                <w:rFonts w:ascii="Arial" w:cs="Arial" w:eastAsia="Arial" w:hAnsi="Arial"/>
                <w:sz w:val="20"/>
                <w:szCs w:val="20"/>
                <w:color w:val="auto"/>
              </w:rPr>
              <w:t>Riverbend Sand and</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120" w:type="dxa"/>
            <w:vAlign w:val="bottom"/>
          </w:tcPr>
          <w:p>
            <w:pPr>
              <w:spacing w:after="0"/>
              <w:rPr>
                <w:sz w:val="20"/>
                <w:szCs w:val="20"/>
                <w:color w:val="auto"/>
              </w:rPr>
            </w:pPr>
            <w:r>
              <w:rPr>
                <w:rFonts w:ascii="Arial" w:cs="Arial" w:eastAsia="Arial" w:hAnsi="Arial"/>
                <w:sz w:val="20"/>
                <w:szCs w:val="20"/>
                <w:color w:val="auto"/>
              </w:rPr>
              <w:t>Gravel</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504841</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w w:val="97"/>
              </w:rPr>
              <w:t>Sievers Portable 19 - 20</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504531</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Spanish Springs Co 2</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2600803</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1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Spec Agg Sand and</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Gravel</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500860</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vMerge w:val="continue"/>
            <w:shd w:val="clear" w:color="auto" w:fill="CFF0FC"/>
          </w:tcPr>
          <w:p>
            <w:pPr>
              <w:spacing w:after="0"/>
              <w:rPr>
                <w:sz w:val="21"/>
                <w:szCs w:val="21"/>
                <w:color w:val="auto"/>
              </w:rPr>
            </w:pPr>
          </w:p>
        </w:tc>
        <w:tc>
          <w:tcPr>
            <w:tcW w:w="680" w:type="dxa"/>
            <w:vAlign w:val="bottom"/>
            <w:vMerge w:val="continue"/>
            <w:shd w:val="clear" w:color="auto" w:fill="CFF0FC"/>
          </w:tcPr>
          <w:p>
            <w:pPr>
              <w:spacing w:after="0"/>
              <w:rPr>
                <w:sz w:val="21"/>
                <w:szCs w:val="21"/>
                <w:color w:val="auto"/>
              </w:rPr>
            </w:pP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Table Mountain Quarry</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404847</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Taft Sand and Gravel</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504526</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1</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785</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Taft Shop</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504735</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276</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California District</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400011</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Hunter Cement TXI</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w w:val="95"/>
              </w:rPr>
              <w:t>4102820</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3</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20"/>
                <w:szCs w:val="20"/>
                <w:b w:val="1"/>
                <w:bCs w:val="1"/>
                <w:color w:val="auto"/>
              </w:rPr>
              <w:t>1,307</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6</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Midlothian Cement TXI</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95"/>
              </w:rPr>
              <w:t>4100071</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1</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120" w:type="dxa"/>
            <w:vAlign w:val="bottom"/>
          </w:tcPr>
          <w:p>
            <w:pPr>
              <w:spacing w:after="0" w:line="227" w:lineRule="exact"/>
              <w:rPr>
                <w:sz w:val="20"/>
                <w:szCs w:val="20"/>
                <w:color w:val="auto"/>
              </w:rPr>
            </w:pPr>
            <w:r>
              <w:rPr>
                <w:rFonts w:ascii="Arial" w:cs="Arial" w:eastAsia="Arial" w:hAnsi="Arial"/>
                <w:sz w:val="20"/>
                <w:szCs w:val="20"/>
                <w:color w:val="auto"/>
              </w:rPr>
              <w:t>Riverside Cement - OG</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120" w:type="dxa"/>
            <w:vAlign w:val="bottom"/>
          </w:tcPr>
          <w:p>
            <w:pPr>
              <w:spacing w:after="0"/>
              <w:rPr>
                <w:sz w:val="20"/>
                <w:szCs w:val="20"/>
                <w:color w:val="auto"/>
              </w:rPr>
            </w:pPr>
            <w:r>
              <w:rPr>
                <w:rFonts w:ascii="Arial" w:cs="Arial" w:eastAsia="Arial" w:hAnsi="Arial"/>
                <w:sz w:val="20"/>
                <w:szCs w:val="20"/>
                <w:color w:val="auto"/>
              </w:rPr>
              <w:t>Distrib</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400011</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1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Riverside CMT -</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Crestmore TXI</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400010</w:t>
            </w:r>
          </w:p>
        </w:tc>
        <w:tc>
          <w:tcPr>
            <w:tcW w:w="64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vMerge w:val="continue"/>
            <w:shd w:val="clear" w:color="auto" w:fill="CFF0FC"/>
          </w:tcPr>
          <w:p>
            <w:pPr>
              <w:spacing w:after="0"/>
              <w:rPr>
                <w:sz w:val="21"/>
                <w:szCs w:val="21"/>
                <w:color w:val="auto"/>
              </w:rPr>
            </w:pPr>
          </w:p>
        </w:tc>
        <w:tc>
          <w:tcPr>
            <w:tcW w:w="680" w:type="dxa"/>
            <w:vAlign w:val="bottom"/>
            <w:vMerge w:val="continue"/>
            <w:shd w:val="clear" w:color="auto" w:fill="CFF0FC"/>
          </w:tcPr>
          <w:p>
            <w:pPr>
              <w:spacing w:after="0"/>
              <w:rPr>
                <w:sz w:val="21"/>
                <w:szCs w:val="21"/>
                <w:color w:val="auto"/>
              </w:rPr>
            </w:pP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2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51"/>
        </w:trPr>
        <w:tc>
          <w:tcPr>
            <w:tcW w:w="19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Appendix 1</w:t>
            </w:r>
          </w:p>
        </w:tc>
        <w:tc>
          <w:tcPr>
            <w:tcW w:w="0" w:type="dxa"/>
            <w:vAlign w:val="bottom"/>
          </w:tcPr>
          <w:p>
            <w:pPr>
              <w:spacing w:after="0"/>
              <w:rPr>
                <w:sz w:val="1"/>
                <w:szCs w:val="1"/>
                <w:color w:val="auto"/>
              </w:rPr>
            </w:pPr>
          </w:p>
        </w:tc>
      </w:tr>
      <w:tr>
        <w:trPr>
          <w:trHeight w:val="452"/>
        </w:trPr>
        <w:tc>
          <w:tcPr>
            <w:tcW w:w="1940" w:type="dxa"/>
            <w:vAlign w:val="bottom"/>
          </w:tcPr>
          <w:p>
            <w:pPr>
              <w:spacing w:after="0"/>
              <w:rPr>
                <w:sz w:val="20"/>
                <w:szCs w:val="20"/>
                <w:color w:val="auto"/>
              </w:rPr>
            </w:pPr>
            <w:r>
              <w:rPr>
                <w:rFonts w:ascii="Arial" w:cs="Arial" w:eastAsia="Arial" w:hAnsi="Arial"/>
                <w:sz w:val="20"/>
                <w:szCs w:val="20"/>
                <w:color w:val="auto"/>
              </w:rPr>
              <w:t>Riverside CMT - Oro</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72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940" w:type="dxa"/>
            <w:vAlign w:val="bottom"/>
          </w:tcPr>
          <w:p>
            <w:pPr>
              <w:spacing w:after="0"/>
              <w:rPr>
                <w:sz w:val="20"/>
                <w:szCs w:val="20"/>
                <w:color w:val="auto"/>
              </w:rPr>
            </w:pPr>
            <w:r>
              <w:rPr>
                <w:rFonts w:ascii="Arial" w:cs="Arial" w:eastAsia="Arial" w:hAnsi="Arial"/>
                <w:sz w:val="20"/>
                <w:szCs w:val="20"/>
                <w:color w:val="auto"/>
              </w:rPr>
              <w:t>Grande TXI</w:t>
            </w: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400011</w:t>
            </w:r>
          </w:p>
        </w:tc>
        <w:tc>
          <w:tcPr>
            <w:tcW w:w="680" w:type="dxa"/>
            <w:vAlign w:val="bottom"/>
          </w:tcPr>
          <w:p>
            <w:pPr>
              <w:jc w:val="center"/>
              <w:ind w:right="81"/>
              <w:spacing w:after="0"/>
              <w:rPr>
                <w:sz w:val="20"/>
                <w:szCs w:val="20"/>
                <w:color w:val="auto"/>
              </w:rPr>
            </w:pPr>
            <w:r>
              <w:rPr>
                <w:rFonts w:ascii="Arial" w:cs="Arial" w:eastAsia="Arial" w:hAnsi="Arial"/>
                <w:sz w:val="20"/>
                <w:szCs w:val="20"/>
                <w:color w:val="auto"/>
                <w:w w:val="89"/>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3"/>
        </w:trPr>
        <w:tc>
          <w:tcPr>
            <w:tcW w:w="1940" w:type="dxa"/>
            <w:vAlign w:val="bottom"/>
            <w:shd w:val="clear" w:color="auto" w:fill="CFF0FC"/>
          </w:tcPr>
          <w:p>
            <w:pPr>
              <w:spacing w:after="0"/>
              <w:rPr>
                <w:sz w:val="20"/>
                <w:szCs w:val="20"/>
                <w:color w:val="auto"/>
              </w:rPr>
            </w:pPr>
            <w:r>
              <w:rPr>
                <w:rFonts w:ascii="Arial" w:cs="Arial" w:eastAsia="Arial" w:hAnsi="Arial"/>
                <w:sz w:val="20"/>
                <w:szCs w:val="20"/>
                <w:color w:val="auto"/>
              </w:rPr>
              <w:t>Salisbury Shop</w:t>
            </w:r>
          </w:p>
        </w:tc>
        <w:tc>
          <w:tcPr>
            <w:tcW w:w="11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3101235</w:t>
            </w:r>
          </w:p>
        </w:tc>
        <w:tc>
          <w:tcPr>
            <w:tcW w:w="680" w:type="dxa"/>
            <w:vAlign w:val="bottom"/>
            <w:shd w:val="clear" w:color="auto" w:fill="CFF0FC"/>
          </w:tcPr>
          <w:p>
            <w:pPr>
              <w:jc w:val="center"/>
              <w:ind w:right="81"/>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72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Arial" w:cs="Arial" w:eastAsia="Arial" w:hAnsi="Arial"/>
                <w:sz w:val="20"/>
                <w:szCs w:val="20"/>
                <w:color w:val="auto"/>
              </w:rPr>
              <w:t>North Troy Portable</w:t>
            </w: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3401949</w:t>
            </w:r>
          </w:p>
        </w:tc>
        <w:tc>
          <w:tcPr>
            <w:tcW w:w="680" w:type="dxa"/>
            <w:vAlign w:val="bottom"/>
          </w:tcPr>
          <w:p>
            <w:pPr>
              <w:jc w:val="center"/>
              <w:ind w:right="81"/>
              <w:spacing w:after="0"/>
              <w:rPr>
                <w:sz w:val="20"/>
                <w:szCs w:val="20"/>
                <w:color w:val="auto"/>
              </w:rPr>
            </w:pPr>
            <w:r>
              <w:rPr>
                <w:rFonts w:ascii="Arial" w:cs="Arial" w:eastAsia="Arial" w:hAnsi="Arial"/>
                <w:sz w:val="20"/>
                <w:szCs w:val="20"/>
                <w:color w:val="auto"/>
                <w:w w:val="89"/>
              </w:rPr>
              <w:t>0</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20" w:type="dxa"/>
            <w:vAlign w:val="bottom"/>
          </w:tcPr>
          <w:p>
            <w:pPr>
              <w:jc w:val="right"/>
              <w:ind w:right="41"/>
              <w:spacing w:after="0"/>
              <w:rPr>
                <w:sz w:val="20"/>
                <w:szCs w:val="20"/>
                <w:color w:val="auto"/>
              </w:rPr>
            </w:pPr>
            <w:r>
              <w:rPr>
                <w:rFonts w:ascii="Arial" w:cs="Arial" w:eastAsia="Arial" w:hAnsi="Arial"/>
                <w:sz w:val="20"/>
                <w:szCs w:val="20"/>
                <w:b w:val="1"/>
                <w:bCs w:val="1"/>
                <w:color w:val="auto"/>
              </w:rPr>
              <w:t>0</w:t>
            </w: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ind w:left="22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3"/>
        </w:trPr>
        <w:tc>
          <w:tcPr>
            <w:tcW w:w="1940" w:type="dxa"/>
            <w:vAlign w:val="bottom"/>
            <w:shd w:val="clear" w:color="auto" w:fill="CFF0FC"/>
          </w:tcPr>
          <w:p>
            <w:pPr>
              <w:spacing w:after="0"/>
              <w:rPr>
                <w:sz w:val="20"/>
                <w:szCs w:val="20"/>
                <w:color w:val="auto"/>
              </w:rPr>
            </w:pPr>
            <w:r>
              <w:rPr>
                <w:rFonts w:ascii="Arial" w:cs="Arial" w:eastAsia="Arial" w:hAnsi="Arial"/>
                <w:sz w:val="20"/>
                <w:szCs w:val="20"/>
                <w:color w:val="auto"/>
              </w:rPr>
              <w:t>Woodville</w:t>
            </w:r>
          </w:p>
        </w:tc>
        <w:tc>
          <w:tcPr>
            <w:tcW w:w="11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3300156</w:t>
            </w:r>
          </w:p>
        </w:tc>
        <w:tc>
          <w:tcPr>
            <w:tcW w:w="680" w:type="dxa"/>
            <w:vAlign w:val="bottom"/>
            <w:shd w:val="clear" w:color="auto" w:fill="CFF0FC"/>
          </w:tcPr>
          <w:p>
            <w:pPr>
              <w:jc w:val="center"/>
              <w:ind w:right="81"/>
              <w:spacing w:after="0"/>
              <w:rPr>
                <w:sz w:val="20"/>
                <w:szCs w:val="20"/>
                <w:color w:val="auto"/>
              </w:rPr>
            </w:pPr>
            <w:r>
              <w:rPr>
                <w:rFonts w:ascii="Arial" w:cs="Arial" w:eastAsia="Arial" w:hAnsi="Arial"/>
                <w:sz w:val="20"/>
                <w:szCs w:val="20"/>
                <w:color w:val="auto"/>
                <w:w w:val="89"/>
              </w:rPr>
              <w:t>7</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720" w:type="dxa"/>
            <w:vAlign w:val="bottom"/>
            <w:shd w:val="clear" w:color="auto" w:fill="CFF0FC"/>
          </w:tcPr>
          <w:p>
            <w:pPr>
              <w:jc w:val="right"/>
              <w:ind w:right="41"/>
              <w:spacing w:after="0"/>
              <w:rPr>
                <w:sz w:val="20"/>
                <w:szCs w:val="20"/>
                <w:color w:val="auto"/>
              </w:rPr>
            </w:pPr>
            <w:r>
              <w:rPr>
                <w:rFonts w:ascii="Arial" w:cs="Arial" w:eastAsia="Arial" w:hAnsi="Arial"/>
                <w:sz w:val="20"/>
                <w:szCs w:val="20"/>
                <w:b w:val="1"/>
                <w:bCs w:val="1"/>
                <w:color w:val="auto"/>
                <w:w w:val="91"/>
              </w:rPr>
              <w:t>17,883</w:t>
            </w: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3"/>
        </w:trPr>
        <w:tc>
          <w:tcPr>
            <w:tcW w:w="1940" w:type="dxa"/>
            <w:vAlign w:val="bottom"/>
            <w:shd w:val="clear" w:color="auto" w:fill="D9D9D9"/>
          </w:tcPr>
          <w:p>
            <w:pPr>
              <w:ind w:left="680"/>
              <w:spacing w:after="0"/>
              <w:rPr>
                <w:sz w:val="20"/>
                <w:szCs w:val="20"/>
                <w:color w:val="auto"/>
              </w:rPr>
            </w:pPr>
            <w:r>
              <w:rPr>
                <w:rFonts w:ascii="Arial" w:cs="Arial" w:eastAsia="Arial" w:hAnsi="Arial"/>
                <w:sz w:val="20"/>
                <w:szCs w:val="20"/>
                <w:b w:val="1"/>
                <w:bCs w:val="1"/>
                <w:color w:val="auto"/>
              </w:rPr>
              <w:t>TOTALS</w:t>
            </w:r>
          </w:p>
        </w:tc>
        <w:tc>
          <w:tcPr>
            <w:tcW w:w="1100" w:type="dxa"/>
            <w:vAlign w:val="bottom"/>
            <w:shd w:val="clear" w:color="auto" w:fill="D9D9D9"/>
          </w:tcPr>
          <w:p>
            <w:pPr>
              <w:spacing w:after="0"/>
              <w:rPr>
                <w:sz w:val="21"/>
                <w:szCs w:val="21"/>
                <w:color w:val="auto"/>
              </w:rPr>
            </w:pPr>
          </w:p>
        </w:tc>
        <w:tc>
          <w:tcPr>
            <w:tcW w:w="680" w:type="dxa"/>
            <w:vAlign w:val="bottom"/>
            <w:shd w:val="clear" w:color="auto" w:fill="D9D9D9"/>
          </w:tcPr>
          <w:p>
            <w:pPr>
              <w:jc w:val="center"/>
              <w:ind w:right="81"/>
              <w:spacing w:after="0"/>
              <w:rPr>
                <w:sz w:val="20"/>
                <w:szCs w:val="20"/>
                <w:color w:val="auto"/>
              </w:rPr>
            </w:pPr>
            <w:r>
              <w:rPr>
                <w:rFonts w:ascii="Arial" w:cs="Arial" w:eastAsia="Arial" w:hAnsi="Arial"/>
                <w:sz w:val="20"/>
                <w:szCs w:val="20"/>
                <w:b w:val="1"/>
                <w:bCs w:val="1"/>
                <w:color w:val="auto"/>
                <w:w w:val="80"/>
              </w:rPr>
              <w:t>39</w:t>
            </w:r>
          </w:p>
        </w:tc>
        <w:tc>
          <w:tcPr>
            <w:tcW w:w="740" w:type="dxa"/>
            <w:vAlign w:val="bottom"/>
            <w:shd w:val="clear" w:color="auto" w:fill="D9D9D9"/>
          </w:tcPr>
          <w:p>
            <w:pPr>
              <w:jc w:val="right"/>
              <w:ind w:right="201"/>
              <w:spacing w:after="0"/>
              <w:rPr>
                <w:sz w:val="20"/>
                <w:szCs w:val="20"/>
                <w:color w:val="auto"/>
              </w:rPr>
            </w:pPr>
            <w:r>
              <w:rPr>
                <w:rFonts w:ascii="Arial" w:cs="Arial" w:eastAsia="Arial" w:hAnsi="Arial"/>
                <w:sz w:val="20"/>
                <w:szCs w:val="20"/>
                <w:b w:val="1"/>
                <w:bCs w:val="1"/>
                <w:color w:val="auto"/>
              </w:rPr>
              <w:t>0</w:t>
            </w:r>
          </w:p>
        </w:tc>
        <w:tc>
          <w:tcPr>
            <w:tcW w:w="660" w:type="dxa"/>
            <w:vAlign w:val="bottom"/>
            <w:shd w:val="clear" w:color="auto" w:fill="D9D9D9"/>
          </w:tcPr>
          <w:p>
            <w:pPr>
              <w:jc w:val="right"/>
              <w:ind w:right="141"/>
              <w:spacing w:after="0"/>
              <w:rPr>
                <w:sz w:val="20"/>
                <w:szCs w:val="20"/>
                <w:color w:val="auto"/>
              </w:rPr>
            </w:pPr>
            <w:r>
              <w:rPr>
                <w:rFonts w:ascii="Arial" w:cs="Arial" w:eastAsia="Arial" w:hAnsi="Arial"/>
                <w:sz w:val="20"/>
                <w:szCs w:val="20"/>
                <w:b w:val="1"/>
                <w:bCs w:val="1"/>
                <w:color w:val="auto"/>
              </w:rPr>
              <w:t>1</w:t>
            </w:r>
          </w:p>
        </w:tc>
        <w:tc>
          <w:tcPr>
            <w:tcW w:w="640" w:type="dxa"/>
            <w:vAlign w:val="bottom"/>
            <w:shd w:val="clear" w:color="auto" w:fill="D9D9D9"/>
          </w:tcPr>
          <w:p>
            <w:pPr>
              <w:jc w:val="right"/>
              <w:ind w:right="201"/>
              <w:spacing w:after="0"/>
              <w:rPr>
                <w:sz w:val="20"/>
                <w:szCs w:val="20"/>
                <w:color w:val="auto"/>
              </w:rPr>
            </w:pPr>
            <w:r>
              <w:rPr>
                <w:rFonts w:ascii="Arial" w:cs="Arial" w:eastAsia="Arial" w:hAnsi="Arial"/>
                <w:sz w:val="20"/>
                <w:szCs w:val="20"/>
                <w:b w:val="1"/>
                <w:bCs w:val="1"/>
                <w:color w:val="auto"/>
              </w:rPr>
              <w:t>0</w:t>
            </w:r>
          </w:p>
        </w:tc>
        <w:tc>
          <w:tcPr>
            <w:tcW w:w="580" w:type="dxa"/>
            <w:vAlign w:val="bottom"/>
            <w:shd w:val="clear" w:color="auto" w:fill="D9D9D9"/>
          </w:tcPr>
          <w:p>
            <w:pPr>
              <w:jc w:val="right"/>
              <w:ind w:right="81"/>
              <w:spacing w:after="0"/>
              <w:rPr>
                <w:sz w:val="20"/>
                <w:szCs w:val="20"/>
                <w:color w:val="auto"/>
              </w:rPr>
            </w:pPr>
            <w:r>
              <w:rPr>
                <w:rFonts w:ascii="Arial" w:cs="Arial" w:eastAsia="Arial" w:hAnsi="Arial"/>
                <w:sz w:val="20"/>
                <w:szCs w:val="20"/>
                <w:b w:val="1"/>
                <w:bCs w:val="1"/>
                <w:color w:val="auto"/>
              </w:rPr>
              <w:t>0</w:t>
            </w:r>
          </w:p>
        </w:tc>
        <w:tc>
          <w:tcPr>
            <w:tcW w:w="320" w:type="dxa"/>
            <w:vAlign w:val="bottom"/>
            <w:shd w:val="clear" w:color="auto" w:fill="D9D9D9"/>
          </w:tcPr>
          <w:p>
            <w:pPr>
              <w:jc w:val="right"/>
              <w:spacing w:after="0"/>
              <w:rPr>
                <w:sz w:val="20"/>
                <w:szCs w:val="20"/>
                <w:color w:val="auto"/>
              </w:rPr>
            </w:pPr>
            <w:r>
              <w:rPr>
                <w:rFonts w:ascii="Arial" w:cs="Arial" w:eastAsia="Arial" w:hAnsi="Arial"/>
                <w:sz w:val="20"/>
                <w:szCs w:val="20"/>
                <w:b w:val="1"/>
                <w:bCs w:val="1"/>
                <w:color w:val="auto"/>
              </w:rPr>
              <w:t>$</w:t>
            </w:r>
          </w:p>
        </w:tc>
        <w:tc>
          <w:tcPr>
            <w:tcW w:w="720" w:type="dxa"/>
            <w:vAlign w:val="bottom"/>
            <w:shd w:val="clear" w:color="auto" w:fill="D9D9D9"/>
          </w:tcPr>
          <w:p>
            <w:pPr>
              <w:jc w:val="right"/>
              <w:ind w:right="41"/>
              <w:spacing w:after="0"/>
              <w:rPr>
                <w:sz w:val="20"/>
                <w:szCs w:val="20"/>
                <w:color w:val="auto"/>
              </w:rPr>
            </w:pPr>
            <w:r>
              <w:rPr>
                <w:rFonts w:ascii="Arial" w:cs="Arial" w:eastAsia="Arial" w:hAnsi="Arial"/>
                <w:sz w:val="20"/>
                <w:szCs w:val="20"/>
                <w:b w:val="1"/>
                <w:bCs w:val="1"/>
                <w:color w:val="auto"/>
                <w:w w:val="91"/>
              </w:rPr>
              <w:t>30,797</w:t>
            </w:r>
          </w:p>
        </w:tc>
        <w:tc>
          <w:tcPr>
            <w:tcW w:w="480" w:type="dxa"/>
            <w:vAlign w:val="bottom"/>
            <w:shd w:val="clear" w:color="auto" w:fill="D9D9D9"/>
          </w:tcPr>
          <w:p>
            <w:pPr>
              <w:spacing w:after="0"/>
              <w:rPr>
                <w:sz w:val="21"/>
                <w:szCs w:val="21"/>
                <w:color w:val="auto"/>
              </w:rPr>
            </w:pPr>
          </w:p>
        </w:tc>
        <w:tc>
          <w:tcPr>
            <w:tcW w:w="700" w:type="dxa"/>
            <w:vAlign w:val="bottom"/>
            <w:shd w:val="clear" w:color="auto" w:fill="D9D9D9"/>
          </w:tcPr>
          <w:p>
            <w:pPr>
              <w:spacing w:after="0"/>
              <w:rPr>
                <w:sz w:val="21"/>
                <w:szCs w:val="21"/>
                <w:color w:val="auto"/>
              </w:rPr>
            </w:pPr>
          </w:p>
        </w:tc>
        <w:tc>
          <w:tcPr>
            <w:tcW w:w="780" w:type="dxa"/>
            <w:vAlign w:val="bottom"/>
            <w:shd w:val="clear" w:color="auto" w:fill="D9D9D9"/>
          </w:tcPr>
          <w:p>
            <w:pPr>
              <w:spacing w:after="0"/>
              <w:rPr>
                <w:sz w:val="21"/>
                <w:szCs w:val="21"/>
                <w:color w:val="auto"/>
              </w:rPr>
            </w:pPr>
          </w:p>
        </w:tc>
        <w:tc>
          <w:tcPr>
            <w:tcW w:w="780" w:type="dxa"/>
            <w:vAlign w:val="bottom"/>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37</w:t>
            </w:r>
          </w:p>
        </w:tc>
        <w:tc>
          <w:tcPr>
            <w:tcW w:w="660" w:type="dxa"/>
            <w:vAlign w:val="bottom"/>
            <w:shd w:val="clear" w:color="auto" w:fill="D9D9D9"/>
          </w:tcPr>
          <w:p>
            <w:pPr>
              <w:jc w:val="right"/>
              <w:ind w:right="181"/>
              <w:spacing w:after="0"/>
              <w:rPr>
                <w:sz w:val="20"/>
                <w:szCs w:val="20"/>
                <w:color w:val="auto"/>
              </w:rPr>
            </w:pPr>
            <w:r>
              <w:rPr>
                <w:rFonts w:ascii="Arial" w:cs="Arial" w:eastAsia="Arial" w:hAnsi="Arial"/>
                <w:sz w:val="20"/>
                <w:szCs w:val="20"/>
                <w:b w:val="1"/>
                <w:bCs w:val="1"/>
                <w:color w:val="auto"/>
              </w:rPr>
              <w:t>4</w:t>
            </w:r>
          </w:p>
        </w:tc>
        <w:tc>
          <w:tcPr>
            <w:tcW w:w="640" w:type="dxa"/>
            <w:vAlign w:val="bottom"/>
            <w:shd w:val="clear" w:color="auto" w:fill="D9D9D9"/>
          </w:tcPr>
          <w:p>
            <w:pPr>
              <w:jc w:val="right"/>
              <w:ind w:right="161"/>
              <w:spacing w:after="0"/>
              <w:rPr>
                <w:sz w:val="20"/>
                <w:szCs w:val="20"/>
                <w:color w:val="auto"/>
              </w:rPr>
            </w:pPr>
            <w:r>
              <w:rPr>
                <w:rFonts w:ascii="Arial" w:cs="Arial" w:eastAsia="Arial" w:hAnsi="Arial"/>
                <w:sz w:val="20"/>
                <w:szCs w:val="20"/>
                <w:b w:val="1"/>
                <w:bCs w:val="1"/>
                <w:color w:val="auto"/>
              </w:rPr>
              <w:t>8</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left="80"/>
        <w:spacing w:after="0" w:line="282" w:lineRule="auto"/>
        <w:rPr>
          <w:sz w:val="20"/>
          <w:szCs w:val="20"/>
          <w:color w:val="auto"/>
        </w:rPr>
      </w:pPr>
      <w:r>
        <w:rPr>
          <w:rFonts w:ascii="Arial" w:cs="Arial" w:eastAsia="Arial" w:hAnsi="Arial"/>
          <w:sz w:val="18"/>
          <w:szCs w:val="18"/>
          <w:color w:val="auto"/>
        </w:rPr>
        <w:t>*Of the 34 legal actions pending on June 30, 2015, 23 were contests of citations or orders referenced in Subpart B of CFR Part 2700, which includes contests of citations and orders issued under Section 104 of the Mine Act and contests of imminent danger orders under Section 107 of the Mine Act and 11 were contests of 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2"/>
    </w:lvl>
  </w:abstractNum>
  <w:abstractNum w:abstractNumId="10">
    <w:nsid w:val="2CA88611"/>
    <w:multiLevelType w:val="hybridMultilevel"/>
    <w:lvl w:ilvl="0">
      <w:lvlJc w:val="left"/>
      <w:lvlText w:val="%1."/>
      <w:numFmt w:val="decimal"/>
      <w:start w:val="2"/>
    </w:lvl>
  </w:abstractNum>
  <w:abstractNum w:abstractNumId="11">
    <w:nsid w:val="836C40E"/>
    <w:multiLevelType w:val="hybridMultilevel"/>
    <w:lvl w:ilvl="0">
      <w:lvlJc w:val="left"/>
      <w:lvlText w:val="%1."/>
      <w:numFmt w:val="decimal"/>
      <w:start w:val="3"/>
    </w:lvl>
  </w:abstractNum>
  <w:abstractNum w:abstractNumId="12">
    <w:nsid w:val="2901D82"/>
    <w:multiLevelType w:val="hybridMultilevel"/>
    <w:lvl w:ilvl="0">
      <w:lvlJc w:val="left"/>
      <w:lvlText w:val="%1."/>
      <w:numFmt w:val="decimal"/>
      <w:start w:val="5"/>
    </w:lvl>
  </w:abstractNum>
  <w:abstractNum w:abstractNumId="13">
    <w:nsid w:val="3A95F874"/>
    <w:multiLevelType w:val="hybridMultilevel"/>
    <w:lvl w:ilvl="0">
      <w:lvlJc w:val="left"/>
      <w:lvlText w:val="%1."/>
      <w:numFmt w:val="decimal"/>
      <w:start w:val="6"/>
    </w:lvl>
  </w:abstractNum>
  <w:abstractNum w:abstractNumId="14">
    <w:nsid w:val="8138641"/>
    <w:multiLevelType w:val="hybridMultilevel"/>
    <w:lvl w:ilvl="0">
      <w:lvlJc w:val="left"/>
      <w:lvlText w:val="%1."/>
      <w:numFmt w:val="decimal"/>
      <w:start w:val="8"/>
    </w:lvl>
  </w:abstractNum>
  <w:abstractNum w:abstractNumId="15">
    <w:nsid w:val="1E7FF521"/>
    <w:multiLevelType w:val="hybridMultilevel"/>
    <w:lvl w:ilvl="0">
      <w:lvlJc w:val="left"/>
      <w:lvlText w:val="%1."/>
      <w:numFmt w:val="decimal"/>
      <w:start w:val="9"/>
    </w:lvl>
  </w:abstractNum>
  <w:abstractNum w:abstractNumId="16">
    <w:nsid w:val="7C3DBD3D"/>
    <w:multiLevelType w:val="hybridMultilevel"/>
    <w:lvl w:ilvl="0">
      <w:lvlJc w:val="left"/>
      <w:lvlText w:val="%1."/>
      <w:numFmt w:val="decimal"/>
      <w:start w:val="10"/>
    </w:lvl>
  </w:abstractNum>
  <w:abstractNum w:abstractNumId="17">
    <w:nsid w:val="737B8DDC"/>
    <w:multiLevelType w:val="hybridMultilevel"/>
    <w:lvl w:ilvl="0">
      <w:lvlJc w:val="left"/>
      <w:lvlText w:val="%1."/>
      <w:numFmt w:val="decimal"/>
      <w:start w:val="10"/>
    </w:lvl>
  </w:abstractNum>
  <w:abstractNum w:abstractNumId="18">
    <w:nsid w:val="6CEAF087"/>
    <w:multiLevelType w:val="hybridMultilevel"/>
    <w:lvl w:ilvl="0">
      <w:lvlJc w:val="left"/>
      <w:lvlText w:val="%1."/>
      <w:numFmt w:val="decimal"/>
      <w:start w:val="10"/>
    </w:lvl>
  </w:abstractNum>
  <w:abstractNum w:abstractNumId="19">
    <w:nsid w:val="22221A70"/>
    <w:multiLevelType w:val="hybridMultilevel"/>
    <w:lvl w:ilvl="0">
      <w:lvlJc w:val="left"/>
      <w:lvlText w:val="%1."/>
      <w:numFmt w:val="decimal"/>
      <w:start w:val="1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lvl w:ilvl="1">
      <w:lvlJc w:val="left"/>
      <w:lvlText w:val="o"/>
      <w:numFmt w:val="bullet"/>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4"/>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lvl w:ilvl="1">
      <w:lvlJc w:val="left"/>
      <w:lvlText w:val="o"/>
      <w:numFmt w:val="bullet"/>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4"/>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lvl w:ilvl="1">
      <w:lvlJc w:val="left"/>
      <w:lvlText w:val="o"/>
      <w:numFmt w:val="bullet"/>
      <w:start w:val="1"/>
    </w:lvl>
  </w:abstractNum>
  <w:abstractNum w:abstractNumId="35">
    <w:nsid w:val="580BD78F"/>
    <w:multiLevelType w:val="hybridMultilevel"/>
    <w:lvl w:ilvl="0">
      <w:lvlJc w:val="left"/>
      <w:lvlText w:val="·"/>
      <w:numFmt w:val="bullet"/>
      <w:start w:val="1"/>
    </w:lvl>
    <w:lvl w:ilvl="1">
      <w:lvlJc w:val="left"/>
      <w:lvlText w:val="o"/>
      <w:numFmt w:val="bullet"/>
      <w:start w:val="1"/>
    </w:lvl>
  </w:abstractNum>
  <w:abstractNum w:abstractNumId="36">
    <w:nsid w:val="153EA438"/>
    <w:multiLevelType w:val="hybridMultilevel"/>
    <w:lvl w:ilvl="0">
      <w:lvlJc w:val="left"/>
      <w:lvlText w:val="%1."/>
      <w:numFmt w:val="decimal"/>
      <w:start w:val="1"/>
    </w:lvl>
    <w:lvl w:ilvl="1">
      <w:lvlJc w:val="left"/>
      <w:lvlText w:val="%2."/>
      <w:numFmt w:val="lowerLetter"/>
      <w:start w:val="1"/>
    </w:lvl>
  </w:abstractNum>
  <w:abstractNum w:abstractNumId="37">
    <w:nsid w:val="3855585C"/>
    <w:multiLevelType w:val="hybridMultilevel"/>
    <w:lvl w:ilvl="0">
      <w:lvlJc w:val="left"/>
      <w:lvlText w:val="%1."/>
      <w:numFmt w:val="decimal"/>
      <w:start w:val="5"/>
    </w:lvl>
    <w:lvl w:ilvl="1">
      <w:lvlJc w:val="left"/>
      <w:lvlText w:val="%2."/>
      <w:numFmt w:val="lowerLetter"/>
      <w:start w:val="1"/>
    </w:lvl>
  </w:abstractNum>
  <w:abstractNum w:abstractNumId="38">
    <w:nsid w:val="70A64E2A"/>
    <w:multiLevelType w:val="hybridMultilevel"/>
    <w:lvl w:ilvl="0">
      <w:lvlJc w:val="left"/>
      <w:lvlText w:val="%1."/>
      <w:numFmt w:val="decimal"/>
      <w:start w:val="1"/>
    </w:lvl>
    <w:lvl w:ilvl="1">
      <w:lvlJc w:val="left"/>
      <w:lvlText w:val="%2."/>
      <w:numFmt w:val="lowerLetter"/>
      <w:start w:val="1"/>
    </w:lvl>
  </w:abstractNum>
  <w:abstractNum w:abstractNumId="39">
    <w:nsid w:val="6A2342EC"/>
    <w:multiLevelType w:val="hybridMultilevel"/>
    <w:lvl w:ilvl="0">
      <w:lvlJc w:val="left"/>
      <w:lvlText w:val="%1."/>
      <w:numFmt w:val="decimal"/>
      <w:start w:val="5"/>
    </w:lvl>
    <w:lvl w:ilvl="1">
      <w:lvlJc w:val="left"/>
      <w:lvlText w:val="%2."/>
      <w:numFmt w:val="lowerLetter"/>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2019-12-29T15:36:11Z</dcterms:created>
  <dcterms:modified xsi:type="dcterms:W3CDTF">2019-12-29T15:36:11Z</dcterms:modified>
</cp:coreProperties>
</file>